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F6D283">
      <w:pPr>
        <w:rPr>
          <w:rFonts w:eastAsia="仿宋_GB2312"/>
          <w:sz w:val="36"/>
          <w:szCs w:val="36"/>
        </w:rPr>
      </w:pPr>
      <w:r>
        <w:rPr>
          <w:rFonts w:hint="eastAsia" w:eastAsia="仿宋_GB2312" w:cs="Times New Roman"/>
          <w:color w:val="auto"/>
          <w:sz w:val="36"/>
          <w:szCs w:val="36"/>
          <w:lang w:val="en-US" w:eastAsia="zh-CN"/>
        </w:rPr>
        <w:t xml:space="preserve"> </w:t>
      </w:r>
    </w:p>
    <w:p w14:paraId="303144FA">
      <w:pPr>
        <w:rPr>
          <w:rFonts w:eastAsia="仿宋_GB2312"/>
          <w:sz w:val="36"/>
          <w:szCs w:val="36"/>
        </w:rPr>
      </w:pPr>
    </w:p>
    <w:p w14:paraId="1D961490">
      <w:pPr>
        <w:rPr>
          <w:rFonts w:eastAsia="仿宋_GB2312"/>
          <w:sz w:val="36"/>
          <w:szCs w:val="36"/>
        </w:rPr>
      </w:pPr>
    </w:p>
    <w:p w14:paraId="1561C0C4">
      <w:pPr>
        <w:rPr>
          <w:rFonts w:eastAsia="仿宋_GB2312"/>
          <w:sz w:val="36"/>
          <w:szCs w:val="36"/>
        </w:rPr>
      </w:pPr>
    </w:p>
    <w:p w14:paraId="03CAB23A">
      <w:pPr>
        <w:rPr>
          <w:rFonts w:eastAsia="仿宋_GB2312"/>
          <w:sz w:val="36"/>
          <w:szCs w:val="36"/>
        </w:rPr>
      </w:pPr>
    </w:p>
    <w:p w14:paraId="7173E6ED">
      <w:pPr>
        <w:adjustRightInd w:val="0"/>
        <w:snapToGrid w:val="0"/>
        <w:jc w:val="center"/>
        <w:outlineLvl w:val="0"/>
        <w:rPr>
          <w:rFonts w:eastAsia="方正小标宋_GBK"/>
          <w:bCs/>
          <w:color w:val="auto"/>
          <w:sz w:val="72"/>
          <w:szCs w:val="72"/>
        </w:rPr>
      </w:pPr>
      <w:r>
        <w:rPr>
          <w:rFonts w:eastAsia="方正小标宋_GBK"/>
          <w:bCs/>
          <w:color w:val="auto"/>
          <w:sz w:val="72"/>
          <w:szCs w:val="72"/>
        </w:rPr>
        <w:t>建设项目环境影响报告表</w:t>
      </w:r>
    </w:p>
    <w:p w14:paraId="788338C3">
      <w:pPr>
        <w:adjustRightInd w:val="0"/>
        <w:snapToGrid w:val="0"/>
        <w:spacing w:before="192" w:beforeLines="80"/>
        <w:jc w:val="center"/>
        <w:rPr>
          <w:rFonts w:eastAsia="楷体_GB2312"/>
          <w:bCs/>
          <w:color w:val="auto"/>
          <w:sz w:val="48"/>
          <w:szCs w:val="48"/>
        </w:rPr>
      </w:pPr>
      <w:r>
        <w:rPr>
          <w:rFonts w:eastAsia="楷体_GB2312"/>
          <w:bCs/>
          <w:color w:val="auto"/>
          <w:sz w:val="48"/>
          <w:szCs w:val="48"/>
        </w:rPr>
        <w:t>（污染影响类）</w:t>
      </w:r>
    </w:p>
    <w:p w14:paraId="13F4AECC">
      <w:pPr>
        <w:rPr>
          <w:color w:val="auto"/>
          <w:sz w:val="44"/>
          <w:szCs w:val="44"/>
        </w:rPr>
      </w:pPr>
    </w:p>
    <w:p w14:paraId="1B512012">
      <w:pPr>
        <w:jc w:val="center"/>
        <w:rPr>
          <w:rFonts w:eastAsia="仿宋"/>
          <w:color w:val="auto"/>
          <w:sz w:val="52"/>
          <w:szCs w:val="52"/>
        </w:rPr>
      </w:pPr>
    </w:p>
    <w:p w14:paraId="5A24687A">
      <w:pPr>
        <w:ind w:firstLine="1040"/>
        <w:rPr>
          <w:rFonts w:eastAsia="仿宋"/>
          <w:color w:val="auto"/>
          <w:sz w:val="44"/>
          <w:szCs w:val="44"/>
        </w:rPr>
      </w:pPr>
    </w:p>
    <w:p w14:paraId="1214D18D">
      <w:pPr>
        <w:ind w:firstLine="1040"/>
        <w:rPr>
          <w:rFonts w:eastAsia="仿宋"/>
          <w:color w:val="auto"/>
          <w:sz w:val="44"/>
          <w:szCs w:val="44"/>
        </w:rPr>
      </w:pPr>
    </w:p>
    <w:p w14:paraId="2E7D01A2">
      <w:pPr>
        <w:ind w:firstLine="1040"/>
        <w:rPr>
          <w:rFonts w:eastAsia="仿宋"/>
          <w:color w:val="auto"/>
          <w:sz w:val="44"/>
          <w:szCs w:val="44"/>
        </w:rPr>
      </w:pPr>
    </w:p>
    <w:p w14:paraId="489FA410">
      <w:pPr>
        <w:pStyle w:val="42"/>
        <w:rPr>
          <w:rFonts w:eastAsia="仿宋"/>
          <w:color w:val="auto"/>
          <w:sz w:val="44"/>
          <w:szCs w:val="44"/>
        </w:rPr>
      </w:pPr>
    </w:p>
    <w:p w14:paraId="4CDBC212">
      <w:pPr>
        <w:pStyle w:val="42"/>
        <w:rPr>
          <w:rFonts w:eastAsia="仿宋"/>
          <w:color w:val="auto"/>
          <w:sz w:val="44"/>
          <w:szCs w:val="44"/>
        </w:rPr>
      </w:pPr>
    </w:p>
    <w:p w14:paraId="47758DA1">
      <w:pPr>
        <w:ind w:firstLine="1040"/>
        <w:rPr>
          <w:rFonts w:eastAsia="仿宋"/>
          <w:color w:val="auto"/>
          <w:sz w:val="44"/>
          <w:szCs w:val="44"/>
        </w:rPr>
      </w:pPr>
    </w:p>
    <w:tbl>
      <w:tblPr>
        <w:tblStyle w:val="29"/>
        <w:tblW w:w="835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86"/>
        <w:gridCol w:w="6465"/>
      </w:tblGrid>
      <w:tr w14:paraId="30816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886" w:type="dxa"/>
            <w:vMerge w:val="restart"/>
            <w:noWrap w:val="0"/>
            <w:vAlign w:val="top"/>
          </w:tcPr>
          <w:p w14:paraId="78607AF9">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eastAsia="仿宋_GB2312"/>
                <w:color w:val="auto"/>
                <w:sz w:val="36"/>
                <w:szCs w:val="36"/>
                <w:vertAlign w:val="baseline"/>
              </w:rPr>
            </w:pPr>
            <w:bookmarkStart w:id="0" w:name="_Hlk57884087"/>
            <w:r>
              <w:rPr>
                <w:rFonts w:eastAsia="仿宋_GB2312"/>
                <w:color w:val="auto"/>
                <w:sz w:val="36"/>
                <w:szCs w:val="36"/>
              </w:rPr>
              <w:t>项目名称：</w:t>
            </w:r>
          </w:p>
        </w:tc>
        <w:tc>
          <w:tcPr>
            <w:tcW w:w="6465" w:type="dxa"/>
            <w:tcBorders>
              <w:bottom w:val="single" w:color="auto" w:sz="4" w:space="0"/>
            </w:tcBorders>
            <w:noWrap w:val="0"/>
            <w:vAlign w:val="top"/>
          </w:tcPr>
          <w:p w14:paraId="7ACF4A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仿宋_GB2312"/>
                <w:color w:val="auto"/>
                <w:sz w:val="36"/>
                <w:szCs w:val="36"/>
                <w:u w:val="none"/>
                <w:vertAlign w:val="baseline"/>
                <w:lang w:val="en-US" w:eastAsia="zh-CN"/>
              </w:rPr>
            </w:pPr>
            <w:r>
              <w:rPr>
                <w:rFonts w:hint="eastAsia" w:eastAsia="仿宋_GB2312"/>
                <w:color w:val="auto"/>
                <w:sz w:val="36"/>
                <w:szCs w:val="36"/>
                <w:u w:val="none"/>
                <w:lang w:eastAsia="zh-CN"/>
              </w:rPr>
              <w:t>淮北众城水泥公司</w:t>
            </w:r>
            <w:r>
              <w:rPr>
                <w:rFonts w:hint="eastAsia" w:eastAsia="仿宋_GB2312"/>
                <w:color w:val="auto"/>
                <w:sz w:val="36"/>
                <w:szCs w:val="36"/>
                <w:u w:val="none"/>
                <w:lang w:val="en-US" w:eastAsia="zh-CN"/>
              </w:rPr>
              <w:t>5000t/d熟料生产线</w:t>
            </w:r>
          </w:p>
        </w:tc>
      </w:tr>
      <w:tr w14:paraId="616B2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886" w:type="dxa"/>
            <w:vMerge w:val="continue"/>
            <w:noWrap w:val="0"/>
            <w:vAlign w:val="top"/>
          </w:tcPr>
          <w:p w14:paraId="155E180F">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pPr>
          </w:p>
        </w:tc>
        <w:tc>
          <w:tcPr>
            <w:tcW w:w="6465" w:type="dxa"/>
            <w:tcBorders>
              <w:bottom w:val="single" w:color="auto" w:sz="4" w:space="0"/>
            </w:tcBorders>
            <w:noWrap w:val="0"/>
            <w:vAlign w:val="top"/>
          </w:tcPr>
          <w:p w14:paraId="181704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仿宋_GB2312"/>
                <w:color w:val="auto"/>
                <w:sz w:val="36"/>
                <w:szCs w:val="36"/>
                <w:u w:val="none"/>
                <w:lang w:eastAsia="zh-CN"/>
              </w:rPr>
            </w:pPr>
            <w:r>
              <w:rPr>
                <w:rFonts w:hint="eastAsia" w:eastAsia="仿宋_GB2312"/>
                <w:color w:val="auto"/>
                <w:sz w:val="36"/>
                <w:szCs w:val="36"/>
                <w:u w:val="none"/>
                <w:lang w:val="en-US" w:eastAsia="zh-CN"/>
              </w:rPr>
              <w:t>生物质替代燃料节能减排技术改造项目</w:t>
            </w:r>
          </w:p>
        </w:tc>
      </w:tr>
      <w:tr w14:paraId="50439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86" w:type="dxa"/>
            <w:noWrap w:val="0"/>
            <w:vAlign w:val="top"/>
          </w:tcPr>
          <w:p w14:paraId="7DAD8826">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eastAsia="仿宋_GB2312"/>
                <w:color w:val="auto"/>
                <w:sz w:val="36"/>
                <w:szCs w:val="36"/>
                <w:vertAlign w:val="baseline"/>
              </w:rPr>
            </w:pPr>
            <w:r>
              <w:rPr>
                <w:rFonts w:eastAsia="仿宋_GB2312"/>
                <w:color w:val="auto"/>
                <w:sz w:val="36"/>
                <w:szCs w:val="36"/>
              </w:rPr>
              <w:t>建设单位：</w:t>
            </w:r>
          </w:p>
        </w:tc>
        <w:tc>
          <w:tcPr>
            <w:tcW w:w="6465" w:type="dxa"/>
            <w:tcBorders>
              <w:top w:val="single" w:color="auto" w:sz="4" w:space="0"/>
              <w:bottom w:val="single" w:color="auto" w:sz="4" w:space="0"/>
            </w:tcBorders>
            <w:noWrap w:val="0"/>
            <w:vAlign w:val="top"/>
          </w:tcPr>
          <w:p w14:paraId="4F682F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仿宋_GB2312"/>
                <w:color w:val="auto"/>
                <w:sz w:val="36"/>
                <w:szCs w:val="36"/>
                <w:u w:val="none"/>
                <w:vertAlign w:val="baseline"/>
                <w:lang w:eastAsia="zh-CN"/>
              </w:rPr>
            </w:pPr>
            <w:r>
              <w:rPr>
                <w:rFonts w:hint="eastAsia" w:eastAsia="仿宋_GB2312"/>
                <w:color w:val="auto"/>
                <w:sz w:val="36"/>
                <w:szCs w:val="36"/>
                <w:u w:val="none"/>
                <w:lang w:eastAsia="zh-CN"/>
              </w:rPr>
              <w:t>淮北众城水泥有限责任公司</w:t>
            </w:r>
          </w:p>
        </w:tc>
      </w:tr>
      <w:tr w14:paraId="48254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86" w:type="dxa"/>
            <w:noWrap w:val="0"/>
            <w:vAlign w:val="top"/>
          </w:tcPr>
          <w:p w14:paraId="01E9637B">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eastAsia="仿宋_GB2312"/>
                <w:color w:val="auto"/>
                <w:sz w:val="36"/>
                <w:szCs w:val="36"/>
                <w:vertAlign w:val="baseline"/>
              </w:rPr>
            </w:pPr>
            <w:r>
              <w:rPr>
                <w:rFonts w:eastAsia="仿宋_GB2312"/>
                <w:color w:val="auto"/>
                <w:sz w:val="36"/>
                <w:szCs w:val="36"/>
              </w:rPr>
              <w:t>编制日期：</w:t>
            </w:r>
          </w:p>
        </w:tc>
        <w:tc>
          <w:tcPr>
            <w:tcW w:w="6465" w:type="dxa"/>
            <w:tcBorders>
              <w:top w:val="single" w:color="auto" w:sz="4" w:space="0"/>
              <w:bottom w:val="single" w:color="auto" w:sz="4" w:space="0"/>
            </w:tcBorders>
            <w:noWrap w:val="0"/>
            <w:vAlign w:val="top"/>
          </w:tcPr>
          <w:p w14:paraId="19B26B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仿宋_GB2312"/>
                <w:color w:val="auto"/>
                <w:sz w:val="36"/>
                <w:szCs w:val="36"/>
                <w:u w:val="none"/>
                <w:vertAlign w:val="baseline"/>
                <w:lang w:val="en-US" w:eastAsia="zh-CN"/>
              </w:rPr>
            </w:pPr>
            <w:r>
              <w:rPr>
                <w:rFonts w:hint="eastAsia" w:eastAsia="仿宋_GB2312"/>
                <w:color w:val="auto"/>
                <w:sz w:val="36"/>
                <w:szCs w:val="36"/>
                <w:u w:val="none"/>
                <w:vertAlign w:val="baseline"/>
                <w:lang w:val="en-US" w:eastAsia="zh-CN"/>
              </w:rPr>
              <w:t>二〇二四年十一月</w:t>
            </w:r>
          </w:p>
        </w:tc>
      </w:tr>
    </w:tbl>
    <w:p w14:paraId="70A3BCD1">
      <w:pPr>
        <w:adjustRightInd w:val="0"/>
        <w:snapToGrid w:val="0"/>
        <w:spacing w:line="288" w:lineRule="auto"/>
        <w:ind w:firstLine="1040"/>
        <w:rPr>
          <w:rFonts w:eastAsia="仿宋_GB2312"/>
          <w:color w:val="auto"/>
          <w:sz w:val="36"/>
          <w:szCs w:val="36"/>
          <w:u w:val="single"/>
        </w:rPr>
      </w:pPr>
    </w:p>
    <w:p w14:paraId="66C31D82">
      <w:pPr>
        <w:adjustRightInd w:val="0"/>
        <w:snapToGrid w:val="0"/>
        <w:spacing w:line="288" w:lineRule="auto"/>
        <w:ind w:firstLine="1040"/>
        <w:rPr>
          <w:rFonts w:eastAsia="仿宋_GB2312"/>
          <w:color w:val="auto"/>
          <w:sz w:val="36"/>
          <w:szCs w:val="36"/>
        </w:rPr>
      </w:pPr>
    </w:p>
    <w:p w14:paraId="66333A65">
      <w:pPr>
        <w:adjustRightInd w:val="0"/>
        <w:snapToGrid w:val="0"/>
        <w:spacing w:line="288" w:lineRule="auto"/>
        <w:ind w:firstLine="1040"/>
        <w:rPr>
          <w:rFonts w:eastAsia="仿宋_GB2312"/>
          <w:color w:val="auto"/>
          <w:sz w:val="36"/>
          <w:szCs w:val="36"/>
        </w:rPr>
      </w:pPr>
    </w:p>
    <w:p w14:paraId="50D7341C">
      <w:pPr>
        <w:adjustRightInd w:val="0"/>
        <w:snapToGrid w:val="0"/>
        <w:spacing w:line="288" w:lineRule="auto"/>
        <w:ind w:firstLine="1040"/>
        <w:rPr>
          <w:rFonts w:eastAsia="仿宋_GB2312"/>
          <w:color w:val="auto"/>
          <w:sz w:val="36"/>
          <w:szCs w:val="36"/>
        </w:rPr>
      </w:pPr>
    </w:p>
    <w:bookmarkEnd w:id="0"/>
    <w:p w14:paraId="5B9A785D">
      <w:pPr>
        <w:jc w:val="center"/>
        <w:rPr>
          <w:rFonts w:hint="default" w:ascii="Times New Roman" w:hAnsi="Times New Roman" w:eastAsia="黑体" w:cs="Times New Roman"/>
          <w:snapToGrid w:val="0"/>
          <w:color w:val="auto"/>
          <w:sz w:val="30"/>
          <w:szCs w:val="30"/>
        </w:rPr>
      </w:pPr>
      <w:r>
        <w:rPr>
          <w:rFonts w:eastAsia="楷体_GB2312"/>
          <w:color w:val="auto"/>
          <w:sz w:val="36"/>
          <w:szCs w:val="36"/>
        </w:rPr>
        <w:t>中华人民共和国生态环境部制</w:t>
      </w:r>
    </w:p>
    <w:p w14:paraId="278CB71E">
      <w:pPr>
        <w:pStyle w:val="24"/>
        <w:jc w:val="center"/>
        <w:rPr>
          <w:rFonts w:hint="default" w:ascii="Times New Roman" w:hAnsi="Times New Roman" w:eastAsia="黑体" w:cs="Times New Roman"/>
          <w:snapToGrid w:val="0"/>
          <w:color w:val="auto"/>
          <w:sz w:val="30"/>
          <w:szCs w:val="30"/>
        </w:rPr>
      </w:pPr>
    </w:p>
    <w:p w14:paraId="622AD773">
      <w:pPr>
        <w:pStyle w:val="24"/>
        <w:jc w:val="center"/>
        <w:outlineLvl w:val="0"/>
        <w:rPr>
          <w:rFonts w:hint="default" w:ascii="Times New Roman" w:hAnsi="Times New Roman" w:eastAsia="黑体" w:cs="Times New Roman"/>
          <w:snapToGrid w:val="0"/>
          <w:color w:val="auto"/>
          <w:sz w:val="30"/>
          <w:szCs w:val="30"/>
        </w:rPr>
        <w:sectPr>
          <w:pgSz w:w="11906" w:h="16838"/>
          <w:pgMar w:top="1276"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272EE2C6">
      <w:pPr>
        <w:pStyle w:val="24"/>
        <w:jc w:val="center"/>
        <w:outlineLvl w:val="0"/>
        <w:rPr>
          <w:rFonts w:hint="default" w:ascii="Times New Roman" w:hAnsi="Times New Roman" w:eastAsia="黑体" w:cs="Times New Roman"/>
          <w:snapToGrid w:val="0"/>
          <w:color w:val="auto"/>
          <w:sz w:val="30"/>
          <w:szCs w:val="30"/>
        </w:rPr>
        <w:sectPr>
          <w:pgSz w:w="11906" w:h="16838"/>
          <w:pgMar w:top="1276"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372F682D">
      <w:pPr>
        <w:pStyle w:val="24"/>
        <w:jc w:val="both"/>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一、建设项目基本情况</w:t>
      </w:r>
    </w:p>
    <w:tbl>
      <w:tblPr>
        <w:tblStyle w:val="28"/>
        <w:tblW w:w="92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56"/>
        <w:gridCol w:w="1322"/>
        <w:gridCol w:w="2137"/>
        <w:gridCol w:w="1843"/>
        <w:gridCol w:w="3451"/>
      </w:tblGrid>
      <w:tr w14:paraId="0449C2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78" w:type="dxa"/>
            <w:gridSpan w:val="2"/>
            <w:tcBorders>
              <w:top w:val="single" w:color="auto" w:sz="8" w:space="0"/>
            </w:tcBorders>
            <w:tcMar>
              <w:top w:w="16" w:type="dxa"/>
              <w:left w:w="16" w:type="dxa"/>
              <w:right w:w="16" w:type="dxa"/>
            </w:tcMar>
            <w:vAlign w:val="center"/>
          </w:tcPr>
          <w:p w14:paraId="252D3776">
            <w:pPr>
              <w:keepNext w:val="0"/>
              <w:keepLines w:val="0"/>
              <w:pageBreakBefore w:val="0"/>
              <w:widowControl w:val="0"/>
              <w:kinsoku/>
              <w:wordWrap/>
              <w:overflowPunct/>
              <w:topLinePunct w:val="0"/>
              <w:bidi w:val="0"/>
              <w:adjustRightInd w:val="0"/>
              <w:snapToGrid w:val="0"/>
              <w:spacing w:before="157" w:beforeLines="50" w:after="157" w:afterLines="50"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建设项目名称</w:t>
            </w:r>
          </w:p>
        </w:tc>
        <w:tc>
          <w:tcPr>
            <w:tcW w:w="7431" w:type="dxa"/>
            <w:gridSpan w:val="3"/>
            <w:tcBorders>
              <w:top w:val="single" w:color="auto" w:sz="8" w:space="0"/>
            </w:tcBorders>
            <w:vAlign w:val="center"/>
          </w:tcPr>
          <w:p w14:paraId="64C5DCB6">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Times New Roman" w:hAnsi="Times New Roman" w:eastAsia="宋体" w:cs="Times New Roman"/>
                <w:color w:val="auto"/>
                <w:sz w:val="24"/>
                <w:szCs w:val="24"/>
                <w:lang w:eastAsia="zh-CN"/>
              </w:rPr>
            </w:pPr>
            <w:r>
              <w:rPr>
                <w:rStyle w:val="34"/>
                <w:rFonts w:hint="eastAsia" w:cs="Times New Roman"/>
                <w:color w:val="0000FF"/>
                <w:kern w:val="0"/>
                <w:sz w:val="24"/>
                <w:szCs w:val="24"/>
                <w:lang w:eastAsia="zh-CN"/>
              </w:rPr>
              <w:t>淮北众城水泥公司5000t/d熟料生产线生物质替代燃料节能减排技术改造项目</w:t>
            </w:r>
          </w:p>
        </w:tc>
      </w:tr>
      <w:tr w14:paraId="3A4D39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78" w:type="dxa"/>
            <w:gridSpan w:val="2"/>
            <w:tcMar>
              <w:top w:w="16" w:type="dxa"/>
              <w:left w:w="16" w:type="dxa"/>
              <w:right w:w="16" w:type="dxa"/>
            </w:tcMar>
            <w:vAlign w:val="center"/>
          </w:tcPr>
          <w:p w14:paraId="5BE2F812">
            <w:pPr>
              <w:keepNext w:val="0"/>
              <w:keepLines w:val="0"/>
              <w:pageBreakBefore w:val="0"/>
              <w:widowControl w:val="0"/>
              <w:kinsoku/>
              <w:wordWrap/>
              <w:overflowPunct/>
              <w:topLinePunct w:val="0"/>
              <w:bidi w:val="0"/>
              <w:adjustRightInd w:val="0"/>
              <w:snapToGrid w:val="0"/>
              <w:spacing w:before="157" w:beforeLines="50" w:after="157" w:afterLines="50"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项目代码</w:t>
            </w:r>
          </w:p>
        </w:tc>
        <w:tc>
          <w:tcPr>
            <w:tcW w:w="7431" w:type="dxa"/>
            <w:gridSpan w:val="3"/>
            <w:vAlign w:val="center"/>
          </w:tcPr>
          <w:p w14:paraId="23B426BA">
            <w:pPr>
              <w:keepNext w:val="0"/>
              <w:keepLines w:val="0"/>
              <w:pageBreakBefore w:val="0"/>
              <w:widowControl w:val="0"/>
              <w:kinsoku/>
              <w:wordWrap/>
              <w:overflowPunct/>
              <w:topLinePunct w:val="0"/>
              <w:bidi w:val="0"/>
              <w:adjustRightInd w:val="0"/>
              <w:snapToGrid w:val="0"/>
              <w:spacing w:before="157" w:beforeLines="50" w:after="157" w:afterLines="50" w:line="240" w:lineRule="auto"/>
              <w:ind w:left="0" w:leftChars="0" w:right="0" w:rightChars="0" w:firstLine="0" w:firstLineChars="0"/>
              <w:jc w:val="center"/>
              <w:textAlignment w:val="auto"/>
              <w:rPr>
                <w:rFonts w:hint="default" w:ascii="Times New Roman" w:hAnsi="Times New Roman" w:cs="Times New Roman"/>
                <w:color w:val="auto"/>
                <w:sz w:val="24"/>
                <w:szCs w:val="24"/>
              </w:rPr>
            </w:pPr>
            <w:r>
              <w:rPr>
                <w:rFonts w:hint="eastAsia"/>
                <w:color w:val="auto"/>
                <w:sz w:val="24"/>
                <w:lang w:val="en-US" w:eastAsia="zh-CN"/>
              </w:rPr>
              <w:t>/</w:t>
            </w:r>
          </w:p>
        </w:tc>
      </w:tr>
      <w:tr w14:paraId="1CAEEF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78" w:type="dxa"/>
            <w:gridSpan w:val="2"/>
            <w:tcMar>
              <w:top w:w="16" w:type="dxa"/>
              <w:left w:w="16" w:type="dxa"/>
              <w:right w:w="16" w:type="dxa"/>
            </w:tcMar>
            <w:vAlign w:val="center"/>
          </w:tcPr>
          <w:p w14:paraId="53A6AFBC">
            <w:pPr>
              <w:keepNext w:val="0"/>
              <w:keepLines w:val="0"/>
              <w:pageBreakBefore w:val="0"/>
              <w:widowControl w:val="0"/>
              <w:kinsoku/>
              <w:wordWrap/>
              <w:overflowPunct/>
              <w:topLinePunct w:val="0"/>
              <w:bidi w:val="0"/>
              <w:adjustRightInd w:val="0"/>
              <w:snapToGrid w:val="0"/>
              <w:spacing w:before="157" w:beforeLines="50" w:after="157" w:afterLines="50"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建设单位联系人</w:t>
            </w:r>
          </w:p>
        </w:tc>
        <w:tc>
          <w:tcPr>
            <w:tcW w:w="2137" w:type="dxa"/>
            <w:vAlign w:val="center"/>
          </w:tcPr>
          <w:p w14:paraId="3B62E10E">
            <w:pPr>
              <w:keepNext w:val="0"/>
              <w:keepLines w:val="0"/>
              <w:pageBreakBefore w:val="0"/>
              <w:widowControl w:val="0"/>
              <w:kinsoku/>
              <w:wordWrap/>
              <w:overflowPunct/>
              <w:topLinePunct w:val="0"/>
              <w:bidi w:val="0"/>
              <w:adjustRightInd w:val="0"/>
              <w:snapToGrid w:val="0"/>
              <w:spacing w:before="157" w:beforeLines="50" w:after="157" w:afterLines="50" w:line="240" w:lineRule="auto"/>
              <w:jc w:val="center"/>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刘一波</w:t>
            </w:r>
          </w:p>
        </w:tc>
        <w:tc>
          <w:tcPr>
            <w:tcW w:w="1843" w:type="dxa"/>
            <w:vAlign w:val="center"/>
          </w:tcPr>
          <w:p w14:paraId="73938F1B">
            <w:pPr>
              <w:keepNext w:val="0"/>
              <w:keepLines w:val="0"/>
              <w:pageBreakBefore w:val="0"/>
              <w:widowControl w:val="0"/>
              <w:kinsoku/>
              <w:wordWrap/>
              <w:overflowPunct/>
              <w:topLinePunct w:val="0"/>
              <w:bidi w:val="0"/>
              <w:adjustRightInd w:val="0"/>
              <w:snapToGrid w:val="0"/>
              <w:spacing w:before="157" w:beforeLines="50" w:after="157" w:afterLines="50"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联系方式</w:t>
            </w:r>
          </w:p>
        </w:tc>
        <w:tc>
          <w:tcPr>
            <w:tcW w:w="3451" w:type="dxa"/>
            <w:vAlign w:val="center"/>
          </w:tcPr>
          <w:p w14:paraId="4E558033">
            <w:pPr>
              <w:keepNext w:val="0"/>
              <w:keepLines w:val="0"/>
              <w:pageBreakBefore w:val="0"/>
              <w:widowControl w:val="0"/>
              <w:kinsoku/>
              <w:wordWrap/>
              <w:overflowPunct/>
              <w:topLinePunct w:val="0"/>
              <w:bidi w:val="0"/>
              <w:adjustRightInd w:val="0"/>
              <w:snapToGrid w:val="0"/>
              <w:spacing w:before="157" w:beforeLines="50" w:after="157" w:afterLines="50" w:line="240" w:lineRule="auto"/>
              <w:jc w:val="center"/>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18156101212</w:t>
            </w:r>
          </w:p>
        </w:tc>
      </w:tr>
      <w:tr w14:paraId="35CC8D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78" w:type="dxa"/>
            <w:gridSpan w:val="2"/>
            <w:tcMar>
              <w:top w:w="16" w:type="dxa"/>
              <w:left w:w="16" w:type="dxa"/>
              <w:right w:w="16" w:type="dxa"/>
            </w:tcMar>
            <w:vAlign w:val="center"/>
          </w:tcPr>
          <w:p w14:paraId="1F4C135D">
            <w:pPr>
              <w:keepNext w:val="0"/>
              <w:keepLines w:val="0"/>
              <w:pageBreakBefore w:val="0"/>
              <w:widowControl w:val="0"/>
              <w:kinsoku/>
              <w:wordWrap/>
              <w:overflowPunct/>
              <w:topLinePunct w:val="0"/>
              <w:bidi w:val="0"/>
              <w:adjustRightInd w:val="0"/>
              <w:snapToGrid w:val="0"/>
              <w:spacing w:before="157" w:beforeLines="50" w:after="157" w:afterLines="50"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7431" w:type="dxa"/>
            <w:gridSpan w:val="3"/>
            <w:vAlign w:val="center"/>
          </w:tcPr>
          <w:p w14:paraId="649BCAE7">
            <w:pPr>
              <w:keepNext w:val="0"/>
              <w:keepLines w:val="0"/>
              <w:pageBreakBefore w:val="0"/>
              <w:widowControl w:val="0"/>
              <w:kinsoku/>
              <w:wordWrap/>
              <w:overflowPunct/>
              <w:topLinePunct w:val="0"/>
              <w:bidi w:val="0"/>
              <w:adjustRightInd w:val="0"/>
              <w:snapToGrid w:val="0"/>
              <w:spacing w:before="157" w:beforeLines="50" w:after="157" w:afterLines="50" w:line="240" w:lineRule="auto"/>
              <w:jc w:val="center"/>
              <w:textAlignment w:val="auto"/>
              <w:rPr>
                <w:rFonts w:hint="default" w:ascii="Times New Roman" w:hAnsi="Times New Roman" w:eastAsia="宋体" w:cs="Times New Roman"/>
                <w:color w:val="auto"/>
                <w:sz w:val="24"/>
                <w:szCs w:val="24"/>
                <w:lang w:val="en-US" w:eastAsia="zh-CN"/>
              </w:rPr>
            </w:pPr>
            <w:r>
              <w:rPr>
                <w:rStyle w:val="34"/>
                <w:rFonts w:hint="eastAsia" w:cs="Times New Roman"/>
                <w:color w:val="auto"/>
                <w:kern w:val="0"/>
                <w:sz w:val="24"/>
                <w:szCs w:val="24"/>
                <w:lang w:eastAsia="zh-CN"/>
              </w:rPr>
              <w:t>淮北市</w:t>
            </w:r>
            <w:bookmarkStart w:id="164" w:name="_GoBack"/>
            <w:r>
              <w:rPr>
                <w:rStyle w:val="34"/>
                <w:rFonts w:hint="eastAsia" w:cs="Times New Roman"/>
                <w:color w:val="auto"/>
                <w:kern w:val="0"/>
                <w:sz w:val="24"/>
                <w:szCs w:val="24"/>
                <w:lang w:eastAsia="zh-CN"/>
              </w:rPr>
              <w:t>杜集区东山路</w:t>
            </w:r>
            <w:r>
              <w:rPr>
                <w:rStyle w:val="34"/>
                <w:rFonts w:hint="eastAsia" w:cs="Times New Roman"/>
                <w:color w:val="auto"/>
                <w:kern w:val="0"/>
                <w:sz w:val="24"/>
                <w:szCs w:val="24"/>
                <w:lang w:val="en-US" w:eastAsia="zh-CN"/>
              </w:rPr>
              <w:t>202号</w:t>
            </w:r>
            <w:bookmarkEnd w:id="164"/>
            <w:r>
              <w:rPr>
                <w:rStyle w:val="34"/>
                <w:rFonts w:hint="eastAsia" w:cs="Times New Roman"/>
                <w:color w:val="auto"/>
                <w:kern w:val="0"/>
                <w:sz w:val="24"/>
                <w:szCs w:val="24"/>
                <w:lang w:val="en-US" w:eastAsia="zh-CN"/>
              </w:rPr>
              <w:t>（淮北众城水泥有限责任公司院内）</w:t>
            </w:r>
          </w:p>
        </w:tc>
      </w:tr>
      <w:tr w14:paraId="43997F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78" w:type="dxa"/>
            <w:gridSpan w:val="2"/>
            <w:tcMar>
              <w:top w:w="16" w:type="dxa"/>
              <w:left w:w="16" w:type="dxa"/>
              <w:right w:w="16" w:type="dxa"/>
            </w:tcMar>
            <w:vAlign w:val="center"/>
          </w:tcPr>
          <w:p w14:paraId="345852A7">
            <w:pPr>
              <w:keepNext w:val="0"/>
              <w:keepLines w:val="0"/>
              <w:pageBreakBefore w:val="0"/>
              <w:widowControl w:val="0"/>
              <w:kinsoku/>
              <w:wordWrap/>
              <w:overflowPunct/>
              <w:topLinePunct w:val="0"/>
              <w:bidi w:val="0"/>
              <w:adjustRightInd w:val="0"/>
              <w:snapToGrid w:val="0"/>
              <w:spacing w:before="157" w:beforeLines="50" w:after="157" w:afterLines="50"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地理坐标</w:t>
            </w:r>
          </w:p>
        </w:tc>
        <w:tc>
          <w:tcPr>
            <w:tcW w:w="7431" w:type="dxa"/>
            <w:gridSpan w:val="3"/>
            <w:vAlign w:val="center"/>
          </w:tcPr>
          <w:p w14:paraId="76458276">
            <w:pPr>
              <w:keepNext w:val="0"/>
              <w:keepLines w:val="0"/>
              <w:pageBreakBefore w:val="0"/>
              <w:widowControl w:val="0"/>
              <w:kinsoku/>
              <w:wordWrap/>
              <w:overflowPunct/>
              <w:topLinePunct w:val="0"/>
              <w:bidi w:val="0"/>
              <w:spacing w:before="157" w:beforeLines="50" w:after="157" w:afterLines="50" w:line="240" w:lineRule="auto"/>
              <w:jc w:val="center"/>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东经116°</w:t>
            </w:r>
            <w:r>
              <w:rPr>
                <w:rFonts w:hint="eastAsia" w:cs="Times New Roman"/>
                <w:color w:val="auto"/>
                <w:sz w:val="24"/>
                <w:szCs w:val="24"/>
                <w:lang w:val="en-US" w:eastAsia="zh-CN"/>
              </w:rPr>
              <w:t>48</w:t>
            </w:r>
            <w:r>
              <w:rPr>
                <w:rFonts w:hint="eastAsia" w:cs="Times New Roman"/>
                <w:color w:val="auto"/>
                <w:sz w:val="24"/>
                <w:szCs w:val="24"/>
                <w:lang w:eastAsia="zh-CN"/>
              </w:rPr>
              <w:t>′</w:t>
            </w:r>
            <w:r>
              <w:rPr>
                <w:rFonts w:hint="eastAsia" w:cs="Times New Roman"/>
                <w:color w:val="auto"/>
                <w:sz w:val="24"/>
                <w:szCs w:val="24"/>
                <w:lang w:val="en-US" w:eastAsia="zh-CN"/>
              </w:rPr>
              <w:t>17.510</w:t>
            </w:r>
            <w:r>
              <w:rPr>
                <w:rFonts w:hint="eastAsia" w:cs="Times New Roman"/>
                <w:color w:val="auto"/>
                <w:sz w:val="24"/>
                <w:szCs w:val="24"/>
                <w:lang w:eastAsia="zh-CN"/>
              </w:rPr>
              <w:t>″，北纬34°</w:t>
            </w:r>
            <w:r>
              <w:rPr>
                <w:rFonts w:hint="eastAsia" w:cs="Times New Roman"/>
                <w:color w:val="auto"/>
                <w:sz w:val="24"/>
                <w:szCs w:val="24"/>
                <w:lang w:val="en-US" w:eastAsia="zh-CN"/>
              </w:rPr>
              <w:t>1</w:t>
            </w:r>
            <w:r>
              <w:rPr>
                <w:rFonts w:hint="eastAsia" w:cs="Times New Roman"/>
                <w:color w:val="auto"/>
                <w:sz w:val="24"/>
                <w:szCs w:val="24"/>
                <w:lang w:eastAsia="zh-CN"/>
              </w:rPr>
              <w:t>′</w:t>
            </w:r>
            <w:r>
              <w:rPr>
                <w:rFonts w:hint="eastAsia" w:cs="Times New Roman"/>
                <w:color w:val="auto"/>
                <w:sz w:val="24"/>
                <w:szCs w:val="24"/>
                <w:lang w:val="en-US" w:eastAsia="zh-CN"/>
              </w:rPr>
              <w:t>54.380</w:t>
            </w:r>
            <w:r>
              <w:rPr>
                <w:rFonts w:hint="eastAsia" w:cs="Times New Roman"/>
                <w:color w:val="auto"/>
                <w:sz w:val="24"/>
                <w:szCs w:val="24"/>
                <w:lang w:eastAsia="zh-CN"/>
              </w:rPr>
              <w:t>″</w:t>
            </w:r>
          </w:p>
        </w:tc>
      </w:tr>
      <w:tr w14:paraId="7EDFFA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1778" w:type="dxa"/>
            <w:gridSpan w:val="2"/>
            <w:tcMar>
              <w:top w:w="16" w:type="dxa"/>
              <w:left w:w="16" w:type="dxa"/>
              <w:right w:w="16" w:type="dxa"/>
            </w:tcMar>
            <w:vAlign w:val="center"/>
          </w:tcPr>
          <w:p w14:paraId="018828FF">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left="0" w:left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国民经济</w:t>
            </w:r>
          </w:p>
          <w:p w14:paraId="4F963F17">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left="0" w:left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tc>
        <w:tc>
          <w:tcPr>
            <w:tcW w:w="2137" w:type="dxa"/>
            <w:vAlign w:val="center"/>
          </w:tcPr>
          <w:p w14:paraId="7E5D3947">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left="0" w:leftChars="0"/>
              <w:jc w:val="center"/>
              <w:textAlignment w:val="auto"/>
              <w:rPr>
                <w:rFonts w:hint="default" w:ascii="Times New Roman" w:hAnsi="Times New Roman" w:eastAsia="宋体" w:cs="Times New Roman"/>
                <w:color w:val="auto"/>
                <w:sz w:val="24"/>
                <w:szCs w:val="24"/>
                <w:lang w:eastAsia="zh-CN"/>
              </w:rPr>
            </w:pPr>
            <w:r>
              <w:rPr>
                <w:rFonts w:hint="eastAsia" w:cs="Times New Roman"/>
                <w:color w:val="auto"/>
                <w:sz w:val="24"/>
                <w:szCs w:val="24"/>
                <w:lang w:val="en-US" w:eastAsia="zh-CN"/>
              </w:rPr>
              <w:t>N7723</w:t>
            </w:r>
            <w:r>
              <w:rPr>
                <w:rFonts w:hint="eastAsia" w:cs="Times New Roman"/>
                <w:color w:val="auto"/>
                <w:sz w:val="24"/>
                <w:szCs w:val="24"/>
                <w:lang w:eastAsia="zh-CN"/>
              </w:rPr>
              <w:t>固体废物治理</w:t>
            </w:r>
          </w:p>
        </w:tc>
        <w:tc>
          <w:tcPr>
            <w:tcW w:w="1843" w:type="dxa"/>
            <w:vAlign w:val="center"/>
          </w:tcPr>
          <w:p w14:paraId="4A48D628">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left="0" w:leftChars="0"/>
              <w:jc w:val="center"/>
              <w:textAlignment w:val="auto"/>
              <w:rPr>
                <w:rFonts w:hint="default" w:ascii="Times New Roman" w:hAnsi="Times New Roman" w:cs="Times New Roman"/>
                <w:color w:val="auto"/>
                <w:sz w:val="24"/>
                <w:szCs w:val="24"/>
              </w:rPr>
            </w:pPr>
            <w:bookmarkStart w:id="1" w:name="_Hlk49843745"/>
            <w:r>
              <w:rPr>
                <w:rFonts w:hint="default" w:ascii="Times New Roman" w:hAnsi="Times New Roman" w:cs="Times New Roman"/>
                <w:color w:val="auto"/>
                <w:sz w:val="24"/>
                <w:szCs w:val="24"/>
              </w:rPr>
              <w:t>建设项目</w:t>
            </w:r>
          </w:p>
          <w:p w14:paraId="15DEDAD1">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left="0" w:left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bookmarkEnd w:id="1"/>
          </w:p>
        </w:tc>
        <w:tc>
          <w:tcPr>
            <w:tcW w:w="3451" w:type="dxa"/>
            <w:vAlign w:val="center"/>
          </w:tcPr>
          <w:p w14:paraId="63627A65">
            <w:pPr>
              <w:keepNext w:val="0"/>
              <w:keepLines w:val="0"/>
              <w:pageBreakBefore w:val="0"/>
              <w:widowControl w:val="0"/>
              <w:kinsoku/>
              <w:wordWrap/>
              <w:overflowPunct/>
              <w:topLinePunct w:val="0"/>
              <w:autoSpaceDE/>
              <w:autoSpaceDN/>
              <w:bidi w:val="0"/>
              <w:adjustRightInd/>
              <w:snapToGrid/>
              <w:spacing w:before="157" w:beforeLines="50" w:line="240" w:lineRule="auto"/>
              <w:ind w:left="105" w:leftChars="50" w:right="63" w:rightChars="30"/>
              <w:jc w:val="left"/>
              <w:textAlignment w:val="auto"/>
              <w:rPr>
                <w:rFonts w:hint="eastAsia" w:ascii="Times New Roman" w:hAnsi="Times New Roman" w:eastAsia="宋体" w:cs="Times New Roman"/>
                <w:color w:val="auto"/>
                <w:sz w:val="24"/>
              </w:rPr>
            </w:pPr>
            <w:r>
              <w:rPr>
                <w:rFonts w:hint="eastAsia" w:cs="Times New Roman"/>
                <w:color w:val="auto"/>
                <w:sz w:val="24"/>
                <w:lang w:eastAsia="zh-CN"/>
              </w:rPr>
              <w:t>四十七</w:t>
            </w:r>
            <w:r>
              <w:rPr>
                <w:rFonts w:hint="eastAsia" w:ascii="Times New Roman" w:hAnsi="Times New Roman" w:eastAsia="宋体" w:cs="Times New Roman"/>
                <w:color w:val="auto"/>
                <w:sz w:val="24"/>
              </w:rPr>
              <w:t>、生态保护和环境治理业</w:t>
            </w:r>
          </w:p>
          <w:p w14:paraId="6F011070">
            <w:pPr>
              <w:keepNext w:val="0"/>
              <w:keepLines w:val="0"/>
              <w:pageBreakBefore w:val="0"/>
              <w:widowControl w:val="0"/>
              <w:kinsoku/>
              <w:wordWrap/>
              <w:overflowPunct/>
              <w:topLinePunct w:val="0"/>
              <w:autoSpaceDE/>
              <w:autoSpaceDN/>
              <w:bidi w:val="0"/>
              <w:adjustRightInd/>
              <w:snapToGrid/>
              <w:spacing w:after="157" w:afterLines="50" w:line="440" w:lineRule="exact"/>
              <w:ind w:left="105" w:leftChars="50" w:right="63" w:rightChars="30"/>
              <w:jc w:val="left"/>
              <w:textAlignment w:val="auto"/>
              <w:rPr>
                <w:rFonts w:hint="eastAsia" w:ascii="Times New Roman" w:hAnsi="Times New Roman" w:eastAsia="宋体" w:cs="Times New Roman"/>
                <w:color w:val="auto"/>
                <w:sz w:val="24"/>
                <w:lang w:eastAsia="zh-CN"/>
              </w:rPr>
            </w:pPr>
            <w:r>
              <w:rPr>
                <w:rFonts w:hint="eastAsia" w:cs="Times New Roman"/>
                <w:color w:val="auto"/>
                <w:sz w:val="24"/>
                <w:lang w:val="en-US" w:eastAsia="zh-CN"/>
              </w:rPr>
              <w:t xml:space="preserve">103 </w:t>
            </w:r>
            <w:r>
              <w:rPr>
                <w:rFonts w:hint="eastAsia" w:cs="Times New Roman"/>
                <w:color w:val="auto"/>
                <w:sz w:val="24"/>
                <w:lang w:eastAsia="zh-CN"/>
              </w:rPr>
              <w:t>一般工业固体废物（含污水处理污泥）、建筑施工废弃物处置及综合利用</w:t>
            </w:r>
          </w:p>
          <w:p w14:paraId="4969B204">
            <w:pPr>
              <w:keepNext w:val="0"/>
              <w:keepLines w:val="0"/>
              <w:pageBreakBefore w:val="0"/>
              <w:widowControl w:val="0"/>
              <w:kinsoku/>
              <w:wordWrap/>
              <w:overflowPunct/>
              <w:topLinePunct w:val="0"/>
              <w:autoSpaceDE/>
              <w:autoSpaceDN/>
              <w:bidi w:val="0"/>
              <w:adjustRightInd/>
              <w:snapToGrid/>
              <w:spacing w:after="157" w:afterLines="50" w:line="240" w:lineRule="auto"/>
              <w:ind w:left="105" w:leftChars="50" w:right="63" w:rightChars="30"/>
              <w:jc w:val="left"/>
              <w:textAlignment w:val="auto"/>
              <w:rPr>
                <w:rFonts w:hint="eastAsia" w:ascii="Times New Roman" w:hAnsi="Times New Roman" w:eastAsia="宋体" w:cs="Times New Roman"/>
                <w:color w:val="auto"/>
                <w:sz w:val="24"/>
                <w:szCs w:val="24"/>
                <w:lang w:eastAsia="zh-CN"/>
              </w:rPr>
            </w:pPr>
            <w:r>
              <w:rPr>
                <w:rFonts w:hint="eastAsia" w:cs="Times New Roman"/>
                <w:color w:val="auto"/>
                <w:sz w:val="24"/>
                <w:lang w:eastAsia="zh-CN"/>
              </w:rPr>
              <w:t>其他</w:t>
            </w:r>
          </w:p>
        </w:tc>
      </w:tr>
      <w:tr w14:paraId="60FE62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78" w:type="dxa"/>
            <w:gridSpan w:val="2"/>
            <w:tcMar>
              <w:top w:w="16" w:type="dxa"/>
              <w:left w:w="16" w:type="dxa"/>
              <w:right w:w="16" w:type="dxa"/>
            </w:tcMar>
            <w:vAlign w:val="center"/>
          </w:tcPr>
          <w:p w14:paraId="53177217">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left="0" w:left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2137" w:type="dxa"/>
            <w:vAlign w:val="center"/>
          </w:tcPr>
          <w:p w14:paraId="0FC2955A">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105" w:leftChars="50"/>
              <w:jc w:val="left"/>
              <w:textAlignment w:val="auto"/>
              <w:rPr>
                <w:rFonts w:hint="default" w:ascii="Times New Roman" w:hAnsi="Times New Roman" w:eastAsia="宋体" w:cs="Times New Roman"/>
                <w:color w:val="auto"/>
                <w:sz w:val="24"/>
              </w:rPr>
            </w:pPr>
            <w:r>
              <w:rPr>
                <w:rFonts w:hint="eastAsia" w:cs="Times New Roman"/>
                <w:color w:val="auto"/>
                <w:sz w:val="24"/>
                <w:lang w:eastAsia="zh-CN"/>
              </w:rPr>
              <w:t>□</w:t>
            </w:r>
            <w:r>
              <w:rPr>
                <w:rFonts w:hint="default" w:ascii="Times New Roman" w:hAnsi="Times New Roman" w:eastAsia="宋体" w:cs="Times New Roman"/>
                <w:color w:val="auto"/>
                <w:sz w:val="24"/>
              </w:rPr>
              <w:t>新建（迁建）</w:t>
            </w:r>
          </w:p>
          <w:p w14:paraId="60DED5E2">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105" w:leftChars="50"/>
              <w:jc w:val="left"/>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改建</w:t>
            </w:r>
          </w:p>
          <w:p w14:paraId="45A0D534">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105" w:leftChars="50"/>
              <w:jc w:val="left"/>
              <w:textAlignment w:val="auto"/>
              <w:rPr>
                <w:rFonts w:hint="default" w:ascii="Times New Roman" w:hAnsi="Times New Roman" w:eastAsia="宋体" w:cs="Times New Roman"/>
                <w:color w:val="auto"/>
                <w:sz w:val="24"/>
              </w:rPr>
            </w:pPr>
            <w:r>
              <w:rPr>
                <w:rFonts w:hint="eastAsia" w:cs="Times New Roman"/>
                <w:color w:val="auto"/>
                <w:sz w:val="24"/>
                <w:lang w:eastAsia="zh-CN"/>
              </w:rPr>
              <w:t>□</w:t>
            </w:r>
            <w:r>
              <w:rPr>
                <w:rFonts w:hint="default" w:ascii="Times New Roman" w:hAnsi="Times New Roman" w:eastAsia="宋体" w:cs="Times New Roman"/>
                <w:color w:val="auto"/>
                <w:sz w:val="24"/>
              </w:rPr>
              <w:t>扩建</w:t>
            </w:r>
          </w:p>
          <w:p w14:paraId="02FC93C0">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105" w:leftChars="50"/>
              <w:jc w:val="left"/>
              <w:textAlignment w:val="auto"/>
              <w:rPr>
                <w:rFonts w:hint="default" w:ascii="Times New Roman" w:hAnsi="Times New Roman" w:cs="Times New Roman"/>
                <w:color w:val="auto"/>
                <w:sz w:val="24"/>
                <w:szCs w:val="24"/>
              </w:rPr>
            </w:pPr>
            <w:r>
              <w:rPr>
                <w:rFonts w:hint="eastAsia" w:cs="Times New Roman"/>
                <w:color w:val="auto"/>
                <w:sz w:val="24"/>
                <w:lang w:eastAsia="zh-CN"/>
              </w:rPr>
              <w:t>☑</w:t>
            </w:r>
            <w:r>
              <w:rPr>
                <w:rFonts w:hint="default" w:ascii="Times New Roman" w:hAnsi="Times New Roman" w:eastAsia="宋体" w:cs="Times New Roman"/>
                <w:color w:val="auto"/>
                <w:sz w:val="24"/>
              </w:rPr>
              <w:t>技术改造</w:t>
            </w:r>
          </w:p>
        </w:tc>
        <w:tc>
          <w:tcPr>
            <w:tcW w:w="1843" w:type="dxa"/>
            <w:vAlign w:val="center"/>
          </w:tcPr>
          <w:p w14:paraId="3A51BC47">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left="0" w:left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14:paraId="42DF4958">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left="0" w:left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申报情形</w:t>
            </w:r>
          </w:p>
        </w:tc>
        <w:tc>
          <w:tcPr>
            <w:tcW w:w="3451" w:type="dxa"/>
            <w:vAlign w:val="center"/>
          </w:tcPr>
          <w:p w14:paraId="115FA60C">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105" w:leftChars="5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☑首次申报项目</w:t>
            </w:r>
          </w:p>
          <w:p w14:paraId="73303D65">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105" w:leftChars="50"/>
              <w:jc w:val="left"/>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不予批准后再次申报项目</w:t>
            </w:r>
          </w:p>
          <w:p w14:paraId="163ED2A6">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105" w:leftChars="50"/>
              <w:jc w:val="left"/>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 xml:space="preserve">超五年重新审核项目 </w:t>
            </w:r>
          </w:p>
          <w:p w14:paraId="57557B68">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105" w:leftChars="50"/>
              <w:jc w:val="left"/>
              <w:textAlignment w:val="auto"/>
              <w:rPr>
                <w:rFonts w:hint="default" w:ascii="Times New Roman" w:hAnsi="Times New Roman" w:cs="Times New Roman"/>
                <w:color w:val="auto"/>
                <w:sz w:val="24"/>
                <w:szCs w:val="24"/>
              </w:rPr>
            </w:pP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重大变动重新报批项目</w:t>
            </w:r>
          </w:p>
        </w:tc>
      </w:tr>
      <w:tr w14:paraId="4BE47E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78" w:type="dxa"/>
            <w:gridSpan w:val="2"/>
            <w:tcMar>
              <w:top w:w="16" w:type="dxa"/>
              <w:left w:w="16" w:type="dxa"/>
              <w:right w:w="16" w:type="dxa"/>
            </w:tcMar>
            <w:vAlign w:val="center"/>
          </w:tcPr>
          <w:p w14:paraId="76A874D7">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14:paraId="6C015A5D">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备案）部门</w:t>
            </w:r>
          </w:p>
        </w:tc>
        <w:tc>
          <w:tcPr>
            <w:tcW w:w="2137" w:type="dxa"/>
            <w:vAlign w:val="center"/>
          </w:tcPr>
          <w:p w14:paraId="2B4E5E75">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jc w:val="center"/>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安徽淮北杜集经济开发区管理委员会</w:t>
            </w:r>
          </w:p>
        </w:tc>
        <w:tc>
          <w:tcPr>
            <w:tcW w:w="1843" w:type="dxa"/>
            <w:vAlign w:val="center"/>
          </w:tcPr>
          <w:p w14:paraId="0FDC6159">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项目审批（核准/备案）文号</w:t>
            </w:r>
          </w:p>
        </w:tc>
        <w:tc>
          <w:tcPr>
            <w:tcW w:w="3451" w:type="dxa"/>
            <w:vAlign w:val="center"/>
          </w:tcPr>
          <w:p w14:paraId="5C64601E">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eastAsia="zh-CN"/>
              </w:rPr>
              <w:t>杜经开技改函〔</w:t>
            </w:r>
            <w:r>
              <w:rPr>
                <w:rFonts w:hint="eastAsia" w:cs="Times New Roman"/>
                <w:color w:val="auto"/>
                <w:sz w:val="24"/>
                <w:szCs w:val="24"/>
                <w:lang w:val="en-US" w:eastAsia="zh-CN"/>
              </w:rPr>
              <w:t>2024</w:t>
            </w:r>
            <w:r>
              <w:rPr>
                <w:rFonts w:hint="eastAsia" w:cs="Times New Roman"/>
                <w:color w:val="auto"/>
                <w:sz w:val="24"/>
                <w:szCs w:val="24"/>
                <w:lang w:eastAsia="zh-CN"/>
              </w:rPr>
              <w:t>〕</w:t>
            </w:r>
            <w:r>
              <w:rPr>
                <w:rFonts w:hint="eastAsia" w:cs="Times New Roman"/>
                <w:color w:val="auto"/>
                <w:sz w:val="24"/>
                <w:szCs w:val="24"/>
                <w:lang w:val="en-US" w:eastAsia="zh-CN"/>
              </w:rPr>
              <w:t>7号</w:t>
            </w:r>
          </w:p>
        </w:tc>
      </w:tr>
      <w:tr w14:paraId="628587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78" w:type="dxa"/>
            <w:gridSpan w:val="2"/>
            <w:tcMar>
              <w:top w:w="16" w:type="dxa"/>
              <w:left w:w="16" w:type="dxa"/>
              <w:right w:w="16" w:type="dxa"/>
            </w:tcMar>
            <w:vAlign w:val="center"/>
          </w:tcPr>
          <w:p w14:paraId="5E498307">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总投资（万元）</w:t>
            </w:r>
          </w:p>
        </w:tc>
        <w:tc>
          <w:tcPr>
            <w:tcW w:w="2137" w:type="dxa"/>
            <w:vAlign w:val="center"/>
          </w:tcPr>
          <w:p w14:paraId="59746A3B">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1300</w:t>
            </w:r>
          </w:p>
        </w:tc>
        <w:tc>
          <w:tcPr>
            <w:tcW w:w="1843" w:type="dxa"/>
            <w:tcMar>
              <w:top w:w="16" w:type="dxa"/>
              <w:left w:w="16" w:type="dxa"/>
              <w:right w:w="16" w:type="dxa"/>
            </w:tcMar>
            <w:vAlign w:val="center"/>
          </w:tcPr>
          <w:p w14:paraId="3A05CA75">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w:t>
            </w:r>
          </w:p>
          <w:p w14:paraId="0ACFFEB3">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（万元）</w:t>
            </w:r>
          </w:p>
        </w:tc>
        <w:tc>
          <w:tcPr>
            <w:tcW w:w="3451" w:type="dxa"/>
            <w:vAlign w:val="center"/>
          </w:tcPr>
          <w:p w14:paraId="4E227A69">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13</w:t>
            </w:r>
          </w:p>
        </w:tc>
      </w:tr>
      <w:tr w14:paraId="58EA02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78" w:type="dxa"/>
            <w:gridSpan w:val="2"/>
            <w:tcMar>
              <w:top w:w="16" w:type="dxa"/>
              <w:left w:w="16" w:type="dxa"/>
              <w:right w:w="16" w:type="dxa"/>
            </w:tcMar>
            <w:vAlign w:val="center"/>
          </w:tcPr>
          <w:p w14:paraId="3E42638A">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环保投资占比（%）</w:t>
            </w:r>
          </w:p>
        </w:tc>
        <w:tc>
          <w:tcPr>
            <w:tcW w:w="2137" w:type="dxa"/>
            <w:vAlign w:val="center"/>
          </w:tcPr>
          <w:p w14:paraId="05BD137C">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w:t>
            </w:r>
          </w:p>
        </w:tc>
        <w:tc>
          <w:tcPr>
            <w:tcW w:w="1843" w:type="dxa"/>
            <w:tcMar>
              <w:top w:w="16" w:type="dxa"/>
              <w:left w:w="16" w:type="dxa"/>
              <w:right w:w="16" w:type="dxa"/>
            </w:tcMar>
            <w:vAlign w:val="center"/>
          </w:tcPr>
          <w:p w14:paraId="2012CA24">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施工工期</w:t>
            </w:r>
          </w:p>
        </w:tc>
        <w:tc>
          <w:tcPr>
            <w:tcW w:w="3451" w:type="dxa"/>
            <w:vAlign w:val="center"/>
          </w:tcPr>
          <w:p w14:paraId="62C2DA21">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jc w:val="center"/>
              <w:textAlignment w:val="auto"/>
              <w:rPr>
                <w:rFonts w:hint="default" w:ascii="Times New Roman" w:hAnsi="Times New Roman" w:cs="Times New Roman"/>
                <w:color w:val="auto"/>
                <w:sz w:val="24"/>
                <w:szCs w:val="24"/>
              </w:rPr>
            </w:pPr>
            <w:r>
              <w:rPr>
                <w:rFonts w:hint="eastAsia" w:cs="Times New Roman"/>
                <w:color w:val="auto"/>
                <w:sz w:val="24"/>
                <w:szCs w:val="24"/>
                <w:lang w:val="en-US" w:eastAsia="zh-CN"/>
              </w:rPr>
              <w:t>3</w:t>
            </w:r>
            <w:r>
              <w:rPr>
                <w:rFonts w:hint="default" w:ascii="Times New Roman" w:hAnsi="Times New Roman" w:cs="Times New Roman"/>
                <w:color w:val="auto"/>
                <w:sz w:val="24"/>
                <w:szCs w:val="24"/>
              </w:rPr>
              <w:t>个月</w:t>
            </w:r>
          </w:p>
        </w:tc>
      </w:tr>
      <w:tr w14:paraId="3D1A06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8" w:hRule="atLeast"/>
          <w:jc w:val="center"/>
        </w:trPr>
        <w:tc>
          <w:tcPr>
            <w:tcW w:w="1778" w:type="dxa"/>
            <w:gridSpan w:val="2"/>
            <w:tcMar>
              <w:top w:w="16" w:type="dxa"/>
              <w:left w:w="16" w:type="dxa"/>
              <w:right w:w="16" w:type="dxa"/>
            </w:tcMar>
            <w:vAlign w:val="center"/>
          </w:tcPr>
          <w:p w14:paraId="0A8E64A7">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是否开工建设</w:t>
            </w:r>
          </w:p>
        </w:tc>
        <w:tc>
          <w:tcPr>
            <w:tcW w:w="2137" w:type="dxa"/>
            <w:vAlign w:val="center"/>
          </w:tcPr>
          <w:p w14:paraId="32295537">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jc w:val="left"/>
              <w:textAlignment w:val="auto"/>
              <w:rPr>
                <w:rFonts w:hint="default" w:ascii="Times New Roman" w:hAnsi="Times New Roman" w:eastAsia="宋体" w:cs="Times New Roman"/>
                <w:color w:val="auto"/>
                <w:sz w:val="24"/>
              </w:rPr>
            </w:pPr>
            <w:r>
              <w:rPr>
                <w:rFonts w:hint="eastAsia" w:cs="Times New Roman"/>
                <w:color w:val="auto"/>
                <w:sz w:val="24"/>
                <w:lang w:eastAsia="zh-CN"/>
              </w:rPr>
              <w:t>☑</w:t>
            </w:r>
            <w:r>
              <w:rPr>
                <w:rFonts w:hint="default" w:ascii="Times New Roman" w:hAnsi="Times New Roman" w:eastAsia="宋体" w:cs="Times New Roman"/>
                <w:color w:val="auto"/>
                <w:sz w:val="24"/>
              </w:rPr>
              <w:t>否</w:t>
            </w:r>
          </w:p>
          <w:p w14:paraId="3B00256C">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jc w:val="left"/>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是：</w:t>
            </w:r>
            <w:r>
              <w:rPr>
                <w:rFonts w:hint="default" w:ascii="Times New Roman" w:hAnsi="Times New Roman" w:eastAsia="宋体" w:cs="Times New Roman"/>
                <w:color w:val="auto"/>
                <w:sz w:val="24"/>
                <w:u w:val="single"/>
              </w:rPr>
              <w:t xml:space="preserve">         </w:t>
            </w:r>
            <w:r>
              <w:rPr>
                <w:rFonts w:hint="eastAsia" w:ascii="Times New Roman" w:hAnsi="Times New Roman" w:eastAsia="宋体" w:cs="Times New Roman"/>
                <w:color w:val="auto"/>
                <w:sz w:val="24"/>
                <w:u w:val="single"/>
                <w:lang w:val="en-US" w:eastAsia="zh-CN"/>
              </w:rPr>
              <w:t xml:space="preserve">  </w:t>
            </w:r>
          </w:p>
        </w:tc>
        <w:tc>
          <w:tcPr>
            <w:tcW w:w="1843" w:type="dxa"/>
            <w:tcMar>
              <w:top w:w="16" w:type="dxa"/>
              <w:left w:w="16" w:type="dxa"/>
              <w:right w:w="16" w:type="dxa"/>
            </w:tcMar>
            <w:vAlign w:val="center"/>
          </w:tcPr>
          <w:p w14:paraId="32E0F882">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pacing w:val="-6"/>
                <w:sz w:val="24"/>
                <w:szCs w:val="24"/>
              </w:rPr>
              <w:t>用地面积（m</w:t>
            </w:r>
            <w:r>
              <w:rPr>
                <w:rFonts w:hint="default" w:ascii="Times New Roman" w:hAnsi="Times New Roman" w:cs="Times New Roman"/>
                <w:color w:val="auto"/>
                <w:spacing w:val="-6"/>
                <w:sz w:val="24"/>
                <w:szCs w:val="24"/>
                <w:vertAlign w:val="superscript"/>
              </w:rPr>
              <w:t>2</w:t>
            </w:r>
            <w:r>
              <w:rPr>
                <w:rFonts w:hint="default" w:ascii="Times New Roman" w:hAnsi="Times New Roman" w:cs="Times New Roman"/>
                <w:color w:val="auto"/>
                <w:spacing w:val="-6"/>
                <w:sz w:val="24"/>
                <w:szCs w:val="24"/>
              </w:rPr>
              <w:t>）</w:t>
            </w:r>
          </w:p>
        </w:tc>
        <w:tc>
          <w:tcPr>
            <w:tcW w:w="3451" w:type="dxa"/>
            <w:vAlign w:val="center"/>
          </w:tcPr>
          <w:p w14:paraId="48909D96">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jc w:val="center"/>
              <w:textAlignment w:val="auto"/>
              <w:rPr>
                <w:rFonts w:hint="eastAsia" w:cs="Times New Roman"/>
                <w:color w:val="auto"/>
                <w:sz w:val="24"/>
                <w:lang w:eastAsia="zh-CN"/>
              </w:rPr>
            </w:pPr>
            <w:r>
              <w:rPr>
                <w:rFonts w:hint="eastAsia" w:cs="Times New Roman"/>
                <w:color w:val="auto"/>
                <w:sz w:val="24"/>
                <w:lang w:eastAsia="zh-CN"/>
              </w:rPr>
              <w:t>不新增用地，依托现有厂区</w:t>
            </w:r>
          </w:p>
          <w:p w14:paraId="75D0AFEE">
            <w:pPr>
              <w:keepNext w:val="0"/>
              <w:keepLines w:val="0"/>
              <w:pageBreakBefore w:val="0"/>
              <w:widowControl w:val="0"/>
              <w:kinsoku/>
              <w:wordWrap/>
              <w:overflowPunct/>
              <w:topLinePunct w:val="0"/>
              <w:autoSpaceDE/>
              <w:autoSpaceDN/>
              <w:bidi w:val="0"/>
              <w:adjustRightInd w:val="0"/>
              <w:snapToGrid w:val="0"/>
              <w:spacing w:before="63" w:beforeLines="20" w:after="63" w:afterLines="20" w:line="240" w:lineRule="auto"/>
              <w:ind w:left="0" w:leftChars="0"/>
              <w:jc w:val="center"/>
              <w:textAlignment w:val="auto"/>
              <w:rPr>
                <w:rFonts w:hint="default" w:ascii="Times New Roman" w:hAnsi="Times New Roman" w:cs="Times New Roman"/>
                <w:color w:val="auto"/>
                <w:sz w:val="24"/>
                <w:szCs w:val="24"/>
              </w:rPr>
            </w:pPr>
            <w:r>
              <w:rPr>
                <w:rFonts w:hint="eastAsia" w:cs="Times New Roman"/>
                <w:color w:val="auto"/>
                <w:sz w:val="24"/>
                <w:lang w:val="en-US" w:eastAsia="zh-CN"/>
              </w:rPr>
              <w:t>100亩（约66666.67m</w:t>
            </w:r>
            <w:r>
              <w:rPr>
                <w:rFonts w:hint="eastAsia" w:cs="Times New Roman"/>
                <w:color w:val="auto"/>
                <w:sz w:val="24"/>
                <w:vertAlign w:val="superscript"/>
                <w:lang w:val="en-US" w:eastAsia="zh-CN"/>
              </w:rPr>
              <w:t>2</w:t>
            </w:r>
            <w:r>
              <w:rPr>
                <w:rFonts w:hint="eastAsia" w:cs="Times New Roman"/>
                <w:color w:val="auto"/>
                <w:sz w:val="24"/>
                <w:lang w:val="en-US" w:eastAsia="zh-CN"/>
              </w:rPr>
              <w:t>）</w:t>
            </w:r>
          </w:p>
        </w:tc>
      </w:tr>
      <w:tr w14:paraId="7A8AEA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8" w:type="dxa"/>
            <w:gridSpan w:val="2"/>
            <w:vAlign w:val="center"/>
          </w:tcPr>
          <w:p w14:paraId="25B2F787">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line="240" w:lineRule="auto"/>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专项评价设置情况</w:t>
            </w:r>
          </w:p>
        </w:tc>
        <w:tc>
          <w:tcPr>
            <w:tcW w:w="7431" w:type="dxa"/>
            <w:gridSpan w:val="3"/>
            <w:vAlign w:val="center"/>
          </w:tcPr>
          <w:p w14:paraId="15132365">
            <w:pPr>
              <w:pStyle w:val="42"/>
              <w:jc w:val="center"/>
              <w:rPr>
                <w:rFonts w:hint="eastAsia" w:ascii="Times New Roman" w:cs="Times New Roman"/>
                <w:b/>
                <w:bCs/>
                <w:color w:val="auto"/>
                <w:kern w:val="0"/>
                <w:sz w:val="21"/>
                <w:szCs w:val="21"/>
                <w:lang w:val="en-US" w:eastAsia="zh-CN"/>
              </w:rPr>
            </w:pPr>
            <w:r>
              <w:rPr>
                <w:rFonts w:hint="eastAsia" w:ascii="Times New Roman" w:cs="Times New Roman"/>
                <w:b/>
                <w:bCs/>
                <w:color w:val="auto"/>
                <w:kern w:val="0"/>
                <w:sz w:val="21"/>
                <w:szCs w:val="21"/>
                <w:lang w:eastAsia="zh-CN"/>
              </w:rPr>
              <w:t>表</w:t>
            </w:r>
            <w:r>
              <w:rPr>
                <w:rFonts w:hint="eastAsia" w:ascii="Times New Roman" w:cs="Times New Roman"/>
                <w:b/>
                <w:bCs/>
                <w:color w:val="auto"/>
                <w:kern w:val="0"/>
                <w:sz w:val="21"/>
                <w:szCs w:val="21"/>
                <w:lang w:val="en-US" w:eastAsia="zh-CN"/>
              </w:rPr>
              <w:t>1-1 专项评价设置情况</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2725"/>
              <w:gridCol w:w="2741"/>
              <w:gridCol w:w="885"/>
            </w:tblGrid>
            <w:tr w14:paraId="06CFD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591" w:type="pct"/>
                  <w:tcBorders>
                    <w:tl2br w:val="nil"/>
                    <w:tr2bl w:val="nil"/>
                  </w:tcBorders>
                  <w:vAlign w:val="center"/>
                </w:tcPr>
                <w:p w14:paraId="4A6C44D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专项评价类别</w:t>
                  </w:r>
                </w:p>
              </w:tc>
              <w:tc>
                <w:tcPr>
                  <w:tcW w:w="1892" w:type="pct"/>
                  <w:tcBorders>
                    <w:tl2br w:val="nil"/>
                    <w:tr2bl w:val="nil"/>
                  </w:tcBorders>
                  <w:vAlign w:val="center"/>
                </w:tcPr>
                <w:p w14:paraId="453AFC4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设置原则</w:t>
                  </w:r>
                </w:p>
              </w:tc>
              <w:tc>
                <w:tcPr>
                  <w:tcW w:w="1903" w:type="pct"/>
                  <w:tcBorders>
                    <w:tl2br w:val="nil"/>
                    <w:tr2bl w:val="nil"/>
                  </w:tcBorders>
                  <w:vAlign w:val="center"/>
                </w:tcPr>
                <w:p w14:paraId="6E9BD43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本项目情况</w:t>
                  </w:r>
                </w:p>
              </w:tc>
              <w:tc>
                <w:tcPr>
                  <w:tcW w:w="612" w:type="pct"/>
                  <w:tcBorders>
                    <w:tl2br w:val="nil"/>
                    <w:tr2bl w:val="nil"/>
                  </w:tcBorders>
                  <w:vAlign w:val="center"/>
                </w:tcPr>
                <w:p w14:paraId="2D2B164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是否需要设置</w:t>
                  </w:r>
                </w:p>
              </w:tc>
            </w:tr>
            <w:tr w14:paraId="49C86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1" w:type="pct"/>
                  <w:tcBorders>
                    <w:tl2br w:val="nil"/>
                    <w:tr2bl w:val="nil"/>
                  </w:tcBorders>
                  <w:vAlign w:val="center"/>
                </w:tcPr>
                <w:p w14:paraId="3E6DC30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FF"/>
                      <w:kern w:val="0"/>
                      <w:sz w:val="21"/>
                      <w:szCs w:val="21"/>
                      <w:vertAlign w:val="baseline"/>
                      <w:lang w:val="en-US" w:eastAsia="zh-CN"/>
                    </w:rPr>
                  </w:pPr>
                  <w:r>
                    <w:rPr>
                      <w:rFonts w:hint="eastAsia" w:ascii="Times New Roman" w:hAnsi="Times New Roman" w:eastAsia="宋体" w:cs="Times New Roman"/>
                      <w:color w:val="0000FF"/>
                      <w:kern w:val="0"/>
                      <w:sz w:val="21"/>
                      <w:szCs w:val="21"/>
                      <w:vertAlign w:val="baseline"/>
                      <w:lang w:val="en-US" w:eastAsia="zh-CN"/>
                    </w:rPr>
                    <w:t>大气</w:t>
                  </w:r>
                </w:p>
              </w:tc>
              <w:tc>
                <w:tcPr>
                  <w:tcW w:w="1892" w:type="pct"/>
                  <w:tcBorders>
                    <w:tl2br w:val="nil"/>
                    <w:tr2bl w:val="nil"/>
                  </w:tcBorders>
                  <w:vAlign w:val="center"/>
                </w:tcPr>
                <w:p w14:paraId="0D394A4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FF"/>
                      <w:kern w:val="0"/>
                      <w:sz w:val="21"/>
                      <w:szCs w:val="21"/>
                      <w:vertAlign w:val="baseline"/>
                      <w:lang w:val="en-US" w:eastAsia="zh-CN"/>
                    </w:rPr>
                  </w:pPr>
                  <w:r>
                    <w:rPr>
                      <w:rFonts w:hint="default" w:ascii="Times New Roman" w:hAnsi="Times New Roman" w:eastAsia="宋体" w:cs="Times New Roman"/>
                      <w:color w:val="0000FF"/>
                      <w:kern w:val="0"/>
                      <w:sz w:val="21"/>
                      <w:szCs w:val="21"/>
                      <w:vertAlign w:val="baseline"/>
                      <w:lang w:val="en-US" w:eastAsia="zh-CN"/>
                    </w:rPr>
                    <w:t>排放废气含有毒有害污染物</w:t>
                  </w:r>
                  <w:r>
                    <w:rPr>
                      <w:rFonts w:hint="eastAsia" w:ascii="Times New Roman" w:hAnsi="Times New Roman" w:eastAsia="宋体" w:cs="Times New Roman"/>
                      <w:color w:val="0000FF"/>
                      <w:kern w:val="0"/>
                      <w:sz w:val="21"/>
                      <w:szCs w:val="21"/>
                      <w:vertAlign w:val="superscript"/>
                      <w:lang w:val="en-US" w:eastAsia="zh-CN"/>
                    </w:rPr>
                    <w:t>1</w:t>
                  </w:r>
                  <w:r>
                    <w:rPr>
                      <w:rFonts w:hint="default" w:ascii="Times New Roman" w:hAnsi="Times New Roman" w:eastAsia="宋体" w:cs="Times New Roman"/>
                      <w:color w:val="0000FF"/>
                      <w:kern w:val="0"/>
                      <w:sz w:val="21"/>
                      <w:szCs w:val="21"/>
                      <w:vertAlign w:val="baseline"/>
                      <w:lang w:val="en-US" w:eastAsia="zh-CN"/>
                    </w:rPr>
                    <w:t>、二噁英、苯并[a]芘、氰化物、氯气且厂界外</w:t>
                  </w:r>
                  <w:r>
                    <w:rPr>
                      <w:rFonts w:hint="eastAsia" w:ascii="Times New Roman" w:hAnsi="Times New Roman" w:eastAsia="宋体" w:cs="Times New Roman"/>
                      <w:color w:val="0000FF"/>
                      <w:kern w:val="0"/>
                      <w:sz w:val="21"/>
                      <w:szCs w:val="21"/>
                      <w:vertAlign w:val="baseline"/>
                      <w:lang w:val="en-US" w:eastAsia="zh-CN"/>
                    </w:rPr>
                    <w:t>5</w:t>
                  </w:r>
                  <w:r>
                    <w:rPr>
                      <w:rFonts w:hint="default" w:ascii="Times New Roman" w:hAnsi="Times New Roman" w:eastAsia="宋体" w:cs="Times New Roman"/>
                      <w:color w:val="0000FF"/>
                      <w:kern w:val="0"/>
                      <w:sz w:val="21"/>
                      <w:szCs w:val="21"/>
                      <w:vertAlign w:val="baseline"/>
                      <w:lang w:val="en-US" w:eastAsia="zh-CN"/>
                    </w:rPr>
                    <w:t>00米范围内有环境空气保护目标</w:t>
                  </w:r>
                  <w:r>
                    <w:rPr>
                      <w:rFonts w:hint="eastAsia" w:ascii="Times New Roman" w:hAnsi="Times New Roman" w:eastAsia="宋体" w:cs="Times New Roman"/>
                      <w:color w:val="0000FF"/>
                      <w:kern w:val="0"/>
                      <w:sz w:val="21"/>
                      <w:szCs w:val="21"/>
                      <w:vertAlign w:val="superscript"/>
                      <w:lang w:val="en-US" w:eastAsia="zh-CN"/>
                    </w:rPr>
                    <w:t>2</w:t>
                  </w:r>
                  <w:r>
                    <w:rPr>
                      <w:rFonts w:hint="default" w:ascii="Times New Roman" w:hAnsi="Times New Roman" w:eastAsia="宋体" w:cs="Times New Roman"/>
                      <w:color w:val="0000FF"/>
                      <w:kern w:val="0"/>
                      <w:sz w:val="21"/>
                      <w:szCs w:val="21"/>
                      <w:vertAlign w:val="baseline"/>
                      <w:lang w:val="en-US" w:eastAsia="zh-CN"/>
                    </w:rPr>
                    <w:t>的建设项目</w:t>
                  </w:r>
                </w:p>
              </w:tc>
              <w:tc>
                <w:tcPr>
                  <w:tcW w:w="1903" w:type="pct"/>
                  <w:tcBorders>
                    <w:tl2br w:val="nil"/>
                    <w:tr2bl w:val="nil"/>
                  </w:tcBorders>
                  <w:vAlign w:val="center"/>
                </w:tcPr>
                <w:p w14:paraId="619CEA9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FF"/>
                      <w:kern w:val="0"/>
                      <w:sz w:val="21"/>
                      <w:szCs w:val="21"/>
                      <w:vertAlign w:val="baseline"/>
                      <w:lang w:val="en-US" w:eastAsia="zh-CN"/>
                    </w:rPr>
                  </w:pPr>
                  <w:r>
                    <w:rPr>
                      <w:rFonts w:hint="eastAsia" w:ascii="Times New Roman" w:hAnsi="Times New Roman" w:eastAsia="宋体" w:cs="Times New Roman"/>
                      <w:color w:val="0000FF"/>
                      <w:kern w:val="0"/>
                      <w:sz w:val="21"/>
                      <w:szCs w:val="21"/>
                      <w:vertAlign w:val="baseline"/>
                      <w:lang w:eastAsia="zh-CN"/>
                    </w:rPr>
                    <w:t>本项目运营期主要废气污染物中涉及二噁英</w:t>
                  </w:r>
                  <w:r>
                    <w:rPr>
                      <w:rFonts w:hint="eastAsia" w:cs="Times New Roman"/>
                      <w:color w:val="0000FF"/>
                      <w:kern w:val="0"/>
                      <w:sz w:val="21"/>
                      <w:szCs w:val="21"/>
                      <w:vertAlign w:val="baseline"/>
                      <w:lang w:eastAsia="zh-CN"/>
                    </w:rPr>
                    <w:t>、重金属</w:t>
                  </w:r>
                  <w:r>
                    <w:rPr>
                      <w:rFonts w:hint="eastAsia" w:ascii="Times New Roman" w:hAnsi="Times New Roman" w:eastAsia="宋体" w:cs="Times New Roman"/>
                      <w:color w:val="0000FF"/>
                      <w:kern w:val="0"/>
                      <w:sz w:val="21"/>
                      <w:szCs w:val="21"/>
                      <w:vertAlign w:val="baseline"/>
                      <w:lang w:eastAsia="zh-CN"/>
                    </w:rPr>
                    <w:t>，</w:t>
                  </w:r>
                  <w:r>
                    <w:rPr>
                      <w:rFonts w:hint="eastAsia" w:ascii="Times New Roman" w:hAnsi="Times New Roman" w:eastAsia="宋体" w:cs="Times New Roman"/>
                      <w:color w:val="auto"/>
                      <w:kern w:val="0"/>
                      <w:sz w:val="21"/>
                      <w:szCs w:val="21"/>
                      <w:vertAlign w:val="baseline"/>
                      <w:lang w:val="en-US" w:eastAsia="zh-CN"/>
                    </w:rPr>
                    <w:t>且厂界外500米范围内有环境空气保护目标</w:t>
                  </w:r>
                </w:p>
              </w:tc>
              <w:tc>
                <w:tcPr>
                  <w:tcW w:w="612" w:type="pct"/>
                  <w:tcBorders>
                    <w:tl2br w:val="nil"/>
                    <w:tr2bl w:val="nil"/>
                  </w:tcBorders>
                  <w:vAlign w:val="center"/>
                </w:tcPr>
                <w:p w14:paraId="0C4F6F0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0000FF"/>
                      <w:kern w:val="0"/>
                      <w:sz w:val="21"/>
                      <w:szCs w:val="21"/>
                      <w:vertAlign w:val="baseline"/>
                      <w:lang w:eastAsia="zh-CN"/>
                    </w:rPr>
                  </w:pPr>
                  <w:r>
                    <w:rPr>
                      <w:rFonts w:hint="eastAsia" w:cs="Times New Roman"/>
                      <w:color w:val="0000FF"/>
                      <w:kern w:val="0"/>
                      <w:sz w:val="21"/>
                      <w:szCs w:val="21"/>
                      <w:vertAlign w:val="baseline"/>
                      <w:lang w:eastAsia="zh-CN"/>
                    </w:rPr>
                    <w:t>是</w:t>
                  </w:r>
                </w:p>
              </w:tc>
            </w:tr>
            <w:tr w14:paraId="1250A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1" w:type="pct"/>
                  <w:tcBorders>
                    <w:tl2br w:val="nil"/>
                    <w:tr2bl w:val="nil"/>
                  </w:tcBorders>
                  <w:vAlign w:val="center"/>
                </w:tcPr>
                <w:p w14:paraId="0E86BAE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地表水</w:t>
                  </w:r>
                </w:p>
              </w:tc>
              <w:tc>
                <w:tcPr>
                  <w:tcW w:w="1892" w:type="pct"/>
                  <w:tcBorders>
                    <w:tl2br w:val="nil"/>
                    <w:tr2bl w:val="nil"/>
                  </w:tcBorders>
                  <w:vAlign w:val="center"/>
                </w:tcPr>
                <w:p w14:paraId="6786DED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新增工业废水直排建设项目（槽罐车外送污水处理厂的除外）；新增废水直排的污水集中处理厂</w:t>
                  </w:r>
                </w:p>
              </w:tc>
              <w:tc>
                <w:tcPr>
                  <w:tcW w:w="1903" w:type="pct"/>
                  <w:tcBorders>
                    <w:tl2br w:val="nil"/>
                    <w:tr2bl w:val="nil"/>
                  </w:tcBorders>
                  <w:vAlign w:val="center"/>
                </w:tcPr>
                <w:p w14:paraId="7C87489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eastAsia="zh-CN"/>
                    </w:rPr>
                    <w:t>本</w:t>
                  </w:r>
                  <w:r>
                    <w:rPr>
                      <w:rFonts w:hint="default" w:ascii="Times New Roman" w:hAnsi="Times New Roman" w:eastAsia="宋体" w:cs="Times New Roman"/>
                      <w:color w:val="auto"/>
                      <w:kern w:val="0"/>
                      <w:sz w:val="21"/>
                      <w:szCs w:val="21"/>
                      <w:vertAlign w:val="baseline"/>
                      <w:lang w:eastAsia="zh-CN"/>
                    </w:rPr>
                    <w:t>项目</w:t>
                  </w:r>
                  <w:r>
                    <w:rPr>
                      <w:rFonts w:hint="eastAsia" w:ascii="Times New Roman" w:hAnsi="Times New Roman" w:eastAsia="宋体" w:cs="Times New Roman"/>
                      <w:color w:val="auto"/>
                      <w:kern w:val="0"/>
                      <w:sz w:val="21"/>
                      <w:szCs w:val="21"/>
                      <w:vertAlign w:val="baseline"/>
                      <w:lang w:eastAsia="zh-CN"/>
                    </w:rPr>
                    <w:t>不新增废水</w:t>
                  </w:r>
                </w:p>
              </w:tc>
              <w:tc>
                <w:tcPr>
                  <w:tcW w:w="612" w:type="pct"/>
                  <w:tcBorders>
                    <w:tl2br w:val="nil"/>
                    <w:tr2bl w:val="nil"/>
                  </w:tcBorders>
                  <w:vAlign w:val="center"/>
                </w:tcPr>
                <w:p w14:paraId="095E46C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vertAlign w:val="baseline"/>
                      <w:lang w:eastAsia="zh-CN"/>
                    </w:rPr>
                  </w:pPr>
                  <w:r>
                    <w:rPr>
                      <w:rFonts w:hint="eastAsia" w:ascii="Times New Roman" w:hAnsi="Times New Roman" w:eastAsia="宋体" w:cs="Times New Roman"/>
                      <w:color w:val="auto"/>
                      <w:kern w:val="0"/>
                      <w:sz w:val="21"/>
                      <w:szCs w:val="21"/>
                      <w:vertAlign w:val="baseline"/>
                      <w:lang w:eastAsia="zh-CN"/>
                    </w:rPr>
                    <w:t>否</w:t>
                  </w:r>
                </w:p>
              </w:tc>
            </w:tr>
            <w:tr w14:paraId="458A1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1" w:type="pct"/>
                  <w:tcBorders>
                    <w:tl2br w:val="nil"/>
                    <w:tr2bl w:val="nil"/>
                  </w:tcBorders>
                  <w:vAlign w:val="center"/>
                </w:tcPr>
                <w:p w14:paraId="02A9EB7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环境风险</w:t>
                  </w:r>
                </w:p>
              </w:tc>
              <w:tc>
                <w:tcPr>
                  <w:tcW w:w="1892" w:type="pct"/>
                  <w:tcBorders>
                    <w:tl2br w:val="nil"/>
                    <w:tr2bl w:val="nil"/>
                  </w:tcBorders>
                  <w:vAlign w:val="center"/>
                </w:tcPr>
                <w:p w14:paraId="58F3CFF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有毒有害和易燃易爆危险物质存储量超过临界量</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vertAlign w:val="baseline"/>
                      <w:lang w:val="en-US" w:eastAsia="zh-CN"/>
                    </w:rPr>
                    <w:t>的建设项目</w:t>
                  </w:r>
                </w:p>
              </w:tc>
              <w:tc>
                <w:tcPr>
                  <w:tcW w:w="1903" w:type="pct"/>
                  <w:tcBorders>
                    <w:tl2br w:val="nil"/>
                    <w:tr2bl w:val="nil"/>
                  </w:tcBorders>
                  <w:vAlign w:val="center"/>
                </w:tcPr>
                <w:p w14:paraId="5C9D1C0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本项目运营期</w:t>
                  </w:r>
                  <w:r>
                    <w:rPr>
                      <w:rFonts w:hint="default" w:ascii="Times New Roman" w:hAnsi="Times New Roman" w:eastAsia="宋体" w:cs="Times New Roman"/>
                      <w:color w:val="auto"/>
                      <w:kern w:val="0"/>
                      <w:sz w:val="21"/>
                      <w:szCs w:val="21"/>
                      <w:vertAlign w:val="baseline"/>
                      <w:lang w:val="en-US" w:eastAsia="zh-CN"/>
                    </w:rPr>
                    <w:t>有毒有害和易燃易爆危险物质存储量</w:t>
                  </w:r>
                  <w:r>
                    <w:rPr>
                      <w:rFonts w:hint="eastAsia" w:ascii="Times New Roman" w:hAnsi="Times New Roman" w:eastAsia="宋体" w:cs="Times New Roman"/>
                      <w:color w:val="auto"/>
                      <w:kern w:val="0"/>
                      <w:sz w:val="21"/>
                      <w:szCs w:val="21"/>
                      <w:vertAlign w:val="baseline"/>
                      <w:lang w:val="en-US" w:eastAsia="zh-CN"/>
                    </w:rPr>
                    <w:t>未</w:t>
                  </w:r>
                  <w:r>
                    <w:rPr>
                      <w:rFonts w:hint="default" w:ascii="Times New Roman" w:hAnsi="Times New Roman" w:eastAsia="宋体" w:cs="Times New Roman"/>
                      <w:color w:val="auto"/>
                      <w:kern w:val="0"/>
                      <w:sz w:val="21"/>
                      <w:szCs w:val="21"/>
                      <w:vertAlign w:val="baseline"/>
                      <w:lang w:val="en-US" w:eastAsia="zh-CN"/>
                    </w:rPr>
                    <w:t>超过临界量</w:t>
                  </w:r>
                </w:p>
              </w:tc>
              <w:tc>
                <w:tcPr>
                  <w:tcW w:w="612" w:type="pct"/>
                  <w:tcBorders>
                    <w:tl2br w:val="nil"/>
                    <w:tr2bl w:val="nil"/>
                  </w:tcBorders>
                  <w:vAlign w:val="center"/>
                </w:tcPr>
                <w:p w14:paraId="0BD0466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否</w:t>
                  </w:r>
                </w:p>
              </w:tc>
            </w:tr>
            <w:tr w14:paraId="4CA79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1" w:type="pct"/>
                  <w:tcBorders>
                    <w:tl2br w:val="nil"/>
                    <w:tr2bl w:val="nil"/>
                  </w:tcBorders>
                  <w:vAlign w:val="center"/>
                </w:tcPr>
                <w:p w14:paraId="0CC93DD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生态</w:t>
                  </w:r>
                </w:p>
              </w:tc>
              <w:tc>
                <w:tcPr>
                  <w:tcW w:w="1892" w:type="pct"/>
                  <w:tcBorders>
                    <w:tl2br w:val="nil"/>
                    <w:tr2bl w:val="nil"/>
                  </w:tcBorders>
                  <w:vAlign w:val="center"/>
                </w:tcPr>
                <w:p w14:paraId="4A6E7B0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取水口下游500米范围内有重要水生生物的自然产卵场、索饵场、越冬场和洄游通道的新增河道取水的污染类建设项目</w:t>
                  </w:r>
                </w:p>
              </w:tc>
              <w:tc>
                <w:tcPr>
                  <w:tcW w:w="1903" w:type="pct"/>
                  <w:tcBorders>
                    <w:tl2br w:val="nil"/>
                    <w:tr2bl w:val="nil"/>
                  </w:tcBorders>
                  <w:vAlign w:val="center"/>
                </w:tcPr>
                <w:p w14:paraId="726BFF9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eastAsia="zh-CN"/>
                    </w:rPr>
                    <w:t>不涉及</w:t>
                  </w:r>
                </w:p>
              </w:tc>
              <w:tc>
                <w:tcPr>
                  <w:tcW w:w="612" w:type="pct"/>
                  <w:tcBorders>
                    <w:tl2br w:val="nil"/>
                    <w:tr2bl w:val="nil"/>
                  </w:tcBorders>
                  <w:vAlign w:val="center"/>
                </w:tcPr>
                <w:p w14:paraId="46A8A4A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vertAlign w:val="baseline"/>
                      <w:lang w:eastAsia="zh-CN"/>
                    </w:rPr>
                  </w:pPr>
                  <w:r>
                    <w:rPr>
                      <w:rFonts w:hint="eastAsia" w:ascii="Times New Roman" w:hAnsi="Times New Roman" w:eastAsia="宋体" w:cs="Times New Roman"/>
                      <w:color w:val="auto"/>
                      <w:kern w:val="0"/>
                      <w:sz w:val="21"/>
                      <w:szCs w:val="21"/>
                      <w:vertAlign w:val="baseline"/>
                      <w:lang w:eastAsia="zh-CN"/>
                    </w:rPr>
                    <w:t>否</w:t>
                  </w:r>
                </w:p>
              </w:tc>
            </w:tr>
            <w:tr w14:paraId="07F2B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1" w:type="pct"/>
                  <w:tcBorders>
                    <w:tl2br w:val="nil"/>
                    <w:tr2bl w:val="nil"/>
                  </w:tcBorders>
                  <w:vAlign w:val="center"/>
                </w:tcPr>
                <w:p w14:paraId="392C5E0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海洋</w:t>
                  </w:r>
                </w:p>
              </w:tc>
              <w:tc>
                <w:tcPr>
                  <w:tcW w:w="1892" w:type="pct"/>
                  <w:tcBorders>
                    <w:tl2br w:val="nil"/>
                    <w:tr2bl w:val="nil"/>
                  </w:tcBorders>
                  <w:vAlign w:val="center"/>
                </w:tcPr>
                <w:p w14:paraId="74B3C86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直接向海排放污染物的海洋工程建设项目</w:t>
                  </w:r>
                </w:p>
              </w:tc>
              <w:tc>
                <w:tcPr>
                  <w:tcW w:w="1903" w:type="pct"/>
                  <w:tcBorders>
                    <w:tl2br w:val="nil"/>
                    <w:tr2bl w:val="nil"/>
                  </w:tcBorders>
                  <w:vAlign w:val="center"/>
                </w:tcPr>
                <w:p w14:paraId="641D85B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eastAsia="zh-CN"/>
                    </w:rPr>
                    <w:t>不涉及</w:t>
                  </w:r>
                </w:p>
              </w:tc>
              <w:tc>
                <w:tcPr>
                  <w:tcW w:w="612" w:type="pct"/>
                  <w:tcBorders>
                    <w:tl2br w:val="nil"/>
                    <w:tr2bl w:val="nil"/>
                  </w:tcBorders>
                  <w:vAlign w:val="center"/>
                </w:tcPr>
                <w:p w14:paraId="2320CC1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vertAlign w:val="baseline"/>
                      <w:lang w:eastAsia="zh-CN"/>
                    </w:rPr>
                  </w:pPr>
                  <w:r>
                    <w:rPr>
                      <w:rFonts w:hint="eastAsia" w:ascii="Times New Roman" w:hAnsi="Times New Roman" w:eastAsia="宋体" w:cs="Times New Roman"/>
                      <w:color w:val="auto"/>
                      <w:kern w:val="0"/>
                      <w:sz w:val="21"/>
                      <w:szCs w:val="21"/>
                      <w:vertAlign w:val="baseline"/>
                      <w:lang w:eastAsia="zh-CN"/>
                    </w:rPr>
                    <w:t>否</w:t>
                  </w:r>
                </w:p>
              </w:tc>
            </w:tr>
            <w:tr w14:paraId="13100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tcBorders>
                    <w:tl2br w:val="nil"/>
                    <w:tr2bl w:val="nil"/>
                  </w:tcBorders>
                  <w:vAlign w:val="center"/>
                </w:tcPr>
                <w:p w14:paraId="2C8DA510">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both"/>
                    <w:textAlignment w:val="auto"/>
                    <w:rPr>
                      <w:rFonts w:hint="eastAsia"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注：1</w:t>
                  </w:r>
                  <w:r>
                    <w:rPr>
                      <w:rFonts w:hint="eastAsia" w:cs="Times New Roman"/>
                      <w:color w:val="auto"/>
                      <w:kern w:val="0"/>
                      <w:sz w:val="21"/>
                      <w:szCs w:val="21"/>
                      <w:vertAlign w:val="baseline"/>
                      <w:lang w:val="en-US" w:eastAsia="zh-CN"/>
                    </w:rPr>
                    <w:t>.</w:t>
                  </w:r>
                  <w:r>
                    <w:rPr>
                      <w:rFonts w:hint="eastAsia" w:ascii="Times New Roman" w:hAnsi="Times New Roman" w:eastAsia="宋体" w:cs="Times New Roman"/>
                      <w:color w:val="auto"/>
                      <w:kern w:val="0"/>
                      <w:sz w:val="21"/>
                      <w:szCs w:val="21"/>
                      <w:vertAlign w:val="baseline"/>
                      <w:lang w:val="en-US" w:eastAsia="zh-CN"/>
                    </w:rPr>
                    <w:t>废气中有毒有害污染物指纳入《有毒有害大气污染物名录》的污染物（不包括无排放标准的污染物）。</w:t>
                  </w:r>
                </w:p>
                <w:p w14:paraId="2AD6FD0B">
                  <w:pPr>
                    <w:keepNext w:val="0"/>
                    <w:keepLines w:val="0"/>
                    <w:pageBreakBefore w:val="0"/>
                    <w:widowControl w:val="0"/>
                    <w:kinsoku/>
                    <w:wordWrap/>
                    <w:overflowPunct/>
                    <w:topLinePunct w:val="0"/>
                    <w:autoSpaceDE w:val="0"/>
                    <w:autoSpaceDN w:val="0"/>
                    <w:bidi w:val="0"/>
                    <w:adjustRightInd w:val="0"/>
                    <w:snapToGrid w:val="0"/>
                    <w:spacing w:line="240" w:lineRule="auto"/>
                    <w:ind w:firstLine="315" w:firstLineChars="150"/>
                    <w:jc w:val="both"/>
                    <w:textAlignment w:val="auto"/>
                    <w:rPr>
                      <w:rFonts w:hint="eastAsia"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2.环境空气保护目标指自然保护区、风景名胜区、居住区、文化区和农村地区中人群较集中的区域。</w:t>
                  </w:r>
                </w:p>
                <w:p w14:paraId="35F833AC">
                  <w:pPr>
                    <w:keepNext w:val="0"/>
                    <w:keepLines w:val="0"/>
                    <w:pageBreakBefore w:val="0"/>
                    <w:widowControl w:val="0"/>
                    <w:kinsoku/>
                    <w:wordWrap/>
                    <w:overflowPunct/>
                    <w:topLinePunct w:val="0"/>
                    <w:autoSpaceDE w:val="0"/>
                    <w:autoSpaceDN w:val="0"/>
                    <w:bidi w:val="0"/>
                    <w:adjustRightInd w:val="0"/>
                    <w:snapToGrid w:val="0"/>
                    <w:spacing w:line="240" w:lineRule="auto"/>
                    <w:ind w:firstLine="315" w:firstLineChars="150"/>
                    <w:jc w:val="both"/>
                    <w:textAlignment w:val="auto"/>
                    <w:rPr>
                      <w:rFonts w:hint="eastAsia"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3.临界量及其计算方法可参考《建设项目环境风险评价技术导则》（HJ 169-2018）附录B、附录C。</w:t>
                  </w:r>
                </w:p>
              </w:tc>
            </w:tr>
          </w:tbl>
          <w:p w14:paraId="145F0CD8">
            <w:pPr>
              <w:pStyle w:val="42"/>
              <w:jc w:val="center"/>
              <w:rPr>
                <w:rFonts w:hint="default" w:ascii="Times New Roman" w:cs="Times New Roman"/>
                <w:b/>
                <w:bCs/>
                <w:color w:val="auto"/>
                <w:kern w:val="0"/>
                <w:sz w:val="21"/>
                <w:szCs w:val="21"/>
                <w:lang w:val="en-US" w:eastAsia="zh-CN"/>
              </w:rPr>
            </w:pPr>
          </w:p>
        </w:tc>
      </w:tr>
      <w:tr w14:paraId="4FDAC8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8" w:type="dxa"/>
            <w:gridSpan w:val="2"/>
            <w:vAlign w:val="center"/>
          </w:tcPr>
          <w:p w14:paraId="5DB6C278">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line="240" w:lineRule="auto"/>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规划情况</w:t>
            </w:r>
          </w:p>
        </w:tc>
        <w:tc>
          <w:tcPr>
            <w:tcW w:w="7431" w:type="dxa"/>
            <w:gridSpan w:val="3"/>
            <w:vAlign w:val="center"/>
          </w:tcPr>
          <w:p w14:paraId="33B41BBE">
            <w:pPr>
              <w:pStyle w:val="42"/>
              <w:jc w:val="center"/>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表1-2 规划情况</w:t>
            </w:r>
          </w:p>
          <w:tbl>
            <w:tblPr>
              <w:tblStyle w:val="2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2219"/>
              <w:gridCol w:w="1861"/>
              <w:gridCol w:w="2458"/>
            </w:tblGrid>
            <w:tr w14:paraId="221AE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2" w:type="pct"/>
                  <w:tcBorders>
                    <w:tl2br w:val="nil"/>
                    <w:tr2bl w:val="nil"/>
                  </w:tcBorders>
                  <w:vAlign w:val="center"/>
                </w:tcPr>
                <w:p w14:paraId="4F45100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序号</w:t>
                  </w:r>
                </w:p>
              </w:tc>
              <w:tc>
                <w:tcPr>
                  <w:tcW w:w="1539" w:type="pct"/>
                  <w:tcBorders>
                    <w:tl2br w:val="nil"/>
                    <w:tr2bl w:val="nil"/>
                  </w:tcBorders>
                  <w:vAlign w:val="center"/>
                </w:tcPr>
                <w:p w14:paraId="35E9FF2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规划名称</w:t>
                  </w:r>
                </w:p>
              </w:tc>
              <w:tc>
                <w:tcPr>
                  <w:tcW w:w="1291" w:type="pct"/>
                  <w:tcBorders>
                    <w:tl2br w:val="nil"/>
                    <w:tr2bl w:val="nil"/>
                  </w:tcBorders>
                  <w:vAlign w:val="center"/>
                </w:tcPr>
                <w:p w14:paraId="78F2D2A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审批机关</w:t>
                  </w:r>
                </w:p>
              </w:tc>
              <w:tc>
                <w:tcPr>
                  <w:tcW w:w="1705" w:type="pct"/>
                  <w:tcBorders>
                    <w:tl2br w:val="nil"/>
                    <w:tr2bl w:val="nil"/>
                  </w:tcBorders>
                  <w:vAlign w:val="center"/>
                </w:tcPr>
                <w:p w14:paraId="6A01891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审批文件名称及文号</w:t>
                  </w:r>
                </w:p>
              </w:tc>
            </w:tr>
            <w:tr w14:paraId="2EAD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2" w:type="pct"/>
                  <w:tcBorders>
                    <w:tl2br w:val="nil"/>
                    <w:tr2bl w:val="nil"/>
                  </w:tcBorders>
                  <w:vAlign w:val="center"/>
                </w:tcPr>
                <w:p w14:paraId="4E242ED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1</w:t>
                  </w:r>
                </w:p>
              </w:tc>
              <w:tc>
                <w:tcPr>
                  <w:tcW w:w="1539" w:type="pct"/>
                  <w:tcBorders>
                    <w:tl2br w:val="nil"/>
                    <w:tr2bl w:val="nil"/>
                  </w:tcBorders>
                  <w:vAlign w:val="center"/>
                </w:tcPr>
                <w:p w14:paraId="749BECA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《安徽淮北杜集经济开发区总体发展规划（2023-2035年）》</w:t>
                  </w:r>
                </w:p>
              </w:tc>
              <w:tc>
                <w:tcPr>
                  <w:tcW w:w="1291" w:type="pct"/>
                  <w:tcBorders>
                    <w:tl2br w:val="nil"/>
                    <w:tr2bl w:val="nil"/>
                  </w:tcBorders>
                  <w:vAlign w:val="center"/>
                </w:tcPr>
                <w:p w14:paraId="72AF0C1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安徽省人民政府</w:t>
                  </w:r>
                </w:p>
              </w:tc>
              <w:tc>
                <w:tcPr>
                  <w:tcW w:w="1705" w:type="pct"/>
                  <w:tcBorders>
                    <w:tl2br w:val="nil"/>
                    <w:tr2bl w:val="nil"/>
                  </w:tcBorders>
                  <w:vAlign w:val="center"/>
                </w:tcPr>
                <w:p w14:paraId="3B2F2E9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《安徽省人民政府关于同意筹建安徽淮北杜集经济开发区的批复》（皖政秘﹝2006﹞164号）</w:t>
                  </w:r>
                </w:p>
              </w:tc>
            </w:tr>
          </w:tbl>
          <w:p w14:paraId="342BC23D">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line="240" w:lineRule="auto"/>
              <w:jc w:val="center"/>
              <w:textAlignment w:val="auto"/>
              <w:rPr>
                <w:rFonts w:hint="default" w:cs="Times New Roman"/>
                <w:color w:val="auto"/>
                <w:kern w:val="0"/>
                <w:sz w:val="24"/>
                <w:szCs w:val="24"/>
                <w:lang w:val="en-US" w:eastAsia="zh-CN"/>
              </w:rPr>
            </w:pPr>
          </w:p>
        </w:tc>
      </w:tr>
      <w:tr w14:paraId="203724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8" w:type="dxa"/>
            <w:gridSpan w:val="2"/>
            <w:vAlign w:val="center"/>
          </w:tcPr>
          <w:p w14:paraId="6C85AAE7">
            <w:pPr>
              <w:keepNext w:val="0"/>
              <w:keepLines w:val="0"/>
              <w:pageBreakBefore w:val="0"/>
              <w:widowControl w:val="0"/>
              <w:kinsoku/>
              <w:wordWrap/>
              <w:overflowPunct/>
              <w:topLinePunct w:val="0"/>
              <w:bidi w:val="0"/>
              <w:adjustRightInd w:val="0"/>
              <w:snapToGrid w:val="0"/>
              <w:spacing w:before="157" w:beforeLines="50" w:after="157" w:afterLines="50" w:line="240" w:lineRule="auto"/>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规划环境影响评价情况</w:t>
            </w:r>
          </w:p>
        </w:tc>
        <w:tc>
          <w:tcPr>
            <w:tcW w:w="7431" w:type="dxa"/>
            <w:gridSpan w:val="3"/>
            <w:vAlign w:val="center"/>
          </w:tcPr>
          <w:p w14:paraId="786EDA2A">
            <w:pPr>
              <w:pStyle w:val="42"/>
              <w:jc w:val="center"/>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表1-3 规划环境影响评价情况</w:t>
            </w:r>
          </w:p>
          <w:tbl>
            <w:tblPr>
              <w:tblStyle w:val="2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2076"/>
              <w:gridCol w:w="1934"/>
              <w:gridCol w:w="2534"/>
            </w:tblGrid>
            <w:tr w14:paraId="7FF17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8" w:type="pct"/>
                  <w:tcBorders>
                    <w:tl2br w:val="nil"/>
                    <w:tr2bl w:val="nil"/>
                  </w:tcBorders>
                  <w:vAlign w:val="center"/>
                </w:tcPr>
                <w:p w14:paraId="55DE9000">
                  <w:pPr>
                    <w:autoSpaceDE w:val="0"/>
                    <w:autoSpaceDN w:val="0"/>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序号</w:t>
                  </w:r>
                </w:p>
              </w:tc>
              <w:tc>
                <w:tcPr>
                  <w:tcW w:w="1440" w:type="pct"/>
                  <w:tcBorders>
                    <w:tl2br w:val="nil"/>
                    <w:tr2bl w:val="nil"/>
                  </w:tcBorders>
                  <w:vAlign w:val="center"/>
                </w:tcPr>
                <w:p w14:paraId="3A9BBC52">
                  <w:pPr>
                    <w:autoSpaceDE w:val="0"/>
                    <w:autoSpaceDN w:val="0"/>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规划名称</w:t>
                  </w:r>
                </w:p>
              </w:tc>
              <w:tc>
                <w:tcPr>
                  <w:tcW w:w="1342" w:type="pct"/>
                  <w:tcBorders>
                    <w:tl2br w:val="nil"/>
                    <w:tr2bl w:val="nil"/>
                  </w:tcBorders>
                  <w:vAlign w:val="center"/>
                </w:tcPr>
                <w:p w14:paraId="27226603">
                  <w:pPr>
                    <w:autoSpaceDE w:val="0"/>
                    <w:autoSpaceDN w:val="0"/>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审批机关</w:t>
                  </w:r>
                </w:p>
              </w:tc>
              <w:tc>
                <w:tcPr>
                  <w:tcW w:w="1758" w:type="pct"/>
                  <w:tcBorders>
                    <w:tl2br w:val="nil"/>
                    <w:tr2bl w:val="nil"/>
                  </w:tcBorders>
                  <w:vAlign w:val="center"/>
                </w:tcPr>
                <w:p w14:paraId="65BC3CD2">
                  <w:pPr>
                    <w:autoSpaceDE w:val="0"/>
                    <w:autoSpaceDN w:val="0"/>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审批文件名称及文号</w:t>
                  </w:r>
                </w:p>
              </w:tc>
            </w:tr>
            <w:tr w14:paraId="405F5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458" w:type="pct"/>
                  <w:tcBorders>
                    <w:tl2br w:val="nil"/>
                    <w:tr2bl w:val="nil"/>
                  </w:tcBorders>
                  <w:vAlign w:val="center"/>
                </w:tcPr>
                <w:p w14:paraId="6C47E55C">
                  <w:pPr>
                    <w:autoSpaceDE w:val="0"/>
                    <w:autoSpaceDN w:val="0"/>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1</w:t>
                  </w:r>
                </w:p>
              </w:tc>
              <w:tc>
                <w:tcPr>
                  <w:tcW w:w="1440" w:type="pct"/>
                  <w:tcBorders>
                    <w:tl2br w:val="nil"/>
                    <w:tr2bl w:val="nil"/>
                  </w:tcBorders>
                  <w:vAlign w:val="center"/>
                </w:tcPr>
                <w:p w14:paraId="46A90548">
                  <w:pPr>
                    <w:autoSpaceDE w:val="0"/>
                    <w:autoSpaceDN w:val="0"/>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《安徽淮北杜集经济开发区总体发展规划（2023-2035年）环境影响报告书》</w:t>
                  </w:r>
                </w:p>
              </w:tc>
              <w:tc>
                <w:tcPr>
                  <w:tcW w:w="1342" w:type="pct"/>
                  <w:tcBorders>
                    <w:tl2br w:val="nil"/>
                    <w:tr2bl w:val="nil"/>
                  </w:tcBorders>
                  <w:vAlign w:val="center"/>
                </w:tcPr>
                <w:p w14:paraId="4AE9B877">
                  <w:pPr>
                    <w:autoSpaceDE w:val="0"/>
                    <w:autoSpaceDN w:val="0"/>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淮北市生态环境局</w:t>
                  </w:r>
                </w:p>
              </w:tc>
              <w:tc>
                <w:tcPr>
                  <w:tcW w:w="1758" w:type="pct"/>
                  <w:tcBorders>
                    <w:tl2br w:val="nil"/>
                    <w:tr2bl w:val="nil"/>
                  </w:tcBorders>
                  <w:vAlign w:val="center"/>
                </w:tcPr>
                <w:p w14:paraId="33A781C1">
                  <w:pPr>
                    <w:autoSpaceDE w:val="0"/>
                    <w:autoSpaceDN w:val="0"/>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《关于印送&lt;安徽淮北杜集经济开发区总体发展规划（2023-2035年）环境影响报告书审查意见&gt;的函》淮环函﹝2024﹞68号</w:t>
                  </w:r>
                </w:p>
              </w:tc>
            </w:tr>
          </w:tbl>
          <w:p w14:paraId="3B53B804">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line="240" w:lineRule="auto"/>
              <w:jc w:val="center"/>
              <w:textAlignment w:val="auto"/>
              <w:rPr>
                <w:rFonts w:hint="default" w:cs="Times New Roman"/>
                <w:color w:val="auto"/>
                <w:kern w:val="0"/>
                <w:sz w:val="24"/>
                <w:szCs w:val="24"/>
                <w:lang w:val="en-US" w:eastAsia="zh-CN"/>
              </w:rPr>
            </w:pPr>
          </w:p>
        </w:tc>
      </w:tr>
      <w:tr w14:paraId="741D9F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9" w:type="dxa"/>
            <w:vAlign w:val="center"/>
          </w:tcPr>
          <w:p w14:paraId="3BBEFFFA">
            <w:pPr>
              <w:keepNext w:val="0"/>
              <w:keepLines w:val="0"/>
              <w:pageBreakBefore w:val="0"/>
              <w:widowControl w:val="0"/>
              <w:kinsoku/>
              <w:wordWrap/>
              <w:overflowPunct/>
              <w:topLinePunct w:val="0"/>
              <w:autoSpaceDE w:val="0"/>
              <w:autoSpaceDN w:val="0"/>
              <w:bidi w:val="0"/>
              <w:adjustRightInd w:val="0"/>
              <w:snapToGrid w:val="0"/>
              <w:spacing w:line="460" w:lineRule="exact"/>
              <w:jc w:val="center"/>
              <w:textAlignment w:val="auto"/>
              <w:rPr>
                <w:rFonts w:hint="default" w:ascii="Times New Roman" w:hAnsi="Times New Roman" w:cs="Times New Roman"/>
                <w:color w:val="auto"/>
                <w:kern w:val="0"/>
                <w:sz w:val="24"/>
                <w:szCs w:val="24"/>
              </w:rPr>
            </w:pPr>
            <w:bookmarkStart w:id="2" w:name="OLE_LINK143"/>
            <w:r>
              <w:rPr>
                <w:rFonts w:hint="default" w:ascii="Times New Roman" w:hAnsi="Times New Roman" w:cs="Times New Roman"/>
                <w:color w:val="auto"/>
                <w:kern w:val="0"/>
                <w:sz w:val="24"/>
                <w:szCs w:val="24"/>
              </w:rPr>
              <w:t>规划及规划环境影响评价符合性分析</w:t>
            </w:r>
          </w:p>
        </w:tc>
        <w:tc>
          <w:tcPr>
            <w:tcW w:w="8780" w:type="dxa"/>
            <w:gridSpan w:val="4"/>
            <w:vAlign w:val="center"/>
          </w:tcPr>
          <w:p w14:paraId="132A3CEC">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一、规划符合性分析</w:t>
            </w:r>
          </w:p>
          <w:p w14:paraId="0D98A7F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1、规划期限</w:t>
            </w:r>
          </w:p>
          <w:p w14:paraId="267077F8">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both"/>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eastAsiaTheme="minorEastAsia"/>
                <w:b w:val="0"/>
                <w:bCs w:val="0"/>
                <w:spacing w:val="1"/>
                <w:sz w:val="24"/>
                <w:szCs w:val="24"/>
              </w:rPr>
              <w:t>规划期限为：2023～2035年，其中近期：2023～2025年，远期：2025～2035年</w:t>
            </w:r>
            <w:r>
              <w:rPr>
                <w:rFonts w:hint="default" w:ascii="Times New Roman" w:hAnsi="Times New Roman" w:cs="Times New Roman"/>
                <w:b w:val="0"/>
                <w:bCs w:val="0"/>
                <w:color w:val="auto"/>
                <w:sz w:val="24"/>
                <w:szCs w:val="24"/>
                <w:lang w:val="en-US" w:eastAsia="zh-CN"/>
              </w:rPr>
              <w:t>。</w:t>
            </w:r>
          </w:p>
          <w:p w14:paraId="153BBFF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2、规划范围</w:t>
            </w:r>
          </w:p>
          <w:p w14:paraId="096C5CF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sz w:val="24"/>
                <w:szCs w:val="24"/>
              </w:rPr>
              <w:t>开发区规划总面积为805.19公顷，包含2个区块，其中区</w:t>
            </w:r>
            <w:r>
              <w:rPr>
                <w:rFonts w:hint="default" w:ascii="Times New Roman" w:hAnsi="Times New Roman" w:cs="Times New Roman" w:eastAsiaTheme="minorEastAsia"/>
                <w:b w:val="0"/>
                <w:bCs w:val="0"/>
                <w:sz w:val="24"/>
                <w:szCs w:val="24"/>
                <w:lang w:val="zh-CN"/>
              </w:rPr>
              <w:t>块一面</w:t>
            </w:r>
            <w:r>
              <w:rPr>
                <w:rFonts w:hint="default" w:ascii="Times New Roman" w:hAnsi="Times New Roman" w:cs="Times New Roman" w:eastAsiaTheme="minorEastAsia"/>
                <w:b w:val="0"/>
                <w:bCs w:val="0"/>
                <w:sz w:val="24"/>
                <w:szCs w:val="24"/>
              </w:rPr>
              <w:t>积为634.17公顷，四至范围为：东至岱河，南至青年路，西至尖山山脚，北至山河大道；区块二面积为171.03公顷，四至范围为：东至萧淮公路，南至岱河与萧淮公路交界处，西至岱河，北至开创路。</w:t>
            </w:r>
          </w:p>
          <w:p w14:paraId="54A9BE2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 w:val="0"/>
                <w:bCs w:val="0"/>
                <w:color w:val="auto"/>
                <w:sz w:val="24"/>
                <w:szCs w:val="24"/>
                <w:lang w:val="en-US" w:eastAsia="zh-CN"/>
              </w:rPr>
            </w:pPr>
            <w:r>
              <w:rPr>
                <w:rFonts w:hint="eastAsia"/>
                <w:b w:val="0"/>
                <w:bCs w:val="0"/>
                <w:sz w:val="24"/>
                <w:szCs w:val="24"/>
                <w:lang w:val="en-US" w:eastAsia="zh-CN"/>
              </w:rPr>
              <w:t>3、</w:t>
            </w:r>
            <w:r>
              <w:rPr>
                <w:b w:val="0"/>
                <w:bCs w:val="0"/>
                <w:sz w:val="24"/>
                <w:szCs w:val="24"/>
              </w:rPr>
              <w:t>产业空间布局规划</w:t>
            </w:r>
          </w:p>
          <w:p w14:paraId="09FA45EC">
            <w:pPr>
              <w:widowControl/>
              <w:spacing w:line="360" w:lineRule="auto"/>
              <w:ind w:firstLine="480"/>
              <w:rPr>
                <w:rFonts w:hint="default" w:ascii="Times New Roman" w:hAnsi="Times New Roman" w:eastAsia="宋体" w:cs="Times New Roman"/>
                <w:b w:val="0"/>
                <w:bCs w:val="0"/>
                <w:kern w:val="0"/>
                <w:sz w:val="24"/>
                <w:szCs w:val="24"/>
              </w:rPr>
            </w:pPr>
            <w:r>
              <w:rPr>
                <w:rFonts w:hint="eastAsia" w:ascii="Times New Roman" w:hAnsi="Times New Roman" w:eastAsia="宋体" w:cs="Times New Roman"/>
                <w:b w:val="0"/>
                <w:bCs w:val="0"/>
                <w:kern w:val="0"/>
                <w:sz w:val="24"/>
                <w:szCs w:val="24"/>
                <w:lang w:eastAsia="zh-CN"/>
              </w:rPr>
              <w:t>（</w:t>
            </w:r>
            <w:r>
              <w:rPr>
                <w:rFonts w:hint="eastAsia" w:ascii="Times New Roman" w:hAnsi="Times New Roman" w:eastAsia="宋体" w:cs="Times New Roman"/>
                <w:b w:val="0"/>
                <w:bCs w:val="0"/>
                <w:kern w:val="0"/>
                <w:sz w:val="24"/>
                <w:szCs w:val="24"/>
                <w:lang w:val="en-US" w:eastAsia="zh-CN"/>
              </w:rPr>
              <w:t>1</w:t>
            </w:r>
            <w:r>
              <w:rPr>
                <w:rFonts w:hint="eastAsia" w:ascii="Times New Roman" w:hAnsi="Times New Roman" w:eastAsia="宋体" w:cs="Times New Roman"/>
                <w:b w:val="0"/>
                <w:bCs w:val="0"/>
                <w:kern w:val="0"/>
                <w:sz w:val="24"/>
                <w:szCs w:val="24"/>
                <w:lang w:eastAsia="zh-CN"/>
              </w:rPr>
              <w:t>）</w:t>
            </w:r>
            <w:r>
              <w:rPr>
                <w:rFonts w:hint="default" w:ascii="Times New Roman" w:hAnsi="Times New Roman" w:eastAsia="宋体" w:cs="Times New Roman"/>
                <w:b w:val="0"/>
                <w:bCs w:val="0"/>
                <w:kern w:val="0"/>
                <w:sz w:val="24"/>
                <w:szCs w:val="24"/>
              </w:rPr>
              <w:t>总体布局</w:t>
            </w:r>
          </w:p>
          <w:p w14:paraId="61592C2D">
            <w:pPr>
              <w:widowControl/>
              <w:spacing w:line="360" w:lineRule="auto"/>
              <w:ind w:firstLine="480"/>
              <w:rPr>
                <w:rFonts w:hint="eastAsia" w:ascii="宋体" w:hAnsi="宋体" w:eastAsia="宋体" w:cs="宋体"/>
                <w:b w:val="0"/>
                <w:bCs w:val="0"/>
                <w:kern w:val="0"/>
                <w:sz w:val="24"/>
                <w:szCs w:val="24"/>
              </w:rPr>
            </w:pPr>
            <w:r>
              <w:rPr>
                <w:rFonts w:hint="default" w:ascii="Times New Roman" w:hAnsi="Times New Roman" w:eastAsia="宋体" w:cs="Times New Roman"/>
                <w:b w:val="0"/>
                <w:bCs w:val="0"/>
                <w:kern w:val="0"/>
                <w:sz w:val="24"/>
                <w:szCs w:val="24"/>
              </w:rPr>
              <w:t>以集约发展、有序联系、充分发挥地块优势为主要思路，合理布局研发、设计、生产、服务和场景，面向大中型企业提供生产制造基地、企业独立园区等，面向成长型中小企业提供研发基地，面向创业团队提供创客空间、孵化空间、双创空间；在横向上，根据不同类型企业的需求提供基于价值链的延展式产业服务，提供多样化的办公、生产、研发、物流转运空间；在研发环节，搭建产业研究平台、公共测试平台、技术交流平台，提供个性化研发、试验空间、样品测试空间等；在生产和服务环节，提供规模化的场地、个性化厂房或办公基地；支持杜集经济开发区优势产业、龙</w:t>
            </w:r>
            <w:r>
              <w:rPr>
                <w:rFonts w:hint="eastAsia" w:ascii="宋体" w:hAnsi="宋体" w:eastAsia="宋体" w:cs="宋体"/>
                <w:b w:val="0"/>
                <w:bCs w:val="0"/>
                <w:kern w:val="0"/>
                <w:sz w:val="24"/>
                <w:szCs w:val="24"/>
              </w:rPr>
              <w:t>头企业提供智能车间、智能工厂、未来工厂等进行智能化、数字化升级示范，最终形成创新创业活力迸发、产业生态良好，集群集聚发展效应显著的产业集聚区，形成“一核、一轴、四基地”的产业发展总体空间布局形态。</w:t>
            </w:r>
          </w:p>
          <w:p w14:paraId="35009217">
            <w:pPr>
              <w:widowControl/>
              <w:spacing w:line="360" w:lineRule="auto"/>
              <w:ind w:firstLine="480"/>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“一核”：在紫昱路北侧、富强路东侧、山河大道以南，以研发、孵化、培育创新型中小企业为主要功能，建设创客空间、智能车间，形成集研发、设计、孵化于一体的综合性创新孵化核心区。</w:t>
            </w:r>
          </w:p>
          <w:p w14:paraId="71F14ABA">
            <w:pPr>
              <w:widowControl/>
              <w:spacing w:line="360" w:lineRule="auto"/>
              <w:ind w:firstLine="480"/>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“一轴”：沿杜集经济开发区南北向串联各制造基地的虚拟轴带。轴带上分布着杜集经济开发区的所有重要产业功能区。</w:t>
            </w:r>
          </w:p>
          <w:p w14:paraId="50CCC19F">
            <w:pPr>
              <w:widowControl/>
              <w:spacing w:line="360" w:lineRule="auto"/>
              <w:ind w:firstLine="480"/>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“四基地”：</w:t>
            </w:r>
          </w:p>
          <w:p w14:paraId="5A2CDAEF">
            <w:pPr>
              <w:widowControl/>
              <w:spacing w:line="360" w:lineRule="auto"/>
              <w:ind w:firstLine="480"/>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装备制造产业基地——发挥矿机装备优势，分别在青春路以南和开创路以南区域建设两大装备制造产业基地。一方面通过招商引进或本地扩大规模的矿机产业，积极引进智能矿机、智能机床与机器人、航空航天装备、智能电网配电设备及零配件等；另一方面重点依托现有装备制造产业，促进产业升级，打造高端装备制造转型升级先行区。</w:t>
            </w:r>
          </w:p>
          <w:p w14:paraId="05D7EB6E">
            <w:pPr>
              <w:widowControl/>
              <w:spacing w:line="360" w:lineRule="auto"/>
              <w:ind w:firstLine="480"/>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非金属新材料产业基地——分别在腾飞路以西和青春路以北区域建设非金属新材料产业基地。围绕硅基新材料、绿色建材等方向，重点发展新型玻璃、新型建材以及多晶硅产业链等新材料产业基地。</w:t>
            </w:r>
          </w:p>
          <w:p w14:paraId="476F7DF4">
            <w:pPr>
              <w:widowControl/>
              <w:spacing w:line="360" w:lineRule="auto"/>
              <w:ind w:firstLine="480"/>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电气机械产业基地——在岱河以东、202省道以西区域建设电气机械产业基地。积极引入新能源电池、汽车零部件、电气信号设备、绿色照明与智能家居等制造领域相关企业。</w:t>
            </w:r>
          </w:p>
          <w:p w14:paraId="1B3FCCD0">
            <w:pPr>
              <w:widowControl/>
              <w:spacing w:line="360" w:lineRule="auto"/>
              <w:ind w:firstLine="480"/>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智能化系统与信息服务基地——沿岱河在山河大道以南区域打造智能化系统与信息服务基地，重点依托现有装备制造、非金属新材料等优势产业数字化升级需求，引入工业软件开发企业、工业互联网企业，发展数控嵌入式软件、自动化控制系统、互联网数据服务和新型信息技术服务等方向。</w:t>
            </w:r>
          </w:p>
          <w:p w14:paraId="79A112DD">
            <w:pPr>
              <w:widowControl/>
              <w:spacing w:line="360" w:lineRule="auto"/>
              <w:ind w:firstLine="480"/>
              <w:rPr>
                <w:rFonts w:hint="default" w:ascii="Times New Roman" w:hAnsi="Times New Roman" w:eastAsia="宋体" w:cs="Times New Roman"/>
                <w:b w:val="0"/>
                <w:bCs w:val="0"/>
                <w:kern w:val="0"/>
                <w:sz w:val="24"/>
                <w:szCs w:val="24"/>
              </w:rPr>
            </w:pPr>
            <w:r>
              <w:rPr>
                <w:rFonts w:hint="eastAsia" w:ascii="Times New Roman" w:hAnsi="Times New Roman" w:eastAsia="宋体" w:cs="Times New Roman"/>
                <w:b w:val="0"/>
                <w:bCs w:val="0"/>
                <w:kern w:val="0"/>
                <w:sz w:val="24"/>
                <w:szCs w:val="24"/>
                <w:lang w:eastAsia="zh-CN"/>
              </w:rPr>
              <w:t>（</w:t>
            </w:r>
            <w:r>
              <w:rPr>
                <w:rFonts w:hint="eastAsia" w:ascii="Times New Roman" w:hAnsi="Times New Roman" w:eastAsia="宋体" w:cs="Times New Roman"/>
                <w:b w:val="0"/>
                <w:bCs w:val="0"/>
                <w:kern w:val="0"/>
                <w:sz w:val="24"/>
                <w:szCs w:val="24"/>
                <w:lang w:val="en-US" w:eastAsia="zh-CN"/>
              </w:rPr>
              <w:t>2</w:t>
            </w:r>
            <w:r>
              <w:rPr>
                <w:rFonts w:hint="eastAsia" w:ascii="Times New Roman" w:hAnsi="Times New Roman" w:eastAsia="宋体" w:cs="Times New Roman"/>
                <w:b w:val="0"/>
                <w:bCs w:val="0"/>
                <w:kern w:val="0"/>
                <w:sz w:val="24"/>
                <w:szCs w:val="24"/>
                <w:lang w:eastAsia="zh-CN"/>
              </w:rPr>
              <w:t>）</w:t>
            </w:r>
            <w:r>
              <w:rPr>
                <w:rFonts w:hint="default" w:ascii="Times New Roman" w:hAnsi="Times New Roman" w:eastAsia="宋体" w:cs="Times New Roman"/>
                <w:b w:val="0"/>
                <w:bCs w:val="0"/>
                <w:kern w:val="0"/>
                <w:sz w:val="24"/>
                <w:szCs w:val="24"/>
              </w:rPr>
              <w:t>功能分区</w:t>
            </w:r>
          </w:p>
          <w:p w14:paraId="335D972E">
            <w:pPr>
              <w:widowControl/>
              <w:spacing w:line="360" w:lineRule="auto"/>
              <w:ind w:firstLine="480"/>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开发区主要以工业用地为主，现状紫昱路以南的工业用地基本已经建设完成，未来拓展空间主要集中在腾飞路东侧和山河大道以北的区域。考虑园区生产与生活的完整性，除工业用地外，安排一定数量的研发功能、仓储功能、居住功能、公用设施及商业服务业设施功能等，加强开发区与城区的联系，实现产城融合发展，同时解决拆迁安置和保障房建设的需要，结合周边城区功能配套相关基础设施和公共服务设施用地。</w:t>
            </w:r>
          </w:p>
          <w:p w14:paraId="287D92F5">
            <w:pPr>
              <w:widowControl/>
              <w:spacing w:line="360" w:lineRule="auto"/>
              <w:ind w:firstLine="480"/>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装备制造产业基地：片区已经进驻了安徽矿机、中芬选矿等一批龙头企业，初步具备了装备制造集群优势。规划可利用空间约960亩，主要集中在开创路以南、开明路以西的区域，以生产制造功能为主建设标准化厂房，同时在北外环路南侧布局物流仓储功能，并预留一定的产业发展用地，重点布局智能制造产业园、智能矿机装备、智能机床与机器人等生产制造项目。</w:t>
            </w:r>
          </w:p>
          <w:p w14:paraId="747B9346">
            <w:pPr>
              <w:widowControl/>
              <w:spacing w:line="360" w:lineRule="auto"/>
              <w:ind w:firstLine="480"/>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非金属新材料产业基地：片区目前引进了众城水泥、北华玻璃等一批企业。规划可利用空间约52亩，主要集中在腾飞路以西和青春路以北的区域，以生产制造功能为主，并预留一定的产业发展用地用以引驻高成长性项目，片区重点布局硅基新材料、新型材等类别的生产制造项目。</w:t>
            </w:r>
          </w:p>
          <w:p w14:paraId="43CDCF34">
            <w:pPr>
              <w:widowControl/>
              <w:spacing w:line="360" w:lineRule="auto"/>
              <w:ind w:firstLine="480"/>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电气机械产业基地：片区目前建设了创新产业园一期，正推进淮海都市产业园一期建设。规划可利用空间约490亩，主要集中在山河大道北侧区域，布局生产制造功能，加快电气机械产业培育，片区重点布局新能源电池、汽车零部件、电子元器件、智能家居、智慧照明等类别生产制造项目。</w:t>
            </w:r>
          </w:p>
          <w:p w14:paraId="4992D196">
            <w:pPr>
              <w:widowControl/>
              <w:spacing w:line="360" w:lineRule="auto"/>
              <w:ind w:firstLine="480"/>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智能化系统与信息服务产业基地：规划可利用空间约460亩，主要分布在岱河两岸以及202省道北侧，布局新型产业用地</w:t>
            </w:r>
            <w:r>
              <w:rPr>
                <w:rFonts w:hint="eastAsia" w:ascii="Times New Roman" w:hAnsi="Times New Roman" w:eastAsia="宋体" w:cs="Times New Roman"/>
                <w:b w:val="0"/>
                <w:bCs w:val="0"/>
                <w:kern w:val="0"/>
                <w:sz w:val="24"/>
                <w:szCs w:val="24"/>
                <w:lang w:eastAsia="zh-CN"/>
              </w:rPr>
              <w:t>（</w:t>
            </w:r>
            <w:r>
              <w:rPr>
                <w:rFonts w:hint="eastAsia" w:ascii="Times New Roman" w:hAnsi="Times New Roman" w:eastAsia="宋体" w:cs="Times New Roman"/>
                <w:b w:val="0"/>
                <w:bCs w:val="0"/>
                <w:kern w:val="0"/>
                <w:sz w:val="24"/>
                <w:szCs w:val="24"/>
                <w:lang w:val="en-US" w:eastAsia="zh-CN"/>
              </w:rPr>
              <w:t>M0</w:t>
            </w:r>
            <w:r>
              <w:rPr>
                <w:rFonts w:hint="eastAsia" w:ascii="Times New Roman" w:hAnsi="Times New Roman" w:eastAsia="宋体" w:cs="Times New Roman"/>
                <w:b w:val="0"/>
                <w:bCs w:val="0"/>
                <w:kern w:val="0"/>
                <w:sz w:val="24"/>
                <w:szCs w:val="24"/>
                <w:lang w:eastAsia="zh-CN"/>
              </w:rPr>
              <w:t>）</w:t>
            </w:r>
            <w:r>
              <w:rPr>
                <w:rFonts w:hint="default" w:ascii="Times New Roman" w:hAnsi="Times New Roman" w:eastAsia="宋体" w:cs="Times New Roman"/>
                <w:b w:val="0"/>
                <w:bCs w:val="0"/>
                <w:kern w:val="0"/>
                <w:sz w:val="24"/>
                <w:szCs w:val="24"/>
              </w:rPr>
              <w:t>功能，容积率控制在2.0-2.5之间，加快智能化系统与信息服务产业集聚，片区重点布局互联网与云计算、大数据类项目，以及生产智能化信息服务类项目。</w:t>
            </w:r>
          </w:p>
          <w:p w14:paraId="207F3D36">
            <w:pPr>
              <w:widowControl/>
              <w:spacing w:line="360" w:lineRule="auto"/>
              <w:ind w:firstLine="480"/>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创新孵化核心区：片区目前建设有杜集经开区管委会、电商产业园，引驻了安上装备、中清环保等企业。规划可利用空间约500亩，主要分布在富强路西侧，布局研发孵化功能，容积率控制在2.0-2.5之间，建成杜集经济开发区的创新极核，片区重点布局科创孵化基地、科技成果转化服务、柔性人才社区以及围绕装备制造、非金属新材料、电气机械等产业的创新服务项目。</w:t>
            </w:r>
          </w:p>
          <w:p w14:paraId="4C5C12AA">
            <w:pPr>
              <w:widowControl/>
              <w:spacing w:line="360" w:lineRule="auto"/>
              <w:ind w:firstLine="480"/>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东部居住区：片区目前以居住功能为主，是区域内村庄搬迁安置的集中区。规划可利用空间约750亩，容积率控制在2.0-2.5之间，以产城融合为发展目标，在片区内布局居住功能、商业服务功能和公共服务功能，改善人居环境，完善教育、医疗、文化、交通、商业等配套设施。</w:t>
            </w:r>
          </w:p>
          <w:p w14:paraId="79F4BCF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（3）规划主导产业</w:t>
            </w:r>
          </w:p>
          <w:p w14:paraId="54817AA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eastAsiaTheme="minorEastAsia"/>
                <w:b w:val="0"/>
                <w:bCs w:val="0"/>
                <w:sz w:val="24"/>
                <w:szCs w:val="24"/>
              </w:rPr>
            </w:pPr>
            <w:r>
              <w:rPr>
                <w:rFonts w:eastAsiaTheme="minorEastAsia"/>
                <w:b w:val="0"/>
                <w:bCs w:val="0"/>
                <w:sz w:val="24"/>
                <w:szCs w:val="24"/>
              </w:rPr>
              <w:t>规划主导产业为装备制造业、非金属新材料和电气机械制造。</w:t>
            </w:r>
          </w:p>
          <w:p w14:paraId="67E6904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eastAsia="zh-CN"/>
              </w:rPr>
              <w:t>本项目属于水泥熟料生产线</w:t>
            </w:r>
            <w:r>
              <w:rPr>
                <w:rFonts w:hint="eastAsia" w:cs="Times New Roman"/>
                <w:b w:val="0"/>
                <w:bCs w:val="0"/>
                <w:color w:val="auto"/>
                <w:sz w:val="24"/>
                <w:szCs w:val="24"/>
                <w:lang w:eastAsia="zh-CN"/>
              </w:rPr>
              <w:t>生物质替代燃料节能减排技术改造项目</w:t>
            </w:r>
            <w:r>
              <w:rPr>
                <w:rFonts w:hint="eastAsia" w:ascii="Times New Roman" w:hAnsi="Times New Roman" w:cs="Times New Roman"/>
                <w:b w:val="0"/>
                <w:bCs w:val="0"/>
                <w:color w:val="auto"/>
                <w:sz w:val="24"/>
                <w:szCs w:val="24"/>
              </w:rPr>
              <w:t>，技改后不新增水泥熟料产能。</w:t>
            </w:r>
            <w:r>
              <w:rPr>
                <w:rFonts w:hint="eastAsia" w:ascii="Times New Roman" w:hAnsi="Times New Roman" w:cs="Times New Roman"/>
                <w:b w:val="0"/>
                <w:bCs w:val="0"/>
                <w:color w:val="auto"/>
                <w:sz w:val="24"/>
                <w:szCs w:val="24"/>
                <w:lang w:eastAsia="zh-CN"/>
              </w:rPr>
              <w:t>产业类别</w:t>
            </w:r>
            <w:r>
              <w:rPr>
                <w:rFonts w:hint="eastAsia" w:ascii="Times New Roman" w:hAnsi="Times New Roman" w:eastAsia="宋体" w:cs="Times New Roman"/>
                <w:b w:val="0"/>
                <w:bCs w:val="0"/>
                <w:color w:val="auto"/>
                <w:sz w:val="24"/>
                <w:szCs w:val="24"/>
              </w:rPr>
              <w:t>属于</w:t>
            </w:r>
            <w:r>
              <w:rPr>
                <w:rFonts w:hint="default" w:ascii="Times New Roman" w:hAnsi="Times New Roman" w:cs="Times New Roman"/>
                <w:b w:val="0"/>
                <w:bCs w:val="0"/>
                <w:color w:val="auto"/>
                <w:sz w:val="24"/>
                <w:szCs w:val="24"/>
                <w:lang w:val="en-US" w:eastAsia="zh-CN"/>
              </w:rPr>
              <w:t>《安徽淮北杜集经济</w:t>
            </w:r>
            <w:r>
              <w:rPr>
                <w:rFonts w:hint="eastAsia" w:ascii="Times New Roman" w:hAnsi="Times New Roman" w:cs="Times New Roman"/>
                <w:b w:val="0"/>
                <w:bCs w:val="0"/>
                <w:color w:val="auto"/>
                <w:sz w:val="24"/>
                <w:szCs w:val="24"/>
                <w:lang w:val="en-US" w:eastAsia="zh-CN"/>
              </w:rPr>
              <w:t>开发区总体发展规划（2023-2035年）</w:t>
            </w:r>
            <w:r>
              <w:rPr>
                <w:rFonts w:hint="default" w:ascii="Times New Roman" w:hAnsi="Times New Roman"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rPr>
              <w:t>主导产业</w:t>
            </w:r>
            <w:r>
              <w:rPr>
                <w:rFonts w:hint="eastAsia" w:ascii="Times New Roman" w:hAnsi="Times New Roman" w:cs="Times New Roman"/>
                <w:b w:val="0"/>
                <w:bCs w:val="0"/>
                <w:color w:val="auto"/>
                <w:sz w:val="24"/>
                <w:szCs w:val="24"/>
                <w:lang w:val="en-US" w:eastAsia="zh-CN"/>
              </w:rPr>
              <w:t>中的</w:t>
            </w:r>
            <w:r>
              <w:rPr>
                <w:rFonts w:hint="eastAsia" w:ascii="Times New Roman" w:hAnsi="Times New Roman" w:eastAsia="宋体" w:cs="Times New Roman"/>
                <w:b w:val="0"/>
                <w:bCs w:val="0"/>
                <w:color w:val="auto"/>
                <w:sz w:val="24"/>
                <w:szCs w:val="24"/>
                <w:lang w:eastAsia="zh-CN"/>
              </w:rPr>
              <w:t>“非金属新材料”</w:t>
            </w:r>
            <w:r>
              <w:rPr>
                <w:rFonts w:hint="eastAsia" w:ascii="Times New Roman" w:hAnsi="Times New Roman" w:eastAsia="宋体" w:cs="Times New Roman"/>
                <w:b w:val="0"/>
                <w:bCs w:val="0"/>
                <w:color w:val="auto"/>
                <w:sz w:val="24"/>
                <w:szCs w:val="24"/>
              </w:rPr>
              <w:t>，不</w:t>
            </w:r>
            <w:r>
              <w:rPr>
                <w:rFonts w:hint="eastAsia" w:ascii="Times New Roman" w:hAnsi="Times New Roman" w:eastAsia="宋体" w:cs="Times New Roman"/>
                <w:b w:val="0"/>
                <w:bCs w:val="0"/>
                <w:color w:val="auto"/>
                <w:sz w:val="24"/>
                <w:szCs w:val="24"/>
                <w:lang w:eastAsia="zh-CN"/>
              </w:rPr>
              <w:t>属于</w:t>
            </w:r>
            <w:r>
              <w:rPr>
                <w:rFonts w:hint="default" w:ascii="Times New Roman" w:hAnsi="Times New Roman" w:eastAsia="宋体" w:cs="Times New Roman"/>
                <w:b w:val="0"/>
                <w:bCs w:val="0"/>
                <w:color w:val="auto"/>
                <w:sz w:val="24"/>
                <w:szCs w:val="24"/>
                <w:lang w:val="en-US" w:eastAsia="zh-CN"/>
              </w:rPr>
              <w:t>安徽淮北杜集经济开发区</w:t>
            </w:r>
            <w:r>
              <w:rPr>
                <w:rFonts w:hint="eastAsia" w:ascii="Times New Roman" w:hAnsi="Times New Roman" w:eastAsia="宋体" w:cs="Times New Roman"/>
                <w:b w:val="0"/>
                <w:bCs w:val="0"/>
                <w:color w:val="auto"/>
                <w:sz w:val="24"/>
                <w:szCs w:val="24"/>
              </w:rPr>
              <w:t>生态环境</w:t>
            </w:r>
            <w:r>
              <w:rPr>
                <w:rFonts w:hint="eastAsia" w:ascii="Times New Roman" w:hAnsi="Times New Roman" w:eastAsia="宋体" w:cs="Times New Roman"/>
                <w:b w:val="0"/>
                <w:bCs w:val="0"/>
                <w:color w:val="auto"/>
                <w:sz w:val="24"/>
                <w:szCs w:val="24"/>
                <w:lang w:eastAsia="zh-CN"/>
              </w:rPr>
              <w:t>准入</w:t>
            </w:r>
            <w:r>
              <w:rPr>
                <w:rFonts w:hint="eastAsia" w:ascii="Times New Roman" w:hAnsi="Times New Roman" w:eastAsia="宋体" w:cs="Times New Roman"/>
                <w:b w:val="0"/>
                <w:bCs w:val="0"/>
                <w:color w:val="auto"/>
                <w:sz w:val="24"/>
                <w:szCs w:val="24"/>
              </w:rPr>
              <w:t>清单</w:t>
            </w:r>
            <w:r>
              <w:rPr>
                <w:rFonts w:hint="eastAsia" w:ascii="Times New Roman" w:hAnsi="Times New Roman" w:eastAsia="宋体" w:cs="Times New Roman"/>
                <w:b w:val="0"/>
                <w:bCs w:val="0"/>
                <w:color w:val="auto"/>
                <w:sz w:val="24"/>
                <w:szCs w:val="24"/>
                <w:lang w:eastAsia="zh-CN"/>
              </w:rPr>
              <w:t>（限制类和禁止类）</w:t>
            </w:r>
            <w:r>
              <w:rPr>
                <w:rFonts w:hint="eastAsia" w:ascii="Times New Roman" w:hAnsi="Times New Roman" w:eastAsia="宋体" w:cs="Times New Roman"/>
                <w:b w:val="0"/>
                <w:bCs w:val="0"/>
                <w:color w:val="auto"/>
                <w:sz w:val="24"/>
                <w:szCs w:val="24"/>
              </w:rPr>
              <w:t>，与</w:t>
            </w:r>
            <w:r>
              <w:rPr>
                <w:rFonts w:hint="default" w:ascii="Times New Roman" w:hAnsi="Times New Roman" w:eastAsia="宋体" w:cs="Times New Roman"/>
                <w:b w:val="0"/>
                <w:bCs w:val="0"/>
                <w:color w:val="auto"/>
                <w:sz w:val="24"/>
                <w:szCs w:val="24"/>
                <w:lang w:val="en-US" w:eastAsia="zh-CN"/>
              </w:rPr>
              <w:t>安徽淮北杜集经济开发区</w:t>
            </w:r>
            <w:r>
              <w:rPr>
                <w:rFonts w:hint="eastAsia" w:ascii="Times New Roman" w:hAnsi="Times New Roman" w:eastAsia="宋体" w:cs="Times New Roman"/>
                <w:b w:val="0"/>
                <w:bCs w:val="0"/>
                <w:color w:val="auto"/>
                <w:sz w:val="24"/>
                <w:szCs w:val="24"/>
                <w:lang w:val="en-US" w:eastAsia="zh-CN"/>
              </w:rPr>
              <w:t>总体发展规划</w:t>
            </w:r>
            <w:r>
              <w:rPr>
                <w:rFonts w:hint="eastAsia" w:ascii="Times New Roman" w:hAnsi="Times New Roman" w:eastAsia="宋体" w:cs="Times New Roman"/>
                <w:b w:val="0"/>
                <w:bCs w:val="0"/>
                <w:color w:val="auto"/>
                <w:sz w:val="24"/>
                <w:szCs w:val="24"/>
              </w:rPr>
              <w:t>不冲突</w:t>
            </w:r>
            <w:r>
              <w:rPr>
                <w:rFonts w:hint="eastAsia"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eastAsia="zh-CN"/>
              </w:rPr>
              <w:t>符合</w:t>
            </w:r>
            <w:r>
              <w:rPr>
                <w:rFonts w:hint="default" w:ascii="Times New Roman" w:hAnsi="Times New Roman" w:cs="Times New Roman"/>
                <w:b w:val="0"/>
                <w:bCs w:val="0"/>
                <w:color w:val="auto"/>
                <w:sz w:val="24"/>
                <w:szCs w:val="24"/>
                <w:lang w:val="en-US" w:eastAsia="zh-CN"/>
              </w:rPr>
              <w:t>《安徽淮北杜集经济</w:t>
            </w:r>
            <w:r>
              <w:rPr>
                <w:rFonts w:hint="eastAsia" w:ascii="Times New Roman" w:hAnsi="Times New Roman" w:cs="Times New Roman"/>
                <w:b w:val="0"/>
                <w:bCs w:val="0"/>
                <w:color w:val="auto"/>
                <w:sz w:val="24"/>
                <w:szCs w:val="24"/>
                <w:lang w:val="en-US" w:eastAsia="zh-CN"/>
              </w:rPr>
              <w:t>开发区总体发展规划（2023-2035年）</w:t>
            </w:r>
            <w:r>
              <w:rPr>
                <w:rFonts w:hint="default" w:ascii="Times New Roman" w:hAnsi="Times New Roman" w:cs="Times New Roman"/>
                <w:b w:val="0"/>
                <w:bCs w:val="0"/>
                <w:color w:val="auto"/>
                <w:sz w:val="24"/>
                <w:szCs w:val="24"/>
                <w:lang w:val="en-US" w:eastAsia="zh-CN"/>
              </w:rPr>
              <w:t>》。</w:t>
            </w:r>
          </w:p>
          <w:p w14:paraId="00C97DF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二、</w:t>
            </w:r>
            <w:r>
              <w:rPr>
                <w:rFonts w:hint="default" w:ascii="Times New Roman" w:hAnsi="Times New Roman" w:cs="Times New Roman"/>
                <w:b/>
                <w:bCs/>
                <w:color w:val="auto"/>
                <w:sz w:val="24"/>
                <w:szCs w:val="24"/>
                <w:lang w:val="en-US" w:eastAsia="zh-CN"/>
              </w:rPr>
              <w:t>与</w:t>
            </w:r>
            <w:r>
              <w:rPr>
                <w:rFonts w:hint="default" w:ascii="Times New Roman" w:hAnsi="Times New Roman" w:eastAsia="宋体" w:cs="Times New Roman"/>
                <w:b/>
                <w:bCs/>
                <w:color w:val="auto"/>
                <w:sz w:val="24"/>
                <w:szCs w:val="24"/>
                <w:lang w:val="en-US" w:eastAsia="zh-CN"/>
              </w:rPr>
              <w:t>《关于</w:t>
            </w:r>
            <w:r>
              <w:rPr>
                <w:rFonts w:hint="eastAsia" w:ascii="Times New Roman" w:hAnsi="Times New Roman" w:eastAsia="宋体" w:cs="Times New Roman"/>
                <w:b/>
                <w:bCs/>
                <w:color w:val="auto"/>
                <w:sz w:val="24"/>
                <w:szCs w:val="24"/>
                <w:lang w:val="en-US" w:eastAsia="zh-CN"/>
              </w:rPr>
              <w:t>印送&lt;</w:t>
            </w:r>
            <w:r>
              <w:rPr>
                <w:rFonts w:hint="default" w:ascii="Times New Roman" w:hAnsi="Times New Roman" w:cs="Times New Roman"/>
                <w:b/>
                <w:bCs/>
                <w:color w:val="auto"/>
                <w:sz w:val="24"/>
                <w:szCs w:val="24"/>
                <w:lang w:val="en-US" w:eastAsia="zh-CN"/>
              </w:rPr>
              <w:t>安徽淮北杜集经济</w:t>
            </w:r>
            <w:r>
              <w:rPr>
                <w:rFonts w:hint="eastAsia" w:ascii="Times New Roman" w:hAnsi="Times New Roman" w:cs="Times New Roman"/>
                <w:b/>
                <w:bCs/>
                <w:color w:val="auto"/>
                <w:sz w:val="24"/>
                <w:szCs w:val="24"/>
                <w:lang w:val="en-US" w:eastAsia="zh-CN"/>
              </w:rPr>
              <w:t>开发区总体发展规划（2023-2035年）</w:t>
            </w:r>
            <w:r>
              <w:rPr>
                <w:rFonts w:hint="default" w:ascii="Times New Roman" w:hAnsi="Times New Roman" w:eastAsia="宋体" w:cs="Times New Roman"/>
                <w:b/>
                <w:bCs/>
                <w:color w:val="auto"/>
                <w:sz w:val="24"/>
                <w:szCs w:val="24"/>
                <w:lang w:val="en-US" w:eastAsia="zh-CN"/>
              </w:rPr>
              <w:t>环境影响报告书</w:t>
            </w:r>
            <w:r>
              <w:rPr>
                <w:rFonts w:hint="eastAsia" w:ascii="Times New Roman" w:hAnsi="Times New Roman" w:eastAsia="宋体" w:cs="Times New Roman"/>
                <w:b/>
                <w:bCs/>
                <w:color w:val="auto"/>
                <w:sz w:val="24"/>
                <w:szCs w:val="24"/>
                <w:lang w:val="en-US" w:eastAsia="zh-CN"/>
              </w:rPr>
              <w:t>审查意见&gt;的函</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（淮环</w:t>
            </w:r>
            <w:r>
              <w:rPr>
                <w:rFonts w:hint="default" w:ascii="Times New Roman" w:hAnsi="Times New Roman" w:eastAsia="宋体" w:cs="Times New Roman"/>
                <w:b/>
                <w:bCs/>
                <w:color w:val="auto"/>
                <w:sz w:val="24"/>
                <w:szCs w:val="24"/>
                <w:lang w:val="en-US" w:eastAsia="zh-CN"/>
              </w:rPr>
              <w:t>函</w:t>
            </w:r>
            <w:r>
              <w:rPr>
                <w:rFonts w:hint="eastAsia" w:ascii="Times New Roman" w:hAnsi="Times New Roman" w:eastAsia="宋体" w:cs="Times New Roman"/>
                <w:b/>
                <w:bCs/>
                <w:color w:val="auto"/>
                <w:sz w:val="24"/>
                <w:szCs w:val="24"/>
                <w:lang w:val="en-US" w:eastAsia="zh-CN"/>
              </w:rPr>
              <w:t>﹝2024﹞68</w:t>
            </w:r>
            <w:r>
              <w:rPr>
                <w:rFonts w:hint="default" w:ascii="Times New Roman" w:hAnsi="Times New Roman" w:eastAsia="宋体" w:cs="Times New Roman"/>
                <w:b/>
                <w:bCs/>
                <w:color w:val="auto"/>
                <w:sz w:val="24"/>
                <w:szCs w:val="24"/>
                <w:lang w:val="en-US" w:eastAsia="zh-CN"/>
              </w:rPr>
              <w:t>号</w:t>
            </w:r>
            <w:r>
              <w:rPr>
                <w:rFonts w:hint="eastAsia" w:ascii="Times New Roman" w:hAnsi="Times New Roman" w:eastAsia="宋体" w:cs="Times New Roman"/>
                <w:b/>
                <w:bCs/>
                <w:color w:val="auto"/>
                <w:sz w:val="24"/>
                <w:szCs w:val="24"/>
                <w:lang w:val="en-US" w:eastAsia="zh-CN"/>
              </w:rPr>
              <w:t>）</w:t>
            </w:r>
            <w:r>
              <w:rPr>
                <w:rFonts w:hint="default" w:ascii="Times New Roman" w:hAnsi="Times New Roman" w:cs="Times New Roman"/>
                <w:b/>
                <w:bCs/>
                <w:color w:val="auto"/>
                <w:sz w:val="24"/>
                <w:szCs w:val="24"/>
                <w:lang w:val="en-US" w:eastAsia="zh-CN"/>
              </w:rPr>
              <w:t>的相符性分析</w:t>
            </w:r>
          </w:p>
          <w:p w14:paraId="49890B1B">
            <w:pPr>
              <w:pStyle w:val="130"/>
              <w:spacing w:line="240" w:lineRule="auto"/>
              <w:ind w:left="0" w:lef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表</w:t>
            </w:r>
            <w:r>
              <w:rPr>
                <w:rFonts w:hint="eastAsia" w:ascii="Times New Roman" w:hAnsi="Times New Roman" w:cs="Times New Roman"/>
                <w:b/>
                <w:bCs/>
                <w:color w:val="auto"/>
                <w:sz w:val="21"/>
                <w:szCs w:val="21"/>
                <w:lang w:val="en-US" w:eastAsia="zh-CN"/>
              </w:rPr>
              <w:t>1-4 与</w:t>
            </w:r>
            <w:r>
              <w:rPr>
                <w:rFonts w:hint="default" w:ascii="Times New Roman" w:hAnsi="Times New Roman" w:eastAsia="宋体" w:cs="Times New Roman"/>
                <w:b/>
                <w:bCs/>
                <w:color w:val="auto"/>
                <w:sz w:val="21"/>
                <w:szCs w:val="21"/>
                <w:lang w:val="en-US" w:eastAsia="zh-CN"/>
              </w:rPr>
              <w:t>淮环函﹝2024﹞68号</w:t>
            </w:r>
            <w:r>
              <w:rPr>
                <w:rFonts w:hint="eastAsia" w:ascii="Times New Roman" w:hAnsi="Times New Roman" w:eastAsia="宋体" w:cs="Times New Roman"/>
                <w:b/>
                <w:bCs/>
                <w:color w:val="auto"/>
                <w:sz w:val="21"/>
                <w:szCs w:val="21"/>
                <w:lang w:val="en-US" w:eastAsia="zh-CN"/>
              </w:rPr>
              <w:t>文的</w:t>
            </w:r>
            <w:r>
              <w:rPr>
                <w:rFonts w:hint="default" w:ascii="Times New Roman" w:hAnsi="Times New Roman" w:cs="Times New Roman"/>
                <w:b/>
                <w:bCs/>
                <w:color w:val="auto"/>
                <w:sz w:val="21"/>
                <w:szCs w:val="21"/>
              </w:rPr>
              <w:t>相符性分析</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3311"/>
              <w:gridCol w:w="3170"/>
              <w:gridCol w:w="1167"/>
            </w:tblGrid>
            <w:tr w14:paraId="7A48A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879" w:type="dxa"/>
                  <w:noWrap w:val="0"/>
                  <w:vAlign w:val="center"/>
                </w:tcPr>
                <w:p w14:paraId="1D053598">
                  <w:pPr>
                    <w:pStyle w:val="70"/>
                    <w:keepNext w:val="0"/>
                    <w:keepLines w:val="0"/>
                    <w:pageBreakBefore w:val="0"/>
                    <w:widowControl w:val="0"/>
                    <w:kinsoku/>
                    <w:wordWrap/>
                    <w:overflowPunct/>
                    <w:topLinePunct w:val="0"/>
                    <w:autoSpaceDE/>
                    <w:autoSpaceDN/>
                    <w:bidi w:val="0"/>
                    <w:adjustRightInd w:val="0"/>
                    <w:snapToGrid/>
                    <w:spacing w:before="0" w:after="0" w:line="240" w:lineRule="auto"/>
                    <w:ind w:right="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序号</w:t>
                  </w:r>
                </w:p>
              </w:tc>
              <w:tc>
                <w:tcPr>
                  <w:tcW w:w="3311" w:type="dxa"/>
                  <w:noWrap w:val="0"/>
                  <w:vAlign w:val="center"/>
                </w:tcPr>
                <w:p w14:paraId="5B784213">
                  <w:pPr>
                    <w:pStyle w:val="70"/>
                    <w:keepNext w:val="0"/>
                    <w:keepLines w:val="0"/>
                    <w:pageBreakBefore w:val="0"/>
                    <w:widowControl w:val="0"/>
                    <w:kinsoku/>
                    <w:wordWrap/>
                    <w:overflowPunct/>
                    <w:topLinePunct w:val="0"/>
                    <w:autoSpaceDE/>
                    <w:autoSpaceDN/>
                    <w:bidi w:val="0"/>
                    <w:adjustRightInd w:val="0"/>
                    <w:snapToGrid/>
                    <w:spacing w:before="0" w:after="0" w:line="240" w:lineRule="auto"/>
                    <w:ind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文件内容</w:t>
                  </w:r>
                </w:p>
              </w:tc>
              <w:tc>
                <w:tcPr>
                  <w:tcW w:w="3170" w:type="dxa"/>
                  <w:noWrap w:val="0"/>
                  <w:vAlign w:val="center"/>
                </w:tcPr>
                <w:p w14:paraId="72CE85F5">
                  <w:pPr>
                    <w:pStyle w:val="70"/>
                    <w:keepNext w:val="0"/>
                    <w:keepLines w:val="0"/>
                    <w:pageBreakBefore w:val="0"/>
                    <w:widowControl w:val="0"/>
                    <w:kinsoku/>
                    <w:wordWrap/>
                    <w:overflowPunct/>
                    <w:topLinePunct w:val="0"/>
                    <w:autoSpaceDE/>
                    <w:autoSpaceDN/>
                    <w:bidi w:val="0"/>
                    <w:adjustRightInd w:val="0"/>
                    <w:snapToGrid/>
                    <w:spacing w:before="0" w:after="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本项目情况</w:t>
                  </w:r>
                </w:p>
              </w:tc>
              <w:tc>
                <w:tcPr>
                  <w:tcW w:w="1167" w:type="dxa"/>
                  <w:noWrap w:val="0"/>
                  <w:vAlign w:val="center"/>
                </w:tcPr>
                <w:p w14:paraId="26A237B9">
                  <w:pPr>
                    <w:pStyle w:val="70"/>
                    <w:keepNext w:val="0"/>
                    <w:keepLines w:val="0"/>
                    <w:pageBreakBefore w:val="0"/>
                    <w:widowControl w:val="0"/>
                    <w:kinsoku/>
                    <w:wordWrap/>
                    <w:overflowPunct/>
                    <w:topLinePunct w:val="0"/>
                    <w:autoSpaceDE/>
                    <w:autoSpaceDN/>
                    <w:bidi w:val="0"/>
                    <w:adjustRightInd w:val="0"/>
                    <w:snapToGrid/>
                    <w:spacing w:before="0" w:after="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符合性</w:t>
                  </w:r>
                </w:p>
              </w:tc>
            </w:tr>
            <w:tr w14:paraId="10D37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9" w:type="dxa"/>
                  <w:noWrap w:val="0"/>
                  <w:vAlign w:val="center"/>
                </w:tcPr>
                <w:p w14:paraId="685A39FB">
                  <w:pPr>
                    <w:pStyle w:val="70"/>
                    <w:keepNext w:val="0"/>
                    <w:keepLines w:val="0"/>
                    <w:pageBreakBefore w:val="0"/>
                    <w:widowControl w:val="0"/>
                    <w:kinsoku/>
                    <w:wordWrap/>
                    <w:overflowPunct/>
                    <w:topLinePunct w:val="0"/>
                    <w:autoSpaceDE/>
                    <w:autoSpaceDN/>
                    <w:bidi w:val="0"/>
                    <w:snapToGrid/>
                    <w:spacing w:before="0" w:after="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3311" w:type="dxa"/>
                  <w:noWrap w:val="0"/>
                  <w:vAlign w:val="center"/>
                </w:tcPr>
                <w:p w14:paraId="0ABFF28A">
                  <w:pPr>
                    <w:keepNext w:val="0"/>
                    <w:keepLines w:val="0"/>
                    <w:pageBreakBefore w:val="0"/>
                    <w:widowControl w:val="0"/>
                    <w:kinsoku/>
                    <w:wordWrap/>
                    <w:overflowPunct/>
                    <w:topLinePunct w:val="0"/>
                    <w:autoSpaceDE/>
                    <w:autoSpaceDN/>
                    <w:bidi w:val="0"/>
                    <w:adjustRightInd w:val="0"/>
                    <w:snapToGrid/>
                    <w:spacing w:line="240" w:lineRule="auto"/>
                    <w:ind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（三）优化产业布局，</w:t>
                  </w:r>
                  <w:r>
                    <w:rPr>
                      <w:rFonts w:hint="eastAsia" w:ascii="Times New Roman" w:hAnsi="Times New Roman" w:eastAsia="宋体" w:cs="Times New Roman"/>
                      <w:color w:val="auto"/>
                      <w:kern w:val="2"/>
                      <w:sz w:val="21"/>
                      <w:szCs w:val="21"/>
                      <w:lang w:val="en-US" w:eastAsia="zh-CN" w:bidi="ar-SA"/>
                    </w:rPr>
                    <w:t>加强生态环境分区管控落实生态环境分区管控要求，结合国家和省长江经济带发展负面清单管控要求、区域资源优势和环境制约因素、开发区产业定位等，进一步完善产业发展规划，优化主导产业发展方向、功能分区和重大项目布局，严禁引入安徽省长江经济带发展负面清单中的项目。合理规划不同功能区的环境保护空间，严禁不符合管控要求的各类开发建设活动，规划实施不得损害周边地表水、地下水、环境空气和声环境等敏感目标环境质量和生态功能。做好开发区与周边生态敏感区、地表水、居住区之间的有效隔离和管控，敏感区周边严禁布设生态环境影响较大的建设项目，保障居住区和各类自然保护地的生态环境质量，实现产业发展与区域生态环境保护相协调</w:t>
                  </w:r>
                </w:p>
              </w:tc>
              <w:tc>
                <w:tcPr>
                  <w:tcW w:w="3170" w:type="dxa"/>
                  <w:noWrap w:val="0"/>
                  <w:vAlign w:val="center"/>
                </w:tcPr>
                <w:p w14:paraId="7AF8F5D9">
                  <w:pPr>
                    <w:pStyle w:val="70"/>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rPr>
                    <w:t>本项目属于水泥熟料生产线</w:t>
                  </w:r>
                  <w:r>
                    <w:rPr>
                      <w:rFonts w:hint="eastAsia" w:cs="Times New Roman"/>
                      <w:color w:val="auto"/>
                      <w:sz w:val="21"/>
                      <w:szCs w:val="21"/>
                      <w:lang w:eastAsia="zh-CN"/>
                    </w:rPr>
                    <w:t>生物质替代燃料节能减排技术改造项目</w:t>
                  </w:r>
                  <w:r>
                    <w:rPr>
                      <w:rFonts w:hint="eastAsia" w:ascii="Times New Roman" w:hAnsi="Times New Roman" w:cs="Times New Roman"/>
                      <w:color w:val="auto"/>
                      <w:sz w:val="21"/>
                      <w:szCs w:val="21"/>
                    </w:rPr>
                    <w:t>，技改后不新增水泥熟料产能。产业类别属于《安徽淮北杜集经济开发区总体发展规划（2023-2035年）》主导产业中的“非金属新材料”，不属于安徽淮北杜集经济开发区生态环境准入清单（限制类和禁止类），与安徽淮北杜集经济开发区总体发展规划不冲突，符合《安徽淮北杜集经济开发区总体发展规划（2023-2035年）》</w:t>
                  </w:r>
                  <w:r>
                    <w:rPr>
                      <w:rFonts w:hint="eastAsia" w:cs="Times New Roman"/>
                      <w:color w:val="auto"/>
                      <w:sz w:val="21"/>
                      <w:szCs w:val="21"/>
                      <w:lang w:val="en-US" w:eastAsia="zh-CN"/>
                    </w:rPr>
                    <w:t>；本项目也不属于安徽省长江经济带发展负面清单中的项目</w:t>
                  </w:r>
                </w:p>
              </w:tc>
              <w:tc>
                <w:tcPr>
                  <w:tcW w:w="1167" w:type="dxa"/>
                  <w:noWrap w:val="0"/>
                  <w:vAlign w:val="center"/>
                </w:tcPr>
                <w:p w14:paraId="1DD5E0AF">
                  <w:pPr>
                    <w:pStyle w:val="70"/>
                    <w:keepNext w:val="0"/>
                    <w:keepLines w:val="0"/>
                    <w:pageBreakBefore w:val="0"/>
                    <w:widowControl w:val="0"/>
                    <w:kinsoku/>
                    <w:wordWrap/>
                    <w:overflowPunct/>
                    <w:topLinePunct w:val="0"/>
                    <w:autoSpaceDE/>
                    <w:autoSpaceDN/>
                    <w:bidi w:val="0"/>
                    <w:snapToGrid/>
                    <w:spacing w:before="0" w:after="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3E293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9" w:type="dxa"/>
                  <w:noWrap w:val="0"/>
                  <w:vAlign w:val="center"/>
                </w:tcPr>
                <w:p w14:paraId="01284F63">
                  <w:pPr>
                    <w:pStyle w:val="70"/>
                    <w:keepNext w:val="0"/>
                    <w:keepLines w:val="0"/>
                    <w:pageBreakBefore w:val="0"/>
                    <w:widowControl w:val="0"/>
                    <w:kinsoku/>
                    <w:wordWrap/>
                    <w:overflowPunct/>
                    <w:topLinePunct w:val="0"/>
                    <w:autoSpaceDE/>
                    <w:autoSpaceDN/>
                    <w:bidi w:val="0"/>
                    <w:snapToGrid/>
                    <w:spacing w:before="0" w:after="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3311" w:type="dxa"/>
                  <w:noWrap w:val="0"/>
                  <w:vAlign w:val="center"/>
                </w:tcPr>
                <w:p w14:paraId="5D8EC32E">
                  <w:pPr>
                    <w:keepNext w:val="0"/>
                    <w:keepLines w:val="0"/>
                    <w:pageBreakBefore w:val="0"/>
                    <w:widowControl w:val="0"/>
                    <w:kinsoku/>
                    <w:wordWrap/>
                    <w:overflowPunct/>
                    <w:topLinePunct w:val="0"/>
                    <w:autoSpaceDE/>
                    <w:autoSpaceDN/>
                    <w:bidi w:val="0"/>
                    <w:adjustRightInd w:val="0"/>
                    <w:snapToGrid/>
                    <w:spacing w:line="240" w:lineRule="auto"/>
                    <w:ind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（五）细化生态环境准入清单，推动高质量发展根据国家和区域发展战略，结合区域生</w:t>
                  </w:r>
                  <w:r>
                    <w:rPr>
                      <w:rFonts w:hint="eastAsia" w:ascii="宋体" w:hAnsi="宋体" w:eastAsia="宋体" w:cs="宋体"/>
                      <w:color w:val="auto"/>
                      <w:kern w:val="2"/>
                      <w:sz w:val="21"/>
                      <w:szCs w:val="21"/>
                      <w:lang w:val="en-US" w:eastAsia="zh-CN" w:bidi="ar-SA"/>
                    </w:rPr>
                    <w:t>态环境质量现状、生态环境分区管控要求、“三区三线”成果等，严格落实《报告书》生态环境准入要求。严格执行国家产业政策，坚决遏制高耗能、高排放项目盲目发展，限制与规划主导产</w:t>
                  </w:r>
                  <w:r>
                    <w:rPr>
                      <w:rFonts w:hint="default" w:ascii="Times New Roman" w:hAnsi="Times New Roman" w:eastAsia="宋体" w:cs="Times New Roman"/>
                      <w:color w:val="auto"/>
                      <w:kern w:val="2"/>
                      <w:sz w:val="21"/>
                      <w:szCs w:val="21"/>
                      <w:lang w:val="en-US" w:eastAsia="zh-CN" w:bidi="ar-SA"/>
                    </w:rPr>
                    <w:t>业不相关且污染物排放量大的项目，严禁</w:t>
                  </w:r>
                  <w:r>
                    <w:rPr>
                      <w:rFonts w:hint="eastAsia" w:ascii="Times New Roman" w:hAnsi="Times New Roman" w:eastAsia="宋体" w:cs="Times New Roman"/>
                      <w:color w:val="auto"/>
                      <w:kern w:val="2"/>
                      <w:sz w:val="21"/>
                      <w:szCs w:val="21"/>
                      <w:lang w:val="en-US" w:eastAsia="zh-CN" w:bidi="ar-SA"/>
                    </w:rPr>
                    <w:t>引入安徽省长江经济带发展负面清单中</w:t>
                  </w:r>
                  <w:r>
                    <w:rPr>
                      <w:rFonts w:hint="default" w:ascii="Times New Roman" w:hAnsi="Times New Roman" w:eastAsia="宋体" w:cs="Times New Roman"/>
                      <w:color w:val="auto"/>
                      <w:kern w:val="2"/>
                      <w:sz w:val="21"/>
                      <w:szCs w:val="21"/>
                      <w:lang w:val="en-US" w:eastAsia="zh-CN" w:bidi="ar-SA"/>
                    </w:rPr>
                    <w:t>的项目</w:t>
                  </w:r>
                </w:p>
              </w:tc>
              <w:tc>
                <w:tcPr>
                  <w:tcW w:w="3170" w:type="dxa"/>
                  <w:noWrap w:val="0"/>
                  <w:vAlign w:val="center"/>
                </w:tcPr>
                <w:p w14:paraId="15A9DD15">
                  <w:pPr>
                    <w:pStyle w:val="70"/>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w:t>
                  </w:r>
                  <w:r>
                    <w:rPr>
                      <w:rFonts w:hint="eastAsia" w:cs="Times New Roman"/>
                      <w:color w:val="auto"/>
                      <w:sz w:val="21"/>
                      <w:szCs w:val="21"/>
                      <w:lang w:val="en-US" w:eastAsia="zh-CN"/>
                    </w:rPr>
                    <w:t>符合生态环境分区管控要求、“三线一单”及生态环境准入要求；符合国家产业政策；属于水泥熟料生产线生物质替代燃料节能减排技术改造项目，技改项目实施后厂区内实现了节能减排；本项目也不属于安徽省长江经济带发展负面清单中的项目</w:t>
                  </w:r>
                </w:p>
              </w:tc>
              <w:tc>
                <w:tcPr>
                  <w:tcW w:w="1167" w:type="dxa"/>
                  <w:noWrap w:val="0"/>
                  <w:vAlign w:val="center"/>
                </w:tcPr>
                <w:p w14:paraId="3C5BD20D">
                  <w:pPr>
                    <w:pStyle w:val="70"/>
                    <w:keepNext w:val="0"/>
                    <w:keepLines w:val="0"/>
                    <w:pageBreakBefore w:val="0"/>
                    <w:widowControl w:val="0"/>
                    <w:kinsoku/>
                    <w:wordWrap/>
                    <w:overflowPunct/>
                    <w:topLinePunct w:val="0"/>
                    <w:autoSpaceDE/>
                    <w:autoSpaceDN/>
                    <w:bidi w:val="0"/>
                    <w:snapToGrid/>
                    <w:spacing w:before="0" w:after="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14:paraId="77AE0A9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20" w:firstLineChars="200"/>
              <w:jc w:val="left"/>
              <w:textAlignment w:val="auto"/>
              <w:rPr>
                <w:rFonts w:hint="default"/>
                <w:lang w:val="en-US" w:eastAsia="zh-CN"/>
              </w:rPr>
            </w:pPr>
          </w:p>
        </w:tc>
      </w:tr>
      <w:bookmarkEnd w:id="2"/>
      <w:tr w14:paraId="56B365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9" w:type="dxa"/>
            <w:vAlign w:val="center"/>
          </w:tcPr>
          <w:p w14:paraId="17CF68D5">
            <w:pPr>
              <w:keepNext w:val="0"/>
              <w:keepLines w:val="0"/>
              <w:pageBreakBefore w:val="0"/>
              <w:widowControl w:val="0"/>
              <w:kinsoku/>
              <w:wordWrap/>
              <w:overflowPunct/>
              <w:topLinePunct w:val="0"/>
              <w:autoSpaceDE w:val="0"/>
              <w:autoSpaceDN w:val="0"/>
              <w:bidi w:val="0"/>
              <w:adjustRightInd w:val="0"/>
              <w:snapToGrid w:val="0"/>
              <w:spacing w:line="460" w:lineRule="exact"/>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其他符合性分析</w:t>
            </w:r>
          </w:p>
        </w:tc>
        <w:tc>
          <w:tcPr>
            <w:tcW w:w="8780" w:type="dxa"/>
            <w:gridSpan w:val="4"/>
            <w:vAlign w:val="center"/>
          </w:tcPr>
          <w:p w14:paraId="277D834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0000FF"/>
                <w:kern w:val="0"/>
                <w:sz w:val="24"/>
                <w:szCs w:val="24"/>
              </w:rPr>
            </w:pPr>
            <w:r>
              <w:rPr>
                <w:rFonts w:hint="eastAsia" w:ascii="宋体" w:hAnsi="宋体" w:eastAsia="宋体" w:cs="宋体"/>
                <w:b/>
                <w:bCs/>
                <w:color w:val="0000FF"/>
                <w:kern w:val="0"/>
                <w:sz w:val="24"/>
                <w:szCs w:val="24"/>
                <w:lang w:val="en-US" w:eastAsia="zh-CN"/>
              </w:rPr>
              <w:t>一</w:t>
            </w:r>
            <w:r>
              <w:rPr>
                <w:rFonts w:hint="eastAsia" w:ascii="宋体" w:hAnsi="宋体" w:eastAsia="宋体" w:cs="宋体"/>
                <w:b/>
                <w:bCs/>
                <w:color w:val="0000FF"/>
                <w:kern w:val="0"/>
                <w:sz w:val="24"/>
                <w:szCs w:val="24"/>
              </w:rPr>
              <w:t>、</w:t>
            </w:r>
            <w:r>
              <w:rPr>
                <w:rFonts w:hint="eastAsia" w:ascii="宋体" w:hAnsi="宋体" w:eastAsia="宋体" w:cs="宋体"/>
                <w:b/>
                <w:bCs/>
                <w:color w:val="0000FF"/>
                <w:kern w:val="0"/>
                <w:sz w:val="24"/>
                <w:szCs w:val="24"/>
                <w:lang w:val="en-US" w:eastAsia="zh-CN"/>
              </w:rPr>
              <w:t>与</w:t>
            </w:r>
            <w:r>
              <w:rPr>
                <w:rFonts w:hint="eastAsia" w:ascii="宋体" w:hAnsi="宋体" w:eastAsia="宋体" w:cs="宋体"/>
                <w:b/>
                <w:bCs/>
                <w:color w:val="0000FF"/>
                <w:kern w:val="0"/>
                <w:sz w:val="24"/>
                <w:szCs w:val="24"/>
              </w:rPr>
              <w:t>“三线一单”相符性分析</w:t>
            </w:r>
          </w:p>
          <w:p w14:paraId="677819B9">
            <w:pPr>
              <w:autoSpaceDE w:val="0"/>
              <w:autoSpaceDN w:val="0"/>
              <w:adjustRightInd w:val="0"/>
              <w:snapToGrid w:val="0"/>
              <w:spacing w:line="360" w:lineRule="auto"/>
              <w:ind w:firstLine="480" w:firstLineChars="200"/>
              <w:jc w:val="both"/>
              <w:rPr>
                <w:rFonts w:hint="eastAsia" w:cs="Times New Roman"/>
                <w:color w:val="0000FF"/>
                <w:kern w:val="0"/>
                <w:sz w:val="24"/>
                <w:szCs w:val="24"/>
                <w:lang w:val="en-US" w:eastAsia="zh-CN"/>
              </w:rPr>
            </w:pPr>
            <w:r>
              <w:rPr>
                <w:rFonts w:hint="eastAsia" w:cs="Times New Roman"/>
                <w:color w:val="0000FF"/>
                <w:kern w:val="0"/>
                <w:sz w:val="24"/>
                <w:szCs w:val="24"/>
                <w:lang w:val="en-US" w:eastAsia="zh-CN"/>
              </w:rPr>
              <w:t>根据生态环境部发布的《关于以改善环境质量为核心加强环境影响评价管理的通知》，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14:paraId="00BEA37A">
            <w:pPr>
              <w:autoSpaceDE w:val="0"/>
              <w:autoSpaceDN w:val="0"/>
              <w:adjustRightInd w:val="0"/>
              <w:snapToGrid w:val="0"/>
              <w:spacing w:line="360" w:lineRule="auto"/>
              <w:ind w:firstLine="480" w:firstLineChars="200"/>
              <w:jc w:val="both"/>
              <w:rPr>
                <w:rFonts w:hint="eastAsia" w:ascii="宋体" w:hAnsi="宋体" w:eastAsia="宋体" w:cs="宋体"/>
                <w:color w:val="0000FF"/>
                <w:kern w:val="0"/>
                <w:sz w:val="24"/>
                <w:szCs w:val="24"/>
              </w:rPr>
            </w:pPr>
            <w:r>
              <w:rPr>
                <w:rFonts w:hint="default" w:ascii="Times New Roman" w:hAnsi="Times New Roman" w:eastAsia="宋体" w:cs="Times New Roman"/>
                <w:color w:val="0000FF"/>
                <w:kern w:val="0"/>
                <w:sz w:val="24"/>
                <w:szCs w:val="24"/>
                <w:lang w:val="en-US" w:eastAsia="zh-CN"/>
              </w:rPr>
              <w:t>1</w:t>
            </w:r>
            <w:r>
              <w:rPr>
                <w:rFonts w:hint="default" w:ascii="Times New Roman" w:hAnsi="Times New Roman" w:eastAsia="宋体" w:cs="Times New Roman"/>
                <w:color w:val="0000FF"/>
                <w:kern w:val="0"/>
                <w:sz w:val="24"/>
                <w:szCs w:val="24"/>
              </w:rPr>
              <w:t>、</w:t>
            </w:r>
            <w:r>
              <w:rPr>
                <w:rFonts w:hint="eastAsia" w:ascii="宋体" w:hAnsi="宋体" w:eastAsia="宋体" w:cs="宋体"/>
                <w:color w:val="0000FF"/>
                <w:kern w:val="0"/>
                <w:sz w:val="24"/>
                <w:szCs w:val="24"/>
              </w:rPr>
              <w:t>生态保护红线</w:t>
            </w:r>
          </w:p>
          <w:p w14:paraId="42BD2543">
            <w:pPr>
              <w:autoSpaceDE w:val="0"/>
              <w:autoSpaceDN w:val="0"/>
              <w:adjustRightInd w:val="0"/>
              <w:snapToGrid w:val="0"/>
              <w:spacing w:line="360" w:lineRule="auto"/>
              <w:ind w:firstLine="480" w:firstLineChars="200"/>
              <w:jc w:val="both"/>
              <w:rPr>
                <w:rFonts w:hint="default" w:ascii="Times New Roman" w:hAnsi="Times New Roman" w:cs="Times New Roman"/>
                <w:color w:val="0000FF"/>
                <w:kern w:val="0"/>
                <w:sz w:val="24"/>
                <w:szCs w:val="24"/>
              </w:rPr>
            </w:pPr>
            <w:r>
              <w:rPr>
                <w:rFonts w:hint="eastAsia" w:ascii="宋体" w:hAnsi="宋体" w:eastAsia="宋体" w:cs="宋体"/>
                <w:color w:val="0000FF"/>
                <w:kern w:val="0"/>
                <w:sz w:val="24"/>
                <w:szCs w:val="24"/>
              </w:rPr>
              <w:t>“生态保护红线”是“生态空间范围内具有特殊重要生态功能必须实行强制性严格保护的区域”。</w:t>
            </w:r>
            <w:r>
              <w:rPr>
                <w:rFonts w:hint="default" w:ascii="Times New Roman" w:hAnsi="Times New Roman" w:cs="Times New Roman"/>
                <w:color w:val="0000FF"/>
                <w:kern w:val="0"/>
                <w:sz w:val="24"/>
                <w:szCs w:val="24"/>
              </w:rPr>
              <w:t>本项目位于</w:t>
            </w:r>
            <w:r>
              <w:rPr>
                <w:rFonts w:hint="eastAsia" w:cs="Times New Roman"/>
                <w:color w:val="0000FF"/>
                <w:kern w:val="0"/>
                <w:sz w:val="24"/>
                <w:szCs w:val="24"/>
                <w:lang w:eastAsia="zh-CN"/>
              </w:rPr>
              <w:t>淮北市杜集区东山路202号（淮北众城水泥有限责任公司院内）</w:t>
            </w:r>
            <w:r>
              <w:rPr>
                <w:rFonts w:hint="default" w:ascii="Times New Roman" w:hAnsi="Times New Roman" w:cs="Times New Roman"/>
                <w:color w:val="0000FF"/>
                <w:kern w:val="0"/>
                <w:sz w:val="24"/>
                <w:szCs w:val="24"/>
              </w:rPr>
              <w:t>，用地为工业用地。对照淮北市生态保护红线</w:t>
            </w:r>
            <w:r>
              <w:rPr>
                <w:rFonts w:hint="eastAsia" w:cs="Times New Roman"/>
                <w:color w:val="0000FF"/>
                <w:kern w:val="0"/>
                <w:sz w:val="24"/>
                <w:szCs w:val="24"/>
                <w:lang w:eastAsia="zh-CN"/>
              </w:rPr>
              <w:t>分布</w:t>
            </w:r>
            <w:r>
              <w:rPr>
                <w:rFonts w:hint="default" w:ascii="Times New Roman" w:hAnsi="Times New Roman" w:cs="Times New Roman"/>
                <w:color w:val="0000FF"/>
                <w:kern w:val="0"/>
                <w:sz w:val="24"/>
                <w:szCs w:val="24"/>
              </w:rPr>
              <w:t>图（详见附图</w:t>
            </w:r>
            <w:r>
              <w:rPr>
                <w:rFonts w:hint="eastAsia" w:cs="Times New Roman"/>
                <w:color w:val="0000FF"/>
                <w:kern w:val="0"/>
                <w:sz w:val="24"/>
                <w:szCs w:val="24"/>
                <w:lang w:val="en-US" w:eastAsia="zh-CN"/>
              </w:rPr>
              <w:t>7</w:t>
            </w:r>
            <w:r>
              <w:rPr>
                <w:rFonts w:hint="default" w:ascii="Times New Roman" w:hAnsi="Times New Roman" w:cs="Times New Roman"/>
                <w:color w:val="0000FF"/>
                <w:kern w:val="0"/>
                <w:sz w:val="24"/>
                <w:szCs w:val="24"/>
              </w:rPr>
              <w:t>），项目建设区域不在划定的淮北市生态保护红线区域，故项目建设符合空间生态管控与布局要求。</w:t>
            </w:r>
          </w:p>
          <w:p w14:paraId="7EE8E3C4">
            <w:pPr>
              <w:autoSpaceDE w:val="0"/>
              <w:autoSpaceDN w:val="0"/>
              <w:adjustRightInd w:val="0"/>
              <w:snapToGrid w:val="0"/>
              <w:spacing w:line="360" w:lineRule="auto"/>
              <w:ind w:firstLine="480" w:firstLineChars="200"/>
              <w:jc w:val="both"/>
              <w:rPr>
                <w:rFonts w:hint="default" w:ascii="Times New Roman" w:hAnsi="Times New Roman" w:cs="Times New Roman"/>
                <w:color w:val="0000FF"/>
                <w:kern w:val="0"/>
                <w:sz w:val="24"/>
                <w:szCs w:val="24"/>
              </w:rPr>
            </w:pPr>
            <w:r>
              <w:rPr>
                <w:rFonts w:hint="default" w:ascii="Times New Roman" w:hAnsi="Times New Roman" w:cs="Times New Roman"/>
                <w:color w:val="0000FF"/>
                <w:kern w:val="0"/>
                <w:sz w:val="24"/>
                <w:szCs w:val="24"/>
              </w:rPr>
              <w:t>2、环境质量底线</w:t>
            </w:r>
          </w:p>
          <w:p w14:paraId="54533FFA">
            <w:pPr>
              <w:autoSpaceDE w:val="0"/>
              <w:autoSpaceDN w:val="0"/>
              <w:adjustRightInd w:val="0"/>
              <w:snapToGrid w:val="0"/>
              <w:spacing w:line="360" w:lineRule="auto"/>
              <w:ind w:firstLine="480" w:firstLineChars="200"/>
              <w:jc w:val="both"/>
              <w:rPr>
                <w:rFonts w:hint="default" w:ascii="Times New Roman" w:hAnsi="Times New Roman" w:cs="Times New Roman"/>
                <w:color w:val="0000FF"/>
                <w:kern w:val="0"/>
                <w:sz w:val="24"/>
                <w:szCs w:val="24"/>
              </w:rPr>
            </w:pPr>
            <w:r>
              <w:rPr>
                <w:rFonts w:hint="default" w:ascii="Times New Roman" w:hAnsi="Times New Roman" w:cs="Times New Roman"/>
                <w:color w:val="0000FF"/>
                <w:kern w:val="0"/>
                <w:sz w:val="24"/>
                <w:szCs w:val="24"/>
              </w:rPr>
              <w:t>根据《20</w:t>
            </w:r>
            <w:r>
              <w:rPr>
                <w:rFonts w:hint="eastAsia" w:cs="Times New Roman"/>
                <w:color w:val="0000FF"/>
                <w:kern w:val="0"/>
                <w:sz w:val="24"/>
                <w:szCs w:val="24"/>
                <w:lang w:val="en-US" w:eastAsia="zh-CN"/>
              </w:rPr>
              <w:t>23</w:t>
            </w:r>
            <w:r>
              <w:rPr>
                <w:rFonts w:hint="default" w:ascii="Times New Roman" w:hAnsi="Times New Roman" w:cs="Times New Roman"/>
                <w:color w:val="0000FF"/>
                <w:kern w:val="0"/>
                <w:sz w:val="24"/>
                <w:szCs w:val="24"/>
              </w:rPr>
              <w:t>年度淮北市生态环境状况公报》，超过《环境空气质量标准》（GB</w:t>
            </w:r>
            <w:r>
              <w:rPr>
                <w:rFonts w:hint="eastAsia" w:cs="Times New Roman"/>
                <w:color w:val="0000FF"/>
                <w:kern w:val="0"/>
                <w:sz w:val="24"/>
                <w:szCs w:val="24"/>
                <w:lang w:val="en-US" w:eastAsia="zh-CN"/>
              </w:rPr>
              <w:t xml:space="preserve"> </w:t>
            </w:r>
            <w:r>
              <w:rPr>
                <w:rFonts w:hint="default" w:ascii="Times New Roman" w:hAnsi="Times New Roman" w:cs="Times New Roman"/>
                <w:color w:val="0000FF"/>
                <w:kern w:val="0"/>
                <w:sz w:val="24"/>
                <w:szCs w:val="24"/>
              </w:rPr>
              <w:t>3095-2012）</w:t>
            </w:r>
            <w:r>
              <w:rPr>
                <w:rFonts w:hint="eastAsia" w:cs="Times New Roman"/>
                <w:color w:val="0000FF"/>
                <w:kern w:val="0"/>
                <w:sz w:val="24"/>
                <w:szCs w:val="24"/>
                <w:lang w:eastAsia="zh-CN"/>
              </w:rPr>
              <w:t>（含</w:t>
            </w:r>
            <w:r>
              <w:rPr>
                <w:rFonts w:hint="eastAsia" w:cs="Times New Roman"/>
                <w:color w:val="0000FF"/>
                <w:kern w:val="0"/>
                <w:sz w:val="24"/>
                <w:szCs w:val="24"/>
                <w:lang w:val="en-US" w:eastAsia="zh-CN"/>
              </w:rPr>
              <w:t>2018年修改单</w:t>
            </w:r>
            <w:r>
              <w:rPr>
                <w:rFonts w:hint="eastAsia" w:cs="Times New Roman"/>
                <w:color w:val="0000FF"/>
                <w:kern w:val="0"/>
                <w:sz w:val="24"/>
                <w:szCs w:val="24"/>
                <w:lang w:eastAsia="zh-CN"/>
              </w:rPr>
              <w:t>）</w:t>
            </w:r>
            <w:r>
              <w:rPr>
                <w:rFonts w:hint="default" w:ascii="Times New Roman" w:hAnsi="Times New Roman" w:cs="Times New Roman"/>
                <w:color w:val="0000FF"/>
                <w:kern w:val="0"/>
                <w:sz w:val="24"/>
                <w:szCs w:val="24"/>
              </w:rPr>
              <w:t>中二级标准限值的污染物为臭氧和PM</w:t>
            </w:r>
            <w:r>
              <w:rPr>
                <w:rFonts w:hint="default" w:ascii="Times New Roman" w:hAnsi="Times New Roman" w:cs="Times New Roman"/>
                <w:color w:val="0000FF"/>
                <w:kern w:val="0"/>
                <w:sz w:val="24"/>
                <w:szCs w:val="24"/>
                <w:vertAlign w:val="subscript"/>
              </w:rPr>
              <w:t>2.5</w:t>
            </w:r>
            <w:r>
              <w:rPr>
                <w:rFonts w:hint="default" w:ascii="Times New Roman" w:hAnsi="Times New Roman" w:cs="Times New Roman"/>
                <w:color w:val="0000FF"/>
                <w:kern w:val="0"/>
                <w:sz w:val="24"/>
                <w:szCs w:val="24"/>
              </w:rPr>
              <w:t>，判定淮北市为环境空气质量不达标区。拟建项目在采取环评提出的相关防治措施后，排放的各项污染物不会对区域环境造成较大影响。本项目建设符合环境质量底线要求。</w:t>
            </w:r>
          </w:p>
          <w:p w14:paraId="7CCE3A06">
            <w:pPr>
              <w:autoSpaceDE w:val="0"/>
              <w:autoSpaceDN w:val="0"/>
              <w:adjustRightInd w:val="0"/>
              <w:snapToGrid w:val="0"/>
              <w:spacing w:line="360" w:lineRule="auto"/>
              <w:ind w:firstLine="480" w:firstLineChars="200"/>
              <w:jc w:val="both"/>
              <w:rPr>
                <w:rFonts w:hint="default" w:ascii="Times New Roman" w:hAnsi="Times New Roman" w:cs="Times New Roman"/>
                <w:color w:val="0000FF"/>
                <w:kern w:val="0"/>
                <w:sz w:val="24"/>
                <w:szCs w:val="24"/>
              </w:rPr>
            </w:pPr>
            <w:r>
              <w:rPr>
                <w:rFonts w:hint="default" w:ascii="Times New Roman" w:hAnsi="Times New Roman" w:cs="Times New Roman"/>
                <w:color w:val="0000FF"/>
                <w:kern w:val="0"/>
                <w:sz w:val="24"/>
                <w:szCs w:val="24"/>
              </w:rPr>
              <w:t>3、资源利用上线</w:t>
            </w:r>
          </w:p>
          <w:p w14:paraId="4EADE1AC">
            <w:pPr>
              <w:autoSpaceDE w:val="0"/>
              <w:autoSpaceDN w:val="0"/>
              <w:adjustRightInd w:val="0"/>
              <w:snapToGrid w:val="0"/>
              <w:spacing w:line="360" w:lineRule="auto"/>
              <w:ind w:firstLine="480" w:firstLineChars="200"/>
              <w:jc w:val="both"/>
              <w:rPr>
                <w:rFonts w:hint="default" w:ascii="Times New Roman" w:hAnsi="Times New Roman" w:eastAsia="宋体" w:cs="Times New Roman"/>
                <w:color w:val="0000FF"/>
                <w:kern w:val="0"/>
                <w:sz w:val="24"/>
                <w:szCs w:val="24"/>
              </w:rPr>
            </w:pPr>
            <w:r>
              <w:rPr>
                <w:rFonts w:hint="default" w:ascii="Times New Roman" w:hAnsi="Times New Roman" w:eastAsia="宋体" w:cs="Times New Roman"/>
                <w:color w:val="0000FF"/>
                <w:kern w:val="0"/>
                <w:sz w:val="24"/>
                <w:szCs w:val="24"/>
              </w:rPr>
              <w:t>本项目</w:t>
            </w:r>
            <w:r>
              <w:rPr>
                <w:rFonts w:hint="eastAsia" w:cs="Times New Roman"/>
                <w:color w:val="0000FF"/>
                <w:kern w:val="0"/>
                <w:sz w:val="24"/>
                <w:szCs w:val="24"/>
                <w:lang w:eastAsia="zh-CN"/>
              </w:rPr>
              <w:t>国民经济行业类别属于“N7723</w:t>
            </w:r>
            <w:r>
              <w:rPr>
                <w:rFonts w:hint="eastAsia" w:cs="Times New Roman"/>
                <w:color w:val="0000FF"/>
                <w:kern w:val="0"/>
                <w:sz w:val="24"/>
                <w:szCs w:val="24"/>
                <w:lang w:val="en-US" w:eastAsia="zh-CN"/>
              </w:rPr>
              <w:t xml:space="preserve"> </w:t>
            </w:r>
            <w:r>
              <w:rPr>
                <w:rFonts w:hint="eastAsia" w:cs="Times New Roman"/>
                <w:color w:val="0000FF"/>
                <w:kern w:val="0"/>
                <w:sz w:val="24"/>
                <w:szCs w:val="24"/>
                <w:lang w:eastAsia="zh-CN"/>
              </w:rPr>
              <w:t>固体废物治理”</w:t>
            </w:r>
            <w:r>
              <w:rPr>
                <w:rFonts w:hint="default" w:ascii="Times New Roman" w:hAnsi="Times New Roman" w:eastAsia="宋体" w:cs="Times New Roman"/>
                <w:color w:val="0000FF"/>
                <w:kern w:val="0"/>
                <w:sz w:val="24"/>
                <w:szCs w:val="24"/>
              </w:rPr>
              <w:t>，为</w:t>
            </w:r>
            <w:r>
              <w:rPr>
                <w:rFonts w:hint="eastAsia" w:cs="Times New Roman"/>
                <w:color w:val="0000FF"/>
                <w:kern w:val="0"/>
                <w:sz w:val="24"/>
                <w:szCs w:val="24"/>
                <w:lang w:eastAsia="zh-CN"/>
              </w:rPr>
              <w:t>技术改造</w:t>
            </w:r>
            <w:r>
              <w:rPr>
                <w:rFonts w:hint="default" w:ascii="Times New Roman" w:hAnsi="Times New Roman" w:eastAsia="宋体" w:cs="Times New Roman"/>
                <w:color w:val="0000FF"/>
                <w:kern w:val="0"/>
                <w:sz w:val="24"/>
                <w:szCs w:val="24"/>
              </w:rPr>
              <w:t>项目，本项目生产过程中不新增用水环节，不开采地下水，不会对区域水资源产生影响；项目用电由市政电网所供给，不会达到资源利用上线；项目位于淮北市杜集区东山路202号（淮北众城水泥有限责任公司院内），所在区域不会超出区域土地资源上线，项目不新增煤等能源使用，亦不会达到资源利用上线。</w:t>
            </w:r>
          </w:p>
          <w:p w14:paraId="6EC85FE6">
            <w:pPr>
              <w:autoSpaceDE w:val="0"/>
              <w:autoSpaceDN w:val="0"/>
              <w:adjustRightInd w:val="0"/>
              <w:snapToGrid w:val="0"/>
              <w:spacing w:line="360" w:lineRule="auto"/>
              <w:ind w:firstLine="480" w:firstLineChars="200"/>
              <w:jc w:val="both"/>
              <w:rPr>
                <w:rFonts w:hint="default" w:ascii="Times New Roman" w:hAnsi="Times New Roman" w:cs="Times New Roman"/>
                <w:color w:val="0000FF"/>
                <w:kern w:val="0"/>
                <w:sz w:val="24"/>
                <w:szCs w:val="24"/>
              </w:rPr>
            </w:pPr>
            <w:r>
              <w:rPr>
                <w:rFonts w:hint="default" w:ascii="Times New Roman" w:hAnsi="Times New Roman" w:cs="Times New Roman"/>
                <w:color w:val="0000FF"/>
                <w:kern w:val="0"/>
                <w:sz w:val="24"/>
                <w:szCs w:val="24"/>
              </w:rPr>
              <w:t>4、</w:t>
            </w:r>
            <w:r>
              <w:rPr>
                <w:rFonts w:hint="eastAsia" w:cs="Times New Roman"/>
                <w:color w:val="0000FF"/>
                <w:kern w:val="0"/>
                <w:sz w:val="24"/>
                <w:szCs w:val="24"/>
                <w:lang w:val="en-US" w:eastAsia="zh-CN"/>
              </w:rPr>
              <w:t>生态环境准入</w:t>
            </w:r>
            <w:r>
              <w:rPr>
                <w:rFonts w:hint="default" w:ascii="Times New Roman" w:hAnsi="Times New Roman" w:cs="Times New Roman"/>
                <w:color w:val="0000FF"/>
                <w:kern w:val="0"/>
                <w:sz w:val="24"/>
                <w:szCs w:val="24"/>
              </w:rPr>
              <w:t>清单</w:t>
            </w:r>
          </w:p>
          <w:p w14:paraId="275B4E29">
            <w:pPr>
              <w:pStyle w:val="11"/>
              <w:spacing w:line="360" w:lineRule="auto"/>
              <w:ind w:firstLine="480" w:firstLineChars="200"/>
              <w:jc w:val="both"/>
              <w:rPr>
                <w:rFonts w:hint="default" w:ascii="Times New Roman" w:hAnsi="Times New Roman" w:cs="Times New Roman"/>
                <w:color w:val="0000FF"/>
              </w:rPr>
            </w:pPr>
            <w:r>
              <w:rPr>
                <w:rFonts w:hint="default" w:ascii="Times New Roman" w:hAnsi="Times New Roman" w:cs="Times New Roman"/>
                <w:color w:val="0000FF"/>
              </w:rPr>
              <w:t>本环评对照国家及地方产业政策和《市场准入负面清单（2022年版）》进行说明：本项目为</w:t>
            </w:r>
            <w:r>
              <w:rPr>
                <w:rFonts w:hint="eastAsia" w:ascii="宋体" w:hAnsi="宋体" w:eastAsia="宋体" w:cs="宋体"/>
                <w:color w:val="0000FF"/>
              </w:rPr>
              <w:t>“</w:t>
            </w:r>
            <w:r>
              <w:rPr>
                <w:rFonts w:hint="eastAsia" w:cs="Times New Roman"/>
                <w:color w:val="0000FF"/>
                <w:lang w:eastAsia="zh-CN"/>
              </w:rPr>
              <w:t>N7723</w:t>
            </w:r>
            <w:r>
              <w:rPr>
                <w:rFonts w:hint="eastAsia" w:cs="Times New Roman"/>
                <w:color w:val="0000FF"/>
                <w:lang w:val="en-US" w:eastAsia="zh-CN"/>
              </w:rPr>
              <w:t xml:space="preserve"> </w:t>
            </w:r>
            <w:r>
              <w:rPr>
                <w:rFonts w:hint="eastAsia" w:cs="Times New Roman"/>
                <w:color w:val="0000FF"/>
                <w:lang w:eastAsia="zh-CN"/>
              </w:rPr>
              <w:t>固体废物治理</w:t>
            </w:r>
            <w:r>
              <w:rPr>
                <w:rFonts w:hint="eastAsia" w:ascii="宋体" w:hAnsi="宋体" w:eastAsia="宋体" w:cs="宋体"/>
                <w:color w:val="0000FF"/>
              </w:rPr>
              <w:t>”</w:t>
            </w:r>
            <w:r>
              <w:rPr>
                <w:rFonts w:hint="default" w:ascii="Times New Roman" w:hAnsi="Times New Roman" w:cs="Times New Roman"/>
                <w:color w:val="0000FF"/>
              </w:rPr>
              <w:t>，不属于《市场准入负面清单（2022年版）》中禁止准入类项目。根据《产业结构调整指导目录（2024年本）》，本项目属于</w:t>
            </w:r>
            <w:r>
              <w:rPr>
                <w:rFonts w:hint="eastAsia" w:cs="Times New Roman"/>
                <w:color w:val="0000FF"/>
                <w:lang w:eastAsia="zh-CN"/>
              </w:rPr>
              <w:t>鼓励类</w:t>
            </w:r>
            <w:r>
              <w:rPr>
                <w:rFonts w:hint="default" w:ascii="Times New Roman" w:hAnsi="Times New Roman" w:cs="Times New Roman"/>
                <w:color w:val="0000FF"/>
              </w:rPr>
              <w:t>产业项目。项目所在地没有环境准入负面清单，所用相关设备均不属于《安徽省工业产业结构调整指导目录》（2007年本）中明令淘汰使用的范围内。本项目符合国家和地方的相关产业政策。且该项目得到安徽淮北杜集经济开发区管理委员会立项批准。本项目符合国家和地方的相关产业政策。</w:t>
            </w:r>
          </w:p>
          <w:p w14:paraId="7B508D5C">
            <w:pPr>
              <w:pStyle w:val="11"/>
              <w:spacing w:line="360" w:lineRule="auto"/>
              <w:ind w:firstLine="480" w:firstLineChars="200"/>
              <w:jc w:val="both"/>
              <w:rPr>
                <w:rFonts w:hint="default" w:ascii="Times New Roman" w:hAnsi="Times New Roman" w:cs="Times New Roman"/>
                <w:color w:val="0000FF"/>
              </w:rPr>
            </w:pPr>
            <w:r>
              <w:rPr>
                <w:rFonts w:hint="default" w:ascii="Times New Roman" w:hAnsi="Times New Roman" w:cs="Times New Roman"/>
                <w:color w:val="0000FF"/>
              </w:rPr>
              <w:t>综上所述，本项目建设不涉及生态红线，符合《安徽省生态保护红线》要求；区域环境质量不低于项目所在地环境功能区划要求，且有一定的环境容量，不会突破周边环境质量底线；项目使用的能源主要为电，不超出当地资源利用上线；本项目符合国家和地方产业结构调整指导目录，不属于《市场准入负面清单（2022年版）》中禁止准入类项目。</w:t>
            </w:r>
          </w:p>
          <w:p w14:paraId="23A148E3">
            <w:pPr>
              <w:pStyle w:val="11"/>
              <w:spacing w:line="360" w:lineRule="auto"/>
              <w:ind w:firstLine="480" w:firstLineChars="200"/>
              <w:jc w:val="both"/>
              <w:rPr>
                <w:rFonts w:hint="default" w:ascii="Times New Roman" w:hAnsi="Times New Roman" w:eastAsia="宋体" w:cs="Times New Roman"/>
                <w:b/>
                <w:bCs/>
                <w:color w:val="0000FF"/>
                <w:lang w:eastAsia="zh-CN"/>
              </w:rPr>
            </w:pPr>
            <w:r>
              <w:rPr>
                <w:rFonts w:hint="default" w:ascii="Times New Roman" w:hAnsi="Times New Roman" w:cs="Times New Roman"/>
                <w:color w:val="0000FF"/>
              </w:rPr>
              <w:t>因此，项目</w:t>
            </w:r>
            <w:r>
              <w:rPr>
                <w:rFonts w:hint="eastAsia" w:ascii="宋体" w:hAnsi="宋体" w:eastAsia="宋体" w:cs="宋体"/>
                <w:color w:val="0000FF"/>
              </w:rPr>
              <w:t>符合“三线一单”及国</w:t>
            </w:r>
            <w:r>
              <w:rPr>
                <w:rFonts w:hint="default" w:ascii="Times New Roman" w:hAnsi="Times New Roman" w:cs="Times New Roman"/>
                <w:color w:val="0000FF"/>
              </w:rPr>
              <w:t>家和地方产业政策的相关要求。</w:t>
            </w:r>
          </w:p>
          <w:p w14:paraId="19487FF6">
            <w:pPr>
              <w:autoSpaceDE w:val="0"/>
              <w:autoSpaceDN w:val="0"/>
              <w:adjustRightInd w:val="0"/>
              <w:snapToGrid w:val="0"/>
              <w:spacing w:line="360" w:lineRule="auto"/>
              <w:ind w:firstLine="482" w:firstLineChars="200"/>
              <w:jc w:val="both"/>
              <w:rPr>
                <w:rFonts w:hint="default" w:ascii="Times New Roman" w:hAnsi="Times New Roman" w:eastAsia="宋体" w:cs="Times New Roman"/>
                <w:b/>
                <w:bCs/>
                <w:color w:val="0000FF"/>
                <w:sz w:val="24"/>
                <w:szCs w:val="24"/>
              </w:rPr>
            </w:pPr>
            <w:r>
              <w:rPr>
                <w:rFonts w:hint="default" w:ascii="Times New Roman" w:hAnsi="Times New Roman" w:eastAsia="宋体" w:cs="Times New Roman"/>
                <w:b/>
                <w:bCs/>
                <w:color w:val="0000FF"/>
                <w:sz w:val="24"/>
                <w:szCs w:val="24"/>
                <w:lang w:val="en-US" w:eastAsia="zh-CN"/>
              </w:rPr>
              <w:t>二</w:t>
            </w:r>
            <w:r>
              <w:rPr>
                <w:rFonts w:hint="default" w:ascii="Times New Roman" w:hAnsi="Times New Roman" w:eastAsia="宋体" w:cs="Times New Roman"/>
                <w:b/>
                <w:bCs/>
                <w:color w:val="0000FF"/>
                <w:sz w:val="24"/>
                <w:szCs w:val="24"/>
              </w:rPr>
              <w:t>、与《安</w:t>
            </w:r>
            <w:r>
              <w:rPr>
                <w:rFonts w:hint="eastAsia" w:ascii="宋体" w:hAnsi="宋体" w:eastAsia="宋体" w:cs="宋体"/>
                <w:b/>
                <w:bCs/>
                <w:color w:val="0000FF"/>
                <w:sz w:val="24"/>
                <w:szCs w:val="24"/>
              </w:rPr>
              <w:t>徽省“三线一单”生态环境分区管控管理办法（暂行）</w:t>
            </w:r>
            <w:r>
              <w:rPr>
                <w:rFonts w:hint="default" w:ascii="Times New Roman" w:hAnsi="Times New Roman" w:eastAsia="宋体" w:cs="Times New Roman"/>
                <w:b/>
                <w:bCs/>
                <w:color w:val="0000FF"/>
                <w:sz w:val="24"/>
                <w:szCs w:val="24"/>
              </w:rPr>
              <w:t>》（皖环发[2022]5号）符合性分析</w:t>
            </w:r>
          </w:p>
          <w:p w14:paraId="4FF8B4E8">
            <w:pPr>
              <w:autoSpaceDE w:val="0"/>
              <w:autoSpaceDN w:val="0"/>
              <w:adjustRightInd w:val="0"/>
              <w:snapToGrid w:val="0"/>
              <w:spacing w:line="360" w:lineRule="auto"/>
              <w:ind w:firstLine="480" w:firstLineChars="200"/>
              <w:jc w:val="both"/>
              <w:rPr>
                <w:rFonts w:hint="default" w:ascii="Times New Roman" w:hAnsi="Times New Roman" w:cs="Times New Roman"/>
                <w:color w:val="0000FF"/>
                <w:sz w:val="24"/>
                <w:szCs w:val="24"/>
              </w:rPr>
            </w:pPr>
            <w:r>
              <w:rPr>
                <w:rFonts w:hint="default" w:ascii="Times New Roman" w:hAnsi="Times New Roman" w:cs="Times New Roman"/>
                <w:color w:val="0000FF"/>
                <w:sz w:val="24"/>
                <w:szCs w:val="24"/>
              </w:rPr>
              <w:t>根据安徽省生态环境厅发布的《安</w:t>
            </w:r>
            <w:r>
              <w:rPr>
                <w:rFonts w:hint="eastAsia" w:ascii="宋体" w:hAnsi="宋体" w:eastAsia="宋体" w:cs="宋体"/>
                <w:color w:val="0000FF"/>
                <w:sz w:val="24"/>
                <w:szCs w:val="24"/>
              </w:rPr>
              <w:t>徽省“三线一单”</w:t>
            </w:r>
            <w:r>
              <w:rPr>
                <w:rFonts w:hint="default" w:ascii="Times New Roman" w:hAnsi="Times New Roman" w:cs="Times New Roman"/>
                <w:color w:val="0000FF"/>
                <w:sz w:val="24"/>
                <w:szCs w:val="24"/>
              </w:rPr>
              <w:t>生态环境分区管控管理办法（暂行）》（皖环发﹝2022〕5号）（以下简称《办法》），《办法》要求</w:t>
            </w:r>
            <w:r>
              <w:rPr>
                <w:rFonts w:hint="eastAsia" w:ascii="宋体" w:hAnsi="宋体" w:eastAsia="宋体" w:cs="宋体"/>
                <w:color w:val="0000FF"/>
                <w:sz w:val="24"/>
                <w:szCs w:val="24"/>
              </w:rPr>
              <w:t>“</w:t>
            </w:r>
            <w:r>
              <w:rPr>
                <w:rFonts w:hint="eastAsia" w:ascii="宋体" w:hAnsi="宋体" w:cs="宋体"/>
                <w:color w:val="0000FF"/>
                <w:sz w:val="24"/>
                <w:szCs w:val="24"/>
                <w:lang w:eastAsia="zh-CN"/>
              </w:rPr>
              <w:t>（二）</w:t>
            </w:r>
            <w:r>
              <w:rPr>
                <w:rFonts w:hint="eastAsia" w:ascii="宋体" w:hAnsi="宋体" w:eastAsia="宋体" w:cs="宋体"/>
                <w:color w:val="0000FF"/>
                <w:sz w:val="24"/>
                <w:szCs w:val="24"/>
              </w:rPr>
              <w:t>在建设项目环评中，做好与“三线一单”生态环境分区管控相符性分析，充分论证是否符合生态环境准入清单要求，对不符合的依法不予审批。”</w:t>
            </w:r>
            <w:r>
              <w:rPr>
                <w:rFonts w:hint="default" w:ascii="Times New Roman" w:hAnsi="Times New Roman" w:cs="Times New Roman"/>
                <w:color w:val="0000FF"/>
                <w:sz w:val="24"/>
                <w:szCs w:val="24"/>
              </w:rPr>
              <w:t>。本项目与《安徽</w:t>
            </w:r>
            <w:r>
              <w:rPr>
                <w:rFonts w:hint="eastAsia" w:ascii="宋体" w:hAnsi="宋体" w:eastAsia="宋体" w:cs="宋体"/>
                <w:color w:val="0000FF"/>
                <w:sz w:val="24"/>
                <w:szCs w:val="24"/>
              </w:rPr>
              <w:t>省“三线一单”生态</w:t>
            </w:r>
            <w:r>
              <w:rPr>
                <w:rFonts w:hint="default" w:ascii="Times New Roman" w:hAnsi="Times New Roman" w:cs="Times New Roman"/>
                <w:color w:val="0000FF"/>
                <w:sz w:val="24"/>
                <w:szCs w:val="24"/>
              </w:rPr>
              <w:t>环境分区管控管理办法（暂行）》符合性如下：</w:t>
            </w:r>
          </w:p>
          <w:p w14:paraId="4E33314B">
            <w:pPr>
              <w:numPr>
                <w:ilvl w:val="0"/>
                <w:numId w:val="0"/>
              </w:numPr>
              <w:autoSpaceDE w:val="0"/>
              <w:autoSpaceDN w:val="0"/>
              <w:adjustRightInd w:val="0"/>
              <w:snapToGrid w:val="0"/>
              <w:spacing w:line="360" w:lineRule="auto"/>
              <w:ind w:firstLine="480" w:firstLineChars="200"/>
              <w:jc w:val="both"/>
              <w:rPr>
                <w:rFonts w:hint="eastAsia" w:cs="Times New Roman"/>
                <w:color w:val="0000FF"/>
                <w:sz w:val="24"/>
                <w:szCs w:val="24"/>
                <w:lang w:val="en-US" w:eastAsia="zh-CN"/>
              </w:rPr>
            </w:pPr>
            <w:r>
              <w:rPr>
                <w:rFonts w:hint="eastAsia" w:ascii="Times New Roman" w:hAnsi="Times New Roman" w:eastAsia="宋体" w:cs="Times New Roman"/>
                <w:color w:val="0000FF"/>
                <w:kern w:val="2"/>
                <w:sz w:val="24"/>
                <w:szCs w:val="24"/>
                <w:lang w:val="en-US" w:eastAsia="zh-CN" w:bidi="ar-SA"/>
              </w:rPr>
              <w:t>1、</w:t>
            </w:r>
            <w:r>
              <w:rPr>
                <w:rFonts w:hint="eastAsia" w:cs="Times New Roman"/>
                <w:color w:val="0000FF"/>
                <w:sz w:val="24"/>
                <w:szCs w:val="24"/>
                <w:lang w:val="en-US" w:eastAsia="zh-CN"/>
              </w:rPr>
              <w:t>总体要求</w:t>
            </w:r>
          </w:p>
          <w:p w14:paraId="067B788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cs="Times New Roman"/>
                <w:color w:val="0000FF"/>
                <w:sz w:val="24"/>
                <w:szCs w:val="24"/>
                <w:lang w:val="en-US" w:eastAsia="zh-CN"/>
              </w:rPr>
            </w:pPr>
            <w:r>
              <w:rPr>
                <w:rFonts w:hint="eastAsia" w:cs="Times New Roman"/>
                <w:color w:val="0000FF"/>
                <w:sz w:val="24"/>
                <w:szCs w:val="24"/>
                <w:lang w:val="en-US" w:eastAsia="zh-CN"/>
              </w:rPr>
              <w:t>根据安徽省人民政府《安徽省人民政府关于加快实施“三线一单”生态环境分区管控的通知》（皖政秘﹝2020〕124号），项目生态环境准入分析如下。</w:t>
            </w:r>
          </w:p>
          <w:p w14:paraId="3961524A">
            <w:pPr>
              <w:autoSpaceDE w:val="0"/>
              <w:autoSpaceDN w:val="0"/>
              <w:adjustRightInd w:val="0"/>
              <w:snapToGrid w:val="0"/>
              <w:jc w:val="center"/>
              <w:rPr>
                <w:rFonts w:hint="eastAsia" w:cs="Times New Roman"/>
                <w:b/>
                <w:bCs/>
                <w:color w:val="0000FF"/>
                <w:spacing w:val="-6"/>
                <w:kern w:val="0"/>
                <w:sz w:val="21"/>
                <w:szCs w:val="21"/>
                <w:lang w:val="en-US" w:eastAsia="zh-CN"/>
              </w:rPr>
            </w:pPr>
            <w:r>
              <w:rPr>
                <w:rFonts w:hint="eastAsia" w:ascii="Times New Roman" w:hAnsi="Times New Roman" w:eastAsia="宋体" w:cs="Times New Roman"/>
                <w:b/>
                <w:bCs/>
                <w:color w:val="0000FF"/>
                <w:spacing w:val="-6"/>
                <w:kern w:val="0"/>
                <w:sz w:val="21"/>
                <w:szCs w:val="21"/>
                <w:lang w:val="en-US" w:eastAsia="zh-CN"/>
              </w:rPr>
              <w:t>表1-5</w:t>
            </w:r>
            <w:r>
              <w:rPr>
                <w:rFonts w:hint="eastAsia" w:cs="Times New Roman"/>
                <w:b/>
                <w:bCs/>
                <w:color w:val="0000FF"/>
                <w:spacing w:val="-6"/>
                <w:kern w:val="0"/>
                <w:sz w:val="21"/>
                <w:szCs w:val="21"/>
                <w:lang w:val="en-US" w:eastAsia="zh-CN"/>
              </w:rPr>
              <w:t xml:space="preserve"> 本项目与总体管控要求符合性分析一览表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5565"/>
              <w:gridCol w:w="1275"/>
              <w:gridCol w:w="867"/>
            </w:tblGrid>
            <w:tr w14:paraId="67AC5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0" w:type="dxa"/>
                  <w:vAlign w:val="center"/>
                </w:tcPr>
                <w:p w14:paraId="7E34851A">
                  <w:pPr>
                    <w:autoSpaceDE w:val="0"/>
                    <w:autoSpaceDN w:val="0"/>
                    <w:adjustRightInd w:val="0"/>
                    <w:snapToGrid w:val="0"/>
                    <w:jc w:val="center"/>
                    <w:rPr>
                      <w:rFonts w:hint="default" w:cs="Times New Roman"/>
                      <w:b w:val="0"/>
                      <w:bCs w:val="0"/>
                      <w:color w:val="0000FF"/>
                      <w:spacing w:val="-6"/>
                      <w:kern w:val="0"/>
                      <w:sz w:val="21"/>
                      <w:szCs w:val="21"/>
                      <w:vertAlign w:val="baseline"/>
                      <w:lang w:val="en-US" w:eastAsia="zh-CN"/>
                    </w:rPr>
                  </w:pPr>
                  <w:r>
                    <w:rPr>
                      <w:rFonts w:hint="eastAsia" w:cs="Times New Roman"/>
                      <w:b w:val="0"/>
                      <w:bCs w:val="0"/>
                      <w:color w:val="0000FF"/>
                      <w:spacing w:val="-6"/>
                      <w:kern w:val="0"/>
                      <w:sz w:val="21"/>
                      <w:szCs w:val="21"/>
                      <w:vertAlign w:val="baseline"/>
                      <w:lang w:val="en-US" w:eastAsia="zh-CN"/>
                    </w:rPr>
                    <w:t>类别</w:t>
                  </w:r>
                </w:p>
              </w:tc>
              <w:tc>
                <w:tcPr>
                  <w:tcW w:w="5565" w:type="dxa"/>
                  <w:vAlign w:val="center"/>
                </w:tcPr>
                <w:p w14:paraId="7249D8A9">
                  <w:pPr>
                    <w:autoSpaceDE w:val="0"/>
                    <w:autoSpaceDN w:val="0"/>
                    <w:adjustRightInd w:val="0"/>
                    <w:snapToGrid w:val="0"/>
                    <w:jc w:val="center"/>
                    <w:rPr>
                      <w:rFonts w:hint="default" w:cs="Times New Roman"/>
                      <w:b w:val="0"/>
                      <w:bCs w:val="0"/>
                      <w:color w:val="0000FF"/>
                      <w:spacing w:val="-6"/>
                      <w:kern w:val="0"/>
                      <w:sz w:val="21"/>
                      <w:szCs w:val="21"/>
                      <w:vertAlign w:val="baseline"/>
                      <w:lang w:val="en-US" w:eastAsia="zh-CN"/>
                    </w:rPr>
                  </w:pPr>
                  <w:r>
                    <w:rPr>
                      <w:rFonts w:hint="eastAsia" w:cs="Times New Roman"/>
                      <w:b w:val="0"/>
                      <w:bCs w:val="0"/>
                      <w:color w:val="0000FF"/>
                      <w:spacing w:val="-6"/>
                      <w:kern w:val="0"/>
                      <w:sz w:val="21"/>
                      <w:szCs w:val="21"/>
                      <w:vertAlign w:val="baseline"/>
                      <w:lang w:val="en-US" w:eastAsia="zh-CN"/>
                    </w:rPr>
                    <w:t>管控要求</w:t>
                  </w:r>
                </w:p>
              </w:tc>
              <w:tc>
                <w:tcPr>
                  <w:tcW w:w="1275" w:type="dxa"/>
                  <w:vAlign w:val="center"/>
                </w:tcPr>
                <w:p w14:paraId="589B088B">
                  <w:pPr>
                    <w:autoSpaceDE w:val="0"/>
                    <w:autoSpaceDN w:val="0"/>
                    <w:adjustRightInd w:val="0"/>
                    <w:snapToGrid w:val="0"/>
                    <w:jc w:val="center"/>
                    <w:rPr>
                      <w:rFonts w:hint="default" w:cs="Times New Roman"/>
                      <w:b w:val="0"/>
                      <w:bCs w:val="0"/>
                      <w:color w:val="0000FF"/>
                      <w:spacing w:val="-6"/>
                      <w:kern w:val="0"/>
                      <w:sz w:val="21"/>
                      <w:szCs w:val="21"/>
                      <w:vertAlign w:val="baseline"/>
                      <w:lang w:val="en-US" w:eastAsia="zh-CN"/>
                    </w:rPr>
                  </w:pPr>
                  <w:r>
                    <w:rPr>
                      <w:rFonts w:hint="eastAsia" w:cs="Times New Roman"/>
                      <w:b w:val="0"/>
                      <w:bCs w:val="0"/>
                      <w:color w:val="0000FF"/>
                      <w:spacing w:val="-6"/>
                      <w:kern w:val="0"/>
                      <w:sz w:val="21"/>
                      <w:szCs w:val="21"/>
                      <w:vertAlign w:val="baseline"/>
                      <w:lang w:val="en-US" w:eastAsia="zh-CN"/>
                    </w:rPr>
                    <w:t>本项目情况</w:t>
                  </w:r>
                </w:p>
              </w:tc>
              <w:tc>
                <w:tcPr>
                  <w:tcW w:w="867" w:type="dxa"/>
                  <w:vAlign w:val="center"/>
                </w:tcPr>
                <w:p w14:paraId="17C89F20">
                  <w:pPr>
                    <w:autoSpaceDE w:val="0"/>
                    <w:autoSpaceDN w:val="0"/>
                    <w:adjustRightInd w:val="0"/>
                    <w:snapToGrid w:val="0"/>
                    <w:jc w:val="center"/>
                    <w:rPr>
                      <w:rFonts w:hint="default" w:cs="Times New Roman"/>
                      <w:b w:val="0"/>
                      <w:bCs w:val="0"/>
                      <w:color w:val="0000FF"/>
                      <w:spacing w:val="-6"/>
                      <w:kern w:val="0"/>
                      <w:sz w:val="21"/>
                      <w:szCs w:val="21"/>
                      <w:vertAlign w:val="baseline"/>
                      <w:lang w:val="en-US" w:eastAsia="zh-CN"/>
                    </w:rPr>
                  </w:pPr>
                  <w:r>
                    <w:rPr>
                      <w:rFonts w:hint="eastAsia" w:cs="Times New Roman"/>
                      <w:b w:val="0"/>
                      <w:bCs w:val="0"/>
                      <w:color w:val="0000FF"/>
                      <w:spacing w:val="-6"/>
                      <w:kern w:val="0"/>
                      <w:sz w:val="21"/>
                      <w:szCs w:val="21"/>
                      <w:vertAlign w:val="baseline"/>
                      <w:lang w:val="en-US" w:eastAsia="zh-CN"/>
                    </w:rPr>
                    <w:t>符合性</w:t>
                  </w:r>
                </w:p>
              </w:tc>
            </w:tr>
            <w:tr w14:paraId="23447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0" w:type="dxa"/>
                  <w:vAlign w:val="center"/>
                </w:tcPr>
                <w:p w14:paraId="32F68401">
                  <w:pPr>
                    <w:autoSpaceDE w:val="0"/>
                    <w:autoSpaceDN w:val="0"/>
                    <w:adjustRightInd w:val="0"/>
                    <w:snapToGrid w:val="0"/>
                    <w:jc w:val="center"/>
                    <w:rPr>
                      <w:rFonts w:hint="default" w:cs="Times New Roman"/>
                      <w:b w:val="0"/>
                      <w:bCs w:val="0"/>
                      <w:color w:val="0000FF"/>
                      <w:spacing w:val="-6"/>
                      <w:kern w:val="0"/>
                      <w:sz w:val="21"/>
                      <w:szCs w:val="21"/>
                      <w:vertAlign w:val="baseline"/>
                      <w:lang w:val="en-US" w:eastAsia="zh-CN"/>
                    </w:rPr>
                  </w:pPr>
                  <w:r>
                    <w:rPr>
                      <w:rFonts w:hint="eastAsia" w:cs="Times New Roman"/>
                      <w:b w:val="0"/>
                      <w:bCs w:val="0"/>
                      <w:color w:val="0000FF"/>
                      <w:spacing w:val="-6"/>
                      <w:kern w:val="0"/>
                      <w:sz w:val="21"/>
                      <w:szCs w:val="21"/>
                      <w:vertAlign w:val="baseline"/>
                      <w:lang w:val="en-US" w:eastAsia="zh-CN"/>
                    </w:rPr>
                    <w:t>安徽省总体管控要求</w:t>
                  </w:r>
                </w:p>
              </w:tc>
              <w:tc>
                <w:tcPr>
                  <w:tcW w:w="5565" w:type="dxa"/>
                  <w:vAlign w:val="center"/>
                </w:tcPr>
                <w:p w14:paraId="0B2CAFF0">
                  <w:pPr>
                    <w:numPr>
                      <w:ilvl w:val="0"/>
                      <w:numId w:val="0"/>
                    </w:numPr>
                    <w:autoSpaceDE w:val="0"/>
                    <w:autoSpaceDN w:val="0"/>
                    <w:adjustRightInd w:val="0"/>
                    <w:snapToGrid w:val="0"/>
                    <w:jc w:val="both"/>
                    <w:rPr>
                      <w:rFonts w:hint="default" w:cs="Times New Roman"/>
                      <w:b w:val="0"/>
                      <w:bCs w:val="0"/>
                      <w:color w:val="0000FF"/>
                      <w:spacing w:val="-6"/>
                      <w:kern w:val="0"/>
                      <w:sz w:val="21"/>
                      <w:szCs w:val="21"/>
                      <w:vertAlign w:val="baseline"/>
                      <w:lang w:val="en-US" w:eastAsia="zh-CN"/>
                    </w:rPr>
                  </w:pPr>
                  <w:r>
                    <w:rPr>
                      <w:rFonts w:hint="eastAsia" w:ascii="Times New Roman" w:hAnsi="Times New Roman" w:eastAsia="宋体" w:cs="Times New Roman"/>
                      <w:b w:val="0"/>
                      <w:bCs w:val="0"/>
                      <w:color w:val="0000FF"/>
                      <w:spacing w:val="-6"/>
                      <w:kern w:val="0"/>
                      <w:sz w:val="21"/>
                      <w:szCs w:val="21"/>
                      <w:vertAlign w:val="baseline"/>
                      <w:lang w:val="en-US" w:eastAsia="zh-CN" w:bidi="ar-SA"/>
                    </w:rPr>
                    <w:t>（一）</w:t>
                  </w:r>
                  <w:r>
                    <w:rPr>
                      <w:rFonts w:hint="default" w:cs="Times New Roman"/>
                      <w:b w:val="0"/>
                      <w:bCs w:val="0"/>
                      <w:color w:val="0000FF"/>
                      <w:spacing w:val="-6"/>
                      <w:kern w:val="0"/>
                      <w:sz w:val="21"/>
                      <w:szCs w:val="21"/>
                      <w:vertAlign w:val="baseline"/>
                      <w:lang w:val="en-US" w:eastAsia="zh-CN"/>
                    </w:rPr>
                    <w:t>优先保护单元。共545个，面积42519.24平方公里，占全省国土面积的30.33%，包含生态保护红线、自然保护地、集中式饮用水水源保护区等生态功能重要区和生态环境敏感区，主要分布在皖南山区、皖西大别山区、巢湖湖区等重点生态功能区域。该区域突出空间用途管控，以严格保护生态环境为导向，依法禁止或限制大规模、高强度的工业开发和城镇建设，确保生态环境功能不降低。</w:t>
                  </w:r>
                </w:p>
                <w:p w14:paraId="662533CF">
                  <w:pPr>
                    <w:numPr>
                      <w:ilvl w:val="0"/>
                      <w:numId w:val="0"/>
                    </w:numPr>
                    <w:autoSpaceDE w:val="0"/>
                    <w:autoSpaceDN w:val="0"/>
                    <w:adjustRightInd w:val="0"/>
                    <w:snapToGrid w:val="0"/>
                    <w:jc w:val="both"/>
                    <w:rPr>
                      <w:rFonts w:hint="default" w:cs="Times New Roman"/>
                      <w:b w:val="0"/>
                      <w:bCs w:val="0"/>
                      <w:color w:val="0000FF"/>
                      <w:spacing w:val="-6"/>
                      <w:kern w:val="0"/>
                      <w:sz w:val="21"/>
                      <w:szCs w:val="21"/>
                      <w:vertAlign w:val="baseline"/>
                      <w:lang w:val="en-US" w:eastAsia="zh-CN"/>
                    </w:rPr>
                  </w:pPr>
                  <w:r>
                    <w:rPr>
                      <w:rFonts w:hint="eastAsia" w:ascii="Times New Roman" w:hAnsi="Times New Roman" w:eastAsia="宋体" w:cs="Times New Roman"/>
                      <w:b w:val="0"/>
                      <w:bCs w:val="0"/>
                      <w:color w:val="0000FF"/>
                      <w:spacing w:val="-6"/>
                      <w:kern w:val="0"/>
                      <w:sz w:val="21"/>
                      <w:szCs w:val="21"/>
                      <w:vertAlign w:val="baseline"/>
                      <w:lang w:val="en-US" w:eastAsia="zh-CN" w:bidi="ar-SA"/>
                    </w:rPr>
                    <w:t>（二）</w:t>
                  </w:r>
                  <w:r>
                    <w:rPr>
                      <w:rFonts w:hint="default" w:cs="Times New Roman"/>
                      <w:b w:val="0"/>
                      <w:bCs w:val="0"/>
                      <w:color w:val="0000FF"/>
                      <w:spacing w:val="-6"/>
                      <w:kern w:val="0"/>
                      <w:sz w:val="21"/>
                      <w:szCs w:val="21"/>
                      <w:vertAlign w:val="baseline"/>
                      <w:lang w:val="en-US" w:eastAsia="zh-CN"/>
                    </w:rPr>
                    <w:t>重点管控单元。共354个，面积25011.43平方公里，占全省国土面积的17.84%，包含城镇规划边界、省级及以上开发区等开发强度高、污染物排放强度大的区域，以及环境问题相对集中的区域，主要分布在沿江、沿淮等重点发展区域。该区域突出污染物排放控制和环境风险防控，以守住环境质量底线、积极发展社会经济为导向，强化环境质量改善目标约束。</w:t>
                  </w:r>
                </w:p>
                <w:p w14:paraId="3A329603">
                  <w:pPr>
                    <w:numPr>
                      <w:ilvl w:val="0"/>
                      <w:numId w:val="0"/>
                    </w:numPr>
                    <w:autoSpaceDE w:val="0"/>
                    <w:autoSpaceDN w:val="0"/>
                    <w:adjustRightInd w:val="0"/>
                    <w:snapToGrid w:val="0"/>
                    <w:jc w:val="both"/>
                    <w:rPr>
                      <w:rFonts w:hint="default" w:cs="Times New Roman"/>
                      <w:b w:val="0"/>
                      <w:bCs w:val="0"/>
                      <w:color w:val="0000FF"/>
                      <w:spacing w:val="-6"/>
                      <w:kern w:val="0"/>
                      <w:sz w:val="21"/>
                      <w:szCs w:val="21"/>
                      <w:vertAlign w:val="baseline"/>
                      <w:lang w:val="en-US" w:eastAsia="zh-CN"/>
                    </w:rPr>
                  </w:pPr>
                  <w:r>
                    <w:rPr>
                      <w:rFonts w:hint="eastAsia" w:cs="Times New Roman"/>
                      <w:b w:val="0"/>
                      <w:bCs w:val="0"/>
                      <w:color w:val="0000FF"/>
                      <w:spacing w:val="-6"/>
                      <w:kern w:val="0"/>
                      <w:sz w:val="21"/>
                      <w:szCs w:val="21"/>
                      <w:vertAlign w:val="baseline"/>
                      <w:lang w:val="en-US" w:eastAsia="zh-CN"/>
                    </w:rPr>
                    <w:t>（三）</w:t>
                  </w:r>
                  <w:r>
                    <w:rPr>
                      <w:rFonts w:hint="default" w:cs="Times New Roman"/>
                      <w:b w:val="0"/>
                      <w:bCs w:val="0"/>
                      <w:color w:val="0000FF"/>
                      <w:spacing w:val="-6"/>
                      <w:kern w:val="0"/>
                      <w:sz w:val="21"/>
                      <w:szCs w:val="21"/>
                      <w:vertAlign w:val="baseline"/>
                      <w:lang w:val="en-US" w:eastAsia="zh-CN"/>
                    </w:rPr>
                    <w:t>一般管控单元。共103个，面积72643.72平方公里，占全省国土面积的51.83%，优先保护单元、重点管控单元之外为一般管控单元。该区域以经济社会可持续发展为导向，执行区域生态环境保护的基本要求。</w:t>
                  </w:r>
                </w:p>
              </w:tc>
              <w:tc>
                <w:tcPr>
                  <w:tcW w:w="1275" w:type="dxa"/>
                  <w:vAlign w:val="center"/>
                </w:tcPr>
                <w:p w14:paraId="056EA274">
                  <w:pPr>
                    <w:autoSpaceDE w:val="0"/>
                    <w:autoSpaceDN w:val="0"/>
                    <w:adjustRightInd w:val="0"/>
                    <w:snapToGrid w:val="0"/>
                    <w:jc w:val="both"/>
                    <w:rPr>
                      <w:rFonts w:hint="default" w:cs="Times New Roman"/>
                      <w:b w:val="0"/>
                      <w:bCs w:val="0"/>
                      <w:color w:val="0000FF"/>
                      <w:spacing w:val="-6"/>
                      <w:kern w:val="0"/>
                      <w:sz w:val="21"/>
                      <w:szCs w:val="21"/>
                      <w:vertAlign w:val="baseline"/>
                      <w:lang w:val="en-US" w:eastAsia="zh-CN"/>
                    </w:rPr>
                  </w:pPr>
                  <w:r>
                    <w:rPr>
                      <w:rFonts w:hint="default" w:cs="Times New Roman"/>
                      <w:b w:val="0"/>
                      <w:bCs w:val="0"/>
                      <w:color w:val="0000FF"/>
                      <w:spacing w:val="-6"/>
                      <w:kern w:val="0"/>
                      <w:sz w:val="21"/>
                      <w:szCs w:val="21"/>
                      <w:vertAlign w:val="baseline"/>
                      <w:lang w:val="en-US" w:eastAsia="zh-CN"/>
                    </w:rPr>
                    <w:t>本项目所在地属于重点管控单元，周边不涉及基本农田。本项目不涉及废水产生和排放</w:t>
                  </w:r>
                  <w:r>
                    <w:rPr>
                      <w:rFonts w:hint="eastAsia" w:cs="Times New Roman"/>
                      <w:b w:val="0"/>
                      <w:bCs w:val="0"/>
                      <w:color w:val="0000FF"/>
                      <w:spacing w:val="-6"/>
                      <w:kern w:val="0"/>
                      <w:sz w:val="21"/>
                      <w:szCs w:val="21"/>
                      <w:vertAlign w:val="baseline"/>
                      <w:lang w:val="en-US" w:eastAsia="zh-CN"/>
                    </w:rPr>
                    <w:t>；</w:t>
                  </w:r>
                  <w:r>
                    <w:rPr>
                      <w:rFonts w:hint="default" w:cs="Times New Roman"/>
                      <w:b w:val="0"/>
                      <w:bCs w:val="0"/>
                      <w:color w:val="0000FF"/>
                      <w:spacing w:val="-6"/>
                      <w:kern w:val="0"/>
                      <w:sz w:val="21"/>
                      <w:szCs w:val="21"/>
                      <w:vertAlign w:val="baseline"/>
                      <w:lang w:val="en-US" w:eastAsia="zh-CN"/>
                    </w:rPr>
                    <w:t>废气经处理后达标排放，技改项目不会降低环境质量底线。</w:t>
                  </w:r>
                </w:p>
              </w:tc>
              <w:tc>
                <w:tcPr>
                  <w:tcW w:w="867" w:type="dxa"/>
                  <w:vAlign w:val="center"/>
                </w:tcPr>
                <w:p w14:paraId="117D90D6">
                  <w:pPr>
                    <w:autoSpaceDE w:val="0"/>
                    <w:autoSpaceDN w:val="0"/>
                    <w:adjustRightInd w:val="0"/>
                    <w:snapToGrid w:val="0"/>
                    <w:jc w:val="center"/>
                    <w:rPr>
                      <w:rFonts w:hint="default" w:cs="Times New Roman"/>
                      <w:b w:val="0"/>
                      <w:bCs w:val="0"/>
                      <w:color w:val="0000FF"/>
                      <w:spacing w:val="-6"/>
                      <w:kern w:val="0"/>
                      <w:sz w:val="21"/>
                      <w:szCs w:val="21"/>
                      <w:vertAlign w:val="baseline"/>
                      <w:lang w:val="en-US" w:eastAsia="zh-CN"/>
                    </w:rPr>
                  </w:pPr>
                  <w:r>
                    <w:rPr>
                      <w:rFonts w:hint="eastAsia" w:cs="Times New Roman"/>
                      <w:b w:val="0"/>
                      <w:bCs w:val="0"/>
                      <w:color w:val="0000FF"/>
                      <w:spacing w:val="-6"/>
                      <w:kern w:val="0"/>
                      <w:sz w:val="21"/>
                      <w:szCs w:val="21"/>
                      <w:vertAlign w:val="baseline"/>
                      <w:lang w:val="en-US" w:eastAsia="zh-CN"/>
                    </w:rPr>
                    <w:t>符合</w:t>
                  </w:r>
                </w:p>
              </w:tc>
            </w:tr>
          </w:tbl>
          <w:p w14:paraId="4FCB9719">
            <w:pPr>
              <w:autoSpaceDE w:val="0"/>
              <w:autoSpaceDN w:val="0"/>
              <w:adjustRightInd w:val="0"/>
              <w:snapToGrid w:val="0"/>
              <w:spacing w:line="360" w:lineRule="auto"/>
              <w:ind w:firstLine="480" w:firstLineChars="200"/>
              <w:jc w:val="both"/>
              <w:rPr>
                <w:rFonts w:hint="default" w:ascii="Times New Roman" w:hAnsi="Times New Roman" w:cs="Times New Roman"/>
                <w:color w:val="0000FF"/>
                <w:sz w:val="24"/>
                <w:szCs w:val="24"/>
              </w:rPr>
            </w:pPr>
            <w:r>
              <w:rPr>
                <w:rFonts w:hint="eastAsia" w:cs="Times New Roman"/>
                <w:color w:val="0000FF"/>
                <w:sz w:val="24"/>
                <w:szCs w:val="24"/>
                <w:lang w:val="en-US" w:eastAsia="zh-CN"/>
              </w:rPr>
              <w:t>2、</w:t>
            </w:r>
            <w:r>
              <w:rPr>
                <w:rFonts w:hint="default" w:ascii="Times New Roman" w:hAnsi="Times New Roman" w:cs="Times New Roman"/>
                <w:color w:val="0000FF"/>
                <w:sz w:val="24"/>
                <w:szCs w:val="24"/>
              </w:rPr>
              <w:t>大气环境分区管控</w:t>
            </w:r>
          </w:p>
          <w:p w14:paraId="13C1F878">
            <w:pPr>
              <w:spacing w:line="360" w:lineRule="auto"/>
              <w:ind w:firstLine="482"/>
              <w:jc w:val="both"/>
              <w:rPr>
                <w:rFonts w:hint="default" w:ascii="Times New Roman" w:hAnsi="Times New Roman" w:cs="Times New Roman"/>
                <w:color w:val="0000FF"/>
                <w:sz w:val="24"/>
                <w:szCs w:val="24"/>
              </w:rPr>
            </w:pPr>
            <w:r>
              <w:rPr>
                <w:rFonts w:hint="default" w:ascii="Times New Roman" w:hAnsi="Times New Roman" w:cs="Times New Roman"/>
                <w:color w:val="0000FF"/>
                <w:sz w:val="24"/>
                <w:szCs w:val="24"/>
              </w:rPr>
              <w:t>根据《安徽省淮北市</w:t>
            </w:r>
            <w:r>
              <w:rPr>
                <w:rFonts w:hint="eastAsia" w:ascii="宋体" w:hAnsi="宋体" w:eastAsia="宋体" w:cs="宋体"/>
                <w:color w:val="0000FF"/>
                <w:sz w:val="24"/>
                <w:szCs w:val="24"/>
              </w:rPr>
              <w:t>“三线一单”</w:t>
            </w:r>
            <w:r>
              <w:rPr>
                <w:rFonts w:hint="default" w:ascii="Times New Roman" w:hAnsi="Times New Roman" w:cs="Times New Roman"/>
                <w:color w:val="0000FF"/>
                <w:sz w:val="24"/>
                <w:szCs w:val="24"/>
              </w:rPr>
              <w:t>文本》及淮北市大气环境分区管控图，本项目位于</w:t>
            </w:r>
            <w:r>
              <w:rPr>
                <w:rFonts w:hint="eastAsia" w:cs="Times New Roman"/>
                <w:color w:val="0000FF"/>
                <w:sz w:val="24"/>
                <w:szCs w:val="24"/>
                <w:lang w:eastAsia="zh-CN"/>
              </w:rPr>
              <w:t>重点</w:t>
            </w:r>
            <w:r>
              <w:rPr>
                <w:rFonts w:hint="default" w:ascii="Times New Roman" w:hAnsi="Times New Roman" w:cs="Times New Roman"/>
                <w:color w:val="0000FF"/>
                <w:sz w:val="24"/>
                <w:szCs w:val="24"/>
              </w:rPr>
              <w:t>管控区。</w:t>
            </w:r>
          </w:p>
          <w:p w14:paraId="1CDEE267">
            <w:pPr>
              <w:autoSpaceDE w:val="0"/>
              <w:autoSpaceDN w:val="0"/>
              <w:adjustRightInd w:val="0"/>
              <w:snapToGrid w:val="0"/>
              <w:jc w:val="center"/>
              <w:rPr>
                <w:rFonts w:hint="default" w:ascii="Times New Roman" w:hAnsi="Times New Roman" w:eastAsia="宋体" w:cs="Times New Roman"/>
                <w:b/>
                <w:bCs/>
                <w:color w:val="0000FF"/>
                <w:spacing w:val="-6"/>
                <w:kern w:val="0"/>
                <w:sz w:val="21"/>
                <w:szCs w:val="21"/>
              </w:rPr>
            </w:pPr>
            <w:r>
              <w:rPr>
                <w:rFonts w:hint="default" w:ascii="Times New Roman" w:hAnsi="Times New Roman" w:eastAsia="宋体" w:cs="Times New Roman"/>
                <w:b/>
                <w:bCs/>
                <w:color w:val="0000FF"/>
                <w:spacing w:val="-6"/>
                <w:kern w:val="0"/>
                <w:sz w:val="21"/>
                <w:szCs w:val="21"/>
              </w:rPr>
              <w:t>表1-</w:t>
            </w:r>
            <w:r>
              <w:rPr>
                <w:rFonts w:hint="eastAsia" w:cs="Times New Roman"/>
                <w:b/>
                <w:bCs/>
                <w:color w:val="0000FF"/>
                <w:spacing w:val="-6"/>
                <w:kern w:val="0"/>
                <w:sz w:val="21"/>
                <w:szCs w:val="21"/>
                <w:lang w:val="en-US" w:eastAsia="zh-CN"/>
              </w:rPr>
              <w:t>6</w:t>
            </w:r>
            <w:r>
              <w:rPr>
                <w:rFonts w:hint="default" w:ascii="Times New Roman" w:hAnsi="Times New Roman" w:eastAsia="宋体" w:cs="Times New Roman"/>
                <w:b/>
                <w:bCs/>
                <w:color w:val="0000FF"/>
                <w:spacing w:val="-6"/>
                <w:kern w:val="0"/>
                <w:sz w:val="21"/>
                <w:szCs w:val="21"/>
              </w:rPr>
              <w:t xml:space="preserve"> 与大气环境分区管控要求的协调性分析</w:t>
            </w:r>
          </w:p>
          <w:tbl>
            <w:tblPr>
              <w:tblStyle w:val="28"/>
              <w:tblW w:w="8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545"/>
              <w:gridCol w:w="545"/>
              <w:gridCol w:w="3843"/>
              <w:gridCol w:w="2698"/>
            </w:tblGrid>
            <w:tr w14:paraId="31866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67" w:type="dxa"/>
                  <w:tcBorders>
                    <w:tl2br w:val="nil"/>
                    <w:tr2bl w:val="nil"/>
                  </w:tcBorders>
                  <w:vAlign w:val="center"/>
                </w:tcPr>
                <w:p w14:paraId="52E9C387">
                  <w:pPr>
                    <w:adjustRightInd w:val="0"/>
                    <w:snapToGrid w:val="0"/>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管控单元分类</w:t>
                  </w:r>
                </w:p>
              </w:tc>
              <w:tc>
                <w:tcPr>
                  <w:tcW w:w="1090" w:type="dxa"/>
                  <w:gridSpan w:val="2"/>
                  <w:tcBorders>
                    <w:tl2br w:val="nil"/>
                    <w:tr2bl w:val="nil"/>
                  </w:tcBorders>
                  <w:vAlign w:val="center"/>
                </w:tcPr>
                <w:p w14:paraId="3865F153">
                  <w:pPr>
                    <w:adjustRightInd w:val="0"/>
                    <w:snapToGrid w:val="0"/>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管控内容</w:t>
                  </w:r>
                </w:p>
              </w:tc>
              <w:tc>
                <w:tcPr>
                  <w:tcW w:w="3843" w:type="dxa"/>
                  <w:tcBorders>
                    <w:tl2br w:val="nil"/>
                    <w:tr2bl w:val="nil"/>
                  </w:tcBorders>
                  <w:vAlign w:val="center"/>
                </w:tcPr>
                <w:p w14:paraId="665E8AEA">
                  <w:pPr>
                    <w:adjustRightInd w:val="0"/>
                    <w:snapToGrid w:val="0"/>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环境管控要求</w:t>
                  </w:r>
                </w:p>
              </w:tc>
              <w:tc>
                <w:tcPr>
                  <w:tcW w:w="2698" w:type="dxa"/>
                  <w:tcBorders>
                    <w:tl2br w:val="nil"/>
                    <w:tr2bl w:val="nil"/>
                  </w:tcBorders>
                  <w:vAlign w:val="center"/>
                </w:tcPr>
                <w:p w14:paraId="42A91FAC">
                  <w:pPr>
                    <w:adjustRightInd w:val="0"/>
                    <w:snapToGrid w:val="0"/>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本项目情况</w:t>
                  </w:r>
                </w:p>
              </w:tc>
            </w:tr>
            <w:tr w14:paraId="429E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867" w:type="dxa"/>
                  <w:vMerge w:val="restart"/>
                  <w:tcBorders>
                    <w:tl2br w:val="nil"/>
                    <w:tr2bl w:val="nil"/>
                  </w:tcBorders>
                  <w:vAlign w:val="center"/>
                </w:tcPr>
                <w:p w14:paraId="5F687849">
                  <w:pPr>
                    <w:adjustRightInd w:val="0"/>
                    <w:snapToGrid w:val="0"/>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大气重点管控区</w:t>
                  </w:r>
                </w:p>
              </w:tc>
              <w:tc>
                <w:tcPr>
                  <w:tcW w:w="545" w:type="dxa"/>
                  <w:vMerge w:val="restart"/>
                  <w:tcBorders>
                    <w:tl2br w:val="nil"/>
                    <w:tr2bl w:val="nil"/>
                  </w:tcBorders>
                  <w:vAlign w:val="center"/>
                </w:tcPr>
                <w:p w14:paraId="14ADCD5A">
                  <w:pPr>
                    <w:adjustRightInd w:val="0"/>
                    <w:snapToGrid w:val="0"/>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空间布局管控约束</w:t>
                  </w:r>
                </w:p>
              </w:tc>
              <w:tc>
                <w:tcPr>
                  <w:tcW w:w="545" w:type="dxa"/>
                  <w:vMerge w:val="restart"/>
                  <w:tcBorders>
                    <w:tl2br w:val="nil"/>
                    <w:tr2bl w:val="nil"/>
                  </w:tcBorders>
                  <w:vAlign w:val="center"/>
                </w:tcPr>
                <w:p w14:paraId="4EE5BE93">
                  <w:pPr>
                    <w:adjustRightInd w:val="0"/>
                    <w:snapToGrid w:val="0"/>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禁止开发建设活动的要求</w:t>
                  </w:r>
                </w:p>
              </w:tc>
              <w:tc>
                <w:tcPr>
                  <w:tcW w:w="3843" w:type="dxa"/>
                  <w:tcBorders>
                    <w:tl2br w:val="nil"/>
                    <w:tr2bl w:val="nil"/>
                  </w:tcBorders>
                  <w:vAlign w:val="center"/>
                </w:tcPr>
                <w:p w14:paraId="01E807BE">
                  <w:pPr>
                    <w:adjustRightInd w:val="0"/>
                    <w:snapToGrid w:val="0"/>
                    <w:spacing w:line="240" w:lineRule="auto"/>
                    <w:jc w:val="both"/>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在城市城区及其近郊禁止新建、扩建钢铁、有色、石化、水泥、化工等重污染企业</w:t>
                  </w:r>
                </w:p>
              </w:tc>
              <w:tc>
                <w:tcPr>
                  <w:tcW w:w="2698" w:type="dxa"/>
                  <w:tcBorders>
                    <w:tl2br w:val="nil"/>
                    <w:tr2bl w:val="nil"/>
                  </w:tcBorders>
                  <w:vAlign w:val="center"/>
                </w:tcPr>
                <w:p w14:paraId="7EF28194">
                  <w:pPr>
                    <w:adjustRightInd w:val="0"/>
                    <w:snapToGrid w:val="0"/>
                    <w:jc w:val="both"/>
                    <w:rPr>
                      <w:rFonts w:hint="eastAsia" w:ascii="Times New Roman" w:hAnsi="Times New Roman" w:eastAsia="宋体" w:cs="Times New Roman"/>
                      <w:color w:val="0000FF"/>
                      <w:sz w:val="21"/>
                      <w:szCs w:val="21"/>
                      <w:lang w:eastAsia="zh-CN"/>
                    </w:rPr>
                  </w:pPr>
                  <w:r>
                    <w:rPr>
                      <w:rFonts w:ascii="Times New Roman" w:hAnsi="Times New Roman" w:eastAsia="宋体" w:cs="Times New Roman"/>
                      <w:bCs/>
                      <w:color w:val="0000FF"/>
                    </w:rPr>
                    <w:t>本项目</w:t>
                  </w:r>
                  <w:r>
                    <w:rPr>
                      <w:rFonts w:hint="eastAsia" w:cs="Times New Roman"/>
                      <w:bCs/>
                      <w:color w:val="0000FF"/>
                      <w:lang w:eastAsia="zh-CN"/>
                    </w:rPr>
                    <w:t>属于水泥熟料生产线生物质替代燃料节能减排技术改造项目，不属于新建重污染企业</w:t>
                  </w:r>
                </w:p>
              </w:tc>
            </w:tr>
            <w:tr w14:paraId="4F0D7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7" w:type="dxa"/>
                  <w:vMerge w:val="continue"/>
                  <w:tcBorders>
                    <w:tl2br w:val="nil"/>
                    <w:tr2bl w:val="nil"/>
                  </w:tcBorders>
                  <w:vAlign w:val="center"/>
                </w:tcPr>
                <w:p w14:paraId="59830E72">
                  <w:pPr>
                    <w:adjustRightInd w:val="0"/>
                    <w:snapToGrid w:val="0"/>
                    <w:spacing w:line="240" w:lineRule="auto"/>
                    <w:jc w:val="center"/>
                    <w:rPr>
                      <w:rFonts w:hint="default" w:ascii="Times New Roman" w:hAnsi="Times New Roman" w:cs="Times New Roman"/>
                      <w:color w:val="0000FF"/>
                      <w:sz w:val="21"/>
                      <w:szCs w:val="21"/>
                    </w:rPr>
                  </w:pPr>
                </w:p>
              </w:tc>
              <w:tc>
                <w:tcPr>
                  <w:tcW w:w="545" w:type="dxa"/>
                  <w:vMerge w:val="continue"/>
                  <w:tcBorders>
                    <w:tl2br w:val="nil"/>
                    <w:tr2bl w:val="nil"/>
                  </w:tcBorders>
                  <w:vAlign w:val="center"/>
                </w:tcPr>
                <w:p w14:paraId="28E57628">
                  <w:pPr>
                    <w:adjustRightInd w:val="0"/>
                    <w:snapToGrid w:val="0"/>
                    <w:spacing w:line="240" w:lineRule="auto"/>
                    <w:jc w:val="center"/>
                    <w:rPr>
                      <w:rFonts w:hint="default" w:ascii="Times New Roman" w:hAnsi="Times New Roman" w:cs="Times New Roman"/>
                      <w:color w:val="0000FF"/>
                      <w:sz w:val="21"/>
                      <w:szCs w:val="21"/>
                    </w:rPr>
                  </w:pPr>
                </w:p>
              </w:tc>
              <w:tc>
                <w:tcPr>
                  <w:tcW w:w="545" w:type="dxa"/>
                  <w:vMerge w:val="continue"/>
                  <w:tcBorders>
                    <w:tl2br w:val="nil"/>
                    <w:tr2bl w:val="nil"/>
                  </w:tcBorders>
                  <w:vAlign w:val="center"/>
                </w:tcPr>
                <w:p w14:paraId="7F889289">
                  <w:pPr>
                    <w:adjustRightInd w:val="0"/>
                    <w:snapToGrid w:val="0"/>
                    <w:spacing w:line="240" w:lineRule="auto"/>
                    <w:jc w:val="center"/>
                    <w:rPr>
                      <w:rFonts w:hint="default" w:ascii="Times New Roman" w:hAnsi="Times New Roman" w:cs="Times New Roman"/>
                      <w:color w:val="0000FF"/>
                      <w:sz w:val="21"/>
                      <w:szCs w:val="21"/>
                    </w:rPr>
                  </w:pPr>
                </w:p>
              </w:tc>
              <w:tc>
                <w:tcPr>
                  <w:tcW w:w="3843" w:type="dxa"/>
                  <w:tcBorders>
                    <w:tl2br w:val="nil"/>
                    <w:tr2bl w:val="nil"/>
                  </w:tcBorders>
                  <w:vAlign w:val="center"/>
                </w:tcPr>
                <w:p w14:paraId="34AD5576">
                  <w:pPr>
                    <w:adjustRightInd w:val="0"/>
                    <w:snapToGrid w:val="0"/>
                    <w:spacing w:line="240" w:lineRule="auto"/>
                    <w:jc w:val="both"/>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禁止新建燃料类煤气发生炉（园区现有企业统一建设的清洁煤制气中心除外）</w:t>
                  </w:r>
                </w:p>
              </w:tc>
              <w:tc>
                <w:tcPr>
                  <w:tcW w:w="2698" w:type="dxa"/>
                  <w:tcBorders>
                    <w:tl2br w:val="nil"/>
                    <w:tr2bl w:val="nil"/>
                  </w:tcBorders>
                  <w:vAlign w:val="center"/>
                </w:tcPr>
                <w:p w14:paraId="335CC506">
                  <w:pPr>
                    <w:adjustRightInd w:val="0"/>
                    <w:snapToGrid w:val="0"/>
                    <w:jc w:val="both"/>
                    <w:rPr>
                      <w:rFonts w:hint="default" w:ascii="Times New Roman" w:hAnsi="Times New Roman" w:cs="Times New Roman"/>
                      <w:color w:val="0000FF"/>
                      <w:sz w:val="21"/>
                      <w:szCs w:val="21"/>
                    </w:rPr>
                  </w:pPr>
                  <w:r>
                    <w:rPr>
                      <w:rFonts w:ascii="Times New Roman" w:hAnsi="Times New Roman" w:eastAsia="宋体" w:cs="Times New Roman"/>
                      <w:bCs/>
                      <w:color w:val="0000FF"/>
                    </w:rPr>
                    <w:t>本项目不涉及</w:t>
                  </w:r>
                  <w:r>
                    <w:rPr>
                      <w:rFonts w:hint="default" w:ascii="Times New Roman" w:hAnsi="Times New Roman" w:cs="Times New Roman"/>
                      <w:color w:val="0000FF"/>
                      <w:sz w:val="21"/>
                      <w:szCs w:val="21"/>
                    </w:rPr>
                    <w:t>新建燃料类煤气发生炉</w:t>
                  </w:r>
                </w:p>
              </w:tc>
            </w:tr>
            <w:tr w14:paraId="2CDF2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7" w:type="dxa"/>
                  <w:vMerge w:val="continue"/>
                  <w:tcBorders>
                    <w:tl2br w:val="nil"/>
                    <w:tr2bl w:val="nil"/>
                  </w:tcBorders>
                  <w:vAlign w:val="center"/>
                </w:tcPr>
                <w:p w14:paraId="071EDECB">
                  <w:pPr>
                    <w:adjustRightInd w:val="0"/>
                    <w:snapToGrid w:val="0"/>
                    <w:spacing w:line="240" w:lineRule="auto"/>
                    <w:jc w:val="center"/>
                    <w:rPr>
                      <w:rFonts w:hint="default" w:ascii="Times New Roman" w:hAnsi="Times New Roman" w:cs="Times New Roman"/>
                      <w:color w:val="0000FF"/>
                      <w:sz w:val="21"/>
                      <w:szCs w:val="21"/>
                    </w:rPr>
                  </w:pPr>
                </w:p>
              </w:tc>
              <w:tc>
                <w:tcPr>
                  <w:tcW w:w="545" w:type="dxa"/>
                  <w:vMerge w:val="continue"/>
                  <w:tcBorders>
                    <w:tl2br w:val="nil"/>
                    <w:tr2bl w:val="nil"/>
                  </w:tcBorders>
                  <w:vAlign w:val="center"/>
                </w:tcPr>
                <w:p w14:paraId="52D64866">
                  <w:pPr>
                    <w:adjustRightInd w:val="0"/>
                    <w:snapToGrid w:val="0"/>
                    <w:spacing w:line="240" w:lineRule="auto"/>
                    <w:jc w:val="center"/>
                    <w:rPr>
                      <w:rFonts w:hint="default" w:ascii="Times New Roman" w:hAnsi="Times New Roman" w:cs="Times New Roman"/>
                      <w:color w:val="0000FF"/>
                      <w:sz w:val="21"/>
                      <w:szCs w:val="21"/>
                    </w:rPr>
                  </w:pPr>
                </w:p>
              </w:tc>
              <w:tc>
                <w:tcPr>
                  <w:tcW w:w="545" w:type="dxa"/>
                  <w:vMerge w:val="continue"/>
                  <w:tcBorders>
                    <w:tl2br w:val="nil"/>
                    <w:tr2bl w:val="nil"/>
                  </w:tcBorders>
                  <w:vAlign w:val="center"/>
                </w:tcPr>
                <w:p w14:paraId="6F75C7AA">
                  <w:pPr>
                    <w:adjustRightInd w:val="0"/>
                    <w:snapToGrid w:val="0"/>
                    <w:spacing w:line="240" w:lineRule="auto"/>
                    <w:jc w:val="center"/>
                    <w:rPr>
                      <w:rFonts w:hint="default" w:ascii="Times New Roman" w:hAnsi="Times New Roman" w:cs="Times New Roman"/>
                      <w:color w:val="0000FF"/>
                      <w:sz w:val="21"/>
                      <w:szCs w:val="21"/>
                    </w:rPr>
                  </w:pPr>
                </w:p>
              </w:tc>
              <w:tc>
                <w:tcPr>
                  <w:tcW w:w="3843" w:type="dxa"/>
                  <w:tcBorders>
                    <w:tl2br w:val="nil"/>
                    <w:tr2bl w:val="nil"/>
                  </w:tcBorders>
                  <w:vAlign w:val="center"/>
                </w:tcPr>
                <w:p w14:paraId="61C826A0">
                  <w:pPr>
                    <w:adjustRightInd w:val="0"/>
                    <w:snapToGrid w:val="0"/>
                    <w:spacing w:line="240" w:lineRule="auto"/>
                    <w:jc w:val="both"/>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严格执行</w:t>
                  </w:r>
                  <w:r>
                    <w:rPr>
                      <w:rFonts w:hint="eastAsia" w:ascii="宋体" w:hAnsi="宋体" w:eastAsia="宋体" w:cs="宋体"/>
                      <w:color w:val="0000FF"/>
                      <w:sz w:val="21"/>
                      <w:szCs w:val="21"/>
                    </w:rPr>
                    <w:t>国家关于“两高”产</w:t>
                  </w:r>
                  <w:r>
                    <w:rPr>
                      <w:rFonts w:hint="default" w:ascii="Times New Roman" w:hAnsi="Times New Roman" w:cs="Times New Roman"/>
                      <w:color w:val="0000FF"/>
                      <w:sz w:val="21"/>
                      <w:szCs w:val="21"/>
                    </w:rPr>
                    <w:t>业准入目录和产能总量控制政策措施。严禁新增钢铁、焦化、电解铝、铸造、水泥和平板玻璃等产能；新、改、扩建涉及大宗物料运输的建设项目，原则上不得采用公路运输</w:t>
                  </w:r>
                </w:p>
              </w:tc>
              <w:tc>
                <w:tcPr>
                  <w:tcW w:w="2698" w:type="dxa"/>
                  <w:tcBorders>
                    <w:tl2br w:val="nil"/>
                    <w:tr2bl w:val="nil"/>
                  </w:tcBorders>
                  <w:vAlign w:val="center"/>
                </w:tcPr>
                <w:p w14:paraId="31712A12">
                  <w:pPr>
                    <w:adjustRightInd w:val="0"/>
                    <w:snapToGrid w:val="0"/>
                    <w:jc w:val="both"/>
                    <w:rPr>
                      <w:rFonts w:hint="default" w:ascii="Times New Roman" w:hAnsi="Times New Roman" w:cs="Times New Roman"/>
                      <w:color w:val="0000FF"/>
                      <w:sz w:val="21"/>
                      <w:szCs w:val="21"/>
                    </w:rPr>
                  </w:pPr>
                  <w:r>
                    <w:rPr>
                      <w:rFonts w:hint="eastAsia" w:ascii="Times New Roman" w:hAnsi="Times New Roman" w:eastAsia="宋体" w:cs="Times New Roman"/>
                      <w:bCs/>
                      <w:color w:val="0000FF"/>
                    </w:rPr>
                    <w:t>本项目属于水泥熟料生产线</w:t>
                  </w:r>
                  <w:r>
                    <w:rPr>
                      <w:rFonts w:hint="eastAsia" w:cs="Times New Roman"/>
                      <w:bCs/>
                      <w:color w:val="0000FF"/>
                      <w:lang w:eastAsia="zh-CN"/>
                    </w:rPr>
                    <w:t>生物质替代燃料节能减排技术改造项目</w:t>
                  </w:r>
                  <w:r>
                    <w:rPr>
                      <w:rFonts w:hint="eastAsia" w:ascii="Times New Roman" w:hAnsi="Times New Roman" w:eastAsia="宋体" w:cs="Times New Roman"/>
                      <w:bCs/>
                      <w:color w:val="0000FF"/>
                    </w:rPr>
                    <w:t>，技改后不新增水泥熟料产能</w:t>
                  </w:r>
                </w:p>
              </w:tc>
            </w:tr>
            <w:tr w14:paraId="49EB7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7" w:type="dxa"/>
                  <w:vMerge w:val="continue"/>
                  <w:tcBorders>
                    <w:tl2br w:val="nil"/>
                    <w:tr2bl w:val="nil"/>
                  </w:tcBorders>
                  <w:vAlign w:val="center"/>
                </w:tcPr>
                <w:p w14:paraId="47B35E3F">
                  <w:pPr>
                    <w:adjustRightInd w:val="0"/>
                    <w:snapToGrid w:val="0"/>
                    <w:spacing w:line="240" w:lineRule="auto"/>
                    <w:jc w:val="center"/>
                    <w:rPr>
                      <w:rFonts w:hint="default" w:ascii="Times New Roman" w:hAnsi="Times New Roman" w:cs="Times New Roman"/>
                      <w:color w:val="0000FF"/>
                      <w:sz w:val="21"/>
                      <w:szCs w:val="21"/>
                    </w:rPr>
                  </w:pPr>
                </w:p>
              </w:tc>
              <w:tc>
                <w:tcPr>
                  <w:tcW w:w="545" w:type="dxa"/>
                  <w:vMerge w:val="continue"/>
                  <w:tcBorders>
                    <w:tl2br w:val="nil"/>
                    <w:tr2bl w:val="nil"/>
                  </w:tcBorders>
                  <w:vAlign w:val="center"/>
                </w:tcPr>
                <w:p w14:paraId="68EA2AE9">
                  <w:pPr>
                    <w:adjustRightInd w:val="0"/>
                    <w:snapToGrid w:val="0"/>
                    <w:spacing w:line="240" w:lineRule="auto"/>
                    <w:jc w:val="center"/>
                    <w:rPr>
                      <w:rFonts w:hint="default" w:ascii="Times New Roman" w:hAnsi="Times New Roman" w:cs="Times New Roman"/>
                      <w:color w:val="0000FF"/>
                      <w:sz w:val="21"/>
                      <w:szCs w:val="21"/>
                    </w:rPr>
                  </w:pPr>
                </w:p>
              </w:tc>
              <w:tc>
                <w:tcPr>
                  <w:tcW w:w="545" w:type="dxa"/>
                  <w:vMerge w:val="continue"/>
                  <w:tcBorders>
                    <w:tl2br w:val="nil"/>
                    <w:tr2bl w:val="nil"/>
                  </w:tcBorders>
                  <w:vAlign w:val="center"/>
                </w:tcPr>
                <w:p w14:paraId="2672A7DF">
                  <w:pPr>
                    <w:adjustRightInd w:val="0"/>
                    <w:snapToGrid w:val="0"/>
                    <w:spacing w:line="240" w:lineRule="auto"/>
                    <w:jc w:val="center"/>
                    <w:rPr>
                      <w:rFonts w:hint="default" w:ascii="Times New Roman" w:hAnsi="Times New Roman" w:cs="Times New Roman"/>
                      <w:color w:val="0000FF"/>
                      <w:sz w:val="21"/>
                      <w:szCs w:val="21"/>
                    </w:rPr>
                  </w:pPr>
                </w:p>
              </w:tc>
              <w:tc>
                <w:tcPr>
                  <w:tcW w:w="3843" w:type="dxa"/>
                  <w:tcBorders>
                    <w:tl2br w:val="nil"/>
                    <w:tr2bl w:val="nil"/>
                  </w:tcBorders>
                  <w:vAlign w:val="center"/>
                </w:tcPr>
                <w:p w14:paraId="7D5C5935">
                  <w:pPr>
                    <w:adjustRightInd w:val="0"/>
                    <w:snapToGrid w:val="0"/>
                    <w:spacing w:line="240" w:lineRule="auto"/>
                    <w:jc w:val="both"/>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禁止建设生产和使用高VOCs含量的溶剂型涂料、油墨、胶粘剂等项目</w:t>
                  </w:r>
                </w:p>
              </w:tc>
              <w:tc>
                <w:tcPr>
                  <w:tcW w:w="2698" w:type="dxa"/>
                  <w:tcBorders>
                    <w:tl2br w:val="nil"/>
                    <w:tr2bl w:val="nil"/>
                  </w:tcBorders>
                  <w:vAlign w:val="center"/>
                </w:tcPr>
                <w:p w14:paraId="6BF01CA5">
                  <w:pPr>
                    <w:adjustRightInd w:val="0"/>
                    <w:snapToGrid w:val="0"/>
                    <w:jc w:val="both"/>
                    <w:rPr>
                      <w:rFonts w:hint="default" w:ascii="Times New Roman" w:hAnsi="Times New Roman" w:cs="Times New Roman"/>
                      <w:color w:val="0000FF"/>
                      <w:sz w:val="21"/>
                      <w:szCs w:val="21"/>
                    </w:rPr>
                  </w:pPr>
                  <w:r>
                    <w:rPr>
                      <w:rFonts w:ascii="Times New Roman" w:hAnsi="Times New Roman" w:eastAsia="宋体" w:cs="Times New Roman"/>
                      <w:bCs/>
                      <w:color w:val="0000FF"/>
                    </w:rPr>
                    <w:t>本项目不涉及溶剂型涂料、油墨、胶粘剂</w:t>
                  </w:r>
                </w:p>
              </w:tc>
            </w:tr>
            <w:tr w14:paraId="195E8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7" w:type="dxa"/>
                  <w:vMerge w:val="continue"/>
                  <w:tcBorders>
                    <w:tl2br w:val="nil"/>
                    <w:tr2bl w:val="nil"/>
                  </w:tcBorders>
                  <w:vAlign w:val="center"/>
                </w:tcPr>
                <w:p w14:paraId="611EE6AB">
                  <w:pPr>
                    <w:adjustRightInd w:val="0"/>
                    <w:snapToGrid w:val="0"/>
                    <w:spacing w:line="240" w:lineRule="auto"/>
                    <w:jc w:val="center"/>
                    <w:rPr>
                      <w:rFonts w:hint="default" w:ascii="Times New Roman" w:hAnsi="Times New Roman" w:cs="Times New Roman"/>
                      <w:color w:val="0000FF"/>
                      <w:sz w:val="21"/>
                      <w:szCs w:val="21"/>
                    </w:rPr>
                  </w:pPr>
                </w:p>
              </w:tc>
              <w:tc>
                <w:tcPr>
                  <w:tcW w:w="545" w:type="dxa"/>
                  <w:vMerge w:val="continue"/>
                  <w:tcBorders>
                    <w:tl2br w:val="nil"/>
                    <w:tr2bl w:val="nil"/>
                  </w:tcBorders>
                  <w:vAlign w:val="center"/>
                </w:tcPr>
                <w:p w14:paraId="4BFA9EC0">
                  <w:pPr>
                    <w:adjustRightInd w:val="0"/>
                    <w:snapToGrid w:val="0"/>
                    <w:spacing w:line="240" w:lineRule="auto"/>
                    <w:jc w:val="center"/>
                    <w:rPr>
                      <w:rFonts w:hint="default" w:ascii="Times New Roman" w:hAnsi="Times New Roman" w:cs="Times New Roman"/>
                      <w:color w:val="0000FF"/>
                      <w:sz w:val="21"/>
                      <w:szCs w:val="21"/>
                    </w:rPr>
                  </w:pPr>
                </w:p>
              </w:tc>
              <w:tc>
                <w:tcPr>
                  <w:tcW w:w="545" w:type="dxa"/>
                  <w:vMerge w:val="restart"/>
                  <w:tcBorders>
                    <w:tl2br w:val="nil"/>
                    <w:tr2bl w:val="nil"/>
                  </w:tcBorders>
                  <w:vAlign w:val="center"/>
                </w:tcPr>
                <w:p w14:paraId="41643CA7">
                  <w:pPr>
                    <w:adjustRightInd w:val="0"/>
                    <w:snapToGrid w:val="0"/>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限制开发建设活动的要求</w:t>
                  </w:r>
                </w:p>
              </w:tc>
              <w:tc>
                <w:tcPr>
                  <w:tcW w:w="3843" w:type="dxa"/>
                  <w:tcBorders>
                    <w:tl2br w:val="nil"/>
                    <w:tr2bl w:val="nil"/>
                  </w:tcBorders>
                  <w:vAlign w:val="center"/>
                </w:tcPr>
                <w:p w14:paraId="6191486B">
                  <w:pPr>
                    <w:adjustRightInd w:val="0"/>
                    <w:snapToGrid w:val="0"/>
                    <w:spacing w:line="240" w:lineRule="auto"/>
                    <w:jc w:val="both"/>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加大钢铁、铸造、炼焦、建材、电解铝等产能压减力度</w:t>
                  </w:r>
                </w:p>
              </w:tc>
              <w:tc>
                <w:tcPr>
                  <w:tcW w:w="2698" w:type="dxa"/>
                  <w:tcBorders>
                    <w:tl2br w:val="nil"/>
                    <w:tr2bl w:val="nil"/>
                  </w:tcBorders>
                  <w:vAlign w:val="center"/>
                </w:tcPr>
                <w:p w14:paraId="6A38DF4F">
                  <w:pPr>
                    <w:adjustRightInd w:val="0"/>
                    <w:snapToGrid w:val="0"/>
                    <w:jc w:val="both"/>
                    <w:rPr>
                      <w:rFonts w:hint="default" w:ascii="Times New Roman" w:hAnsi="Times New Roman" w:cs="Times New Roman"/>
                      <w:color w:val="0000FF"/>
                      <w:sz w:val="21"/>
                      <w:szCs w:val="21"/>
                    </w:rPr>
                  </w:pPr>
                  <w:r>
                    <w:rPr>
                      <w:rFonts w:ascii="Times New Roman" w:hAnsi="Times New Roman" w:eastAsia="宋体" w:cs="Times New Roman"/>
                      <w:bCs/>
                      <w:color w:val="0000FF"/>
                    </w:rPr>
                    <w:t>本项目</w:t>
                  </w:r>
                  <w:r>
                    <w:rPr>
                      <w:rFonts w:hint="eastAsia" w:ascii="Times New Roman" w:hAnsi="Times New Roman" w:eastAsia="宋体" w:cs="Times New Roman"/>
                      <w:bCs/>
                      <w:color w:val="0000FF"/>
                    </w:rPr>
                    <w:t>属于水泥熟料生产线</w:t>
                  </w:r>
                  <w:r>
                    <w:rPr>
                      <w:rFonts w:hint="eastAsia" w:cs="Times New Roman"/>
                      <w:bCs/>
                      <w:color w:val="0000FF"/>
                      <w:lang w:eastAsia="zh-CN"/>
                    </w:rPr>
                    <w:t>生物质替代燃料节能减排技术改造项目</w:t>
                  </w:r>
                  <w:r>
                    <w:rPr>
                      <w:rFonts w:hint="eastAsia" w:ascii="Times New Roman" w:hAnsi="Times New Roman" w:eastAsia="宋体" w:cs="Times New Roman"/>
                      <w:bCs/>
                      <w:color w:val="0000FF"/>
                    </w:rPr>
                    <w:t>，技改后不新增水泥熟料产能</w:t>
                  </w:r>
                </w:p>
              </w:tc>
            </w:tr>
            <w:tr w14:paraId="2CBAF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7" w:type="dxa"/>
                  <w:vMerge w:val="continue"/>
                  <w:tcBorders>
                    <w:tl2br w:val="nil"/>
                    <w:tr2bl w:val="nil"/>
                  </w:tcBorders>
                  <w:vAlign w:val="center"/>
                </w:tcPr>
                <w:p w14:paraId="7B4C9238">
                  <w:pPr>
                    <w:adjustRightInd w:val="0"/>
                    <w:snapToGrid w:val="0"/>
                    <w:spacing w:line="240" w:lineRule="auto"/>
                    <w:jc w:val="center"/>
                    <w:rPr>
                      <w:rFonts w:hint="default" w:ascii="Times New Roman" w:hAnsi="Times New Roman" w:cs="Times New Roman"/>
                      <w:color w:val="0000FF"/>
                      <w:sz w:val="21"/>
                      <w:szCs w:val="21"/>
                    </w:rPr>
                  </w:pPr>
                </w:p>
              </w:tc>
              <w:tc>
                <w:tcPr>
                  <w:tcW w:w="545" w:type="dxa"/>
                  <w:vMerge w:val="continue"/>
                  <w:tcBorders>
                    <w:tl2br w:val="nil"/>
                    <w:tr2bl w:val="nil"/>
                  </w:tcBorders>
                  <w:vAlign w:val="center"/>
                </w:tcPr>
                <w:p w14:paraId="1505541A">
                  <w:pPr>
                    <w:adjustRightInd w:val="0"/>
                    <w:snapToGrid w:val="0"/>
                    <w:spacing w:line="240" w:lineRule="auto"/>
                    <w:jc w:val="center"/>
                    <w:rPr>
                      <w:rFonts w:hint="default" w:ascii="Times New Roman" w:hAnsi="Times New Roman" w:cs="Times New Roman"/>
                      <w:color w:val="0000FF"/>
                      <w:sz w:val="21"/>
                      <w:szCs w:val="21"/>
                    </w:rPr>
                  </w:pPr>
                </w:p>
              </w:tc>
              <w:tc>
                <w:tcPr>
                  <w:tcW w:w="545" w:type="dxa"/>
                  <w:vMerge w:val="continue"/>
                  <w:tcBorders>
                    <w:tl2br w:val="nil"/>
                    <w:tr2bl w:val="nil"/>
                  </w:tcBorders>
                  <w:vAlign w:val="center"/>
                </w:tcPr>
                <w:p w14:paraId="6B54E200">
                  <w:pPr>
                    <w:adjustRightInd w:val="0"/>
                    <w:snapToGrid w:val="0"/>
                    <w:spacing w:line="240" w:lineRule="auto"/>
                    <w:jc w:val="center"/>
                    <w:rPr>
                      <w:rFonts w:hint="default" w:ascii="Times New Roman" w:hAnsi="Times New Roman" w:cs="Times New Roman"/>
                      <w:color w:val="0000FF"/>
                      <w:sz w:val="21"/>
                      <w:szCs w:val="21"/>
                    </w:rPr>
                  </w:pPr>
                </w:p>
              </w:tc>
              <w:tc>
                <w:tcPr>
                  <w:tcW w:w="3843" w:type="dxa"/>
                  <w:tcBorders>
                    <w:tl2br w:val="nil"/>
                    <w:tr2bl w:val="nil"/>
                  </w:tcBorders>
                  <w:vAlign w:val="center"/>
                </w:tcPr>
                <w:p w14:paraId="08ED59B5">
                  <w:pPr>
                    <w:adjustRightInd w:val="0"/>
                    <w:snapToGrid w:val="0"/>
                    <w:spacing w:line="240" w:lineRule="auto"/>
                    <w:jc w:val="both"/>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严格资源节约和环保准入门槛，转入项目必须符合国家产业政策、资源节约和污染物排放强度要求，避免产业转移中的资源浪费和污染扩散</w:t>
                  </w:r>
                </w:p>
              </w:tc>
              <w:tc>
                <w:tcPr>
                  <w:tcW w:w="2698" w:type="dxa"/>
                  <w:tcBorders>
                    <w:tl2br w:val="nil"/>
                    <w:tr2bl w:val="nil"/>
                  </w:tcBorders>
                  <w:vAlign w:val="center"/>
                </w:tcPr>
                <w:p w14:paraId="32330D81">
                  <w:pPr>
                    <w:adjustRightInd w:val="0"/>
                    <w:snapToGrid w:val="0"/>
                    <w:jc w:val="both"/>
                    <w:rPr>
                      <w:rFonts w:hint="default" w:ascii="Times New Roman" w:hAnsi="Times New Roman" w:cs="Times New Roman"/>
                      <w:color w:val="0000FF"/>
                      <w:sz w:val="21"/>
                      <w:szCs w:val="21"/>
                    </w:rPr>
                  </w:pPr>
                  <w:r>
                    <w:rPr>
                      <w:rFonts w:ascii="Times New Roman" w:hAnsi="Times New Roman" w:eastAsia="宋体" w:cs="Times New Roman"/>
                      <w:bCs/>
                      <w:color w:val="0000FF"/>
                    </w:rPr>
                    <w:t>本项目符合</w:t>
                  </w:r>
                  <w:r>
                    <w:rPr>
                      <w:rFonts w:hint="eastAsia" w:ascii="Times New Roman" w:hAnsi="Times New Roman" w:eastAsia="宋体" w:cs="Times New Roman"/>
                      <w:bCs/>
                      <w:color w:val="0000FF"/>
                    </w:rPr>
                    <w:t>国家产业政策、资源节约和污染物排放强度要求</w:t>
                  </w:r>
                </w:p>
              </w:tc>
            </w:tr>
            <w:tr w14:paraId="18578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7" w:type="dxa"/>
                  <w:vMerge w:val="continue"/>
                  <w:tcBorders>
                    <w:tl2br w:val="nil"/>
                    <w:tr2bl w:val="nil"/>
                  </w:tcBorders>
                  <w:vAlign w:val="center"/>
                </w:tcPr>
                <w:p w14:paraId="63BB21E5">
                  <w:pPr>
                    <w:adjustRightInd w:val="0"/>
                    <w:snapToGrid w:val="0"/>
                    <w:spacing w:line="240" w:lineRule="auto"/>
                    <w:jc w:val="center"/>
                    <w:rPr>
                      <w:rFonts w:hint="default" w:ascii="Times New Roman" w:hAnsi="Times New Roman" w:cs="Times New Roman"/>
                      <w:color w:val="0000FF"/>
                      <w:sz w:val="21"/>
                      <w:szCs w:val="21"/>
                    </w:rPr>
                  </w:pPr>
                </w:p>
              </w:tc>
              <w:tc>
                <w:tcPr>
                  <w:tcW w:w="545" w:type="dxa"/>
                  <w:vMerge w:val="continue"/>
                  <w:tcBorders>
                    <w:tl2br w:val="nil"/>
                    <w:tr2bl w:val="nil"/>
                  </w:tcBorders>
                  <w:vAlign w:val="center"/>
                </w:tcPr>
                <w:p w14:paraId="453BAD81">
                  <w:pPr>
                    <w:adjustRightInd w:val="0"/>
                    <w:snapToGrid w:val="0"/>
                    <w:spacing w:line="240" w:lineRule="auto"/>
                    <w:jc w:val="center"/>
                    <w:rPr>
                      <w:rFonts w:hint="default" w:ascii="Times New Roman" w:hAnsi="Times New Roman" w:cs="Times New Roman"/>
                      <w:color w:val="0000FF"/>
                      <w:sz w:val="21"/>
                      <w:szCs w:val="21"/>
                    </w:rPr>
                  </w:pPr>
                </w:p>
              </w:tc>
              <w:tc>
                <w:tcPr>
                  <w:tcW w:w="545" w:type="dxa"/>
                  <w:vMerge w:val="continue"/>
                  <w:tcBorders>
                    <w:tl2br w:val="nil"/>
                    <w:tr2bl w:val="nil"/>
                  </w:tcBorders>
                  <w:vAlign w:val="center"/>
                </w:tcPr>
                <w:p w14:paraId="5DA2CC52">
                  <w:pPr>
                    <w:adjustRightInd w:val="0"/>
                    <w:snapToGrid w:val="0"/>
                    <w:spacing w:line="240" w:lineRule="auto"/>
                    <w:jc w:val="center"/>
                    <w:rPr>
                      <w:rFonts w:hint="default" w:ascii="Times New Roman" w:hAnsi="Times New Roman" w:cs="Times New Roman"/>
                      <w:color w:val="0000FF"/>
                      <w:sz w:val="21"/>
                      <w:szCs w:val="21"/>
                    </w:rPr>
                  </w:pPr>
                </w:p>
              </w:tc>
              <w:tc>
                <w:tcPr>
                  <w:tcW w:w="3843" w:type="dxa"/>
                  <w:tcBorders>
                    <w:tl2br w:val="nil"/>
                    <w:tr2bl w:val="nil"/>
                  </w:tcBorders>
                  <w:vAlign w:val="center"/>
                </w:tcPr>
                <w:p w14:paraId="69A8E48B">
                  <w:pPr>
                    <w:adjustRightInd w:val="0"/>
                    <w:snapToGrid w:val="0"/>
                    <w:spacing w:line="240" w:lineRule="auto"/>
                    <w:jc w:val="both"/>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对污染治理不规范的露天矿山，依法责令停产整治，整治完成并经相关部门组织验收合格后方可恢复生产</w:t>
                  </w:r>
                </w:p>
              </w:tc>
              <w:tc>
                <w:tcPr>
                  <w:tcW w:w="2698" w:type="dxa"/>
                  <w:tcBorders>
                    <w:tl2br w:val="nil"/>
                    <w:tr2bl w:val="nil"/>
                  </w:tcBorders>
                  <w:vAlign w:val="center"/>
                </w:tcPr>
                <w:p w14:paraId="2F068B31">
                  <w:pPr>
                    <w:adjustRightInd w:val="0"/>
                    <w:snapToGrid w:val="0"/>
                    <w:jc w:val="both"/>
                    <w:rPr>
                      <w:rFonts w:hint="eastAsia" w:ascii="Times New Roman" w:hAnsi="Times New Roman" w:eastAsia="宋体" w:cs="Times New Roman"/>
                      <w:color w:val="0000FF"/>
                      <w:sz w:val="21"/>
                      <w:szCs w:val="21"/>
                      <w:lang w:eastAsia="zh-CN"/>
                    </w:rPr>
                  </w:pPr>
                  <w:r>
                    <w:rPr>
                      <w:rFonts w:ascii="Times New Roman" w:hAnsi="Times New Roman" w:eastAsia="宋体" w:cs="Times New Roman"/>
                      <w:bCs/>
                      <w:color w:val="0000FF"/>
                    </w:rPr>
                    <w:t>本项目不涉及</w:t>
                  </w:r>
                  <w:r>
                    <w:rPr>
                      <w:rFonts w:hint="eastAsia" w:ascii="Times New Roman" w:hAnsi="Times New Roman" w:eastAsia="宋体" w:cs="Times New Roman"/>
                      <w:bCs/>
                      <w:color w:val="0000FF"/>
                      <w:lang w:eastAsia="zh-CN"/>
                    </w:rPr>
                    <w:t>露天矿山</w:t>
                  </w:r>
                </w:p>
              </w:tc>
            </w:tr>
            <w:tr w14:paraId="3BB1C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7" w:type="dxa"/>
                  <w:vMerge w:val="continue"/>
                  <w:tcBorders>
                    <w:tl2br w:val="nil"/>
                    <w:tr2bl w:val="nil"/>
                  </w:tcBorders>
                  <w:vAlign w:val="center"/>
                </w:tcPr>
                <w:p w14:paraId="75CEEFA6">
                  <w:pPr>
                    <w:adjustRightInd w:val="0"/>
                    <w:snapToGrid w:val="0"/>
                    <w:spacing w:line="240" w:lineRule="auto"/>
                    <w:jc w:val="center"/>
                    <w:rPr>
                      <w:rFonts w:hint="default" w:ascii="Times New Roman" w:hAnsi="Times New Roman" w:cs="Times New Roman"/>
                      <w:color w:val="0000FF"/>
                      <w:sz w:val="21"/>
                      <w:szCs w:val="21"/>
                    </w:rPr>
                  </w:pPr>
                </w:p>
              </w:tc>
              <w:tc>
                <w:tcPr>
                  <w:tcW w:w="545" w:type="dxa"/>
                  <w:vMerge w:val="continue"/>
                  <w:tcBorders>
                    <w:tl2br w:val="nil"/>
                    <w:tr2bl w:val="nil"/>
                  </w:tcBorders>
                  <w:vAlign w:val="center"/>
                </w:tcPr>
                <w:p w14:paraId="049C0B02">
                  <w:pPr>
                    <w:adjustRightInd w:val="0"/>
                    <w:snapToGrid w:val="0"/>
                    <w:spacing w:line="240" w:lineRule="auto"/>
                    <w:jc w:val="center"/>
                    <w:rPr>
                      <w:rFonts w:hint="default" w:ascii="Times New Roman" w:hAnsi="Times New Roman" w:cs="Times New Roman"/>
                      <w:color w:val="0000FF"/>
                      <w:sz w:val="21"/>
                      <w:szCs w:val="21"/>
                    </w:rPr>
                  </w:pPr>
                </w:p>
              </w:tc>
              <w:tc>
                <w:tcPr>
                  <w:tcW w:w="545" w:type="dxa"/>
                  <w:vMerge w:val="continue"/>
                  <w:tcBorders>
                    <w:tl2br w:val="nil"/>
                    <w:tr2bl w:val="nil"/>
                  </w:tcBorders>
                  <w:vAlign w:val="center"/>
                </w:tcPr>
                <w:p w14:paraId="31B18759">
                  <w:pPr>
                    <w:adjustRightInd w:val="0"/>
                    <w:snapToGrid w:val="0"/>
                    <w:spacing w:line="240" w:lineRule="auto"/>
                    <w:jc w:val="center"/>
                    <w:rPr>
                      <w:rFonts w:hint="default" w:ascii="Times New Roman" w:hAnsi="Times New Roman" w:cs="Times New Roman"/>
                      <w:color w:val="0000FF"/>
                      <w:sz w:val="21"/>
                      <w:szCs w:val="21"/>
                    </w:rPr>
                  </w:pPr>
                </w:p>
              </w:tc>
              <w:tc>
                <w:tcPr>
                  <w:tcW w:w="3843" w:type="dxa"/>
                  <w:tcBorders>
                    <w:tl2br w:val="nil"/>
                    <w:tr2bl w:val="nil"/>
                  </w:tcBorders>
                  <w:vAlign w:val="center"/>
                </w:tcPr>
                <w:p w14:paraId="0D6BBF00">
                  <w:pPr>
                    <w:adjustRightInd w:val="0"/>
                    <w:snapToGrid w:val="0"/>
                    <w:spacing w:line="240" w:lineRule="auto"/>
                    <w:jc w:val="both"/>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加大落后产能淘汰和过剩产能压减力度。严</w:t>
                  </w:r>
                  <w:r>
                    <w:rPr>
                      <w:rFonts w:hint="eastAsia" w:ascii="宋体" w:hAnsi="宋体" w:eastAsia="宋体" w:cs="宋体"/>
                      <w:color w:val="0000FF"/>
                      <w:sz w:val="21"/>
                      <w:szCs w:val="21"/>
                    </w:rPr>
                    <w:t>防“地条钢”死灰</w:t>
                  </w:r>
                  <w:r>
                    <w:rPr>
                      <w:rFonts w:hint="default" w:ascii="Times New Roman" w:hAnsi="Times New Roman" w:cs="Times New Roman"/>
                      <w:color w:val="0000FF"/>
                      <w:sz w:val="21"/>
                      <w:szCs w:val="21"/>
                    </w:rPr>
                    <w:t>复燃</w:t>
                  </w:r>
                </w:p>
              </w:tc>
              <w:tc>
                <w:tcPr>
                  <w:tcW w:w="2698" w:type="dxa"/>
                  <w:tcBorders>
                    <w:tl2br w:val="nil"/>
                    <w:tr2bl w:val="nil"/>
                  </w:tcBorders>
                  <w:vAlign w:val="center"/>
                </w:tcPr>
                <w:p w14:paraId="11029C97">
                  <w:pPr>
                    <w:adjustRightInd w:val="0"/>
                    <w:snapToGrid w:val="0"/>
                    <w:spacing w:line="240" w:lineRule="auto"/>
                    <w:jc w:val="both"/>
                    <w:rPr>
                      <w:rFonts w:hint="eastAsia" w:ascii="Times New Roman" w:hAnsi="Times New Roman" w:eastAsia="宋体" w:cs="Times New Roman"/>
                      <w:color w:val="0000FF"/>
                      <w:sz w:val="21"/>
                      <w:szCs w:val="21"/>
                      <w:lang w:eastAsia="zh-CN"/>
                    </w:rPr>
                  </w:pPr>
                  <w:r>
                    <w:rPr>
                      <w:rFonts w:hint="default" w:ascii="Times New Roman" w:hAnsi="Times New Roman" w:eastAsia="宋体" w:cs="Times New Roman"/>
                      <w:color w:val="0000FF"/>
                      <w:sz w:val="21"/>
                      <w:szCs w:val="21"/>
                    </w:rPr>
                    <w:t>本项目不涉及</w:t>
                  </w:r>
                  <w:r>
                    <w:rPr>
                      <w:rFonts w:hint="eastAsia" w:ascii="Times New Roman" w:hAnsi="Times New Roman" w:eastAsia="宋体" w:cs="Times New Roman"/>
                      <w:color w:val="0000FF"/>
                      <w:sz w:val="21"/>
                      <w:szCs w:val="21"/>
                      <w:lang w:eastAsia="zh-CN"/>
                    </w:rPr>
                    <w:t>产能淘汰和过剩产能</w:t>
                  </w:r>
                </w:p>
              </w:tc>
            </w:tr>
            <w:tr w14:paraId="4BC28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7" w:type="dxa"/>
                  <w:vMerge w:val="continue"/>
                  <w:tcBorders>
                    <w:tl2br w:val="nil"/>
                    <w:tr2bl w:val="nil"/>
                  </w:tcBorders>
                  <w:vAlign w:val="center"/>
                </w:tcPr>
                <w:p w14:paraId="6FBE4168">
                  <w:pPr>
                    <w:adjustRightInd w:val="0"/>
                    <w:snapToGrid w:val="0"/>
                    <w:spacing w:line="240" w:lineRule="auto"/>
                    <w:jc w:val="center"/>
                    <w:rPr>
                      <w:rFonts w:hint="default" w:ascii="Times New Roman" w:hAnsi="Times New Roman" w:cs="Times New Roman"/>
                      <w:color w:val="0000FF"/>
                      <w:sz w:val="21"/>
                      <w:szCs w:val="21"/>
                    </w:rPr>
                  </w:pPr>
                </w:p>
              </w:tc>
              <w:tc>
                <w:tcPr>
                  <w:tcW w:w="545" w:type="dxa"/>
                  <w:vMerge w:val="restart"/>
                  <w:tcBorders>
                    <w:tl2br w:val="nil"/>
                    <w:tr2bl w:val="nil"/>
                  </w:tcBorders>
                  <w:vAlign w:val="center"/>
                </w:tcPr>
                <w:p w14:paraId="605E6C6D">
                  <w:pPr>
                    <w:adjustRightInd w:val="0"/>
                    <w:snapToGrid w:val="0"/>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污染物排放管控</w:t>
                  </w:r>
                </w:p>
              </w:tc>
              <w:tc>
                <w:tcPr>
                  <w:tcW w:w="545" w:type="dxa"/>
                  <w:vMerge w:val="restart"/>
                  <w:tcBorders>
                    <w:tl2br w:val="nil"/>
                    <w:tr2bl w:val="nil"/>
                  </w:tcBorders>
                  <w:vAlign w:val="center"/>
                </w:tcPr>
                <w:p w14:paraId="6FF8F2D0">
                  <w:pPr>
                    <w:adjustRightInd w:val="0"/>
                    <w:snapToGrid w:val="0"/>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大气污染控制措施要求</w:t>
                  </w:r>
                </w:p>
              </w:tc>
              <w:tc>
                <w:tcPr>
                  <w:tcW w:w="3843" w:type="dxa"/>
                  <w:tcBorders>
                    <w:tl2br w:val="nil"/>
                    <w:tr2bl w:val="nil"/>
                  </w:tcBorders>
                  <w:vAlign w:val="center"/>
                </w:tcPr>
                <w:p w14:paraId="27199DBC">
                  <w:pPr>
                    <w:adjustRightInd w:val="0"/>
                    <w:snapToGrid w:val="0"/>
                    <w:spacing w:line="240" w:lineRule="auto"/>
                    <w:jc w:val="both"/>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新建、改建、扩建排放重点大气污染物的项目不符合总量控制要求的，不得通过环境影响评价</w:t>
                  </w:r>
                </w:p>
              </w:tc>
              <w:tc>
                <w:tcPr>
                  <w:tcW w:w="2698" w:type="dxa"/>
                  <w:tcBorders>
                    <w:tl2br w:val="nil"/>
                    <w:tr2bl w:val="nil"/>
                  </w:tcBorders>
                  <w:vAlign w:val="center"/>
                </w:tcPr>
                <w:p w14:paraId="3CF880EF">
                  <w:pPr>
                    <w:adjustRightInd w:val="0"/>
                    <w:snapToGrid w:val="0"/>
                    <w:spacing w:line="240" w:lineRule="auto"/>
                    <w:jc w:val="both"/>
                    <w:rPr>
                      <w:rFonts w:hint="eastAsia" w:ascii="Times New Roman" w:hAnsi="Times New Roman" w:eastAsia="宋体" w:cs="Times New Roman"/>
                      <w:color w:val="0000FF"/>
                      <w:sz w:val="21"/>
                      <w:szCs w:val="21"/>
                      <w:lang w:eastAsia="zh-CN"/>
                    </w:rPr>
                  </w:pPr>
                  <w:r>
                    <w:rPr>
                      <w:rFonts w:hint="default" w:ascii="Times New Roman" w:hAnsi="Times New Roman" w:eastAsia="宋体" w:cs="Times New Roman"/>
                      <w:color w:val="0000FF"/>
                      <w:sz w:val="21"/>
                      <w:szCs w:val="21"/>
                      <w:highlight w:val="none"/>
                    </w:rPr>
                    <w:t>本次项目建成后全厂颗粒物、二氧化硫、氮氧化物污染物排放总量均未超过排污许可证总量，总量达标</w:t>
                  </w:r>
                </w:p>
              </w:tc>
            </w:tr>
            <w:tr w14:paraId="6F1AF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7" w:type="dxa"/>
                  <w:vMerge w:val="continue"/>
                  <w:tcBorders>
                    <w:tl2br w:val="nil"/>
                    <w:tr2bl w:val="nil"/>
                  </w:tcBorders>
                  <w:vAlign w:val="center"/>
                </w:tcPr>
                <w:p w14:paraId="1CCCC159">
                  <w:pPr>
                    <w:adjustRightInd w:val="0"/>
                    <w:snapToGrid w:val="0"/>
                    <w:spacing w:line="240" w:lineRule="auto"/>
                    <w:jc w:val="center"/>
                    <w:rPr>
                      <w:rFonts w:hint="default" w:ascii="Times New Roman" w:hAnsi="Times New Roman" w:cs="Times New Roman"/>
                      <w:color w:val="0000FF"/>
                      <w:sz w:val="21"/>
                      <w:szCs w:val="21"/>
                    </w:rPr>
                  </w:pPr>
                </w:p>
              </w:tc>
              <w:tc>
                <w:tcPr>
                  <w:tcW w:w="545" w:type="dxa"/>
                  <w:vMerge w:val="continue"/>
                  <w:tcBorders>
                    <w:tl2br w:val="nil"/>
                    <w:tr2bl w:val="nil"/>
                  </w:tcBorders>
                  <w:vAlign w:val="center"/>
                </w:tcPr>
                <w:p w14:paraId="67FF8166">
                  <w:pPr>
                    <w:adjustRightInd w:val="0"/>
                    <w:snapToGrid w:val="0"/>
                    <w:spacing w:line="240" w:lineRule="auto"/>
                    <w:jc w:val="center"/>
                    <w:rPr>
                      <w:rFonts w:hint="default" w:ascii="Times New Roman" w:hAnsi="Times New Roman" w:cs="Times New Roman"/>
                      <w:color w:val="0000FF"/>
                      <w:sz w:val="21"/>
                      <w:szCs w:val="21"/>
                    </w:rPr>
                  </w:pPr>
                </w:p>
              </w:tc>
              <w:tc>
                <w:tcPr>
                  <w:tcW w:w="545" w:type="dxa"/>
                  <w:vMerge w:val="continue"/>
                  <w:tcBorders>
                    <w:tl2br w:val="nil"/>
                    <w:tr2bl w:val="nil"/>
                  </w:tcBorders>
                  <w:vAlign w:val="center"/>
                </w:tcPr>
                <w:p w14:paraId="535CEB49">
                  <w:pPr>
                    <w:adjustRightInd w:val="0"/>
                    <w:snapToGrid w:val="0"/>
                    <w:spacing w:line="240" w:lineRule="auto"/>
                    <w:jc w:val="center"/>
                    <w:rPr>
                      <w:rFonts w:hint="default" w:ascii="Times New Roman" w:hAnsi="Times New Roman" w:cs="Times New Roman"/>
                      <w:color w:val="0000FF"/>
                      <w:sz w:val="21"/>
                      <w:szCs w:val="21"/>
                    </w:rPr>
                  </w:pPr>
                </w:p>
              </w:tc>
              <w:tc>
                <w:tcPr>
                  <w:tcW w:w="3843" w:type="dxa"/>
                  <w:tcBorders>
                    <w:tl2br w:val="nil"/>
                    <w:tr2bl w:val="nil"/>
                  </w:tcBorders>
                  <w:vAlign w:val="center"/>
                </w:tcPr>
                <w:p w14:paraId="61502198">
                  <w:pPr>
                    <w:adjustRightInd w:val="0"/>
                    <w:snapToGrid w:val="0"/>
                    <w:spacing w:line="240" w:lineRule="auto"/>
                    <w:jc w:val="both"/>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深入推进包装印刷行业VOCs综合治理。推广使用低（无）VOCs含量的绿色原辅材料和先进生产工艺、设备，加强无组织废气收集，优化烘干技术，配套建设末端治理措施，实现包装印刷行业VOCs全过程控制</w:t>
                  </w:r>
                </w:p>
              </w:tc>
              <w:tc>
                <w:tcPr>
                  <w:tcW w:w="2698" w:type="dxa"/>
                  <w:tcBorders>
                    <w:tl2br w:val="nil"/>
                    <w:tr2bl w:val="nil"/>
                  </w:tcBorders>
                  <w:vAlign w:val="center"/>
                </w:tcPr>
                <w:p w14:paraId="3231BA86">
                  <w:pPr>
                    <w:adjustRightInd w:val="0"/>
                    <w:snapToGrid w:val="0"/>
                    <w:spacing w:line="240" w:lineRule="auto"/>
                    <w:jc w:val="both"/>
                    <w:rPr>
                      <w:rFonts w:hint="default" w:ascii="Times New Roman" w:hAnsi="Times New Roman" w:cs="Times New Roman"/>
                      <w:color w:val="0000FF"/>
                      <w:sz w:val="21"/>
                      <w:szCs w:val="21"/>
                    </w:rPr>
                  </w:pPr>
                  <w:r>
                    <w:rPr>
                      <w:rFonts w:ascii="Times New Roman" w:hAnsi="Times New Roman" w:eastAsia="宋体" w:cs="Times New Roman"/>
                      <w:bCs/>
                      <w:color w:val="0000FF"/>
                    </w:rPr>
                    <w:t>本项目</w:t>
                  </w:r>
                  <w:r>
                    <w:rPr>
                      <w:rFonts w:hint="eastAsia" w:ascii="Times New Roman" w:hAnsi="Times New Roman" w:eastAsia="宋体" w:cs="Times New Roman"/>
                      <w:bCs/>
                      <w:color w:val="0000FF"/>
                      <w:lang w:eastAsia="zh-CN"/>
                    </w:rPr>
                    <w:t>不涉及</w:t>
                  </w:r>
                  <w:r>
                    <w:rPr>
                      <w:rFonts w:hint="eastAsia" w:ascii="Times New Roman" w:hAnsi="Times New Roman" w:eastAsia="宋体" w:cs="Times New Roman"/>
                      <w:bCs/>
                      <w:color w:val="0000FF"/>
                      <w:lang w:val="en-US" w:eastAsia="zh-CN"/>
                    </w:rPr>
                    <w:t>VOCs排放</w:t>
                  </w:r>
                </w:p>
              </w:tc>
            </w:tr>
            <w:tr w14:paraId="4F89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7" w:type="dxa"/>
                  <w:vMerge w:val="continue"/>
                  <w:tcBorders>
                    <w:tl2br w:val="nil"/>
                    <w:tr2bl w:val="nil"/>
                  </w:tcBorders>
                  <w:vAlign w:val="center"/>
                </w:tcPr>
                <w:p w14:paraId="12297871">
                  <w:pPr>
                    <w:adjustRightInd w:val="0"/>
                    <w:snapToGrid w:val="0"/>
                    <w:spacing w:line="240" w:lineRule="auto"/>
                    <w:jc w:val="center"/>
                    <w:rPr>
                      <w:rFonts w:hint="default" w:ascii="Times New Roman" w:hAnsi="Times New Roman" w:cs="Times New Roman"/>
                      <w:color w:val="0000FF"/>
                      <w:sz w:val="21"/>
                      <w:szCs w:val="21"/>
                    </w:rPr>
                  </w:pPr>
                </w:p>
              </w:tc>
              <w:tc>
                <w:tcPr>
                  <w:tcW w:w="545" w:type="dxa"/>
                  <w:vMerge w:val="continue"/>
                  <w:tcBorders>
                    <w:tl2br w:val="nil"/>
                    <w:tr2bl w:val="nil"/>
                  </w:tcBorders>
                  <w:vAlign w:val="center"/>
                </w:tcPr>
                <w:p w14:paraId="6CF05684">
                  <w:pPr>
                    <w:adjustRightInd w:val="0"/>
                    <w:snapToGrid w:val="0"/>
                    <w:spacing w:line="240" w:lineRule="auto"/>
                    <w:jc w:val="center"/>
                    <w:rPr>
                      <w:rFonts w:hint="default" w:ascii="Times New Roman" w:hAnsi="Times New Roman" w:cs="Times New Roman"/>
                      <w:color w:val="0000FF"/>
                      <w:sz w:val="21"/>
                      <w:szCs w:val="21"/>
                    </w:rPr>
                  </w:pPr>
                </w:p>
              </w:tc>
              <w:tc>
                <w:tcPr>
                  <w:tcW w:w="545" w:type="dxa"/>
                  <w:vMerge w:val="continue"/>
                  <w:tcBorders>
                    <w:tl2br w:val="nil"/>
                    <w:tr2bl w:val="nil"/>
                  </w:tcBorders>
                  <w:vAlign w:val="center"/>
                </w:tcPr>
                <w:p w14:paraId="7D379964">
                  <w:pPr>
                    <w:adjustRightInd w:val="0"/>
                    <w:snapToGrid w:val="0"/>
                    <w:spacing w:line="240" w:lineRule="auto"/>
                    <w:jc w:val="center"/>
                    <w:rPr>
                      <w:rFonts w:hint="default" w:ascii="Times New Roman" w:hAnsi="Times New Roman" w:cs="Times New Roman"/>
                      <w:color w:val="0000FF"/>
                      <w:sz w:val="21"/>
                      <w:szCs w:val="21"/>
                    </w:rPr>
                  </w:pPr>
                </w:p>
              </w:tc>
              <w:tc>
                <w:tcPr>
                  <w:tcW w:w="3843" w:type="dxa"/>
                  <w:tcBorders>
                    <w:tl2br w:val="nil"/>
                    <w:tr2bl w:val="nil"/>
                  </w:tcBorders>
                  <w:vAlign w:val="center"/>
                </w:tcPr>
                <w:p w14:paraId="674F5981">
                  <w:pPr>
                    <w:adjustRightInd w:val="0"/>
                    <w:snapToGrid w:val="0"/>
                    <w:spacing w:line="240" w:lineRule="auto"/>
                    <w:jc w:val="both"/>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使用粉末、水性、高固体分、辐射固化等低VOCs含量的涂料替代溶剂型涂料。汽车制造底漆大力推广使用水性涂料，乘用车中涂、色漆大力推广使用高固体分或水性涂料，加快客车、货车等中涂、色漆改造。钢制集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末涂料；软体家具制造大力推广使用水性胶粘剂。工程机械制造大力推广使用水性、粉末和高固体分涂料。电子产品制造推广使用粉末、水性、辐射固化等涂料</w:t>
                  </w:r>
                </w:p>
              </w:tc>
              <w:tc>
                <w:tcPr>
                  <w:tcW w:w="2698" w:type="dxa"/>
                  <w:tcBorders>
                    <w:tl2br w:val="nil"/>
                    <w:tr2bl w:val="nil"/>
                  </w:tcBorders>
                  <w:vAlign w:val="center"/>
                </w:tcPr>
                <w:p w14:paraId="11DA1ADD">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0000FF"/>
                      <w:sz w:val="21"/>
                      <w:szCs w:val="21"/>
                      <w:lang w:eastAsia="zh-CN"/>
                    </w:rPr>
                  </w:pPr>
                  <w:r>
                    <w:rPr>
                      <w:rFonts w:ascii="Times New Roman" w:hAnsi="Times New Roman" w:eastAsia="宋体" w:cs="Times New Roman"/>
                      <w:bCs/>
                      <w:color w:val="0000FF"/>
                    </w:rPr>
                    <w:t>本项目不涉及溶剂型涂料、油墨、胶粘剂</w:t>
                  </w:r>
                  <w:r>
                    <w:rPr>
                      <w:rFonts w:hint="eastAsia" w:cs="Times New Roman"/>
                      <w:bCs/>
                      <w:color w:val="0000FF"/>
                      <w:lang w:eastAsia="zh-CN"/>
                    </w:rPr>
                    <w:t>等</w:t>
                  </w:r>
                </w:p>
              </w:tc>
            </w:tr>
            <w:tr w14:paraId="30111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7" w:type="dxa"/>
                  <w:vMerge w:val="continue"/>
                  <w:tcBorders>
                    <w:tl2br w:val="nil"/>
                    <w:tr2bl w:val="nil"/>
                  </w:tcBorders>
                  <w:vAlign w:val="center"/>
                </w:tcPr>
                <w:p w14:paraId="3DB7C3B2">
                  <w:pPr>
                    <w:adjustRightInd w:val="0"/>
                    <w:snapToGrid w:val="0"/>
                    <w:spacing w:line="240" w:lineRule="auto"/>
                    <w:jc w:val="center"/>
                    <w:rPr>
                      <w:rFonts w:hint="default" w:ascii="Times New Roman" w:hAnsi="Times New Roman" w:cs="Times New Roman"/>
                      <w:color w:val="0000FF"/>
                      <w:sz w:val="21"/>
                      <w:szCs w:val="21"/>
                    </w:rPr>
                  </w:pPr>
                </w:p>
              </w:tc>
              <w:tc>
                <w:tcPr>
                  <w:tcW w:w="545" w:type="dxa"/>
                  <w:vMerge w:val="continue"/>
                  <w:tcBorders>
                    <w:tl2br w:val="nil"/>
                    <w:tr2bl w:val="nil"/>
                  </w:tcBorders>
                  <w:vAlign w:val="center"/>
                </w:tcPr>
                <w:p w14:paraId="558F20C1">
                  <w:pPr>
                    <w:adjustRightInd w:val="0"/>
                    <w:snapToGrid w:val="0"/>
                    <w:spacing w:line="240" w:lineRule="auto"/>
                    <w:jc w:val="center"/>
                    <w:rPr>
                      <w:rFonts w:hint="default" w:ascii="Times New Roman" w:hAnsi="Times New Roman" w:cs="Times New Roman"/>
                      <w:color w:val="0000FF"/>
                      <w:sz w:val="21"/>
                      <w:szCs w:val="21"/>
                    </w:rPr>
                  </w:pPr>
                </w:p>
              </w:tc>
              <w:tc>
                <w:tcPr>
                  <w:tcW w:w="545" w:type="dxa"/>
                  <w:vMerge w:val="continue"/>
                  <w:tcBorders>
                    <w:tl2br w:val="nil"/>
                    <w:tr2bl w:val="nil"/>
                  </w:tcBorders>
                  <w:vAlign w:val="center"/>
                </w:tcPr>
                <w:p w14:paraId="0BE0E773">
                  <w:pPr>
                    <w:adjustRightInd w:val="0"/>
                    <w:snapToGrid w:val="0"/>
                    <w:spacing w:line="240" w:lineRule="auto"/>
                    <w:jc w:val="center"/>
                    <w:rPr>
                      <w:rFonts w:hint="default" w:ascii="Times New Roman" w:hAnsi="Times New Roman" w:cs="Times New Roman"/>
                      <w:color w:val="0000FF"/>
                      <w:sz w:val="21"/>
                      <w:szCs w:val="21"/>
                    </w:rPr>
                  </w:pPr>
                </w:p>
              </w:tc>
              <w:tc>
                <w:tcPr>
                  <w:tcW w:w="3843" w:type="dxa"/>
                  <w:tcBorders>
                    <w:tl2br w:val="nil"/>
                    <w:tr2bl w:val="nil"/>
                  </w:tcBorders>
                  <w:vAlign w:val="center"/>
                </w:tcPr>
                <w:p w14:paraId="1A8E6345">
                  <w:pPr>
                    <w:adjustRightInd w:val="0"/>
                    <w:snapToGrid w:val="0"/>
                    <w:spacing w:line="240" w:lineRule="auto"/>
                    <w:jc w:val="both"/>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基本淘汰每小时35蒸吨以下燃煤锅炉及茶水炉、经营性炉灶、储粮烘干设备等燃煤设施，不再新建每小时35蒸吨以下的燃煤锅炉</w:t>
                  </w:r>
                </w:p>
              </w:tc>
              <w:tc>
                <w:tcPr>
                  <w:tcW w:w="2698" w:type="dxa"/>
                  <w:tcBorders>
                    <w:tl2br w:val="nil"/>
                    <w:tr2bl w:val="nil"/>
                  </w:tcBorders>
                  <w:vAlign w:val="center"/>
                </w:tcPr>
                <w:p w14:paraId="650BCE18">
                  <w:pPr>
                    <w:adjustRightInd w:val="0"/>
                    <w:snapToGrid w:val="0"/>
                    <w:spacing w:line="240" w:lineRule="auto"/>
                    <w:jc w:val="both"/>
                    <w:rPr>
                      <w:rFonts w:hint="default" w:ascii="Times New Roman" w:hAnsi="Times New Roman" w:eastAsia="宋体" w:cs="Times New Roman"/>
                      <w:color w:val="0000FF"/>
                      <w:sz w:val="21"/>
                      <w:szCs w:val="21"/>
                      <w:lang w:eastAsia="zh-CN"/>
                    </w:rPr>
                  </w:pPr>
                  <w:r>
                    <w:rPr>
                      <w:rFonts w:hint="default" w:ascii="Times New Roman" w:hAnsi="Times New Roman" w:cs="Times New Roman"/>
                      <w:color w:val="0000FF"/>
                      <w:sz w:val="21"/>
                      <w:szCs w:val="21"/>
                    </w:rPr>
                    <w:t>本项目不涉及燃煤锅炉及茶水炉、经营性炉灶、储粮烘干设备等燃煤设施</w:t>
                  </w:r>
                </w:p>
              </w:tc>
            </w:tr>
            <w:tr w14:paraId="45C84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7" w:type="dxa"/>
                  <w:vMerge w:val="continue"/>
                  <w:tcBorders>
                    <w:tl2br w:val="nil"/>
                    <w:tr2bl w:val="nil"/>
                  </w:tcBorders>
                  <w:vAlign w:val="center"/>
                </w:tcPr>
                <w:p w14:paraId="176EC50E">
                  <w:pPr>
                    <w:adjustRightInd w:val="0"/>
                    <w:snapToGrid w:val="0"/>
                    <w:spacing w:line="240" w:lineRule="auto"/>
                    <w:jc w:val="center"/>
                    <w:rPr>
                      <w:rFonts w:hint="default" w:ascii="Times New Roman" w:hAnsi="Times New Roman" w:cs="Times New Roman"/>
                      <w:color w:val="0000FF"/>
                      <w:sz w:val="21"/>
                      <w:szCs w:val="21"/>
                    </w:rPr>
                  </w:pPr>
                </w:p>
              </w:tc>
              <w:tc>
                <w:tcPr>
                  <w:tcW w:w="545" w:type="dxa"/>
                  <w:vMerge w:val="continue"/>
                  <w:tcBorders>
                    <w:tl2br w:val="nil"/>
                    <w:tr2bl w:val="nil"/>
                  </w:tcBorders>
                  <w:vAlign w:val="center"/>
                </w:tcPr>
                <w:p w14:paraId="7F2D3613">
                  <w:pPr>
                    <w:adjustRightInd w:val="0"/>
                    <w:snapToGrid w:val="0"/>
                    <w:spacing w:line="240" w:lineRule="auto"/>
                    <w:jc w:val="center"/>
                    <w:rPr>
                      <w:rFonts w:hint="default" w:ascii="Times New Roman" w:hAnsi="Times New Roman" w:cs="Times New Roman"/>
                      <w:color w:val="0000FF"/>
                      <w:sz w:val="21"/>
                      <w:szCs w:val="21"/>
                    </w:rPr>
                  </w:pPr>
                </w:p>
              </w:tc>
              <w:tc>
                <w:tcPr>
                  <w:tcW w:w="545" w:type="dxa"/>
                  <w:vMerge w:val="continue"/>
                  <w:tcBorders>
                    <w:tl2br w:val="nil"/>
                    <w:tr2bl w:val="nil"/>
                  </w:tcBorders>
                  <w:vAlign w:val="center"/>
                </w:tcPr>
                <w:p w14:paraId="0AB8892B">
                  <w:pPr>
                    <w:adjustRightInd w:val="0"/>
                    <w:snapToGrid w:val="0"/>
                    <w:spacing w:line="240" w:lineRule="auto"/>
                    <w:jc w:val="center"/>
                    <w:rPr>
                      <w:rFonts w:hint="default" w:ascii="Times New Roman" w:hAnsi="Times New Roman" w:cs="Times New Roman"/>
                      <w:color w:val="0000FF"/>
                      <w:sz w:val="21"/>
                      <w:szCs w:val="21"/>
                    </w:rPr>
                  </w:pPr>
                </w:p>
              </w:tc>
              <w:tc>
                <w:tcPr>
                  <w:tcW w:w="3843" w:type="dxa"/>
                  <w:tcBorders>
                    <w:tl2br w:val="nil"/>
                    <w:tr2bl w:val="nil"/>
                  </w:tcBorders>
                  <w:vAlign w:val="center"/>
                </w:tcPr>
                <w:p w14:paraId="1F9B4544">
                  <w:pPr>
                    <w:adjustRightInd w:val="0"/>
                    <w:snapToGrid w:val="0"/>
                    <w:spacing w:line="240" w:lineRule="auto"/>
                    <w:jc w:val="both"/>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新建、迁建VOCs排放量大的企业应入工业园区并符合规划要求，必须建设挥发性有机物污染治理施，安装废气收集、回收或净化装置，原则上总净化效率不得低于90%</w:t>
                  </w:r>
                </w:p>
              </w:tc>
              <w:tc>
                <w:tcPr>
                  <w:tcW w:w="2698" w:type="dxa"/>
                  <w:tcBorders>
                    <w:tl2br w:val="nil"/>
                    <w:tr2bl w:val="nil"/>
                  </w:tcBorders>
                  <w:vAlign w:val="center"/>
                </w:tcPr>
                <w:p w14:paraId="0F76101B">
                  <w:pPr>
                    <w:adjustRightInd w:val="0"/>
                    <w:snapToGrid w:val="0"/>
                    <w:spacing w:line="240" w:lineRule="auto"/>
                    <w:jc w:val="both"/>
                    <w:rPr>
                      <w:rFonts w:hint="eastAsia" w:ascii="Times New Roman" w:hAnsi="Times New Roman" w:eastAsia="宋体" w:cs="Times New Roman"/>
                      <w:color w:val="0000FF"/>
                      <w:sz w:val="21"/>
                      <w:szCs w:val="21"/>
                      <w:lang w:eastAsia="zh-CN"/>
                    </w:rPr>
                  </w:pPr>
                  <w:r>
                    <w:rPr>
                      <w:rFonts w:hint="default" w:ascii="Times New Roman" w:hAnsi="Times New Roman" w:cs="Times New Roman"/>
                      <w:color w:val="0000FF"/>
                      <w:sz w:val="21"/>
                      <w:szCs w:val="21"/>
                    </w:rPr>
                    <w:t>本项目</w:t>
                  </w:r>
                  <w:r>
                    <w:rPr>
                      <w:rFonts w:hint="eastAsia" w:cs="Times New Roman"/>
                      <w:color w:val="0000FF"/>
                      <w:sz w:val="21"/>
                      <w:szCs w:val="21"/>
                      <w:lang w:eastAsia="zh-CN"/>
                    </w:rPr>
                    <w:t>不涉及</w:t>
                  </w:r>
                  <w:r>
                    <w:rPr>
                      <w:rFonts w:hint="eastAsia" w:ascii="Times New Roman" w:hAnsi="Times New Roman" w:eastAsia="宋体" w:cs="Times New Roman"/>
                      <w:bCs/>
                      <w:color w:val="0000FF"/>
                      <w:lang w:val="en-US" w:eastAsia="zh-CN"/>
                    </w:rPr>
                    <w:t>VOCs排放</w:t>
                  </w:r>
                </w:p>
              </w:tc>
            </w:tr>
          </w:tbl>
          <w:p w14:paraId="26F5EC87">
            <w:pPr>
              <w:autoSpaceDE w:val="0"/>
              <w:autoSpaceDN w:val="0"/>
              <w:adjustRightInd w:val="0"/>
              <w:snapToGrid w:val="0"/>
              <w:spacing w:line="360" w:lineRule="auto"/>
              <w:ind w:firstLine="480" w:firstLineChars="200"/>
              <w:jc w:val="both"/>
              <w:rPr>
                <w:rFonts w:hint="default" w:ascii="Times New Roman" w:hAnsi="Times New Roman" w:cs="Times New Roman"/>
                <w:color w:val="0000FF"/>
                <w:sz w:val="24"/>
                <w:szCs w:val="24"/>
              </w:rPr>
            </w:pPr>
            <w:r>
              <w:rPr>
                <w:rFonts w:hint="eastAsia" w:cs="Times New Roman"/>
                <w:color w:val="0000FF"/>
                <w:sz w:val="24"/>
                <w:szCs w:val="24"/>
                <w:lang w:val="en-US" w:eastAsia="zh-CN"/>
              </w:rPr>
              <w:t>3、</w:t>
            </w:r>
            <w:r>
              <w:rPr>
                <w:rFonts w:hint="default" w:ascii="Times New Roman" w:hAnsi="Times New Roman" w:cs="Times New Roman"/>
                <w:color w:val="0000FF"/>
                <w:sz w:val="24"/>
                <w:szCs w:val="24"/>
              </w:rPr>
              <w:t>地表水环境分区管控</w:t>
            </w:r>
          </w:p>
          <w:p w14:paraId="421FC421">
            <w:pPr>
              <w:spacing w:line="360" w:lineRule="auto"/>
              <w:ind w:firstLine="482"/>
              <w:jc w:val="both"/>
              <w:rPr>
                <w:rFonts w:hint="default" w:ascii="Times New Roman" w:hAnsi="Times New Roman" w:cs="Times New Roman"/>
                <w:color w:val="0000FF"/>
                <w:sz w:val="24"/>
                <w:szCs w:val="24"/>
              </w:rPr>
            </w:pPr>
            <w:r>
              <w:rPr>
                <w:rFonts w:hint="default" w:ascii="Times New Roman" w:hAnsi="Times New Roman" w:cs="Times New Roman"/>
                <w:color w:val="0000FF"/>
                <w:sz w:val="24"/>
                <w:szCs w:val="24"/>
              </w:rPr>
              <w:t>根据《淮</w:t>
            </w:r>
            <w:r>
              <w:rPr>
                <w:rFonts w:hint="eastAsia" w:ascii="宋体" w:hAnsi="宋体" w:eastAsia="宋体" w:cs="宋体"/>
                <w:color w:val="0000FF"/>
                <w:sz w:val="24"/>
                <w:szCs w:val="24"/>
              </w:rPr>
              <w:t>北市“三线一单”文</w:t>
            </w:r>
            <w:r>
              <w:rPr>
                <w:rFonts w:hint="default" w:ascii="Times New Roman" w:hAnsi="Times New Roman" w:cs="Times New Roman"/>
                <w:color w:val="0000FF"/>
                <w:sz w:val="24"/>
                <w:szCs w:val="24"/>
              </w:rPr>
              <w:t>本》及淮北市水环境分区管控图，本项目位于水环境</w:t>
            </w:r>
            <w:r>
              <w:rPr>
                <w:rFonts w:hint="eastAsia" w:cs="Times New Roman"/>
                <w:color w:val="0000FF"/>
                <w:sz w:val="24"/>
                <w:szCs w:val="24"/>
                <w:lang w:eastAsia="zh-CN"/>
              </w:rPr>
              <w:t>重点管控区</w:t>
            </w:r>
            <w:r>
              <w:rPr>
                <w:rFonts w:hint="default" w:ascii="Times New Roman" w:hAnsi="Times New Roman" w:cs="Times New Roman"/>
                <w:color w:val="0000FF"/>
                <w:sz w:val="24"/>
                <w:szCs w:val="24"/>
              </w:rPr>
              <w:t>。</w:t>
            </w:r>
          </w:p>
          <w:p w14:paraId="1894F98E">
            <w:pPr>
              <w:autoSpaceDE w:val="0"/>
              <w:autoSpaceDN w:val="0"/>
              <w:adjustRightInd w:val="0"/>
              <w:snapToGrid w:val="0"/>
              <w:jc w:val="center"/>
              <w:rPr>
                <w:rFonts w:hint="default" w:ascii="Times New Roman" w:hAnsi="Times New Roman" w:cs="Times New Roman"/>
                <w:b/>
                <w:bCs/>
                <w:color w:val="0000FF"/>
                <w:spacing w:val="-6"/>
                <w:kern w:val="0"/>
                <w:sz w:val="24"/>
                <w:szCs w:val="24"/>
              </w:rPr>
            </w:pPr>
            <w:r>
              <w:rPr>
                <w:rFonts w:hint="default" w:ascii="Times New Roman" w:hAnsi="Times New Roman" w:cs="Times New Roman"/>
                <w:b/>
                <w:bCs/>
                <w:color w:val="0000FF"/>
                <w:spacing w:val="-6"/>
                <w:kern w:val="0"/>
                <w:sz w:val="21"/>
                <w:szCs w:val="21"/>
              </w:rPr>
              <w:t>表1-</w:t>
            </w:r>
            <w:r>
              <w:rPr>
                <w:rFonts w:hint="eastAsia" w:cs="Times New Roman"/>
                <w:b/>
                <w:bCs/>
                <w:color w:val="0000FF"/>
                <w:spacing w:val="-6"/>
                <w:kern w:val="0"/>
                <w:sz w:val="21"/>
                <w:szCs w:val="21"/>
                <w:lang w:val="en-US" w:eastAsia="zh-CN"/>
              </w:rPr>
              <w:t>7</w:t>
            </w:r>
            <w:r>
              <w:rPr>
                <w:rFonts w:hint="default" w:ascii="Times New Roman" w:hAnsi="Times New Roman" w:cs="Times New Roman"/>
                <w:b/>
                <w:bCs/>
                <w:color w:val="0000FF"/>
                <w:spacing w:val="-6"/>
                <w:kern w:val="0"/>
                <w:sz w:val="21"/>
                <w:szCs w:val="21"/>
              </w:rPr>
              <w:t xml:space="preserve"> 与水环境分区管控要求的协调性分析</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426"/>
              <w:gridCol w:w="426"/>
              <w:gridCol w:w="3586"/>
              <w:gridCol w:w="3187"/>
            </w:tblGrid>
            <w:tr w14:paraId="3133C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50" w:type="pct"/>
                  <w:tcBorders>
                    <w:top w:val="single" w:color="auto" w:sz="4" w:space="0"/>
                    <w:left w:val="single" w:color="auto" w:sz="4" w:space="0"/>
                    <w:bottom w:val="single" w:color="auto" w:sz="4" w:space="0"/>
                    <w:right w:val="single" w:color="auto" w:sz="4" w:space="0"/>
                  </w:tcBorders>
                  <w:vAlign w:val="center"/>
                </w:tcPr>
                <w:p w14:paraId="07EBD7E1">
                  <w:pPr>
                    <w:adjustRightInd w:val="0"/>
                    <w:snapToGrid w:val="0"/>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管控单元分类</w:t>
                  </w:r>
                </w:p>
              </w:tc>
              <w:tc>
                <w:tcPr>
                  <w:tcW w:w="431" w:type="pct"/>
                  <w:gridSpan w:val="2"/>
                  <w:tcBorders>
                    <w:top w:val="single" w:color="auto" w:sz="4" w:space="0"/>
                    <w:left w:val="single" w:color="auto" w:sz="4" w:space="0"/>
                    <w:bottom w:val="single" w:color="auto" w:sz="4" w:space="0"/>
                    <w:right w:val="single" w:color="auto" w:sz="4" w:space="0"/>
                  </w:tcBorders>
                  <w:vAlign w:val="center"/>
                </w:tcPr>
                <w:p w14:paraId="134C582E">
                  <w:pPr>
                    <w:adjustRightInd w:val="0"/>
                    <w:snapToGrid w:val="0"/>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管控内容</w:t>
                  </w:r>
                </w:p>
              </w:tc>
              <w:tc>
                <w:tcPr>
                  <w:tcW w:w="2126" w:type="pct"/>
                  <w:tcBorders>
                    <w:top w:val="single" w:color="auto" w:sz="4" w:space="0"/>
                    <w:left w:val="single" w:color="auto" w:sz="4" w:space="0"/>
                    <w:bottom w:val="single" w:color="auto" w:sz="4" w:space="0"/>
                    <w:right w:val="single" w:color="auto" w:sz="4" w:space="0"/>
                  </w:tcBorders>
                  <w:vAlign w:val="center"/>
                </w:tcPr>
                <w:p w14:paraId="43F7B3E1">
                  <w:pPr>
                    <w:adjustRightInd w:val="0"/>
                    <w:snapToGrid w:val="0"/>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环境管控要求</w:t>
                  </w:r>
                </w:p>
              </w:tc>
              <w:tc>
                <w:tcPr>
                  <w:tcW w:w="1892" w:type="pct"/>
                  <w:tcBorders>
                    <w:top w:val="single" w:color="auto" w:sz="4" w:space="0"/>
                    <w:left w:val="single" w:color="auto" w:sz="4" w:space="0"/>
                    <w:bottom w:val="single" w:color="auto" w:sz="4" w:space="0"/>
                    <w:right w:val="single" w:color="auto" w:sz="4" w:space="0"/>
                  </w:tcBorders>
                  <w:vAlign w:val="center"/>
                </w:tcPr>
                <w:p w14:paraId="0F665107">
                  <w:pPr>
                    <w:adjustRightInd w:val="0"/>
                    <w:snapToGrid w:val="0"/>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本项目情况</w:t>
                  </w:r>
                </w:p>
              </w:tc>
            </w:tr>
            <w:tr w14:paraId="3B935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550" w:type="pct"/>
                  <w:vMerge w:val="restart"/>
                  <w:tcBorders>
                    <w:top w:val="single" w:color="auto" w:sz="4" w:space="0"/>
                    <w:left w:val="single" w:color="auto" w:sz="4" w:space="0"/>
                    <w:bottom w:val="single" w:color="auto" w:sz="4" w:space="0"/>
                    <w:right w:val="single" w:color="auto" w:sz="4" w:space="0"/>
                  </w:tcBorders>
                  <w:vAlign w:val="center"/>
                </w:tcPr>
                <w:p w14:paraId="4D655B0F">
                  <w:pPr>
                    <w:adjustRightInd w:val="0"/>
                    <w:snapToGrid w:val="0"/>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水环境工业污染重点管控区</w:t>
                  </w:r>
                </w:p>
              </w:tc>
              <w:tc>
                <w:tcPr>
                  <w:tcW w:w="215" w:type="pct"/>
                  <w:vMerge w:val="restart"/>
                  <w:tcBorders>
                    <w:top w:val="single" w:color="auto" w:sz="4" w:space="0"/>
                    <w:left w:val="single" w:color="auto" w:sz="4" w:space="0"/>
                    <w:bottom w:val="single" w:color="auto" w:sz="4" w:space="0"/>
                    <w:right w:val="single" w:color="auto" w:sz="4" w:space="0"/>
                  </w:tcBorders>
                  <w:vAlign w:val="center"/>
                </w:tcPr>
                <w:p w14:paraId="4CF98DB5">
                  <w:pPr>
                    <w:adjustRightInd w:val="0"/>
                    <w:snapToGrid w:val="0"/>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空间布局管控约束</w:t>
                  </w:r>
                </w:p>
              </w:tc>
              <w:tc>
                <w:tcPr>
                  <w:tcW w:w="215" w:type="pct"/>
                  <w:vMerge w:val="restart"/>
                  <w:tcBorders>
                    <w:top w:val="single" w:color="auto" w:sz="4" w:space="0"/>
                    <w:left w:val="single" w:color="auto" w:sz="4" w:space="0"/>
                    <w:bottom w:val="single" w:color="auto" w:sz="4" w:space="0"/>
                    <w:right w:val="single" w:color="auto" w:sz="4" w:space="0"/>
                  </w:tcBorders>
                  <w:vAlign w:val="center"/>
                </w:tcPr>
                <w:p w14:paraId="719CE552">
                  <w:pPr>
                    <w:adjustRightInd w:val="0"/>
                    <w:snapToGrid w:val="0"/>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禁止开发建设活动的要求</w:t>
                  </w:r>
                </w:p>
              </w:tc>
              <w:tc>
                <w:tcPr>
                  <w:tcW w:w="2126" w:type="pct"/>
                  <w:tcBorders>
                    <w:top w:val="single" w:color="auto" w:sz="4" w:space="0"/>
                    <w:left w:val="single" w:color="auto" w:sz="4" w:space="0"/>
                    <w:bottom w:val="single" w:color="auto" w:sz="4" w:space="0"/>
                    <w:right w:val="single" w:color="auto" w:sz="4" w:space="0"/>
                  </w:tcBorders>
                  <w:vAlign w:val="center"/>
                </w:tcPr>
                <w:p w14:paraId="2C340D52">
                  <w:pPr>
                    <w:adjustRightInd w:val="0"/>
                    <w:snapToGrid w:val="0"/>
                    <w:spacing w:line="240" w:lineRule="auto"/>
                    <w:jc w:val="both"/>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取缔</w:t>
                  </w:r>
                  <w:r>
                    <w:rPr>
                      <w:rFonts w:hint="eastAsia" w:ascii="宋体" w:hAnsi="宋体" w:eastAsia="宋体" w:cs="宋体"/>
                      <w:color w:val="0000FF"/>
                      <w:sz w:val="21"/>
                      <w:szCs w:val="21"/>
                    </w:rPr>
                    <w:t>“十小”</w:t>
                  </w:r>
                  <w:r>
                    <w:rPr>
                      <w:rFonts w:hint="default" w:ascii="Times New Roman" w:hAnsi="Times New Roman" w:cs="Times New Roman"/>
                      <w:color w:val="0000FF"/>
                      <w:sz w:val="21"/>
                      <w:szCs w:val="21"/>
                    </w:rPr>
                    <w:t>企业。全面排查装备水平低、环保设施差的小型工业企业。按照水污染防治法律法规要求，全面排查和取缔不符合国家产业政策的小型造纸、制革、印染、染料、炼焦、炼硫、炼砷、炼油、电镀、农药等严重污染水环境的生产项目。</w:t>
                  </w:r>
                </w:p>
              </w:tc>
              <w:tc>
                <w:tcPr>
                  <w:tcW w:w="1892" w:type="pct"/>
                  <w:tcBorders>
                    <w:top w:val="single" w:color="auto" w:sz="4" w:space="0"/>
                    <w:left w:val="single" w:color="auto" w:sz="4" w:space="0"/>
                    <w:bottom w:val="single" w:color="auto" w:sz="4" w:space="0"/>
                    <w:right w:val="single" w:color="auto" w:sz="4" w:space="0"/>
                  </w:tcBorders>
                  <w:vAlign w:val="center"/>
                </w:tcPr>
                <w:p w14:paraId="685F4B79">
                  <w:pPr>
                    <w:adjustRightInd w:val="0"/>
                    <w:snapToGrid w:val="0"/>
                    <w:spacing w:line="240" w:lineRule="auto"/>
                    <w:jc w:val="both"/>
                    <w:rPr>
                      <w:rFonts w:hint="eastAsia" w:eastAsia="宋体"/>
                      <w:color w:val="0000FF"/>
                      <w:lang w:eastAsia="zh-CN"/>
                    </w:rPr>
                  </w:pPr>
                  <w:r>
                    <w:rPr>
                      <w:rFonts w:hint="default" w:ascii="Times New Roman" w:hAnsi="Times New Roman" w:cs="Times New Roman"/>
                      <w:color w:val="0000FF"/>
                      <w:sz w:val="21"/>
                      <w:szCs w:val="21"/>
                    </w:rPr>
                    <w:t>本项</w:t>
                  </w:r>
                  <w:r>
                    <w:rPr>
                      <w:rFonts w:hint="eastAsia" w:ascii="宋体" w:hAnsi="宋体" w:eastAsia="宋体" w:cs="宋体"/>
                      <w:color w:val="0000FF"/>
                      <w:sz w:val="21"/>
                      <w:szCs w:val="21"/>
                    </w:rPr>
                    <w:t>目不属于“十小”企</w:t>
                  </w:r>
                  <w:r>
                    <w:rPr>
                      <w:rFonts w:hint="default" w:ascii="Times New Roman" w:hAnsi="Times New Roman" w:cs="Times New Roman"/>
                      <w:color w:val="0000FF"/>
                      <w:sz w:val="21"/>
                      <w:szCs w:val="21"/>
                    </w:rPr>
                    <w:t>业；购置先进生产设备，严格落实环保设施要求，本次技改项目不新增生活污水</w:t>
                  </w:r>
                  <w:r>
                    <w:rPr>
                      <w:rFonts w:hint="eastAsia" w:cs="Times New Roman"/>
                      <w:color w:val="0000FF"/>
                      <w:sz w:val="21"/>
                      <w:szCs w:val="21"/>
                      <w:lang w:eastAsia="zh-CN"/>
                    </w:rPr>
                    <w:t>和生产废水</w:t>
                  </w:r>
                </w:p>
              </w:tc>
            </w:tr>
            <w:tr w14:paraId="124F7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0" w:type="pct"/>
                  <w:vMerge w:val="continue"/>
                  <w:tcBorders>
                    <w:top w:val="single" w:color="auto" w:sz="4" w:space="0"/>
                    <w:left w:val="single" w:color="auto" w:sz="4" w:space="0"/>
                    <w:bottom w:val="single" w:color="auto" w:sz="4" w:space="0"/>
                    <w:right w:val="single" w:color="auto" w:sz="4" w:space="0"/>
                  </w:tcBorders>
                  <w:vAlign w:val="center"/>
                </w:tcPr>
                <w:p w14:paraId="49FAC739">
                  <w:pPr>
                    <w:adjustRightInd w:val="0"/>
                    <w:snapToGrid w:val="0"/>
                    <w:spacing w:line="240" w:lineRule="auto"/>
                    <w:jc w:val="center"/>
                    <w:rPr>
                      <w:rFonts w:hint="default" w:ascii="Times New Roman" w:hAnsi="Times New Roman" w:cs="Times New Roman"/>
                      <w:color w:val="0000FF"/>
                      <w:sz w:val="21"/>
                      <w:szCs w:val="21"/>
                    </w:rPr>
                  </w:pPr>
                </w:p>
              </w:tc>
              <w:tc>
                <w:tcPr>
                  <w:tcW w:w="215" w:type="pct"/>
                  <w:vMerge w:val="continue"/>
                  <w:tcBorders>
                    <w:top w:val="single" w:color="auto" w:sz="4" w:space="0"/>
                    <w:left w:val="single" w:color="auto" w:sz="4" w:space="0"/>
                    <w:bottom w:val="single" w:color="auto" w:sz="4" w:space="0"/>
                    <w:right w:val="single" w:color="auto" w:sz="4" w:space="0"/>
                  </w:tcBorders>
                  <w:vAlign w:val="center"/>
                </w:tcPr>
                <w:p w14:paraId="1861DCD2">
                  <w:pPr>
                    <w:adjustRightInd w:val="0"/>
                    <w:snapToGrid w:val="0"/>
                    <w:spacing w:line="240" w:lineRule="auto"/>
                    <w:jc w:val="center"/>
                    <w:rPr>
                      <w:rFonts w:hint="default" w:ascii="Times New Roman" w:hAnsi="Times New Roman" w:cs="Times New Roman"/>
                      <w:color w:val="0000FF"/>
                      <w:sz w:val="21"/>
                      <w:szCs w:val="21"/>
                    </w:rPr>
                  </w:pPr>
                </w:p>
              </w:tc>
              <w:tc>
                <w:tcPr>
                  <w:tcW w:w="215" w:type="pct"/>
                  <w:vMerge w:val="continue"/>
                  <w:tcBorders>
                    <w:top w:val="single" w:color="auto" w:sz="4" w:space="0"/>
                    <w:left w:val="single" w:color="auto" w:sz="4" w:space="0"/>
                    <w:bottom w:val="single" w:color="auto" w:sz="4" w:space="0"/>
                    <w:right w:val="single" w:color="auto" w:sz="4" w:space="0"/>
                  </w:tcBorders>
                  <w:vAlign w:val="center"/>
                </w:tcPr>
                <w:p w14:paraId="47E9DAFB">
                  <w:pPr>
                    <w:adjustRightInd w:val="0"/>
                    <w:snapToGrid w:val="0"/>
                    <w:spacing w:line="240" w:lineRule="auto"/>
                    <w:jc w:val="center"/>
                    <w:rPr>
                      <w:rFonts w:hint="default" w:ascii="Times New Roman" w:hAnsi="Times New Roman" w:cs="Times New Roman"/>
                      <w:color w:val="0000FF"/>
                      <w:sz w:val="21"/>
                      <w:szCs w:val="21"/>
                    </w:rPr>
                  </w:pPr>
                </w:p>
              </w:tc>
              <w:tc>
                <w:tcPr>
                  <w:tcW w:w="2126" w:type="pct"/>
                  <w:tcBorders>
                    <w:top w:val="single" w:color="auto" w:sz="4" w:space="0"/>
                    <w:left w:val="single" w:color="auto" w:sz="4" w:space="0"/>
                    <w:bottom w:val="single" w:color="auto" w:sz="4" w:space="0"/>
                    <w:right w:val="single" w:color="auto" w:sz="4" w:space="0"/>
                  </w:tcBorders>
                  <w:vAlign w:val="center"/>
                </w:tcPr>
                <w:p w14:paraId="15C74C9A">
                  <w:pPr>
                    <w:adjustRightInd w:val="0"/>
                    <w:snapToGrid w:val="0"/>
                    <w:spacing w:line="240" w:lineRule="auto"/>
                    <w:jc w:val="both"/>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严格城市规划蓝线管理，城市规划区范围内应保留一定比例的水域面积，现有水域面积不得减少。新建项目一律不得违规占用水域。</w:t>
                  </w:r>
                </w:p>
              </w:tc>
              <w:tc>
                <w:tcPr>
                  <w:tcW w:w="1892" w:type="pct"/>
                  <w:tcBorders>
                    <w:top w:val="single" w:color="auto" w:sz="4" w:space="0"/>
                    <w:left w:val="single" w:color="auto" w:sz="4" w:space="0"/>
                    <w:bottom w:val="single" w:color="auto" w:sz="4" w:space="0"/>
                    <w:right w:val="single" w:color="auto" w:sz="4" w:space="0"/>
                  </w:tcBorders>
                  <w:vAlign w:val="center"/>
                </w:tcPr>
                <w:p w14:paraId="6FC4F88E">
                  <w:pPr>
                    <w:adjustRightInd w:val="0"/>
                    <w:snapToGrid w:val="0"/>
                    <w:spacing w:line="240" w:lineRule="auto"/>
                    <w:jc w:val="both"/>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本项目位于淮北市杜集区东山路202号（淮北众城水泥有限责任公司院内），不占用水域</w:t>
                  </w:r>
                </w:p>
              </w:tc>
            </w:tr>
            <w:tr w14:paraId="3CA5B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0" w:type="pct"/>
                  <w:vMerge w:val="continue"/>
                  <w:tcBorders>
                    <w:top w:val="single" w:color="auto" w:sz="4" w:space="0"/>
                    <w:left w:val="single" w:color="auto" w:sz="4" w:space="0"/>
                    <w:bottom w:val="single" w:color="auto" w:sz="4" w:space="0"/>
                    <w:right w:val="single" w:color="auto" w:sz="4" w:space="0"/>
                  </w:tcBorders>
                  <w:vAlign w:val="center"/>
                </w:tcPr>
                <w:p w14:paraId="4215887E">
                  <w:pPr>
                    <w:adjustRightInd w:val="0"/>
                    <w:snapToGrid w:val="0"/>
                    <w:spacing w:line="240" w:lineRule="auto"/>
                    <w:jc w:val="center"/>
                    <w:rPr>
                      <w:rFonts w:hint="default" w:ascii="Times New Roman" w:hAnsi="Times New Roman" w:cs="Times New Roman"/>
                      <w:color w:val="0000FF"/>
                      <w:sz w:val="21"/>
                      <w:szCs w:val="21"/>
                    </w:rPr>
                  </w:pPr>
                </w:p>
              </w:tc>
              <w:tc>
                <w:tcPr>
                  <w:tcW w:w="215" w:type="pct"/>
                  <w:vMerge w:val="continue"/>
                  <w:tcBorders>
                    <w:top w:val="single" w:color="auto" w:sz="4" w:space="0"/>
                    <w:left w:val="single" w:color="auto" w:sz="4" w:space="0"/>
                    <w:bottom w:val="single" w:color="auto" w:sz="4" w:space="0"/>
                    <w:right w:val="single" w:color="auto" w:sz="4" w:space="0"/>
                  </w:tcBorders>
                  <w:vAlign w:val="center"/>
                </w:tcPr>
                <w:p w14:paraId="503A7D95">
                  <w:pPr>
                    <w:adjustRightInd w:val="0"/>
                    <w:snapToGrid w:val="0"/>
                    <w:spacing w:line="240" w:lineRule="auto"/>
                    <w:jc w:val="center"/>
                    <w:rPr>
                      <w:rFonts w:hint="default" w:ascii="Times New Roman" w:hAnsi="Times New Roman" w:cs="Times New Roman"/>
                      <w:color w:val="0000FF"/>
                      <w:sz w:val="21"/>
                      <w:szCs w:val="21"/>
                    </w:rPr>
                  </w:pPr>
                </w:p>
              </w:tc>
              <w:tc>
                <w:tcPr>
                  <w:tcW w:w="215" w:type="pct"/>
                  <w:vMerge w:val="continue"/>
                  <w:tcBorders>
                    <w:top w:val="single" w:color="auto" w:sz="4" w:space="0"/>
                    <w:left w:val="single" w:color="auto" w:sz="4" w:space="0"/>
                    <w:bottom w:val="single" w:color="auto" w:sz="4" w:space="0"/>
                    <w:right w:val="single" w:color="auto" w:sz="4" w:space="0"/>
                  </w:tcBorders>
                  <w:vAlign w:val="center"/>
                </w:tcPr>
                <w:p w14:paraId="47CBCFB7">
                  <w:pPr>
                    <w:adjustRightInd w:val="0"/>
                    <w:snapToGrid w:val="0"/>
                    <w:spacing w:line="240" w:lineRule="auto"/>
                    <w:jc w:val="center"/>
                    <w:rPr>
                      <w:rFonts w:hint="default" w:ascii="Times New Roman" w:hAnsi="Times New Roman" w:cs="Times New Roman"/>
                      <w:color w:val="0000FF"/>
                      <w:sz w:val="21"/>
                      <w:szCs w:val="21"/>
                    </w:rPr>
                  </w:pPr>
                </w:p>
              </w:tc>
              <w:tc>
                <w:tcPr>
                  <w:tcW w:w="2126" w:type="pct"/>
                  <w:tcBorders>
                    <w:top w:val="single" w:color="auto" w:sz="4" w:space="0"/>
                    <w:left w:val="single" w:color="auto" w:sz="4" w:space="0"/>
                    <w:bottom w:val="single" w:color="auto" w:sz="4" w:space="0"/>
                    <w:right w:val="single" w:color="auto" w:sz="4" w:space="0"/>
                  </w:tcBorders>
                  <w:vAlign w:val="center"/>
                </w:tcPr>
                <w:p w14:paraId="62C6C001">
                  <w:pPr>
                    <w:adjustRightInd w:val="0"/>
                    <w:snapToGrid w:val="0"/>
                    <w:spacing w:line="240" w:lineRule="auto"/>
                    <w:jc w:val="both"/>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落实磷石膏综合利用途径，综合利用不畅的可利用现有磷石膏库堆存，不得新建、扩建磷石膏库（暂存场除外）。</w:t>
                  </w:r>
                </w:p>
              </w:tc>
              <w:tc>
                <w:tcPr>
                  <w:tcW w:w="1892" w:type="pct"/>
                  <w:tcBorders>
                    <w:top w:val="single" w:color="auto" w:sz="4" w:space="0"/>
                    <w:left w:val="single" w:color="auto" w:sz="4" w:space="0"/>
                    <w:bottom w:val="single" w:color="auto" w:sz="4" w:space="0"/>
                    <w:right w:val="single" w:color="auto" w:sz="4" w:space="0"/>
                  </w:tcBorders>
                  <w:vAlign w:val="center"/>
                </w:tcPr>
                <w:p w14:paraId="177FC5D2">
                  <w:pPr>
                    <w:adjustRightInd w:val="0"/>
                    <w:snapToGrid w:val="0"/>
                    <w:spacing w:line="240" w:lineRule="auto"/>
                    <w:jc w:val="both"/>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本项目不涉及</w:t>
                  </w:r>
                </w:p>
              </w:tc>
            </w:tr>
            <w:tr w14:paraId="68404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0" w:type="pct"/>
                  <w:vMerge w:val="continue"/>
                  <w:tcBorders>
                    <w:top w:val="single" w:color="auto" w:sz="4" w:space="0"/>
                    <w:left w:val="single" w:color="auto" w:sz="4" w:space="0"/>
                    <w:bottom w:val="single" w:color="auto" w:sz="4" w:space="0"/>
                    <w:right w:val="single" w:color="auto" w:sz="4" w:space="0"/>
                  </w:tcBorders>
                  <w:vAlign w:val="center"/>
                </w:tcPr>
                <w:p w14:paraId="30D2793A">
                  <w:pPr>
                    <w:adjustRightInd w:val="0"/>
                    <w:snapToGrid w:val="0"/>
                    <w:spacing w:line="240" w:lineRule="auto"/>
                    <w:jc w:val="center"/>
                    <w:rPr>
                      <w:rFonts w:hint="default" w:ascii="Times New Roman" w:hAnsi="Times New Roman" w:cs="Times New Roman"/>
                      <w:color w:val="0000FF"/>
                      <w:sz w:val="21"/>
                      <w:szCs w:val="21"/>
                    </w:rPr>
                  </w:pPr>
                </w:p>
              </w:tc>
              <w:tc>
                <w:tcPr>
                  <w:tcW w:w="215" w:type="pct"/>
                  <w:vMerge w:val="continue"/>
                  <w:tcBorders>
                    <w:top w:val="single" w:color="auto" w:sz="4" w:space="0"/>
                    <w:left w:val="single" w:color="auto" w:sz="4" w:space="0"/>
                    <w:bottom w:val="single" w:color="auto" w:sz="4" w:space="0"/>
                    <w:right w:val="single" w:color="auto" w:sz="4" w:space="0"/>
                  </w:tcBorders>
                  <w:vAlign w:val="center"/>
                </w:tcPr>
                <w:p w14:paraId="467B8294">
                  <w:pPr>
                    <w:adjustRightInd w:val="0"/>
                    <w:snapToGrid w:val="0"/>
                    <w:spacing w:line="240" w:lineRule="auto"/>
                    <w:jc w:val="center"/>
                    <w:rPr>
                      <w:rFonts w:hint="default" w:ascii="Times New Roman" w:hAnsi="Times New Roman" w:cs="Times New Roman"/>
                      <w:color w:val="0000FF"/>
                      <w:sz w:val="21"/>
                      <w:szCs w:val="21"/>
                    </w:rPr>
                  </w:pPr>
                </w:p>
              </w:tc>
              <w:tc>
                <w:tcPr>
                  <w:tcW w:w="215" w:type="pct"/>
                  <w:vMerge w:val="restart"/>
                  <w:tcBorders>
                    <w:top w:val="single" w:color="auto" w:sz="4" w:space="0"/>
                    <w:left w:val="single" w:color="auto" w:sz="4" w:space="0"/>
                    <w:bottom w:val="single" w:color="auto" w:sz="4" w:space="0"/>
                    <w:right w:val="single" w:color="auto" w:sz="4" w:space="0"/>
                  </w:tcBorders>
                  <w:vAlign w:val="center"/>
                </w:tcPr>
                <w:p w14:paraId="005377E0">
                  <w:pPr>
                    <w:adjustRightInd w:val="0"/>
                    <w:snapToGrid w:val="0"/>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允许开发建设活动的特殊要求</w:t>
                  </w:r>
                </w:p>
              </w:tc>
              <w:tc>
                <w:tcPr>
                  <w:tcW w:w="2126" w:type="pct"/>
                  <w:tcBorders>
                    <w:top w:val="single" w:color="auto" w:sz="4" w:space="0"/>
                    <w:left w:val="single" w:color="auto" w:sz="4" w:space="0"/>
                    <w:bottom w:val="single" w:color="auto" w:sz="4" w:space="0"/>
                    <w:right w:val="single" w:color="auto" w:sz="4" w:space="0"/>
                  </w:tcBorders>
                  <w:vAlign w:val="center"/>
                </w:tcPr>
                <w:p w14:paraId="1CBDDCE8">
                  <w:pPr>
                    <w:adjustRightInd w:val="0"/>
                    <w:snapToGrid w:val="0"/>
                    <w:spacing w:line="240" w:lineRule="auto"/>
                    <w:jc w:val="both"/>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合理确定发展布局、结构和规模。充分考虑水环境承载能力和水资源开发利用效率，以水定城、以水定地、以水定人，以水定产。重大项目原则上布局在优化开发区和重点开发区，并符合城乡规划和土地利用总体规划。</w:t>
                  </w:r>
                </w:p>
              </w:tc>
              <w:tc>
                <w:tcPr>
                  <w:tcW w:w="1892" w:type="pct"/>
                  <w:tcBorders>
                    <w:top w:val="single" w:color="auto" w:sz="4" w:space="0"/>
                    <w:left w:val="single" w:color="auto" w:sz="4" w:space="0"/>
                    <w:bottom w:val="single" w:color="auto" w:sz="4" w:space="0"/>
                    <w:right w:val="single" w:color="auto" w:sz="4" w:space="0"/>
                  </w:tcBorders>
                  <w:vAlign w:val="center"/>
                </w:tcPr>
                <w:p w14:paraId="5B4BD1D2">
                  <w:pPr>
                    <w:adjustRightInd w:val="0"/>
                    <w:snapToGrid w:val="0"/>
                    <w:spacing w:line="240" w:lineRule="auto"/>
                    <w:jc w:val="both"/>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本项目位于淮北市杜集区东山路202号（淮北众城水泥有限责任公司院内），用水量较少，主要为自来水，不取用地下水，符合城乡规划和土地利用总体规划</w:t>
                  </w:r>
                </w:p>
              </w:tc>
            </w:tr>
            <w:tr w14:paraId="0EDC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0" w:type="pct"/>
                  <w:vMerge w:val="continue"/>
                  <w:tcBorders>
                    <w:top w:val="single" w:color="auto" w:sz="4" w:space="0"/>
                    <w:left w:val="single" w:color="auto" w:sz="4" w:space="0"/>
                    <w:bottom w:val="single" w:color="auto" w:sz="4" w:space="0"/>
                    <w:right w:val="single" w:color="auto" w:sz="4" w:space="0"/>
                  </w:tcBorders>
                  <w:vAlign w:val="center"/>
                </w:tcPr>
                <w:p w14:paraId="285A1864">
                  <w:pPr>
                    <w:adjustRightInd w:val="0"/>
                    <w:snapToGrid w:val="0"/>
                    <w:spacing w:line="240" w:lineRule="auto"/>
                    <w:jc w:val="center"/>
                    <w:rPr>
                      <w:rFonts w:hint="default" w:ascii="Times New Roman" w:hAnsi="Times New Roman" w:cs="Times New Roman"/>
                      <w:color w:val="0000FF"/>
                      <w:sz w:val="21"/>
                      <w:szCs w:val="21"/>
                    </w:rPr>
                  </w:pPr>
                </w:p>
              </w:tc>
              <w:tc>
                <w:tcPr>
                  <w:tcW w:w="215" w:type="pct"/>
                  <w:vMerge w:val="continue"/>
                  <w:tcBorders>
                    <w:top w:val="single" w:color="auto" w:sz="4" w:space="0"/>
                    <w:left w:val="single" w:color="auto" w:sz="4" w:space="0"/>
                    <w:bottom w:val="single" w:color="auto" w:sz="4" w:space="0"/>
                    <w:right w:val="single" w:color="auto" w:sz="4" w:space="0"/>
                  </w:tcBorders>
                  <w:vAlign w:val="center"/>
                </w:tcPr>
                <w:p w14:paraId="43D07BF9">
                  <w:pPr>
                    <w:adjustRightInd w:val="0"/>
                    <w:snapToGrid w:val="0"/>
                    <w:spacing w:line="240" w:lineRule="auto"/>
                    <w:jc w:val="center"/>
                    <w:rPr>
                      <w:rFonts w:hint="default" w:ascii="Times New Roman" w:hAnsi="Times New Roman" w:cs="Times New Roman"/>
                      <w:color w:val="0000FF"/>
                      <w:sz w:val="21"/>
                      <w:szCs w:val="21"/>
                    </w:rPr>
                  </w:pPr>
                </w:p>
              </w:tc>
              <w:tc>
                <w:tcPr>
                  <w:tcW w:w="215" w:type="pct"/>
                  <w:vMerge w:val="continue"/>
                  <w:tcBorders>
                    <w:top w:val="single" w:color="auto" w:sz="4" w:space="0"/>
                    <w:left w:val="single" w:color="auto" w:sz="4" w:space="0"/>
                    <w:bottom w:val="single" w:color="auto" w:sz="4" w:space="0"/>
                    <w:right w:val="single" w:color="auto" w:sz="4" w:space="0"/>
                  </w:tcBorders>
                  <w:vAlign w:val="center"/>
                </w:tcPr>
                <w:p w14:paraId="33F7E72E">
                  <w:pPr>
                    <w:adjustRightInd w:val="0"/>
                    <w:snapToGrid w:val="0"/>
                    <w:spacing w:line="240" w:lineRule="auto"/>
                    <w:jc w:val="center"/>
                    <w:rPr>
                      <w:rFonts w:hint="default" w:ascii="Times New Roman" w:hAnsi="Times New Roman" w:cs="Times New Roman"/>
                      <w:color w:val="0000FF"/>
                      <w:sz w:val="21"/>
                      <w:szCs w:val="21"/>
                    </w:rPr>
                  </w:pPr>
                </w:p>
              </w:tc>
              <w:tc>
                <w:tcPr>
                  <w:tcW w:w="2126" w:type="pct"/>
                  <w:tcBorders>
                    <w:top w:val="single" w:color="auto" w:sz="4" w:space="0"/>
                    <w:left w:val="single" w:color="auto" w:sz="4" w:space="0"/>
                    <w:bottom w:val="single" w:color="auto" w:sz="4" w:space="0"/>
                    <w:right w:val="single" w:color="auto" w:sz="4" w:space="0"/>
                  </w:tcBorders>
                  <w:vAlign w:val="center"/>
                </w:tcPr>
                <w:p w14:paraId="6836C1CB">
                  <w:pPr>
                    <w:adjustRightInd w:val="0"/>
                    <w:snapToGrid w:val="0"/>
                    <w:spacing w:line="240" w:lineRule="auto"/>
                    <w:jc w:val="both"/>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新建、扩建磷化工项目应布设在依法合规设立的化工园区或具有化工定位的产业园区内，所在化工园区或产业园区应依法开展规划环境影响评价工作，磷化工建设项目应符合园区规划及规划环评要求。</w:t>
                  </w:r>
                </w:p>
              </w:tc>
              <w:tc>
                <w:tcPr>
                  <w:tcW w:w="1892" w:type="pct"/>
                  <w:tcBorders>
                    <w:top w:val="single" w:color="auto" w:sz="4" w:space="0"/>
                    <w:left w:val="single" w:color="auto" w:sz="4" w:space="0"/>
                    <w:bottom w:val="single" w:color="auto" w:sz="4" w:space="0"/>
                    <w:right w:val="single" w:color="auto" w:sz="4" w:space="0"/>
                  </w:tcBorders>
                  <w:vAlign w:val="center"/>
                </w:tcPr>
                <w:p w14:paraId="56845924">
                  <w:pPr>
                    <w:adjustRightInd w:val="0"/>
                    <w:snapToGrid w:val="0"/>
                    <w:spacing w:line="240" w:lineRule="auto"/>
                    <w:jc w:val="both"/>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本项目不涉及</w:t>
                  </w:r>
                </w:p>
              </w:tc>
            </w:tr>
            <w:tr w14:paraId="3C5C0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0" w:type="pct"/>
                  <w:vMerge w:val="continue"/>
                  <w:tcBorders>
                    <w:top w:val="single" w:color="auto" w:sz="4" w:space="0"/>
                    <w:left w:val="single" w:color="auto" w:sz="4" w:space="0"/>
                    <w:bottom w:val="single" w:color="auto" w:sz="4" w:space="0"/>
                    <w:right w:val="single" w:color="auto" w:sz="4" w:space="0"/>
                  </w:tcBorders>
                  <w:vAlign w:val="center"/>
                </w:tcPr>
                <w:p w14:paraId="22F76BE5">
                  <w:pPr>
                    <w:adjustRightInd w:val="0"/>
                    <w:snapToGrid w:val="0"/>
                    <w:spacing w:line="240" w:lineRule="auto"/>
                    <w:jc w:val="center"/>
                    <w:rPr>
                      <w:rFonts w:hint="default" w:ascii="Times New Roman" w:hAnsi="Times New Roman" w:cs="Times New Roman"/>
                      <w:color w:val="0000FF"/>
                      <w:sz w:val="21"/>
                      <w:szCs w:val="21"/>
                    </w:rPr>
                  </w:pPr>
                </w:p>
              </w:tc>
              <w:tc>
                <w:tcPr>
                  <w:tcW w:w="215" w:type="pct"/>
                  <w:vMerge w:val="restart"/>
                  <w:tcBorders>
                    <w:top w:val="single" w:color="auto" w:sz="4" w:space="0"/>
                    <w:left w:val="single" w:color="auto" w:sz="4" w:space="0"/>
                    <w:bottom w:val="single" w:color="auto" w:sz="4" w:space="0"/>
                    <w:right w:val="single" w:color="auto" w:sz="4" w:space="0"/>
                  </w:tcBorders>
                  <w:vAlign w:val="center"/>
                </w:tcPr>
                <w:p w14:paraId="6308A267">
                  <w:pPr>
                    <w:adjustRightInd w:val="0"/>
                    <w:snapToGrid w:val="0"/>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污染物排放管控</w:t>
                  </w:r>
                </w:p>
              </w:tc>
              <w:tc>
                <w:tcPr>
                  <w:tcW w:w="215" w:type="pct"/>
                  <w:vMerge w:val="restart"/>
                  <w:tcBorders>
                    <w:top w:val="single" w:color="auto" w:sz="4" w:space="0"/>
                    <w:left w:val="single" w:color="auto" w:sz="4" w:space="0"/>
                    <w:bottom w:val="single" w:color="auto" w:sz="4" w:space="0"/>
                    <w:right w:val="single" w:color="auto" w:sz="4" w:space="0"/>
                  </w:tcBorders>
                  <w:vAlign w:val="center"/>
                </w:tcPr>
                <w:p w14:paraId="05D41D30">
                  <w:pPr>
                    <w:adjustRightInd w:val="0"/>
                    <w:snapToGrid w:val="0"/>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水污染控制措施要求</w:t>
                  </w:r>
                </w:p>
              </w:tc>
              <w:tc>
                <w:tcPr>
                  <w:tcW w:w="2126" w:type="pct"/>
                  <w:tcBorders>
                    <w:top w:val="single" w:color="auto" w:sz="4" w:space="0"/>
                    <w:left w:val="single" w:color="auto" w:sz="4" w:space="0"/>
                    <w:bottom w:val="single" w:color="auto" w:sz="4" w:space="0"/>
                    <w:right w:val="single" w:color="auto" w:sz="4" w:space="0"/>
                  </w:tcBorders>
                  <w:vAlign w:val="center"/>
                </w:tcPr>
                <w:p w14:paraId="6EA44E1C">
                  <w:pPr>
                    <w:adjustRightInd w:val="0"/>
                    <w:snapToGrid w:val="0"/>
                    <w:spacing w:line="240" w:lineRule="auto"/>
                    <w:jc w:val="both"/>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所有排污单位必须依法实现全面达标排放。逐一排查工业企业排污情况，</w:t>
                  </w:r>
                  <w:r>
                    <w:rPr>
                      <w:rFonts w:hint="eastAsia" w:ascii="宋体" w:hAnsi="宋体" w:eastAsia="宋体" w:cs="宋体"/>
                      <w:color w:val="0000FF"/>
                      <w:sz w:val="21"/>
                      <w:szCs w:val="21"/>
                    </w:rPr>
                    <w:t>达标企业应采取措施确保稳定达标；对超标和超总量的企业予以“黄牌”警示，一律限制生产或停产整治；对整治仍不能达到要求且情节严重的企业予以“红牌”处罚</w:t>
                  </w:r>
                  <w:r>
                    <w:rPr>
                      <w:rFonts w:hint="default" w:ascii="Times New Roman" w:hAnsi="Times New Roman" w:cs="Times New Roman"/>
                      <w:color w:val="0000FF"/>
                      <w:sz w:val="21"/>
                      <w:szCs w:val="21"/>
                    </w:rPr>
                    <w:t>，一律停业关闭。</w:t>
                  </w:r>
                </w:p>
              </w:tc>
              <w:tc>
                <w:tcPr>
                  <w:tcW w:w="1892" w:type="pct"/>
                  <w:tcBorders>
                    <w:top w:val="single" w:color="auto" w:sz="4" w:space="0"/>
                    <w:left w:val="single" w:color="auto" w:sz="4" w:space="0"/>
                    <w:bottom w:val="single" w:color="auto" w:sz="4" w:space="0"/>
                    <w:right w:val="single" w:color="auto" w:sz="4" w:space="0"/>
                  </w:tcBorders>
                  <w:vAlign w:val="center"/>
                </w:tcPr>
                <w:p w14:paraId="68071C02">
                  <w:pPr>
                    <w:adjustRightInd w:val="0"/>
                    <w:snapToGrid w:val="0"/>
                    <w:spacing w:line="240" w:lineRule="auto"/>
                    <w:jc w:val="both"/>
                    <w:rPr>
                      <w:rFonts w:hint="eastAsia" w:ascii="Times New Roman" w:hAnsi="Times New Roman" w:eastAsia="宋体" w:cs="Times New Roman"/>
                      <w:color w:val="0000FF"/>
                      <w:sz w:val="21"/>
                      <w:szCs w:val="21"/>
                      <w:lang w:eastAsia="zh-CN"/>
                    </w:rPr>
                  </w:pPr>
                  <w:r>
                    <w:rPr>
                      <w:rFonts w:hint="default" w:ascii="Times New Roman" w:hAnsi="Times New Roman" w:cs="Times New Roman"/>
                      <w:color w:val="0000FF"/>
                      <w:sz w:val="21"/>
                      <w:szCs w:val="21"/>
                    </w:rPr>
                    <w:t>本项目废水</w:t>
                  </w:r>
                  <w:r>
                    <w:rPr>
                      <w:rFonts w:hint="eastAsia" w:cs="Times New Roman"/>
                      <w:color w:val="0000FF"/>
                      <w:sz w:val="21"/>
                      <w:szCs w:val="21"/>
                      <w:lang w:eastAsia="zh-CN"/>
                    </w:rPr>
                    <w:t>达标排放</w:t>
                  </w:r>
                </w:p>
              </w:tc>
            </w:tr>
            <w:tr w14:paraId="1A02D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0" w:type="pct"/>
                  <w:vMerge w:val="continue"/>
                  <w:tcBorders>
                    <w:top w:val="single" w:color="auto" w:sz="4" w:space="0"/>
                    <w:left w:val="single" w:color="auto" w:sz="4" w:space="0"/>
                    <w:bottom w:val="single" w:color="auto" w:sz="4" w:space="0"/>
                    <w:right w:val="single" w:color="auto" w:sz="4" w:space="0"/>
                  </w:tcBorders>
                  <w:vAlign w:val="center"/>
                </w:tcPr>
                <w:p w14:paraId="1D66E66D">
                  <w:pPr>
                    <w:adjustRightInd w:val="0"/>
                    <w:snapToGrid w:val="0"/>
                    <w:spacing w:line="240" w:lineRule="auto"/>
                    <w:jc w:val="center"/>
                    <w:rPr>
                      <w:rFonts w:hint="default" w:ascii="Times New Roman" w:hAnsi="Times New Roman" w:cs="Times New Roman"/>
                      <w:color w:val="0000FF"/>
                      <w:sz w:val="21"/>
                      <w:szCs w:val="21"/>
                    </w:rPr>
                  </w:pPr>
                </w:p>
              </w:tc>
              <w:tc>
                <w:tcPr>
                  <w:tcW w:w="215" w:type="pct"/>
                  <w:vMerge w:val="continue"/>
                  <w:tcBorders>
                    <w:top w:val="single" w:color="auto" w:sz="4" w:space="0"/>
                    <w:left w:val="single" w:color="auto" w:sz="4" w:space="0"/>
                    <w:bottom w:val="single" w:color="auto" w:sz="4" w:space="0"/>
                    <w:right w:val="single" w:color="auto" w:sz="4" w:space="0"/>
                  </w:tcBorders>
                  <w:vAlign w:val="center"/>
                </w:tcPr>
                <w:p w14:paraId="659D2B5A">
                  <w:pPr>
                    <w:adjustRightInd w:val="0"/>
                    <w:snapToGrid w:val="0"/>
                    <w:spacing w:line="240" w:lineRule="auto"/>
                    <w:jc w:val="center"/>
                    <w:rPr>
                      <w:rFonts w:hint="default" w:ascii="Times New Roman" w:hAnsi="Times New Roman" w:cs="Times New Roman"/>
                      <w:color w:val="0000FF"/>
                      <w:sz w:val="21"/>
                      <w:szCs w:val="21"/>
                    </w:rPr>
                  </w:pPr>
                </w:p>
              </w:tc>
              <w:tc>
                <w:tcPr>
                  <w:tcW w:w="215" w:type="pct"/>
                  <w:vMerge w:val="continue"/>
                  <w:tcBorders>
                    <w:top w:val="single" w:color="auto" w:sz="4" w:space="0"/>
                    <w:left w:val="single" w:color="auto" w:sz="4" w:space="0"/>
                    <w:bottom w:val="single" w:color="auto" w:sz="4" w:space="0"/>
                    <w:right w:val="single" w:color="auto" w:sz="4" w:space="0"/>
                  </w:tcBorders>
                  <w:vAlign w:val="center"/>
                </w:tcPr>
                <w:p w14:paraId="67D5C36B">
                  <w:pPr>
                    <w:adjustRightInd w:val="0"/>
                    <w:snapToGrid w:val="0"/>
                    <w:spacing w:line="240" w:lineRule="auto"/>
                    <w:jc w:val="center"/>
                    <w:rPr>
                      <w:rFonts w:hint="default" w:ascii="Times New Roman" w:hAnsi="Times New Roman" w:cs="Times New Roman"/>
                      <w:color w:val="0000FF"/>
                      <w:sz w:val="21"/>
                      <w:szCs w:val="21"/>
                    </w:rPr>
                  </w:pPr>
                </w:p>
              </w:tc>
              <w:tc>
                <w:tcPr>
                  <w:tcW w:w="2126" w:type="pct"/>
                  <w:tcBorders>
                    <w:top w:val="single" w:color="auto" w:sz="4" w:space="0"/>
                    <w:left w:val="single" w:color="auto" w:sz="4" w:space="0"/>
                    <w:bottom w:val="single" w:color="auto" w:sz="4" w:space="0"/>
                    <w:right w:val="single" w:color="auto" w:sz="4" w:space="0"/>
                  </w:tcBorders>
                  <w:vAlign w:val="center"/>
                </w:tcPr>
                <w:p w14:paraId="2E1B0BD0">
                  <w:pPr>
                    <w:adjustRightInd w:val="0"/>
                    <w:snapToGrid w:val="0"/>
                    <w:spacing w:line="240" w:lineRule="auto"/>
                    <w:jc w:val="both"/>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开展经济技术开发区、高新技术产业开发区、出口加工区等工业集聚区水污染治理设施排查和污染治理，全面推行工业集聚区企业废水量、水污染物纳管总量双控制度。集聚区内工业废水必须经预处理达到集中处理要求，方可进入污水集中处理设施。</w:t>
                  </w:r>
                </w:p>
              </w:tc>
              <w:tc>
                <w:tcPr>
                  <w:tcW w:w="1892" w:type="pct"/>
                  <w:tcBorders>
                    <w:top w:val="single" w:color="auto" w:sz="4" w:space="0"/>
                    <w:left w:val="single" w:color="auto" w:sz="4" w:space="0"/>
                    <w:bottom w:val="single" w:color="auto" w:sz="4" w:space="0"/>
                    <w:right w:val="single" w:color="auto" w:sz="4" w:space="0"/>
                  </w:tcBorders>
                  <w:vAlign w:val="center"/>
                </w:tcPr>
                <w:p w14:paraId="04A6AEA4">
                  <w:pPr>
                    <w:adjustRightInd w:val="0"/>
                    <w:snapToGrid w:val="0"/>
                    <w:spacing w:line="240" w:lineRule="auto"/>
                    <w:jc w:val="both"/>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本次技改项目不涉及生产废水，不新增员工，不新增生活污水；现有废水包括循环冷却水、余热电站排水和生活污水。工艺冷却水、余热电站排水全部循环利用，不外排；生活污水经地埋式系列污水成套设备进行处理，其中10t/d用于绿化浇洒，其余30t/d排入龙湖开发区污水处理厂，由于污染物浓度较低，水量较小，对评价区域地表水影响甚微。</w:t>
                  </w:r>
                </w:p>
              </w:tc>
            </w:tr>
          </w:tbl>
          <w:p w14:paraId="7D38CD1D">
            <w:pPr>
              <w:autoSpaceDE w:val="0"/>
              <w:autoSpaceDN w:val="0"/>
              <w:adjustRightInd w:val="0"/>
              <w:snapToGrid w:val="0"/>
              <w:spacing w:line="360" w:lineRule="auto"/>
              <w:ind w:firstLine="480" w:firstLineChars="200"/>
              <w:jc w:val="both"/>
              <w:rPr>
                <w:rFonts w:hint="default" w:ascii="Times New Roman" w:hAnsi="Times New Roman" w:cs="Times New Roman"/>
                <w:color w:val="0000FF"/>
                <w:sz w:val="24"/>
                <w:szCs w:val="24"/>
              </w:rPr>
            </w:pPr>
            <w:r>
              <w:rPr>
                <w:rFonts w:hint="eastAsia" w:cs="Times New Roman"/>
                <w:color w:val="0000FF"/>
                <w:sz w:val="24"/>
                <w:szCs w:val="24"/>
                <w:lang w:val="en-US" w:eastAsia="zh-CN"/>
              </w:rPr>
              <w:t>4、</w:t>
            </w:r>
            <w:r>
              <w:rPr>
                <w:rFonts w:hint="default" w:ascii="Times New Roman" w:hAnsi="Times New Roman" w:cs="Times New Roman"/>
                <w:color w:val="0000FF"/>
                <w:sz w:val="24"/>
                <w:szCs w:val="24"/>
              </w:rPr>
              <w:t>土壤环境分区管控</w:t>
            </w:r>
          </w:p>
          <w:p w14:paraId="6E52ADF5">
            <w:pPr>
              <w:autoSpaceDE w:val="0"/>
              <w:autoSpaceDN w:val="0"/>
              <w:adjustRightInd w:val="0"/>
              <w:snapToGrid w:val="0"/>
              <w:spacing w:line="360" w:lineRule="auto"/>
              <w:ind w:firstLine="480" w:firstLineChars="200"/>
              <w:jc w:val="both"/>
              <w:rPr>
                <w:rFonts w:hint="default" w:ascii="Times New Roman" w:hAnsi="Times New Roman" w:cs="Times New Roman"/>
                <w:color w:val="0000FF"/>
                <w:sz w:val="24"/>
                <w:szCs w:val="24"/>
              </w:rPr>
            </w:pPr>
            <w:r>
              <w:rPr>
                <w:rFonts w:hint="default" w:ascii="Times New Roman" w:hAnsi="Times New Roman" w:cs="Times New Roman"/>
                <w:color w:val="0000FF"/>
                <w:sz w:val="24"/>
                <w:szCs w:val="24"/>
              </w:rPr>
              <w:t>根据淮北市土壤环境管控分区，本项目位于土壤环境风险一般防控区。管控要求为：依据《中华人民共和国土壤污染防治法》</w:t>
            </w:r>
            <w:r>
              <w:rPr>
                <w:rFonts w:hint="eastAsia" w:cs="Times New Roman"/>
                <w:color w:val="0000FF"/>
                <w:sz w:val="24"/>
                <w:szCs w:val="24"/>
                <w:lang w:eastAsia="zh-CN"/>
              </w:rPr>
              <w:t>、</w:t>
            </w:r>
            <w:r>
              <w:rPr>
                <w:rFonts w:hint="default" w:ascii="Times New Roman" w:hAnsi="Times New Roman" w:cs="Times New Roman"/>
                <w:color w:val="0000FF"/>
                <w:sz w:val="24"/>
                <w:szCs w:val="24"/>
              </w:rPr>
              <w:t>《土壤污染防治行动计划》</w:t>
            </w:r>
            <w:r>
              <w:rPr>
                <w:rFonts w:hint="eastAsia" w:cs="Times New Roman"/>
                <w:color w:val="0000FF"/>
                <w:sz w:val="24"/>
                <w:szCs w:val="24"/>
                <w:lang w:eastAsia="zh-CN"/>
              </w:rPr>
              <w:t>、</w:t>
            </w:r>
            <w:r>
              <w:rPr>
                <w:rFonts w:hint="default" w:ascii="Times New Roman" w:hAnsi="Times New Roman" w:cs="Times New Roman"/>
                <w:color w:val="0000FF"/>
                <w:sz w:val="24"/>
                <w:szCs w:val="24"/>
              </w:rPr>
              <w:t>《安徽省土壤污染防治工作方案》</w:t>
            </w:r>
            <w:r>
              <w:rPr>
                <w:rFonts w:hint="eastAsia" w:cs="Times New Roman"/>
                <w:color w:val="0000FF"/>
                <w:sz w:val="24"/>
                <w:szCs w:val="24"/>
                <w:lang w:eastAsia="zh-CN"/>
              </w:rPr>
              <w:t>、</w:t>
            </w:r>
            <w:r>
              <w:rPr>
                <w:rFonts w:hint="default" w:ascii="Times New Roman" w:hAnsi="Times New Roman" w:cs="Times New Roman"/>
                <w:color w:val="0000FF"/>
                <w:sz w:val="24"/>
                <w:szCs w:val="24"/>
              </w:rPr>
              <w:t>《安</w:t>
            </w:r>
            <w:r>
              <w:rPr>
                <w:rFonts w:hint="eastAsia" w:ascii="宋体" w:hAnsi="宋体" w:eastAsia="宋体" w:cs="宋体"/>
                <w:color w:val="0000FF"/>
                <w:sz w:val="24"/>
                <w:szCs w:val="24"/>
              </w:rPr>
              <w:t>徽省“十四五”土</w:t>
            </w:r>
            <w:r>
              <w:rPr>
                <w:rFonts w:hint="default" w:ascii="Times New Roman" w:hAnsi="Times New Roman" w:cs="Times New Roman"/>
                <w:color w:val="0000FF"/>
                <w:sz w:val="24"/>
                <w:szCs w:val="24"/>
              </w:rPr>
              <w:t>壤、地下水和农村生态环境保护规划》等要求及各市土壤污染防治工作方案对一般管控区实施管控。本</w:t>
            </w:r>
            <w:r>
              <w:rPr>
                <w:rFonts w:hint="eastAsia" w:cs="Times New Roman"/>
                <w:color w:val="0000FF"/>
                <w:sz w:val="24"/>
                <w:szCs w:val="24"/>
                <w:lang w:val="en-US" w:eastAsia="zh-CN"/>
              </w:rPr>
              <w:t>次</w:t>
            </w:r>
            <w:r>
              <w:rPr>
                <w:rFonts w:hint="default" w:ascii="Times New Roman" w:hAnsi="Times New Roman" w:cs="Times New Roman"/>
                <w:color w:val="0000FF"/>
                <w:sz w:val="24"/>
                <w:szCs w:val="24"/>
              </w:rPr>
              <w:t>为</w:t>
            </w:r>
            <w:r>
              <w:rPr>
                <w:rFonts w:hint="default" w:ascii="Times New Roman" w:hAnsi="Times New Roman" w:cs="Times New Roman"/>
                <w:color w:val="0000FF"/>
                <w:sz w:val="24"/>
                <w:szCs w:val="24"/>
                <w:lang w:val="en-US" w:eastAsia="zh-CN"/>
              </w:rPr>
              <w:t>扩建</w:t>
            </w:r>
            <w:r>
              <w:rPr>
                <w:rFonts w:hint="default" w:ascii="Times New Roman" w:hAnsi="Times New Roman" w:cs="Times New Roman"/>
                <w:color w:val="0000FF"/>
                <w:sz w:val="24"/>
                <w:szCs w:val="24"/>
              </w:rPr>
              <w:t>项目，将严格按照分区防渗要求建设。因此，本项目满足土壤环境风险一般防控区管控要求。</w:t>
            </w:r>
          </w:p>
          <w:p w14:paraId="345AC8D2">
            <w:pPr>
              <w:autoSpaceDE w:val="0"/>
              <w:autoSpaceDN w:val="0"/>
              <w:adjustRightInd w:val="0"/>
              <w:snapToGrid w:val="0"/>
              <w:jc w:val="center"/>
              <w:rPr>
                <w:rFonts w:hint="default" w:ascii="Times New Roman" w:hAnsi="Times New Roman" w:eastAsia="宋体" w:cs="Times New Roman"/>
                <w:b/>
                <w:bCs/>
                <w:color w:val="0000FF"/>
                <w:spacing w:val="-6"/>
                <w:kern w:val="0"/>
                <w:sz w:val="21"/>
                <w:szCs w:val="21"/>
                <w:lang w:val="en-US" w:eastAsia="zh-CN"/>
              </w:rPr>
            </w:pPr>
            <w:r>
              <w:rPr>
                <w:rFonts w:hint="default" w:ascii="Times New Roman" w:hAnsi="Times New Roman" w:eastAsia="宋体" w:cs="Times New Roman"/>
                <w:b/>
                <w:bCs/>
                <w:color w:val="0000FF"/>
                <w:spacing w:val="-6"/>
                <w:kern w:val="0"/>
                <w:sz w:val="21"/>
                <w:szCs w:val="21"/>
                <w:lang w:val="en-US" w:eastAsia="zh-CN"/>
              </w:rPr>
              <w:t>表1-</w:t>
            </w:r>
            <w:r>
              <w:rPr>
                <w:rFonts w:hint="eastAsia" w:cs="Times New Roman"/>
                <w:b/>
                <w:bCs/>
                <w:color w:val="0000FF"/>
                <w:spacing w:val="-6"/>
                <w:kern w:val="0"/>
                <w:sz w:val="21"/>
                <w:szCs w:val="21"/>
                <w:lang w:val="en-US" w:eastAsia="zh-CN"/>
              </w:rPr>
              <w:t>8</w:t>
            </w:r>
            <w:r>
              <w:rPr>
                <w:rFonts w:hint="eastAsia" w:ascii="Times New Roman" w:hAnsi="Times New Roman" w:eastAsia="宋体" w:cs="Times New Roman"/>
                <w:b/>
                <w:bCs/>
                <w:color w:val="0000FF"/>
                <w:spacing w:val="-6"/>
                <w:kern w:val="0"/>
                <w:sz w:val="21"/>
                <w:szCs w:val="21"/>
                <w:lang w:val="en-US" w:eastAsia="zh-CN"/>
              </w:rPr>
              <w:t xml:space="preserve"> </w:t>
            </w:r>
            <w:r>
              <w:rPr>
                <w:rFonts w:hint="default" w:ascii="Times New Roman" w:hAnsi="Times New Roman" w:eastAsia="宋体" w:cs="Times New Roman"/>
                <w:b/>
                <w:bCs/>
                <w:color w:val="0000FF"/>
                <w:spacing w:val="-6"/>
                <w:kern w:val="0"/>
                <w:sz w:val="21"/>
                <w:szCs w:val="21"/>
                <w:lang w:val="en-US" w:eastAsia="zh-CN"/>
              </w:rPr>
              <w:t>与土壤环境分区管控要求的协调性分析</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4"/>
              <w:gridCol w:w="4890"/>
              <w:gridCol w:w="2113"/>
            </w:tblGrid>
            <w:tr w14:paraId="3A4FA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24" w:type="dxa"/>
                  <w:noWrap w:val="0"/>
                  <w:vAlign w:val="center"/>
                </w:tcPr>
                <w:p w14:paraId="06D68213">
                  <w:pPr>
                    <w:adjustRightInd w:val="0"/>
                    <w:snapToGrid w:val="0"/>
                    <w:jc w:val="center"/>
                    <w:rPr>
                      <w:rFonts w:ascii="Times New Roman" w:hAnsi="Times New Roman" w:eastAsia="宋体" w:cs="Times New Roman"/>
                      <w:bCs/>
                      <w:color w:val="0000FF"/>
                    </w:rPr>
                  </w:pPr>
                  <w:r>
                    <w:rPr>
                      <w:rFonts w:ascii="Times New Roman" w:hAnsi="Times New Roman" w:eastAsia="宋体" w:cs="Times New Roman"/>
                      <w:bCs/>
                      <w:color w:val="0000FF"/>
                    </w:rPr>
                    <w:t>管控单元分类</w:t>
                  </w:r>
                </w:p>
              </w:tc>
              <w:tc>
                <w:tcPr>
                  <w:tcW w:w="4890" w:type="dxa"/>
                  <w:noWrap w:val="0"/>
                  <w:vAlign w:val="center"/>
                </w:tcPr>
                <w:p w14:paraId="6720C022">
                  <w:pPr>
                    <w:adjustRightInd w:val="0"/>
                    <w:snapToGrid w:val="0"/>
                    <w:jc w:val="center"/>
                    <w:rPr>
                      <w:rFonts w:ascii="Times New Roman" w:hAnsi="Times New Roman" w:eastAsia="宋体" w:cs="Times New Roman"/>
                      <w:bCs/>
                      <w:color w:val="0000FF"/>
                    </w:rPr>
                  </w:pPr>
                  <w:r>
                    <w:rPr>
                      <w:rFonts w:ascii="Times New Roman" w:hAnsi="Times New Roman" w:eastAsia="宋体" w:cs="Times New Roman"/>
                      <w:bCs/>
                      <w:color w:val="0000FF"/>
                    </w:rPr>
                    <w:t>环境管控要求</w:t>
                  </w:r>
                </w:p>
              </w:tc>
              <w:tc>
                <w:tcPr>
                  <w:tcW w:w="2113" w:type="dxa"/>
                  <w:noWrap w:val="0"/>
                  <w:vAlign w:val="center"/>
                </w:tcPr>
                <w:p w14:paraId="022FE127">
                  <w:pPr>
                    <w:adjustRightInd w:val="0"/>
                    <w:snapToGrid w:val="0"/>
                    <w:jc w:val="center"/>
                    <w:rPr>
                      <w:rFonts w:ascii="Times New Roman" w:hAnsi="Times New Roman" w:eastAsia="宋体" w:cs="Times New Roman"/>
                      <w:bCs/>
                      <w:color w:val="0000FF"/>
                    </w:rPr>
                  </w:pPr>
                  <w:r>
                    <w:rPr>
                      <w:rFonts w:ascii="Times New Roman" w:hAnsi="Times New Roman" w:eastAsia="宋体" w:cs="Times New Roman"/>
                      <w:bCs/>
                      <w:color w:val="0000FF"/>
                    </w:rPr>
                    <w:t>协调性分析</w:t>
                  </w:r>
                </w:p>
              </w:tc>
            </w:tr>
            <w:tr w14:paraId="6DC7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24" w:type="dxa"/>
                  <w:noWrap w:val="0"/>
                  <w:vAlign w:val="center"/>
                </w:tcPr>
                <w:p w14:paraId="083EDF8B">
                  <w:pPr>
                    <w:adjustRightInd w:val="0"/>
                    <w:snapToGrid w:val="0"/>
                    <w:jc w:val="center"/>
                    <w:rPr>
                      <w:rFonts w:ascii="Times New Roman" w:hAnsi="Times New Roman" w:eastAsia="宋体" w:cs="Times New Roman"/>
                      <w:bCs/>
                      <w:color w:val="0000FF"/>
                    </w:rPr>
                  </w:pPr>
                  <w:r>
                    <w:rPr>
                      <w:rFonts w:ascii="Times New Roman" w:hAnsi="Times New Roman" w:eastAsia="宋体" w:cs="Times New Roman"/>
                      <w:bCs/>
                      <w:color w:val="0000FF"/>
                    </w:rPr>
                    <w:t>一般管控区</w:t>
                  </w:r>
                </w:p>
              </w:tc>
              <w:tc>
                <w:tcPr>
                  <w:tcW w:w="4890" w:type="dxa"/>
                  <w:noWrap w:val="0"/>
                  <w:vAlign w:val="center"/>
                </w:tcPr>
                <w:p w14:paraId="422E1803">
                  <w:pPr>
                    <w:adjustRightInd w:val="0"/>
                    <w:snapToGrid w:val="0"/>
                    <w:jc w:val="both"/>
                    <w:rPr>
                      <w:rFonts w:ascii="Times New Roman" w:hAnsi="Times New Roman" w:eastAsia="宋体" w:cs="Times New Roman"/>
                      <w:bCs/>
                      <w:color w:val="0000FF"/>
                    </w:rPr>
                  </w:pPr>
                  <w:r>
                    <w:rPr>
                      <w:rFonts w:ascii="Times New Roman" w:hAnsi="Times New Roman" w:eastAsia="宋体" w:cs="Times New Roman"/>
                      <w:bCs/>
                      <w:color w:val="0000FF"/>
                    </w:rPr>
                    <w:t>依据《中华人民共和国土壤污染防治法》《土壤污染防治行动计划》《安徽省土壤污染防治工作方案》《</w:t>
                  </w:r>
                  <w:r>
                    <w:rPr>
                      <w:rFonts w:hint="eastAsia" w:ascii="宋体" w:hAnsi="宋体" w:eastAsia="宋体" w:cs="宋体"/>
                      <w:bCs/>
                      <w:color w:val="0000FF"/>
                    </w:rPr>
                    <w:t>安徽省“十</w:t>
                  </w:r>
                  <w:r>
                    <w:rPr>
                      <w:rFonts w:hint="eastAsia" w:ascii="宋体" w:hAnsi="宋体" w:eastAsia="宋体" w:cs="宋体"/>
                      <w:bCs/>
                      <w:color w:val="0000FF"/>
                      <w:lang w:eastAsia="zh-CN"/>
                    </w:rPr>
                    <w:t>四</w:t>
                  </w:r>
                  <w:r>
                    <w:rPr>
                      <w:rFonts w:hint="eastAsia" w:ascii="宋体" w:hAnsi="宋体" w:eastAsia="宋体" w:cs="宋体"/>
                      <w:bCs/>
                      <w:color w:val="0000FF"/>
                    </w:rPr>
                    <w:t>五”环境</w:t>
                  </w:r>
                  <w:r>
                    <w:rPr>
                      <w:rFonts w:ascii="Times New Roman" w:hAnsi="Times New Roman" w:eastAsia="宋体" w:cs="Times New Roman"/>
                      <w:bCs/>
                      <w:color w:val="0000FF"/>
                    </w:rPr>
                    <w:t>保护规划》《淮北市土壤污染防治工作方案》</w:t>
                  </w:r>
                </w:p>
              </w:tc>
              <w:tc>
                <w:tcPr>
                  <w:tcW w:w="2113" w:type="dxa"/>
                  <w:noWrap w:val="0"/>
                  <w:vAlign w:val="center"/>
                </w:tcPr>
                <w:p w14:paraId="268CBFA8">
                  <w:pPr>
                    <w:adjustRightInd w:val="0"/>
                    <w:snapToGrid w:val="0"/>
                    <w:jc w:val="center"/>
                    <w:rPr>
                      <w:rFonts w:ascii="Times New Roman" w:hAnsi="Times New Roman" w:eastAsia="宋体" w:cs="Times New Roman"/>
                      <w:bCs/>
                      <w:color w:val="0000FF"/>
                    </w:rPr>
                  </w:pPr>
                  <w:r>
                    <w:rPr>
                      <w:rFonts w:ascii="Times New Roman" w:hAnsi="Times New Roman" w:eastAsia="宋体" w:cs="Times New Roman"/>
                      <w:bCs/>
                      <w:color w:val="0000FF"/>
                    </w:rPr>
                    <w:t>企业固废按照国家有关规定进行安全处置</w:t>
                  </w:r>
                </w:p>
              </w:tc>
            </w:tr>
          </w:tbl>
          <w:p w14:paraId="7FB7DC12">
            <w:pPr>
              <w:autoSpaceDE w:val="0"/>
              <w:autoSpaceDN w:val="0"/>
              <w:adjustRightInd w:val="0"/>
              <w:snapToGrid w:val="0"/>
              <w:spacing w:line="360" w:lineRule="auto"/>
              <w:ind w:firstLine="480" w:firstLineChars="200"/>
              <w:jc w:val="both"/>
              <w:rPr>
                <w:rFonts w:hint="default" w:ascii="Times New Roman" w:hAnsi="Times New Roman" w:cs="Times New Roman"/>
                <w:color w:val="0000FF"/>
                <w:sz w:val="24"/>
                <w:szCs w:val="24"/>
                <w:highlight w:val="yellow"/>
              </w:rPr>
            </w:pPr>
            <w:r>
              <w:rPr>
                <w:rFonts w:hint="default" w:ascii="Times New Roman" w:hAnsi="Times New Roman" w:cs="Times New Roman"/>
                <w:color w:val="0000FF"/>
                <w:sz w:val="24"/>
                <w:szCs w:val="24"/>
              </w:rPr>
              <w:t>综上，本项目</w:t>
            </w:r>
            <w:r>
              <w:rPr>
                <w:rFonts w:hint="eastAsia" w:cs="Times New Roman"/>
                <w:color w:val="0000FF"/>
                <w:sz w:val="24"/>
                <w:szCs w:val="24"/>
                <w:lang w:eastAsia="zh-CN"/>
              </w:rPr>
              <w:t>符合</w:t>
            </w:r>
            <w:r>
              <w:rPr>
                <w:rFonts w:hint="default" w:ascii="Times New Roman" w:hAnsi="Times New Roman" w:cs="Times New Roman"/>
                <w:color w:val="0000FF"/>
                <w:sz w:val="24"/>
                <w:szCs w:val="24"/>
              </w:rPr>
              <w:t>建设项目所在区域的环境功能区划，不违背淮北市生态功能区划的要求，不会触碰区域环境质量底线，且未列入环境准入负面清单。因此项目的建设</w:t>
            </w:r>
            <w:r>
              <w:rPr>
                <w:rFonts w:hint="eastAsia" w:ascii="宋体" w:hAnsi="宋体" w:eastAsia="宋体" w:cs="宋体"/>
                <w:color w:val="0000FF"/>
                <w:sz w:val="24"/>
                <w:szCs w:val="24"/>
              </w:rPr>
              <w:t>符合“三线一单”相</w:t>
            </w:r>
            <w:r>
              <w:rPr>
                <w:rFonts w:hint="default" w:ascii="Times New Roman" w:hAnsi="Times New Roman" w:cs="Times New Roman"/>
                <w:color w:val="0000FF"/>
                <w:sz w:val="24"/>
                <w:szCs w:val="24"/>
              </w:rPr>
              <w:t>关要求。</w:t>
            </w:r>
          </w:p>
          <w:p w14:paraId="4877FD52">
            <w:pPr>
              <w:pStyle w:val="11"/>
              <w:adjustRightInd w:val="0"/>
              <w:snapToGrid w:val="0"/>
              <w:spacing w:line="360" w:lineRule="auto"/>
              <w:ind w:firstLine="482" w:firstLineChars="200"/>
              <w:jc w:val="both"/>
              <w:rPr>
                <w:rFonts w:hint="default" w:ascii="Times New Roman" w:hAnsi="Times New Roman" w:cs="Times New Roman"/>
                <w:b/>
                <w:bCs/>
                <w:color w:val="0000FF"/>
              </w:rPr>
            </w:pPr>
            <w:r>
              <w:rPr>
                <w:rFonts w:hint="eastAsia" w:cs="Times New Roman"/>
                <w:b/>
                <w:bCs/>
                <w:color w:val="0000FF"/>
                <w:lang w:val="en-US" w:eastAsia="zh-CN"/>
              </w:rPr>
              <w:t>三</w:t>
            </w:r>
            <w:r>
              <w:rPr>
                <w:rFonts w:hint="default" w:ascii="Times New Roman" w:hAnsi="Times New Roman" w:cs="Times New Roman"/>
                <w:b/>
                <w:bCs/>
                <w:color w:val="0000FF"/>
              </w:rPr>
              <w:t>、产业政策符合性分析</w:t>
            </w:r>
          </w:p>
          <w:p w14:paraId="76C571EA">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FF"/>
              </w:rPr>
            </w:pPr>
            <w:r>
              <w:rPr>
                <w:rFonts w:hint="default" w:ascii="Times New Roman" w:hAnsi="Times New Roman" w:eastAsia="宋体" w:cs="Times New Roman"/>
                <w:color w:val="0000FF"/>
              </w:rPr>
              <w:t>本项目为水泥窑</w:t>
            </w:r>
            <w:r>
              <w:rPr>
                <w:rFonts w:hint="eastAsia" w:cs="Times New Roman"/>
                <w:color w:val="0000FF"/>
                <w:lang w:eastAsia="zh-CN"/>
              </w:rPr>
              <w:t>替代燃料</w:t>
            </w:r>
            <w:r>
              <w:rPr>
                <w:rFonts w:hint="default" w:ascii="Times New Roman" w:hAnsi="Times New Roman" w:eastAsia="宋体" w:cs="Times New Roman"/>
                <w:color w:val="0000FF"/>
              </w:rPr>
              <w:t>项目，对照《国民经济行业分类》（GB/T</w:t>
            </w:r>
            <w:r>
              <w:rPr>
                <w:rFonts w:hint="eastAsia" w:cs="Times New Roman"/>
                <w:color w:val="0000FF"/>
                <w:lang w:val="en-US" w:eastAsia="zh-CN"/>
              </w:rPr>
              <w:t xml:space="preserve"> </w:t>
            </w:r>
            <w:r>
              <w:rPr>
                <w:rFonts w:hint="default" w:ascii="Times New Roman" w:hAnsi="Times New Roman" w:eastAsia="宋体" w:cs="Times New Roman"/>
                <w:color w:val="0000FF"/>
              </w:rPr>
              <w:t>4754-2017），属于</w:t>
            </w:r>
            <w:r>
              <w:rPr>
                <w:rFonts w:hint="eastAsia" w:ascii="宋体" w:hAnsi="宋体" w:eastAsia="宋体" w:cs="宋体"/>
                <w:color w:val="0000FF"/>
              </w:rPr>
              <w:t>“生态保护和环境治理业”中的“</w:t>
            </w:r>
            <w:r>
              <w:rPr>
                <w:rFonts w:hint="default" w:ascii="Times New Roman" w:hAnsi="Times New Roman" w:eastAsia="宋体" w:cs="Times New Roman"/>
                <w:color w:val="0000FF"/>
              </w:rPr>
              <w:t>N7723</w:t>
            </w:r>
            <w:r>
              <w:rPr>
                <w:rFonts w:hint="eastAsia" w:ascii="Times New Roman" w:hAnsi="Times New Roman" w:eastAsia="宋体" w:cs="Times New Roman"/>
                <w:color w:val="0000FF"/>
                <w:lang w:val="en-US" w:eastAsia="zh-CN"/>
              </w:rPr>
              <w:t xml:space="preserve"> </w:t>
            </w:r>
            <w:r>
              <w:rPr>
                <w:rFonts w:hint="eastAsia" w:ascii="宋体" w:hAnsi="宋体" w:eastAsia="宋体" w:cs="宋体"/>
                <w:color w:val="0000FF"/>
              </w:rPr>
              <w:t>固体废物治理”</w:t>
            </w:r>
            <w:r>
              <w:rPr>
                <w:rFonts w:hint="default" w:ascii="Times New Roman" w:hAnsi="Times New Roman" w:eastAsia="宋体" w:cs="Times New Roman"/>
                <w:color w:val="0000FF"/>
              </w:rPr>
              <w:t>。</w:t>
            </w:r>
          </w:p>
          <w:p w14:paraId="2D415DB2">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FF"/>
              </w:rPr>
            </w:pPr>
            <w:r>
              <w:rPr>
                <w:rFonts w:hint="default" w:ascii="Times New Roman" w:hAnsi="Times New Roman" w:eastAsia="宋体" w:cs="Times New Roman"/>
                <w:color w:val="0000FF"/>
              </w:rPr>
              <w:t>本项目主要依托</w:t>
            </w:r>
            <w:r>
              <w:rPr>
                <w:rFonts w:hint="eastAsia" w:cs="Times New Roman"/>
                <w:color w:val="0000FF"/>
                <w:lang w:eastAsia="zh-CN"/>
              </w:rPr>
              <w:t>淮北众城水泥有限责任公司</w:t>
            </w:r>
            <w:r>
              <w:rPr>
                <w:rFonts w:hint="eastAsia" w:cs="Times New Roman"/>
                <w:color w:val="0000FF"/>
                <w:lang w:val="en-US" w:eastAsia="zh-CN"/>
              </w:rPr>
              <w:t>5000t/d熟料生产线，</w:t>
            </w:r>
            <w:r>
              <w:rPr>
                <w:rFonts w:hint="default" w:ascii="Times New Roman" w:hAnsi="Times New Roman" w:eastAsia="宋体" w:cs="Times New Roman"/>
                <w:color w:val="0000FF"/>
              </w:rPr>
              <w:t>处置替代燃料。项目不新增水泥产能，一般固废替代燃料（木屑、纺织废料）替代了部分</w:t>
            </w:r>
            <w:r>
              <w:rPr>
                <w:rFonts w:hint="eastAsia" w:cs="Times New Roman"/>
                <w:color w:val="0000FF"/>
                <w:lang w:eastAsia="zh-CN"/>
              </w:rPr>
              <w:t>燃煤</w:t>
            </w:r>
            <w:r>
              <w:rPr>
                <w:rFonts w:hint="default" w:ascii="Times New Roman" w:hAnsi="Times New Roman" w:eastAsia="宋体" w:cs="Times New Roman"/>
                <w:color w:val="0000FF"/>
              </w:rPr>
              <w:t>，项目建成后预计可节约</w:t>
            </w:r>
            <w:r>
              <w:rPr>
                <w:rFonts w:hint="eastAsia" w:cs="Times New Roman"/>
                <w:color w:val="0000FF"/>
                <w:lang w:eastAsia="zh-CN"/>
              </w:rPr>
              <w:t>原煤</w:t>
            </w:r>
            <w:r>
              <w:rPr>
                <w:rFonts w:hint="eastAsia" w:cs="Times New Roman"/>
                <w:color w:val="0000FF"/>
                <w:lang w:val="en-US" w:eastAsia="zh-CN"/>
              </w:rPr>
              <w:t>4.49万吨/年，节约标煤3.40万吨/年</w:t>
            </w:r>
            <w:r>
              <w:rPr>
                <w:rFonts w:hint="default" w:ascii="Times New Roman" w:hAnsi="Times New Roman" w:eastAsia="宋体" w:cs="Times New Roman"/>
                <w:color w:val="0000FF"/>
              </w:rPr>
              <w:t>。</w:t>
            </w:r>
          </w:p>
          <w:p w14:paraId="7A98B451">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FF"/>
                <w:lang w:eastAsia="zh-CN"/>
              </w:rPr>
            </w:pPr>
            <w:r>
              <w:rPr>
                <w:rFonts w:hint="default" w:ascii="Times New Roman" w:hAnsi="Times New Roman" w:eastAsia="宋体" w:cs="Times New Roman"/>
                <w:color w:val="0000FF"/>
              </w:rPr>
              <w:t>根据中华人民共和国国家发展和改革委员会发布的《产业结构调整指导目录》（2024年本）</w:t>
            </w:r>
            <w:r>
              <w:rPr>
                <w:rFonts w:hint="eastAsia" w:cs="Times New Roman"/>
                <w:color w:val="0000FF"/>
                <w:lang w:eastAsia="zh-CN"/>
              </w:rPr>
              <w:t>，本项目属于“第一类 鼓励类”第十二项建材第1条中“水泥原燃材料替代及协同处置技术”，亦属于“第一类 鼓励类”第四十二项环境保护与资源节约综合利用第1条中“新型干法水泥窑无害化协同处置废弃物”，因此本项目符合国家产业政策要求。经对比，项目亦不属于《市场准入负面清单（2022年版）》禁止类，符合《市场准入负面清单（2022年版）》准入要求。</w:t>
            </w:r>
          </w:p>
          <w:p w14:paraId="7337CAEC">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FF"/>
              </w:rPr>
            </w:pPr>
            <w:r>
              <w:rPr>
                <w:rFonts w:hint="default" w:ascii="Times New Roman" w:hAnsi="Times New Roman" w:eastAsia="宋体" w:cs="Times New Roman"/>
                <w:color w:val="0000FF"/>
              </w:rPr>
              <w:t>根据《安徽省节能减排及应对气候变化工作领导小组关于印发安徽省</w:t>
            </w:r>
            <w:r>
              <w:rPr>
                <w:rFonts w:hint="eastAsia" w:ascii="宋体" w:hAnsi="宋体" w:eastAsia="宋体" w:cs="宋体"/>
                <w:color w:val="0000FF"/>
              </w:rPr>
              <w:t>“两高”</w:t>
            </w:r>
            <w:r>
              <w:rPr>
                <w:rFonts w:hint="default" w:ascii="Times New Roman" w:hAnsi="Times New Roman" w:eastAsia="宋体" w:cs="Times New Roman"/>
                <w:color w:val="0000FF"/>
              </w:rPr>
              <w:t>项目管理目录（试行）的通知》（皖节能﹝2022〕2号），本项目</w:t>
            </w:r>
            <w:r>
              <w:rPr>
                <w:rFonts w:hint="eastAsia" w:ascii="宋体" w:hAnsi="宋体" w:eastAsia="宋体" w:cs="宋体"/>
                <w:color w:val="0000FF"/>
              </w:rPr>
              <w:t>不作为“两高”项</w:t>
            </w:r>
            <w:r>
              <w:rPr>
                <w:rFonts w:hint="default" w:ascii="Times New Roman" w:hAnsi="Times New Roman" w:eastAsia="宋体" w:cs="Times New Roman"/>
                <w:color w:val="0000FF"/>
              </w:rPr>
              <w:t>目管理。本项目所采用的主要生产设备、生产工艺等，均不属于《产业结构调整指导目录》（2024年本）中限制类及淘汰类；不属于《安徽省工业产业结构调整指导目录</w:t>
            </w:r>
            <w:r>
              <w:rPr>
                <w:rFonts w:hint="eastAsia" w:cs="Times New Roman"/>
                <w:color w:val="0000FF"/>
                <w:lang w:eastAsia="zh-CN"/>
              </w:rPr>
              <w:t>（</w:t>
            </w:r>
            <w:r>
              <w:rPr>
                <w:rFonts w:hint="default" w:ascii="Times New Roman" w:hAnsi="Times New Roman" w:eastAsia="宋体" w:cs="Times New Roman"/>
                <w:color w:val="0000FF"/>
              </w:rPr>
              <w:t>2007年本</w:t>
            </w:r>
            <w:r>
              <w:rPr>
                <w:rFonts w:hint="eastAsia" w:cs="Times New Roman"/>
                <w:color w:val="0000FF"/>
                <w:lang w:eastAsia="zh-CN"/>
              </w:rPr>
              <w:t>）</w:t>
            </w:r>
            <w:r>
              <w:rPr>
                <w:rFonts w:hint="default" w:ascii="Times New Roman" w:hAnsi="Times New Roman" w:eastAsia="宋体" w:cs="Times New Roman"/>
                <w:color w:val="0000FF"/>
              </w:rPr>
              <w:t>》；不属于《淘汰落后生产能力、工艺和产品的目录》第一、二、三批的内容之内（国家经贸委第6号、16号、32号令）。</w:t>
            </w:r>
          </w:p>
          <w:p w14:paraId="701E71DD">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FF"/>
              </w:rPr>
            </w:pPr>
            <w:r>
              <w:rPr>
                <w:rFonts w:hint="default" w:ascii="Times New Roman" w:hAnsi="Times New Roman" w:eastAsia="宋体" w:cs="Times New Roman"/>
                <w:color w:val="0000FF"/>
              </w:rPr>
              <w:t>根据《水泥工业产业发展政策》</w:t>
            </w:r>
            <w:r>
              <w:rPr>
                <w:rFonts w:hint="eastAsia" w:cs="Times New Roman"/>
                <w:color w:val="0000FF"/>
                <w:lang w:eastAsia="zh-CN"/>
              </w:rPr>
              <w:t>（</w:t>
            </w:r>
            <w:r>
              <w:rPr>
                <w:rFonts w:hint="default" w:ascii="Times New Roman" w:hAnsi="Times New Roman" w:eastAsia="宋体" w:cs="Times New Roman"/>
                <w:color w:val="0000FF"/>
              </w:rPr>
              <w:t>国家发展和改革委员会令</w:t>
            </w:r>
            <w:r>
              <w:rPr>
                <w:rFonts w:hint="eastAsia" w:cs="Times New Roman"/>
                <w:color w:val="0000FF"/>
                <w:lang w:val="en-US" w:eastAsia="zh-CN"/>
              </w:rPr>
              <w:t xml:space="preserve"> </w:t>
            </w:r>
            <w:r>
              <w:rPr>
                <w:rFonts w:hint="default" w:ascii="Times New Roman" w:hAnsi="Times New Roman" w:eastAsia="宋体" w:cs="Times New Roman"/>
                <w:color w:val="0000FF"/>
              </w:rPr>
              <w:t>第50号</w:t>
            </w:r>
            <w:r>
              <w:rPr>
                <w:rFonts w:hint="eastAsia" w:cs="Times New Roman"/>
                <w:color w:val="0000FF"/>
                <w:lang w:eastAsia="zh-CN"/>
              </w:rPr>
              <w:t>）</w:t>
            </w:r>
            <w:r>
              <w:rPr>
                <w:rFonts w:hint="default" w:ascii="Times New Roman" w:hAnsi="Times New Roman" w:eastAsia="宋体" w:cs="Times New Roman"/>
                <w:color w:val="0000FF"/>
              </w:rPr>
              <w:t>第八条</w:t>
            </w:r>
            <w:r>
              <w:rPr>
                <w:rFonts w:hint="eastAsia" w:cs="Times New Roman"/>
                <w:color w:val="0000FF"/>
                <w:lang w:eastAsia="zh-CN"/>
              </w:rPr>
              <w:t>中，“</w:t>
            </w:r>
            <w:r>
              <w:rPr>
                <w:rFonts w:hint="default" w:ascii="Times New Roman" w:hAnsi="Times New Roman" w:eastAsia="宋体" w:cs="Times New Roman"/>
                <w:color w:val="0000FF"/>
              </w:rPr>
              <w:t>鼓励和支持利用在大城市或中心城市附近大型水泥厂的新型干法水泥窑处置工业废弃物、污泥和生活垃圾，把水泥工厂同时作为处理固体废物综合利用的企业。</w:t>
            </w:r>
            <w:r>
              <w:rPr>
                <w:rFonts w:hint="eastAsia" w:cs="Times New Roman"/>
                <w:color w:val="0000FF"/>
                <w:lang w:eastAsia="zh-CN"/>
              </w:rPr>
              <w:t>”</w:t>
            </w:r>
          </w:p>
          <w:p w14:paraId="5E3F762F">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FF"/>
              </w:rPr>
            </w:pPr>
            <w:r>
              <w:rPr>
                <w:rFonts w:hint="default" w:ascii="Times New Roman" w:hAnsi="Times New Roman" w:eastAsia="宋体" w:cs="Times New Roman"/>
                <w:color w:val="0000FF"/>
              </w:rPr>
              <w:t>因此，本项目利用现有</w:t>
            </w:r>
            <w:r>
              <w:rPr>
                <w:rFonts w:hint="eastAsia" w:cs="Times New Roman"/>
                <w:color w:val="0000FF"/>
                <w:lang w:val="en-US" w:eastAsia="zh-CN"/>
              </w:rPr>
              <w:t>5000t/d</w:t>
            </w:r>
            <w:r>
              <w:rPr>
                <w:rFonts w:hint="default" w:ascii="Times New Roman" w:hAnsi="Times New Roman" w:eastAsia="宋体" w:cs="Times New Roman"/>
                <w:color w:val="0000FF"/>
              </w:rPr>
              <w:t>熟料生产线处置一般固废</w:t>
            </w:r>
            <w:r>
              <w:rPr>
                <w:rFonts w:hint="eastAsia" w:cs="Times New Roman"/>
                <w:color w:val="0000FF"/>
                <w:lang w:eastAsia="zh-CN"/>
              </w:rPr>
              <w:t>（</w:t>
            </w:r>
            <w:r>
              <w:rPr>
                <w:rFonts w:hint="default" w:ascii="Times New Roman" w:hAnsi="Times New Roman" w:eastAsia="宋体" w:cs="Times New Roman"/>
                <w:color w:val="0000FF"/>
              </w:rPr>
              <w:t>替代燃料</w:t>
            </w:r>
            <w:r>
              <w:rPr>
                <w:rFonts w:hint="eastAsia" w:cs="Times New Roman"/>
                <w:color w:val="0000FF"/>
                <w:lang w:eastAsia="zh-CN"/>
              </w:rPr>
              <w:t>）</w:t>
            </w:r>
            <w:r>
              <w:rPr>
                <w:rFonts w:hint="default" w:ascii="Times New Roman" w:hAnsi="Times New Roman" w:eastAsia="宋体" w:cs="Times New Roman"/>
                <w:color w:val="0000FF"/>
              </w:rPr>
              <w:t>符合国家现行产业政策。</w:t>
            </w:r>
          </w:p>
          <w:p w14:paraId="2C9847C7">
            <w:pPr>
              <w:autoSpaceDE w:val="0"/>
              <w:autoSpaceDN w:val="0"/>
              <w:adjustRightInd w:val="0"/>
              <w:snapToGrid w:val="0"/>
              <w:spacing w:line="360" w:lineRule="auto"/>
              <w:ind w:firstLine="482" w:firstLineChars="200"/>
              <w:jc w:val="both"/>
              <w:rPr>
                <w:rFonts w:hint="default" w:ascii="Times New Roman" w:hAnsi="Times New Roman" w:cs="Times New Roman"/>
                <w:b/>
                <w:bCs/>
                <w:color w:val="auto"/>
                <w:kern w:val="0"/>
                <w:sz w:val="24"/>
                <w:szCs w:val="24"/>
              </w:rPr>
            </w:pPr>
            <w:r>
              <w:rPr>
                <w:rFonts w:hint="eastAsia" w:cs="Times New Roman"/>
                <w:b/>
                <w:bCs/>
                <w:color w:val="auto"/>
                <w:kern w:val="0"/>
                <w:sz w:val="24"/>
                <w:szCs w:val="24"/>
                <w:lang w:val="en-US" w:eastAsia="zh-CN"/>
              </w:rPr>
              <w:t>四</w:t>
            </w:r>
            <w:r>
              <w:rPr>
                <w:rFonts w:hint="default" w:ascii="Times New Roman" w:hAnsi="Times New Roman" w:cs="Times New Roman"/>
                <w:b/>
                <w:bCs/>
                <w:color w:val="auto"/>
                <w:kern w:val="0"/>
                <w:sz w:val="24"/>
                <w:szCs w:val="24"/>
              </w:rPr>
              <w:t>、项目选址符合性分析</w:t>
            </w:r>
          </w:p>
          <w:p w14:paraId="76CE6DAB">
            <w:pPr>
              <w:autoSpaceDE w:val="0"/>
              <w:autoSpaceDN w:val="0"/>
              <w:adjustRightInd w:val="0"/>
              <w:snapToGrid w:val="0"/>
              <w:spacing w:line="360" w:lineRule="auto"/>
              <w:ind w:firstLine="480" w:firstLineChars="200"/>
              <w:jc w:val="both"/>
              <w:rPr>
                <w:rFonts w:hint="default" w:ascii="Times New Roman" w:hAnsi="Times New Roman" w:cs="Times New Roman"/>
                <w:color w:val="auto"/>
                <w:kern w:val="0"/>
                <w:sz w:val="24"/>
                <w:szCs w:val="24"/>
              </w:rPr>
            </w:pPr>
            <w:r>
              <w:rPr>
                <w:rFonts w:hint="eastAsia" w:cs="Times New Roman"/>
                <w:color w:val="auto"/>
                <w:kern w:val="0"/>
                <w:sz w:val="24"/>
                <w:szCs w:val="24"/>
                <w:lang w:val="en-US" w:eastAsia="zh-CN"/>
              </w:rPr>
              <w:t>1、</w:t>
            </w:r>
            <w:r>
              <w:rPr>
                <w:rFonts w:hint="default" w:ascii="Times New Roman" w:hAnsi="Times New Roman" w:cs="Times New Roman"/>
                <w:color w:val="auto"/>
                <w:kern w:val="0"/>
                <w:sz w:val="24"/>
                <w:szCs w:val="24"/>
              </w:rPr>
              <w:t>选址合理性</w:t>
            </w:r>
          </w:p>
          <w:p w14:paraId="1FBC57AB">
            <w:pPr>
              <w:autoSpaceDE w:val="0"/>
              <w:autoSpaceDN w:val="0"/>
              <w:adjustRightInd w:val="0"/>
              <w:snapToGrid w:val="0"/>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本项目位于</w:t>
            </w:r>
            <w:r>
              <w:rPr>
                <w:rFonts w:hint="eastAsia" w:cs="Times New Roman"/>
                <w:color w:val="auto"/>
                <w:sz w:val="24"/>
                <w:szCs w:val="24"/>
                <w:lang w:eastAsia="zh-CN"/>
              </w:rPr>
              <w:t>淮北市杜集区东山路202号（淮北众城水泥有限责任公司院内）</w:t>
            </w:r>
            <w:r>
              <w:rPr>
                <w:rFonts w:hint="default" w:ascii="Times New Roman" w:hAnsi="Times New Roman" w:cs="Times New Roman"/>
                <w:color w:val="auto"/>
                <w:sz w:val="24"/>
                <w:szCs w:val="24"/>
              </w:rPr>
              <w:t>，根据公司用地土地</w:t>
            </w:r>
            <w:r>
              <w:rPr>
                <w:rFonts w:hint="default" w:ascii="Times New Roman" w:hAnsi="Times New Roman" w:eastAsia="宋体" w:cs="Times New Roman"/>
                <w:color w:val="auto"/>
                <w:sz w:val="24"/>
                <w:szCs w:val="24"/>
              </w:rPr>
              <w:t>证（详见附件</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rPr>
              <w:t>），项目用地</w:t>
            </w:r>
            <w:r>
              <w:rPr>
                <w:rFonts w:hint="default" w:ascii="Times New Roman" w:hAnsi="Times New Roman" w:cs="Times New Roman"/>
                <w:color w:val="auto"/>
                <w:sz w:val="24"/>
                <w:szCs w:val="24"/>
              </w:rPr>
              <w:t>性质为工业用地</w:t>
            </w:r>
            <w:r>
              <w:rPr>
                <w:rFonts w:hint="eastAsia" w:cs="Times New Roman"/>
                <w:color w:val="auto"/>
                <w:sz w:val="24"/>
                <w:szCs w:val="24"/>
                <w:lang w:eastAsia="zh-CN"/>
              </w:rPr>
              <w:t>，用地不涉及生态红线，不占用基本农田，不涉及自然保护区、风景名胜区、生态保护区、集中式供水水源地等环境敏感区</w:t>
            </w:r>
            <w:r>
              <w:rPr>
                <w:rFonts w:hint="default" w:ascii="Times New Roman" w:hAnsi="Times New Roman" w:cs="Times New Roman"/>
                <w:color w:val="auto"/>
                <w:sz w:val="24"/>
                <w:szCs w:val="24"/>
              </w:rPr>
              <w:t>。因此，项目选址符合</w:t>
            </w:r>
            <w:r>
              <w:rPr>
                <w:rFonts w:hint="eastAsia" w:cs="Times New Roman"/>
                <w:color w:val="auto"/>
                <w:sz w:val="24"/>
                <w:szCs w:val="24"/>
                <w:lang w:eastAsia="zh-CN"/>
              </w:rPr>
              <w:t>当地</w:t>
            </w:r>
            <w:r>
              <w:rPr>
                <w:rFonts w:hint="default" w:ascii="Times New Roman" w:hAnsi="Times New Roman" w:cs="Times New Roman"/>
                <w:color w:val="auto"/>
                <w:sz w:val="24"/>
                <w:szCs w:val="24"/>
              </w:rPr>
              <w:t>土地利用规划要求。</w:t>
            </w:r>
          </w:p>
          <w:p w14:paraId="08EB30E8">
            <w:pPr>
              <w:autoSpaceDE w:val="0"/>
              <w:autoSpaceDN w:val="0"/>
              <w:adjustRightInd w:val="0"/>
              <w:snapToGrid w:val="0"/>
              <w:spacing w:line="360" w:lineRule="auto"/>
              <w:ind w:firstLine="480" w:firstLineChars="200"/>
              <w:jc w:val="both"/>
              <w:rPr>
                <w:rFonts w:hint="eastAsia" w:ascii="Times New Roman" w:hAnsi="Times New Roman" w:eastAsia="宋体" w:cs="Times New Roman"/>
                <w:color w:val="auto"/>
                <w:kern w:val="0"/>
                <w:sz w:val="24"/>
                <w:szCs w:val="24"/>
                <w:lang w:eastAsia="zh-CN"/>
              </w:rPr>
            </w:pPr>
            <w:r>
              <w:rPr>
                <w:rFonts w:hint="eastAsia" w:cs="Times New Roman"/>
                <w:color w:val="auto"/>
                <w:kern w:val="0"/>
                <w:sz w:val="24"/>
                <w:szCs w:val="24"/>
                <w:lang w:val="en-US" w:eastAsia="zh-CN"/>
              </w:rPr>
              <w:t>2、</w:t>
            </w:r>
            <w:r>
              <w:rPr>
                <w:rFonts w:hint="eastAsia" w:cs="Times New Roman"/>
                <w:color w:val="auto"/>
                <w:kern w:val="0"/>
                <w:sz w:val="24"/>
                <w:szCs w:val="24"/>
                <w:lang w:eastAsia="zh-CN"/>
              </w:rPr>
              <w:t>与周边环境相容性</w:t>
            </w:r>
          </w:p>
          <w:p w14:paraId="12B018DE">
            <w:pPr>
              <w:autoSpaceDE w:val="0"/>
              <w:autoSpaceDN w:val="0"/>
              <w:adjustRightInd w:val="0"/>
              <w:snapToGrid w:val="0"/>
              <w:spacing w:line="360" w:lineRule="auto"/>
              <w:ind w:firstLine="480" w:firstLineChars="200"/>
              <w:jc w:val="both"/>
              <w:rPr>
                <w:rFonts w:hint="eastAsia" w:cs="宋体"/>
                <w:sz w:val="24"/>
                <w:szCs w:val="24"/>
              </w:rPr>
            </w:pPr>
            <w:r>
              <w:rPr>
                <w:rFonts w:hint="eastAsia"/>
                <w:sz w:val="24"/>
                <w:szCs w:val="24"/>
                <w:lang w:eastAsia="zh-CN"/>
              </w:rPr>
              <w:t>本</w:t>
            </w:r>
            <w:r>
              <w:rPr>
                <w:sz w:val="24"/>
                <w:szCs w:val="24"/>
              </w:rPr>
              <w:t>项目选址</w:t>
            </w:r>
            <w:r>
              <w:rPr>
                <w:rFonts w:hint="eastAsia"/>
                <w:sz w:val="24"/>
                <w:szCs w:val="24"/>
                <w:lang w:eastAsia="zh-CN"/>
              </w:rPr>
              <w:t>位</w:t>
            </w:r>
            <w:r>
              <w:rPr>
                <w:sz w:val="24"/>
                <w:szCs w:val="24"/>
              </w:rPr>
              <w:t>于</w:t>
            </w:r>
            <w:r>
              <w:rPr>
                <w:rFonts w:hint="eastAsia"/>
                <w:sz w:val="24"/>
                <w:szCs w:val="24"/>
                <w:lang w:eastAsia="zh-CN"/>
              </w:rPr>
              <w:t>淮北市杜集区东山路202号（淮北众城水泥有限责任公司院内）</w:t>
            </w:r>
            <w:r>
              <w:rPr>
                <w:sz w:val="24"/>
                <w:szCs w:val="24"/>
              </w:rPr>
              <w:t>，</w:t>
            </w:r>
            <w:r>
              <w:rPr>
                <w:rFonts w:hint="eastAsia" w:ascii="Times New Roman" w:hAnsi="Times New Roman" w:eastAsia="宋体" w:cs="宋体"/>
                <w:color w:val="auto"/>
                <w:sz w:val="24"/>
                <w:szCs w:val="24"/>
                <w:lang w:eastAsia="zh-CN"/>
              </w:rPr>
              <w:t>项目所在厂区东侧为淮北市杜集区</w:t>
            </w:r>
            <w:r>
              <w:rPr>
                <w:rFonts w:hint="eastAsia" w:cs="宋体"/>
                <w:color w:val="auto"/>
                <w:sz w:val="24"/>
                <w:szCs w:val="24"/>
                <w:lang w:eastAsia="zh-CN"/>
              </w:rPr>
              <w:t>滂汪工业区</w:t>
            </w:r>
            <w:r>
              <w:rPr>
                <w:rFonts w:hint="eastAsia" w:ascii="Times New Roman" w:hAnsi="Times New Roman" w:eastAsia="宋体" w:cs="宋体"/>
                <w:color w:val="auto"/>
                <w:sz w:val="24"/>
                <w:szCs w:val="24"/>
                <w:lang w:eastAsia="zh-CN"/>
              </w:rPr>
              <w:t>，南侧为</w:t>
            </w:r>
            <w:r>
              <w:rPr>
                <w:rFonts w:hint="eastAsia" w:cs="宋体"/>
                <w:color w:val="auto"/>
                <w:sz w:val="24"/>
                <w:szCs w:val="24"/>
                <w:lang w:eastAsia="zh-CN"/>
              </w:rPr>
              <w:t>空地</w:t>
            </w:r>
            <w:r>
              <w:rPr>
                <w:rFonts w:hint="eastAsia" w:ascii="Times New Roman" w:hAnsi="Times New Roman" w:eastAsia="宋体" w:cs="宋体"/>
                <w:color w:val="auto"/>
                <w:sz w:val="24"/>
                <w:szCs w:val="24"/>
                <w:lang w:eastAsia="zh-CN"/>
              </w:rPr>
              <w:t>，西侧</w:t>
            </w:r>
            <w:r>
              <w:rPr>
                <w:rFonts w:hint="eastAsia" w:cs="宋体"/>
                <w:color w:val="auto"/>
                <w:sz w:val="24"/>
                <w:szCs w:val="24"/>
                <w:lang w:eastAsia="zh-CN"/>
              </w:rPr>
              <w:t>为山坡，北侧为淮北市永固工贸有限责任公司</w:t>
            </w:r>
            <w:r>
              <w:rPr>
                <w:rFonts w:hint="eastAsia" w:ascii="Times New Roman" w:hAnsi="Times New Roman" w:eastAsia="宋体" w:cs="宋体"/>
                <w:color w:val="auto"/>
                <w:sz w:val="24"/>
                <w:szCs w:val="24"/>
                <w:lang w:eastAsia="zh-CN"/>
              </w:rPr>
              <w:t>，详见附图</w:t>
            </w:r>
            <w:r>
              <w:rPr>
                <w:rFonts w:hint="eastAsia" w:cs="宋体"/>
                <w:color w:val="auto"/>
                <w:sz w:val="24"/>
                <w:szCs w:val="24"/>
                <w:lang w:val="en-US" w:eastAsia="zh-CN"/>
              </w:rPr>
              <w:t>3</w:t>
            </w:r>
            <w:r>
              <w:rPr>
                <w:rFonts w:hint="eastAsia" w:ascii="Times New Roman" w:hAnsi="Times New Roman" w:eastAsia="宋体" w:cs="宋体"/>
                <w:color w:val="auto"/>
                <w:sz w:val="24"/>
                <w:szCs w:val="24"/>
                <w:lang w:val="en-US" w:eastAsia="zh-CN"/>
              </w:rPr>
              <w:t>所示</w:t>
            </w:r>
            <w:r>
              <w:rPr>
                <w:rFonts w:hint="eastAsia" w:ascii="Times New Roman" w:hAnsi="Times New Roman" w:eastAsia="宋体" w:cs="宋体"/>
                <w:color w:val="auto"/>
                <w:sz w:val="24"/>
                <w:szCs w:val="24"/>
                <w:lang w:eastAsia="zh-CN"/>
              </w:rPr>
              <w:t>。</w:t>
            </w:r>
            <w:r>
              <w:rPr>
                <w:rFonts w:hint="eastAsia" w:ascii="Times New Roman" w:hAnsi="Times New Roman" w:eastAsia="宋体" w:cs="宋体"/>
                <w:sz w:val="24"/>
                <w:szCs w:val="24"/>
              </w:rPr>
              <w:t>本项目各项污染物在各项处理措施建设实施后，</w:t>
            </w:r>
            <w:r>
              <w:rPr>
                <w:rFonts w:hint="eastAsia" w:cs="宋体"/>
                <w:sz w:val="24"/>
                <w:szCs w:val="24"/>
              </w:rPr>
              <w:t>能够达标排放，周边500m范围内无自然保护区、风景旅游点和文物古迹等需要特殊保护的环境敏感对象</w:t>
            </w:r>
            <w:r>
              <w:rPr>
                <w:rFonts w:hint="eastAsia" w:cs="宋体"/>
                <w:sz w:val="24"/>
                <w:szCs w:val="24"/>
                <w:lang w:eastAsia="zh-CN"/>
              </w:rPr>
              <w:t>，项目区周围无制约本项目发展因素，本项目能够与周边环境相容。</w:t>
            </w:r>
          </w:p>
          <w:p w14:paraId="25AACC8B">
            <w:pPr>
              <w:autoSpaceDE w:val="0"/>
              <w:autoSpaceDN w:val="0"/>
              <w:adjustRightInd w:val="0"/>
              <w:snapToGrid w:val="0"/>
              <w:spacing w:line="360" w:lineRule="auto"/>
              <w:ind w:firstLine="480" w:firstLineChars="200"/>
              <w:jc w:val="both"/>
              <w:rPr>
                <w:sz w:val="24"/>
                <w:szCs w:val="24"/>
              </w:rPr>
            </w:pPr>
            <w:r>
              <w:rPr>
                <w:sz w:val="24"/>
                <w:szCs w:val="24"/>
              </w:rPr>
              <w:t>综上所述，从环境保护角度而言，项目位置符合相关环境功能区划要求，与周边环境兼容，本项目选址可行。</w:t>
            </w:r>
          </w:p>
          <w:p w14:paraId="427B4EA8">
            <w:pPr>
              <w:numPr>
                <w:ilvl w:val="0"/>
                <w:numId w:val="0"/>
              </w:numPr>
              <w:autoSpaceDE w:val="0"/>
              <w:autoSpaceDN w:val="0"/>
              <w:adjustRightInd w:val="0"/>
              <w:snapToGrid w:val="0"/>
              <w:spacing w:line="360" w:lineRule="auto"/>
              <w:ind w:firstLine="482" w:firstLineChars="200"/>
              <w:jc w:val="both"/>
              <w:rPr>
                <w:rFonts w:hint="eastAsia"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bidi="ar-SA"/>
              </w:rPr>
              <w:t>五、</w:t>
            </w:r>
            <w:r>
              <w:rPr>
                <w:rFonts w:hint="eastAsia" w:cs="Times New Roman"/>
                <w:b/>
                <w:bCs/>
                <w:color w:val="auto"/>
                <w:kern w:val="0"/>
                <w:sz w:val="24"/>
                <w:szCs w:val="24"/>
                <w:lang w:val="en-US" w:eastAsia="zh-CN"/>
              </w:rPr>
              <w:t>减污降碳符合性分析</w:t>
            </w:r>
          </w:p>
          <w:p w14:paraId="4D136F47">
            <w:pPr>
              <w:autoSpaceDE w:val="0"/>
              <w:autoSpaceDN w:val="0"/>
              <w:adjustRightInd w:val="0"/>
              <w:snapToGrid w:val="0"/>
              <w:spacing w:line="360" w:lineRule="auto"/>
              <w:ind w:firstLine="480" w:firstLineChars="200"/>
              <w:jc w:val="both"/>
              <w:rPr>
                <w:rFonts w:hint="default" w:cs="宋体"/>
                <w:b w:val="0"/>
                <w:bCs w:val="0"/>
                <w:sz w:val="24"/>
                <w:szCs w:val="24"/>
                <w:lang w:val="en-US" w:eastAsia="zh-CN"/>
              </w:rPr>
            </w:pPr>
            <w:r>
              <w:rPr>
                <w:rFonts w:hint="eastAsia" w:cs="宋体"/>
                <w:b w:val="0"/>
                <w:bCs w:val="0"/>
                <w:sz w:val="24"/>
                <w:szCs w:val="24"/>
                <w:lang w:val="en-US" w:eastAsia="zh-CN"/>
              </w:rPr>
              <w:t>根据《关于加强重点行业建设项目区域削减措施监督管理的通知》（环办环评</w:t>
            </w:r>
            <w:r>
              <w:rPr>
                <w:rFonts w:hint="default" w:ascii="Times New Roman" w:hAnsi="Times New Roman" w:eastAsia="宋体" w:cs="Times New Roman"/>
                <w:b w:val="0"/>
                <w:bCs w:val="0"/>
                <w:color w:val="auto"/>
                <w:kern w:val="0"/>
                <w:sz w:val="24"/>
                <w:szCs w:val="24"/>
                <w:lang w:val="en-US" w:eastAsia="zh-CN" w:bidi="ar"/>
              </w:rPr>
              <w:t>〔202</w:t>
            </w:r>
            <w:r>
              <w:rPr>
                <w:rFonts w:hint="eastAsia" w:cs="Times New Roman"/>
                <w:b w:val="0"/>
                <w:bCs w:val="0"/>
                <w:color w:val="auto"/>
                <w:kern w:val="0"/>
                <w:sz w:val="24"/>
                <w:szCs w:val="24"/>
                <w:lang w:val="en-US" w:eastAsia="zh-CN" w:bidi="ar"/>
              </w:rPr>
              <w:t>0</w:t>
            </w:r>
            <w:r>
              <w:rPr>
                <w:rFonts w:hint="default" w:ascii="Times New Roman" w:hAnsi="Times New Roman" w:eastAsia="宋体" w:cs="Times New Roman"/>
                <w:b w:val="0"/>
                <w:bCs w:val="0"/>
                <w:color w:val="auto"/>
                <w:kern w:val="0"/>
                <w:sz w:val="24"/>
                <w:szCs w:val="24"/>
                <w:lang w:val="en-US" w:eastAsia="zh-CN" w:bidi="ar"/>
              </w:rPr>
              <w:t>〕</w:t>
            </w:r>
            <w:r>
              <w:rPr>
                <w:rFonts w:hint="eastAsia" w:cs="Times New Roman"/>
                <w:b w:val="0"/>
                <w:bCs w:val="0"/>
                <w:color w:val="auto"/>
                <w:kern w:val="0"/>
                <w:sz w:val="24"/>
                <w:szCs w:val="24"/>
                <w:lang w:val="en-US" w:eastAsia="zh-CN" w:bidi="ar"/>
              </w:rPr>
              <w:t>36号</w:t>
            </w:r>
            <w:r>
              <w:rPr>
                <w:rFonts w:hint="eastAsia" w:cs="宋体"/>
                <w:b w:val="0"/>
                <w:bCs w:val="0"/>
                <w:sz w:val="24"/>
                <w:szCs w:val="24"/>
                <w:lang w:val="en-US" w:eastAsia="zh-CN"/>
              </w:rPr>
              <w:t>）要求，“为改善区域环境质量，严格控制重点行业建设项目新增主要污染物排放”，本次协同处置为固体废物治理项目，可提高固体废物无害化处理率。目前水泥厂采用的是新型干法水泥生产技术，依托的窑尾烟气能达标排放，本次协同处置一般固废后降低了用煤量，协同处置的固废和降低用煤均起到减污作用，同时水泥厂内烟气余热综合利用，用于低温发电，起到降碳的作用。</w:t>
            </w:r>
          </w:p>
          <w:p w14:paraId="2B250A78">
            <w:pPr>
              <w:keepNext w:val="0"/>
              <w:keepLines w:val="0"/>
              <w:pageBreakBefore w:val="0"/>
              <w:widowControl w:val="0"/>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z w:val="24"/>
                <w:szCs w:val="24"/>
                <w:shd w:val="clear" w:color="auto" w:fill="FFFFFF"/>
                <w:lang w:eastAsia="zh-CN"/>
              </w:rPr>
            </w:pPr>
            <w:r>
              <w:rPr>
                <w:rFonts w:hint="eastAsia" w:cs="Times New Roman"/>
                <w:b/>
                <w:bCs/>
                <w:color w:val="auto"/>
                <w:sz w:val="24"/>
                <w:szCs w:val="24"/>
                <w:shd w:val="clear" w:color="auto" w:fill="FFFFFF"/>
                <w:lang w:val="en-US" w:eastAsia="zh-CN"/>
              </w:rPr>
              <w:t>六</w:t>
            </w:r>
            <w:r>
              <w:rPr>
                <w:rFonts w:hint="default" w:ascii="Times New Roman" w:hAnsi="Times New Roman" w:cs="Times New Roman"/>
                <w:b/>
                <w:bCs/>
                <w:color w:val="auto"/>
                <w:sz w:val="24"/>
                <w:szCs w:val="24"/>
                <w:shd w:val="clear" w:color="auto" w:fill="FFFFFF"/>
              </w:rPr>
              <w:t>、与环保相关</w:t>
            </w:r>
            <w:r>
              <w:rPr>
                <w:rFonts w:hint="eastAsia" w:cs="Times New Roman"/>
                <w:b/>
                <w:bCs/>
                <w:color w:val="auto"/>
                <w:sz w:val="24"/>
                <w:szCs w:val="24"/>
                <w:shd w:val="clear" w:color="auto" w:fill="FFFFFF"/>
                <w:lang w:eastAsia="zh-CN"/>
              </w:rPr>
              <w:t>法律</w:t>
            </w:r>
            <w:r>
              <w:rPr>
                <w:rFonts w:hint="default" w:ascii="Times New Roman" w:hAnsi="Times New Roman" w:cs="Times New Roman"/>
                <w:b/>
                <w:bCs/>
                <w:color w:val="auto"/>
                <w:sz w:val="24"/>
                <w:szCs w:val="24"/>
                <w:shd w:val="clear" w:color="auto" w:fill="FFFFFF"/>
              </w:rPr>
              <w:t>法规、政策符合性</w:t>
            </w:r>
            <w:r>
              <w:rPr>
                <w:rFonts w:hint="eastAsia" w:cs="Times New Roman"/>
                <w:b/>
                <w:bCs/>
                <w:color w:val="auto"/>
                <w:sz w:val="24"/>
                <w:szCs w:val="24"/>
                <w:shd w:val="clear" w:color="auto" w:fill="FFFFFF"/>
                <w:lang w:eastAsia="zh-CN"/>
              </w:rPr>
              <w:t>分析</w:t>
            </w:r>
          </w:p>
          <w:p w14:paraId="3123537E">
            <w:pPr>
              <w:keepNext w:val="0"/>
              <w:keepLines w:val="0"/>
              <w:pageBreakBefore w:val="0"/>
              <w:widowControl w:val="0"/>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shd w:val="clear" w:color="auto" w:fill="FFFFFF"/>
              </w:rPr>
            </w:pPr>
            <w:r>
              <w:rPr>
                <w:rFonts w:hint="eastAsia" w:cs="Times New Roman"/>
                <w:b/>
                <w:bCs/>
                <w:color w:val="auto"/>
                <w:sz w:val="24"/>
                <w:szCs w:val="24"/>
                <w:shd w:val="clear" w:color="auto" w:fill="FFFFFF"/>
                <w:lang w:val="en-US" w:eastAsia="zh-CN"/>
              </w:rPr>
              <w:t>1、</w:t>
            </w:r>
            <w:r>
              <w:rPr>
                <w:rFonts w:hint="default" w:ascii="Times New Roman" w:hAnsi="Times New Roman" w:eastAsia="宋体" w:cs="Times New Roman"/>
                <w:b/>
                <w:bCs/>
                <w:color w:val="auto"/>
                <w:sz w:val="24"/>
                <w:szCs w:val="24"/>
                <w:shd w:val="clear" w:color="auto" w:fill="FFFFFF"/>
              </w:rPr>
              <w:t>与国务院</w:t>
            </w:r>
            <w:r>
              <w:rPr>
                <w:rFonts w:hint="default" w:ascii="Times New Roman" w:hAnsi="Times New Roman" w:eastAsia="宋体" w:cs="Times New Roman"/>
                <w:b/>
                <w:bCs/>
                <w:color w:val="auto"/>
                <w:sz w:val="24"/>
                <w:szCs w:val="24"/>
                <w:shd w:val="clear" w:color="auto" w:fill="FFFFFF"/>
                <w:lang w:val="en-US" w:eastAsia="zh-CN"/>
              </w:rPr>
              <w:t>关于印发</w:t>
            </w:r>
            <w:r>
              <w:rPr>
                <w:rFonts w:hint="default" w:ascii="Times New Roman" w:hAnsi="Times New Roman" w:eastAsia="宋体" w:cs="Times New Roman"/>
                <w:b/>
                <w:bCs/>
                <w:color w:val="auto"/>
                <w:sz w:val="24"/>
                <w:szCs w:val="24"/>
                <w:shd w:val="clear" w:color="auto" w:fill="FFFFFF"/>
              </w:rPr>
              <w:t>《</w:t>
            </w:r>
            <w:r>
              <w:rPr>
                <w:rFonts w:hint="default" w:ascii="Times New Roman" w:hAnsi="Times New Roman" w:eastAsia="宋体" w:cs="Times New Roman"/>
                <w:b/>
                <w:bCs/>
                <w:color w:val="auto"/>
                <w:sz w:val="24"/>
                <w:szCs w:val="24"/>
                <w:lang w:val="en-US" w:eastAsia="zh-CN"/>
              </w:rPr>
              <w:t>空气质量持续改善行动计划</w:t>
            </w:r>
            <w:r>
              <w:rPr>
                <w:rFonts w:hint="default" w:ascii="Times New Roman" w:hAnsi="Times New Roman" w:eastAsia="宋体" w:cs="Times New Roman"/>
                <w:b/>
                <w:bCs/>
                <w:color w:val="auto"/>
                <w:sz w:val="24"/>
                <w:szCs w:val="24"/>
                <w:shd w:val="clear" w:color="auto" w:fill="FFFFFF"/>
              </w:rPr>
              <w:t>》</w:t>
            </w:r>
            <w:r>
              <w:rPr>
                <w:rFonts w:hint="default" w:ascii="Times New Roman" w:hAnsi="Times New Roman" w:eastAsia="宋体" w:cs="Times New Roman"/>
                <w:b/>
                <w:bCs/>
                <w:color w:val="auto"/>
                <w:sz w:val="24"/>
                <w:szCs w:val="24"/>
                <w:shd w:val="clear" w:color="auto" w:fill="FFFFFF"/>
                <w:lang w:val="en-US" w:eastAsia="zh-CN"/>
              </w:rPr>
              <w:t>的通知</w:t>
            </w:r>
            <w:r>
              <w:rPr>
                <w:rFonts w:hint="eastAsia" w:cs="Times New Roman"/>
                <w:b/>
                <w:bCs/>
                <w:color w:val="auto"/>
                <w:sz w:val="24"/>
                <w:szCs w:val="24"/>
                <w:shd w:val="clear" w:color="auto" w:fill="FFFFFF"/>
                <w:lang w:val="en-US" w:eastAsia="zh-CN"/>
              </w:rPr>
              <w:t>（</w:t>
            </w:r>
            <w:r>
              <w:rPr>
                <w:rFonts w:hint="default" w:ascii="Times New Roman" w:hAnsi="Times New Roman" w:eastAsia="宋体" w:cs="Times New Roman"/>
                <w:b/>
                <w:bCs/>
                <w:color w:val="auto"/>
                <w:kern w:val="0"/>
                <w:sz w:val="24"/>
                <w:szCs w:val="24"/>
                <w:lang w:val="en-US" w:eastAsia="zh-CN" w:bidi="ar"/>
              </w:rPr>
              <w:t>国发〔2023〕24号</w:t>
            </w:r>
            <w:r>
              <w:rPr>
                <w:rFonts w:hint="eastAsia" w:cs="Times New Roman"/>
                <w:b/>
                <w:bCs/>
                <w:color w:val="auto"/>
                <w:sz w:val="24"/>
                <w:szCs w:val="24"/>
                <w:shd w:val="clear" w:color="auto" w:fill="FFFFFF"/>
                <w:lang w:val="en-US" w:eastAsia="zh-CN"/>
              </w:rPr>
              <w:t>）</w:t>
            </w:r>
            <w:r>
              <w:rPr>
                <w:rFonts w:hint="default" w:ascii="Times New Roman" w:hAnsi="Times New Roman" w:eastAsia="宋体" w:cs="Times New Roman"/>
                <w:b/>
                <w:bCs/>
                <w:color w:val="auto"/>
                <w:sz w:val="24"/>
                <w:szCs w:val="24"/>
                <w:shd w:val="clear" w:color="auto" w:fill="FFFFFF"/>
              </w:rPr>
              <w:t>符合性分析</w:t>
            </w:r>
          </w:p>
          <w:p w14:paraId="78E7D3D0">
            <w:pPr>
              <w:autoSpaceDE w:val="0"/>
              <w:autoSpaceDN w:val="0"/>
              <w:adjustRightInd w:val="0"/>
              <w:snapToGrid w:val="0"/>
              <w:jc w:val="center"/>
              <w:rPr>
                <w:rFonts w:hint="default" w:ascii="Times New Roman" w:hAnsi="Times New Roman" w:eastAsia="宋体" w:cs="Times New Roman"/>
                <w:b/>
                <w:bCs/>
                <w:color w:val="auto"/>
                <w:spacing w:val="-6"/>
                <w:kern w:val="0"/>
                <w:sz w:val="21"/>
                <w:szCs w:val="21"/>
                <w:lang w:val="en-US" w:eastAsia="zh-CN"/>
              </w:rPr>
            </w:pPr>
            <w:r>
              <w:rPr>
                <w:rFonts w:hint="default" w:ascii="Times New Roman" w:hAnsi="Times New Roman" w:eastAsia="宋体" w:cs="Times New Roman"/>
                <w:b/>
                <w:bCs/>
                <w:color w:val="auto"/>
                <w:spacing w:val="-6"/>
                <w:kern w:val="0"/>
                <w:sz w:val="21"/>
                <w:szCs w:val="21"/>
                <w:lang w:val="en-US" w:eastAsia="zh-CN"/>
              </w:rPr>
              <w:t>表1-</w:t>
            </w:r>
            <w:r>
              <w:rPr>
                <w:rFonts w:hint="eastAsia" w:cs="Times New Roman"/>
                <w:b/>
                <w:bCs/>
                <w:color w:val="auto"/>
                <w:spacing w:val="-6"/>
                <w:kern w:val="0"/>
                <w:sz w:val="21"/>
                <w:szCs w:val="21"/>
                <w:lang w:val="en-US" w:eastAsia="zh-CN"/>
              </w:rPr>
              <w:t>9</w:t>
            </w:r>
            <w:r>
              <w:rPr>
                <w:rFonts w:hint="default" w:ascii="Times New Roman" w:hAnsi="Times New Roman" w:eastAsia="宋体" w:cs="Times New Roman"/>
                <w:b/>
                <w:bCs/>
                <w:color w:val="auto"/>
                <w:spacing w:val="-6"/>
                <w:kern w:val="0"/>
                <w:sz w:val="21"/>
                <w:szCs w:val="21"/>
                <w:lang w:val="en-US" w:eastAsia="zh-CN"/>
              </w:rPr>
              <w:t xml:space="preserve"> 与《空气质量持续改善行动计划》符合性分析</w:t>
            </w:r>
          </w:p>
          <w:tbl>
            <w:tblPr>
              <w:tblStyle w:val="28"/>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1"/>
              <w:gridCol w:w="2070"/>
              <w:gridCol w:w="877"/>
            </w:tblGrid>
            <w:tr w14:paraId="7C0E2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11" w:type="dxa"/>
                  <w:tcBorders>
                    <w:top w:val="single" w:color="auto" w:sz="4" w:space="0"/>
                    <w:left w:val="single" w:color="auto" w:sz="4" w:space="0"/>
                    <w:bottom w:val="single" w:color="auto" w:sz="4" w:space="0"/>
                    <w:right w:val="single" w:color="auto" w:sz="4" w:space="0"/>
                  </w:tcBorders>
                  <w:noWrap w:val="0"/>
                  <w:vAlign w:val="center"/>
                </w:tcPr>
                <w:p w14:paraId="7F9562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相关要求</w:t>
                  </w:r>
                </w:p>
              </w:tc>
              <w:tc>
                <w:tcPr>
                  <w:tcW w:w="2070" w:type="dxa"/>
                  <w:tcBorders>
                    <w:top w:val="single" w:color="auto" w:sz="4" w:space="0"/>
                    <w:left w:val="single" w:color="auto" w:sz="4" w:space="0"/>
                    <w:bottom w:val="single" w:color="auto" w:sz="4" w:space="0"/>
                    <w:right w:val="single" w:color="auto" w:sz="4" w:space="0"/>
                  </w:tcBorders>
                  <w:noWrap w:val="0"/>
                  <w:vAlign w:val="center"/>
                </w:tcPr>
                <w:p w14:paraId="4DE9BC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本项目情况</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49D9F3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符合性</w:t>
                  </w:r>
                </w:p>
              </w:tc>
            </w:tr>
            <w:tr w14:paraId="39C98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11" w:type="dxa"/>
                  <w:tcBorders>
                    <w:top w:val="single" w:color="auto" w:sz="4" w:space="0"/>
                    <w:left w:val="single" w:color="auto" w:sz="4" w:space="0"/>
                    <w:bottom w:val="single" w:color="auto" w:sz="4" w:space="0"/>
                    <w:right w:val="single" w:color="auto" w:sz="4" w:space="0"/>
                  </w:tcBorders>
                  <w:noWrap w:val="0"/>
                  <w:vAlign w:val="center"/>
                </w:tcPr>
                <w:p w14:paraId="49297F8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四）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p w14:paraId="31A841B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严禁新增钢铁产能。推行钢铁、焦化、烧结一体化布局，大幅减少独立焦化、烧结、球团和热轧企业及工序，淘汰落后煤炭洗选产能；有序引导高炉—转炉长流程炼钢转型为电炉短流程炼钢。到2025年，短流程炼钢产量占比达15%。京津冀及周边地区继续实</w:t>
                  </w:r>
                  <w:r>
                    <w:rPr>
                      <w:rFonts w:hint="eastAsia" w:ascii="宋体" w:hAnsi="宋体" w:eastAsia="宋体" w:cs="宋体"/>
                      <w:color w:val="auto"/>
                      <w:kern w:val="0"/>
                      <w:sz w:val="21"/>
                      <w:szCs w:val="21"/>
                      <w:lang w:val="en-US" w:eastAsia="zh-CN" w:bidi="ar"/>
                    </w:rPr>
                    <w:t>施“以钢定焦”</w:t>
                  </w:r>
                  <w:r>
                    <w:rPr>
                      <w:rFonts w:hint="default" w:ascii="Times New Roman" w:hAnsi="Times New Roman" w:eastAsia="宋体" w:cs="Times New Roman"/>
                      <w:color w:val="auto"/>
                      <w:kern w:val="0"/>
                      <w:sz w:val="21"/>
                      <w:szCs w:val="21"/>
                      <w:lang w:val="en-US" w:eastAsia="zh-CN" w:bidi="ar"/>
                    </w:rPr>
                    <w:t>，炼焦产能与长流程炼钢产能比控制在0.4左右。</w:t>
                  </w:r>
                </w:p>
              </w:tc>
              <w:tc>
                <w:tcPr>
                  <w:tcW w:w="2070" w:type="dxa"/>
                  <w:tcBorders>
                    <w:top w:val="single" w:color="auto" w:sz="4" w:space="0"/>
                    <w:left w:val="single" w:color="auto" w:sz="4" w:space="0"/>
                    <w:bottom w:val="single" w:color="auto" w:sz="4" w:space="0"/>
                    <w:right w:val="single" w:color="auto" w:sz="4" w:space="0"/>
                  </w:tcBorders>
                  <w:noWrap w:val="0"/>
                  <w:vAlign w:val="center"/>
                </w:tcPr>
                <w:p w14:paraId="574F2D4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w:t>
                  </w:r>
                  <w:r>
                    <w:rPr>
                      <w:rFonts w:hint="eastAsia" w:ascii="Times New Roman" w:hAnsi="Times New Roman" w:eastAsia="宋体" w:cs="Times New Roman"/>
                      <w:color w:val="auto"/>
                      <w:sz w:val="21"/>
                      <w:szCs w:val="21"/>
                      <w:lang w:val="en-US" w:eastAsia="zh-CN"/>
                    </w:rPr>
                    <w:t>为</w:t>
                  </w:r>
                  <w:r>
                    <w:rPr>
                      <w:rFonts w:hint="eastAsia" w:cs="Times New Roman"/>
                      <w:color w:val="auto"/>
                      <w:sz w:val="21"/>
                      <w:szCs w:val="21"/>
                      <w:lang w:eastAsia="zh-CN"/>
                    </w:rPr>
                    <w:t>N7723固体废物治理</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lang w:val="en-US" w:eastAsia="zh-CN"/>
                    </w:rPr>
                    <w:t>属于水泥熟料生产线</w:t>
                  </w:r>
                  <w:r>
                    <w:rPr>
                      <w:rFonts w:hint="eastAsia" w:cs="Times New Roman"/>
                      <w:color w:val="auto"/>
                      <w:sz w:val="21"/>
                      <w:szCs w:val="21"/>
                      <w:lang w:val="en-US" w:eastAsia="zh-CN"/>
                    </w:rPr>
                    <w:t>生物质替代燃料节能减排技术改造项目</w:t>
                  </w:r>
                  <w:r>
                    <w:rPr>
                      <w:rFonts w:hint="default" w:ascii="Times New Roman" w:hAnsi="Times New Roman" w:eastAsia="宋体" w:cs="Times New Roman"/>
                      <w:color w:val="auto"/>
                      <w:sz w:val="21"/>
                      <w:szCs w:val="21"/>
                      <w:lang w:val="en-US" w:eastAsia="zh-CN"/>
                    </w:rPr>
                    <w:t>，技改项目实施后厂区内实现节能减排。</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5EC497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E35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11" w:type="dxa"/>
                  <w:tcBorders>
                    <w:top w:val="single" w:color="auto" w:sz="4" w:space="0"/>
                    <w:left w:val="single" w:color="auto" w:sz="4" w:space="0"/>
                    <w:bottom w:val="single" w:color="auto" w:sz="4" w:space="0"/>
                    <w:right w:val="single" w:color="auto" w:sz="4" w:space="0"/>
                  </w:tcBorders>
                  <w:noWrap w:val="0"/>
                  <w:vAlign w:val="center"/>
                </w:tcPr>
                <w:p w14:paraId="0499024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（五）加快退出重点行业落后产能。修订《产业结构调整指导目录》</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研究将污染物或温室气体排放明显高出行业平均水平、能效和清洁生产水平低的工艺和装备纳入淘汰类和限制类名单。重点区域进一步提高落后产能能耗、环保、质量、安全、技术等要求，逐步退出限制类涉气行业工艺和装备；逐步淘汰步进式烧结机和球团竖炉以及半封闭式硅锰合金、镍铁、高碳铬铁、高碳锰铁电炉。引导重点区域钢铁、焦化、电解铝等产业有序调整优化。</w:t>
                  </w:r>
                </w:p>
              </w:tc>
              <w:tc>
                <w:tcPr>
                  <w:tcW w:w="2070" w:type="dxa"/>
                  <w:tcBorders>
                    <w:top w:val="single" w:color="auto" w:sz="4" w:space="0"/>
                    <w:left w:val="single" w:color="auto" w:sz="4" w:space="0"/>
                    <w:bottom w:val="single" w:color="auto" w:sz="4" w:space="0"/>
                    <w:right w:val="single" w:color="auto" w:sz="4" w:space="0"/>
                  </w:tcBorders>
                  <w:noWrap w:val="0"/>
                  <w:vAlign w:val="center"/>
                </w:tcPr>
                <w:p w14:paraId="28D5A15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lang w:val="en-US"/>
                    </w:rPr>
                  </w:pPr>
                  <w:r>
                    <w:rPr>
                      <w:rFonts w:hint="default" w:ascii="Times New Roman" w:hAnsi="Times New Roman" w:eastAsia="宋体" w:cs="Times New Roman"/>
                      <w:color w:val="auto"/>
                      <w:sz w:val="21"/>
                      <w:szCs w:val="21"/>
                      <w:lang w:val="en-US" w:eastAsia="zh-CN"/>
                    </w:rPr>
                    <w:t>本项目为水泥熟料生产线</w:t>
                  </w:r>
                  <w:r>
                    <w:rPr>
                      <w:rFonts w:hint="eastAsia" w:cs="Times New Roman"/>
                      <w:color w:val="auto"/>
                      <w:sz w:val="21"/>
                      <w:szCs w:val="21"/>
                      <w:lang w:val="en-US" w:eastAsia="zh-CN"/>
                    </w:rPr>
                    <w:t>生物质替代燃料节能减排技术改造项目</w:t>
                  </w:r>
                  <w:r>
                    <w:rPr>
                      <w:rFonts w:hint="default" w:ascii="Times New Roman" w:hAnsi="Times New Roman" w:eastAsia="宋体" w:cs="Times New Roman"/>
                      <w:color w:val="auto"/>
                      <w:sz w:val="21"/>
                      <w:szCs w:val="21"/>
                      <w:lang w:val="en-US" w:eastAsia="zh-CN"/>
                    </w:rPr>
                    <w:t>，属于《产业结构调整指导目录》（2024年本）中鼓励类项目，不属于重点行业落后产能</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52B798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773B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11" w:type="dxa"/>
                  <w:tcBorders>
                    <w:top w:val="single" w:color="auto" w:sz="4" w:space="0"/>
                    <w:left w:val="single" w:color="auto" w:sz="4" w:space="0"/>
                    <w:bottom w:val="single" w:color="auto" w:sz="4" w:space="0"/>
                    <w:right w:val="single" w:color="auto" w:sz="4" w:space="0"/>
                  </w:tcBorders>
                  <w:noWrap w:val="0"/>
                  <w:vAlign w:val="center"/>
                </w:tcPr>
                <w:p w14:paraId="21AD434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七）优化含VOCs原辅材料和产品结构。严格控制生产和使用高VOCs含量涂料、油墨、胶粘剂、清洗剂等建设项目，提高低（无）VOCs含量产品比重。实施源头替代工程，加大工业涂装、包装印刷和电子行业低（无）VOCs含量原辅材料替代力度。室外构筑物防护和城市道路交通标志推广使用低（无）VOCs含量涂料。在生产、销售、进口、使用等环节严格执行VOCs含量限值标准。</w:t>
                  </w:r>
                </w:p>
              </w:tc>
              <w:tc>
                <w:tcPr>
                  <w:tcW w:w="2070" w:type="dxa"/>
                  <w:tcBorders>
                    <w:top w:val="single" w:color="auto" w:sz="4" w:space="0"/>
                    <w:left w:val="single" w:color="auto" w:sz="4" w:space="0"/>
                    <w:bottom w:val="single" w:color="auto" w:sz="4" w:space="0"/>
                    <w:right w:val="single" w:color="auto" w:sz="4" w:space="0"/>
                  </w:tcBorders>
                  <w:noWrap w:val="0"/>
                  <w:vAlign w:val="center"/>
                </w:tcPr>
                <w:p w14:paraId="3B735F34">
                  <w:pPr>
                    <w:pStyle w:val="82"/>
                    <w:keepNext w:val="0"/>
                    <w:keepLines w:val="0"/>
                    <w:pageBreakBefore w:val="0"/>
                    <w:kinsoku/>
                    <w:wordWrap/>
                    <w:overflowPunct/>
                    <w:topLinePunct w:val="0"/>
                    <w:autoSpaceDE/>
                    <w:autoSpaceDN/>
                    <w:bidi w:val="0"/>
                    <w:snapToGrid/>
                    <w:spacing w:line="240" w:lineRule="auto"/>
                    <w:jc w:val="both"/>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本项目不涉及</w:t>
                  </w:r>
                  <w:r>
                    <w:rPr>
                      <w:rFonts w:hint="eastAsia" w:ascii="Times New Roman" w:hAnsi="Times New Roman" w:cs="Times New Roman"/>
                      <w:color w:val="auto"/>
                      <w:sz w:val="21"/>
                      <w:szCs w:val="21"/>
                      <w:lang w:val="en-US" w:eastAsia="zh-CN"/>
                    </w:rPr>
                    <w:t>VOCs排放</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32908B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CDD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11" w:type="dxa"/>
                  <w:tcBorders>
                    <w:top w:val="single" w:color="auto" w:sz="4" w:space="0"/>
                    <w:left w:val="single" w:color="auto" w:sz="4" w:space="0"/>
                    <w:bottom w:val="single" w:color="auto" w:sz="4" w:space="0"/>
                    <w:right w:val="single" w:color="auto" w:sz="4" w:space="0"/>
                  </w:tcBorders>
                  <w:noWrap w:val="0"/>
                  <w:vAlign w:val="center"/>
                </w:tcPr>
                <w:p w14:paraId="22F2A59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十）严格合理控制煤炭消费总量。在保障能源安全供应的前提下，重点区域继续实施煤炭消费总量控制。到2025年，京津冀及周边地区、长三角地区煤炭消费量较2020年分别下降10%和5%左右，汾渭平原煤炭消费量实现负增长，重点削减非电力用煤。重点区域新改扩建用煤项目，依法实行煤炭等量或减量替代，替代方案不完善的不予审批；不得将使用石油焦、焦炭、兰炭等高污染燃料作为煤炭减量替代措施。完善重点区域煤炭消费减量替代管理办法，煤矸石、原料用煤不纳入煤炭消费总量考核。原则上不再新增自备燃煤机组，支持自备燃煤机组实施清洁能源替代。对支撑电力稳定供应、电网安全运行、清洁能源大规模并网消纳的煤电项目及其用煤量应予以合理保障。</w:t>
                  </w:r>
                </w:p>
              </w:tc>
              <w:tc>
                <w:tcPr>
                  <w:tcW w:w="2070" w:type="dxa"/>
                  <w:tcBorders>
                    <w:top w:val="single" w:color="auto" w:sz="4" w:space="0"/>
                    <w:left w:val="single" w:color="auto" w:sz="4" w:space="0"/>
                    <w:bottom w:val="single" w:color="auto" w:sz="4" w:space="0"/>
                    <w:right w:val="single" w:color="auto" w:sz="4" w:space="0"/>
                  </w:tcBorders>
                  <w:noWrap w:val="0"/>
                  <w:vAlign w:val="center"/>
                </w:tcPr>
                <w:p w14:paraId="16B635A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本项目属于水泥熟料生产线</w:t>
                  </w:r>
                  <w:r>
                    <w:rPr>
                      <w:rFonts w:hint="eastAsia" w:cs="Times New Roman"/>
                      <w:color w:val="auto"/>
                      <w:sz w:val="21"/>
                      <w:szCs w:val="21"/>
                      <w:lang w:val="en-US" w:eastAsia="zh-CN"/>
                    </w:rPr>
                    <w:t>生物质替代燃料节能减排技术改造项目</w:t>
                  </w:r>
                  <w:r>
                    <w:rPr>
                      <w:rFonts w:hint="default" w:ascii="Times New Roman" w:hAnsi="Times New Roman" w:eastAsia="宋体" w:cs="Times New Roman"/>
                      <w:color w:val="auto"/>
                      <w:sz w:val="21"/>
                      <w:szCs w:val="21"/>
                      <w:lang w:val="en-US" w:eastAsia="zh-CN"/>
                    </w:rPr>
                    <w:t>，不涉及</w:t>
                  </w:r>
                  <w:r>
                    <w:rPr>
                      <w:rFonts w:hint="eastAsia" w:cs="Times New Roman"/>
                      <w:color w:val="auto"/>
                      <w:sz w:val="21"/>
                      <w:szCs w:val="21"/>
                      <w:lang w:val="en-US" w:eastAsia="zh-CN"/>
                    </w:rPr>
                    <w:t>新增</w:t>
                  </w:r>
                  <w:r>
                    <w:rPr>
                      <w:rFonts w:hint="default" w:ascii="Times New Roman" w:hAnsi="Times New Roman" w:eastAsia="宋体" w:cs="Times New Roman"/>
                      <w:color w:val="auto"/>
                      <w:sz w:val="21"/>
                      <w:szCs w:val="21"/>
                      <w:lang w:val="en-US" w:eastAsia="zh-CN"/>
                    </w:rPr>
                    <w:t>煤炭消费</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1BDB59D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符合</w:t>
                  </w:r>
                </w:p>
              </w:tc>
            </w:tr>
            <w:tr w14:paraId="18404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11" w:type="dxa"/>
                  <w:tcBorders>
                    <w:top w:val="single" w:color="auto" w:sz="4" w:space="0"/>
                    <w:left w:val="single" w:color="auto" w:sz="4" w:space="0"/>
                    <w:bottom w:val="single" w:color="auto" w:sz="4" w:space="0"/>
                    <w:right w:val="single" w:color="auto" w:sz="4" w:space="0"/>
                  </w:tcBorders>
                  <w:noWrap w:val="0"/>
                  <w:vAlign w:val="center"/>
                </w:tcPr>
                <w:p w14:paraId="259F162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十一）积极开展燃煤锅炉关停整合。各地要将燃煤供热锅炉替代项目纳入城镇供热规划。县级及以上城市建成区原则上不再新建35蒸吨/小时及以下燃煤锅炉，重点区域原则上不再新建除集中供暖外的燃煤锅炉。加快热力管网建设，依托电厂、大型工业企业开展远距离供热示范，淘汰管网覆盖范围内的燃煤锅炉和散煤。到2025年，PM</w:t>
                  </w:r>
                  <w:r>
                    <w:rPr>
                      <w:rFonts w:hint="default" w:ascii="Times New Roman" w:hAnsi="Times New Roman" w:eastAsia="宋体" w:cs="Times New Roman"/>
                      <w:color w:val="auto"/>
                      <w:kern w:val="0"/>
                      <w:sz w:val="21"/>
                      <w:szCs w:val="21"/>
                      <w:vertAlign w:val="subscript"/>
                      <w:lang w:val="en-US" w:eastAsia="zh-CN" w:bidi="ar"/>
                    </w:rPr>
                    <w:t>2.5</w:t>
                  </w:r>
                  <w:r>
                    <w:rPr>
                      <w:rFonts w:hint="default" w:ascii="Times New Roman" w:hAnsi="Times New Roman" w:eastAsia="宋体" w:cs="Times New Roman"/>
                      <w:color w:val="auto"/>
                      <w:kern w:val="0"/>
                      <w:sz w:val="21"/>
                      <w:szCs w:val="21"/>
                      <w:lang w:val="en-US" w:eastAsia="zh-CN" w:bidi="ar"/>
                    </w:rPr>
                    <w:t>未达标城市基本淘汰10蒸吨/小时及以下燃煤锅炉；重点区域基本淘汰35蒸吨/小时及以下燃煤锅炉及茶水炉、经营性炉灶、储粮烘干设备、农产品加工等燃煤设施，充分发挥30万千瓦及以上热电联产电厂的供热能力，对其供热半径30公里范围内的燃煤锅炉和落后燃煤小热电机组（含自备电厂）进行关停或整合。</w:t>
                  </w:r>
                </w:p>
              </w:tc>
              <w:tc>
                <w:tcPr>
                  <w:tcW w:w="2070" w:type="dxa"/>
                  <w:tcBorders>
                    <w:top w:val="single" w:color="auto" w:sz="4" w:space="0"/>
                    <w:left w:val="single" w:color="auto" w:sz="4" w:space="0"/>
                    <w:bottom w:val="single" w:color="auto" w:sz="4" w:space="0"/>
                    <w:right w:val="single" w:color="auto" w:sz="4" w:space="0"/>
                  </w:tcBorders>
                  <w:noWrap w:val="0"/>
                  <w:vAlign w:val="center"/>
                </w:tcPr>
                <w:p w14:paraId="61EAEF7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w:t>
                  </w:r>
                  <w:r>
                    <w:rPr>
                      <w:rFonts w:hint="default" w:ascii="Times New Roman" w:hAnsi="Times New Roman" w:eastAsia="宋体" w:cs="Times New Roman"/>
                      <w:color w:val="auto"/>
                      <w:sz w:val="21"/>
                      <w:szCs w:val="21"/>
                      <w:lang w:val="en-US" w:eastAsia="zh-CN"/>
                    </w:rPr>
                    <w:t>项目不涉及</w:t>
                  </w:r>
                  <w:r>
                    <w:rPr>
                      <w:rFonts w:hint="eastAsia" w:cs="Times New Roman"/>
                      <w:color w:val="auto"/>
                      <w:sz w:val="21"/>
                      <w:szCs w:val="21"/>
                      <w:lang w:val="en-US" w:eastAsia="zh-CN"/>
                    </w:rPr>
                    <w:t>新建</w:t>
                  </w:r>
                  <w:r>
                    <w:rPr>
                      <w:rFonts w:hint="default" w:ascii="Times New Roman" w:hAnsi="Times New Roman" w:eastAsia="宋体" w:cs="Times New Roman"/>
                      <w:color w:val="auto"/>
                      <w:sz w:val="21"/>
                      <w:szCs w:val="21"/>
                      <w:lang w:val="en-US" w:eastAsia="zh-CN"/>
                    </w:rPr>
                    <w:t>燃煤锅炉</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14BA467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符合</w:t>
                  </w:r>
                </w:p>
              </w:tc>
            </w:tr>
            <w:tr w14:paraId="3729B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11" w:type="dxa"/>
                  <w:tcBorders>
                    <w:top w:val="single" w:color="auto" w:sz="4" w:space="0"/>
                    <w:left w:val="single" w:color="auto" w:sz="4" w:space="0"/>
                    <w:bottom w:val="single" w:color="auto" w:sz="4" w:space="0"/>
                    <w:right w:val="single" w:color="auto" w:sz="4" w:space="0"/>
                  </w:tcBorders>
                  <w:noWrap w:val="0"/>
                  <w:vAlign w:val="center"/>
                </w:tcPr>
                <w:p w14:paraId="750B5DA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十二）实施工业炉窑清洁能源替代。有序推进以电代煤，积极稳妥推进以气代煤。重点区域不再新增燃料类煤气发生炉，新改扩建加热炉、热处理炉、干燥炉、熔化炉原则上采用清洁低碳能源；安全稳妥推进使用高污染燃料的工业炉窑改用工业余热、电能、天然气等；燃料类煤气发生炉实行清洁能源替代，或因地制宜采取园区（集群）集中供气、分散使用方式；逐步淘汰固定床间歇式煤气发生炉。</w:t>
                  </w:r>
                </w:p>
              </w:tc>
              <w:tc>
                <w:tcPr>
                  <w:tcW w:w="2070" w:type="dxa"/>
                  <w:tcBorders>
                    <w:top w:val="single" w:color="auto" w:sz="4" w:space="0"/>
                    <w:left w:val="single" w:color="auto" w:sz="4" w:space="0"/>
                    <w:bottom w:val="single" w:color="auto" w:sz="4" w:space="0"/>
                    <w:right w:val="single" w:color="auto" w:sz="4" w:space="0"/>
                  </w:tcBorders>
                  <w:noWrap w:val="0"/>
                  <w:vAlign w:val="center"/>
                </w:tcPr>
                <w:p w14:paraId="2823DBE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lang w:eastAsia="zh-CN"/>
                    </w:rPr>
                  </w:pPr>
                  <w:r>
                    <w:rPr>
                      <w:rFonts w:hint="eastAsia" w:cs="Times New Roman"/>
                      <w:color w:val="auto"/>
                      <w:kern w:val="0"/>
                      <w:sz w:val="21"/>
                      <w:szCs w:val="21"/>
                      <w:lang w:val="en-US" w:eastAsia="zh-CN" w:bidi="ar"/>
                    </w:rPr>
                    <w:t>本</w:t>
                  </w:r>
                  <w:r>
                    <w:rPr>
                      <w:rFonts w:hint="default" w:ascii="Times New Roman" w:hAnsi="Times New Roman" w:eastAsia="宋体" w:cs="Times New Roman"/>
                      <w:color w:val="auto"/>
                      <w:kern w:val="0"/>
                      <w:sz w:val="21"/>
                      <w:szCs w:val="21"/>
                      <w:lang w:val="en-US" w:eastAsia="zh-CN" w:bidi="ar"/>
                    </w:rPr>
                    <w:t>项目不涉及</w:t>
                  </w:r>
                  <w:r>
                    <w:rPr>
                      <w:rFonts w:hint="eastAsia" w:cs="Times New Roman"/>
                      <w:color w:val="auto"/>
                      <w:kern w:val="0"/>
                      <w:sz w:val="21"/>
                      <w:szCs w:val="21"/>
                      <w:lang w:val="en-US" w:eastAsia="zh-CN" w:bidi="ar"/>
                    </w:rPr>
                    <w:t>新建</w:t>
                  </w:r>
                  <w:r>
                    <w:rPr>
                      <w:rFonts w:hint="default" w:ascii="Times New Roman" w:hAnsi="Times New Roman" w:eastAsia="宋体" w:cs="Times New Roman"/>
                      <w:color w:val="auto"/>
                      <w:kern w:val="0"/>
                      <w:sz w:val="21"/>
                      <w:szCs w:val="21"/>
                      <w:lang w:val="en-US" w:eastAsia="zh-CN" w:bidi="ar"/>
                    </w:rPr>
                    <w:t>工业炉窑</w:t>
                  </w:r>
                </w:p>
              </w:tc>
              <w:tc>
                <w:tcPr>
                  <w:tcW w:w="877" w:type="dxa"/>
                  <w:tcBorders>
                    <w:top w:val="single" w:color="auto" w:sz="4" w:space="0"/>
                    <w:left w:val="single" w:color="auto" w:sz="4" w:space="0"/>
                    <w:bottom w:val="single" w:color="auto" w:sz="4" w:space="0"/>
                    <w:right w:val="single" w:color="auto" w:sz="4" w:space="0"/>
                  </w:tcBorders>
                  <w:noWrap w:val="0"/>
                  <w:vAlign w:val="center"/>
                </w:tcPr>
                <w:p w14:paraId="41FF730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符合</w:t>
                  </w:r>
                </w:p>
              </w:tc>
            </w:tr>
          </w:tbl>
          <w:p w14:paraId="202D22F9">
            <w:pPr>
              <w:widowControl/>
              <w:spacing w:line="360" w:lineRule="auto"/>
              <w:ind w:firstLine="482" w:firstLineChars="200"/>
              <w:rPr>
                <w:rFonts w:hint="default" w:ascii="Times New Roman" w:hAnsi="Times New Roman" w:cs="Times New Roman"/>
                <w:b/>
                <w:bCs/>
                <w:color w:val="auto"/>
                <w:sz w:val="24"/>
                <w:szCs w:val="24"/>
              </w:rPr>
            </w:pPr>
            <w:r>
              <w:rPr>
                <w:rFonts w:hint="eastAsia" w:cs="Times New Roman"/>
                <w:b/>
                <w:bCs/>
                <w:color w:val="auto"/>
                <w:sz w:val="24"/>
                <w:szCs w:val="24"/>
                <w:lang w:val="en-US" w:eastAsia="zh-CN"/>
              </w:rPr>
              <w:t>2、</w:t>
            </w:r>
            <w:r>
              <w:rPr>
                <w:rFonts w:hint="default" w:ascii="Times New Roman" w:hAnsi="Times New Roman" w:cs="Times New Roman"/>
                <w:b/>
                <w:bCs/>
                <w:color w:val="auto"/>
                <w:sz w:val="24"/>
                <w:szCs w:val="24"/>
              </w:rPr>
              <w:t>与国务院关于印发《水污染防治行动计划》的通知（</w:t>
            </w:r>
            <w:r>
              <w:rPr>
                <w:rFonts w:hint="default" w:ascii="Times New Roman" w:hAnsi="Times New Roman" w:eastAsia="宋体" w:cs="Times New Roman"/>
                <w:b/>
                <w:bCs/>
                <w:color w:val="auto"/>
                <w:sz w:val="24"/>
                <w:szCs w:val="24"/>
              </w:rPr>
              <w:t>国发﹝2015〕17号</w:t>
            </w:r>
            <w:r>
              <w:rPr>
                <w:rFonts w:hint="default" w:ascii="Times New Roman" w:hAnsi="Times New Roman" w:cs="Times New Roman"/>
                <w:b/>
                <w:bCs/>
                <w:color w:val="auto"/>
                <w:sz w:val="24"/>
                <w:szCs w:val="24"/>
              </w:rPr>
              <w:t>）</w:t>
            </w:r>
            <w:r>
              <w:rPr>
                <w:rFonts w:hint="eastAsia" w:cs="Times New Roman"/>
                <w:b/>
                <w:bCs/>
                <w:color w:val="auto"/>
                <w:sz w:val="24"/>
                <w:szCs w:val="24"/>
                <w:lang w:eastAsia="zh-CN"/>
              </w:rPr>
              <w:t>符合性</w:t>
            </w:r>
            <w:r>
              <w:rPr>
                <w:rFonts w:hint="default" w:ascii="Times New Roman" w:hAnsi="Times New Roman" w:cs="Times New Roman"/>
                <w:b/>
                <w:bCs/>
                <w:color w:val="auto"/>
                <w:sz w:val="24"/>
                <w:szCs w:val="24"/>
              </w:rPr>
              <w:t>分析</w:t>
            </w:r>
          </w:p>
          <w:p w14:paraId="667372EC">
            <w:pPr>
              <w:autoSpaceDE w:val="0"/>
              <w:autoSpaceDN w:val="0"/>
              <w:adjustRightInd w:val="0"/>
              <w:snapToGrid w:val="0"/>
              <w:jc w:val="center"/>
              <w:rPr>
                <w:rFonts w:hint="default" w:ascii="Times New Roman" w:hAnsi="Times New Roman" w:eastAsia="宋体" w:cs="Times New Roman"/>
                <w:b/>
                <w:bCs/>
                <w:color w:val="auto"/>
                <w:spacing w:val="-6"/>
                <w:kern w:val="0"/>
                <w:sz w:val="21"/>
                <w:szCs w:val="21"/>
                <w:lang w:val="en-US" w:eastAsia="zh-CN"/>
              </w:rPr>
            </w:pPr>
            <w:r>
              <w:rPr>
                <w:rFonts w:hint="default" w:ascii="Times New Roman" w:hAnsi="Times New Roman" w:eastAsia="宋体" w:cs="Times New Roman"/>
                <w:b/>
                <w:bCs/>
                <w:color w:val="auto"/>
                <w:spacing w:val="-6"/>
                <w:kern w:val="0"/>
                <w:sz w:val="21"/>
                <w:szCs w:val="21"/>
                <w:lang w:val="en-US" w:eastAsia="zh-CN"/>
              </w:rPr>
              <w:t>表1-</w:t>
            </w:r>
            <w:r>
              <w:rPr>
                <w:rFonts w:hint="eastAsia" w:cs="Times New Roman"/>
                <w:b/>
                <w:bCs/>
                <w:color w:val="auto"/>
                <w:spacing w:val="-6"/>
                <w:kern w:val="0"/>
                <w:sz w:val="21"/>
                <w:szCs w:val="21"/>
                <w:lang w:val="en-US" w:eastAsia="zh-CN"/>
              </w:rPr>
              <w:t>10</w:t>
            </w:r>
            <w:r>
              <w:rPr>
                <w:rFonts w:hint="default" w:ascii="Times New Roman" w:hAnsi="Times New Roman" w:eastAsia="宋体" w:cs="Times New Roman"/>
                <w:b/>
                <w:bCs/>
                <w:color w:val="auto"/>
                <w:spacing w:val="-6"/>
                <w:kern w:val="0"/>
                <w:sz w:val="21"/>
                <w:szCs w:val="21"/>
                <w:lang w:val="en-US" w:eastAsia="zh-CN"/>
              </w:rPr>
              <w:t xml:space="preserve"> 与《水污染防治行动计划》符合性分析</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3"/>
              <w:gridCol w:w="3301"/>
              <w:gridCol w:w="883"/>
            </w:tblGrid>
            <w:tr w14:paraId="4A95C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43" w:type="dxa"/>
                  <w:vAlign w:val="center"/>
                </w:tcPr>
                <w:p w14:paraId="0DE98F9A">
                  <w:pPr>
                    <w:pStyle w:val="82"/>
                    <w:spacing w:line="240" w:lineRule="auto"/>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相关要求</w:t>
                  </w:r>
                </w:p>
              </w:tc>
              <w:tc>
                <w:tcPr>
                  <w:tcW w:w="3301" w:type="dxa"/>
                  <w:vAlign w:val="center"/>
                </w:tcPr>
                <w:p w14:paraId="7EA14CCF">
                  <w:pPr>
                    <w:pStyle w:val="82"/>
                    <w:spacing w:line="240" w:lineRule="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w:t>
                  </w:r>
                  <w:r>
                    <w:rPr>
                      <w:rFonts w:hint="eastAsia" w:cs="Times New Roman"/>
                      <w:color w:val="auto"/>
                      <w:sz w:val="21"/>
                      <w:szCs w:val="21"/>
                      <w:lang w:val="en-US" w:eastAsia="zh-CN"/>
                    </w:rPr>
                    <w:t>情况</w:t>
                  </w:r>
                </w:p>
              </w:tc>
              <w:tc>
                <w:tcPr>
                  <w:tcW w:w="883" w:type="dxa"/>
                  <w:vAlign w:val="center"/>
                </w:tcPr>
                <w:p w14:paraId="6AF6DE7F">
                  <w:pPr>
                    <w:pStyle w:val="82"/>
                    <w:spacing w:line="240" w:lineRule="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符合性</w:t>
                  </w:r>
                </w:p>
              </w:tc>
            </w:tr>
            <w:tr w14:paraId="2EF98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43" w:type="dxa"/>
                  <w:vAlign w:val="center"/>
                </w:tcPr>
                <w:p w14:paraId="42FFEA6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全部取缔不符合国家产业政策的小型造纸、制革、印染、染料、炼焦、炼硫、炼砷、炼油、电镀、农药等严重污染水环境的生产项目</w:t>
                  </w:r>
                </w:p>
              </w:tc>
              <w:tc>
                <w:tcPr>
                  <w:tcW w:w="3301" w:type="dxa"/>
                  <w:vAlign w:val="center"/>
                </w:tcPr>
                <w:p w14:paraId="47E7378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本项目为</w:t>
                  </w:r>
                  <w:r>
                    <w:rPr>
                      <w:rFonts w:hint="eastAsia" w:ascii="Times New Roman" w:hAnsi="Times New Roman" w:eastAsia="宋体" w:cs="Times New Roman"/>
                      <w:color w:val="auto"/>
                      <w:kern w:val="0"/>
                      <w:sz w:val="21"/>
                      <w:szCs w:val="21"/>
                      <w:lang w:val="en-US" w:eastAsia="zh-CN" w:bidi="ar"/>
                    </w:rPr>
                    <w:t>水泥熟料生产线生物质替代燃料节能减排技术改造项目</w:t>
                  </w:r>
                  <w:r>
                    <w:rPr>
                      <w:rFonts w:hint="default" w:ascii="Times New Roman" w:hAnsi="Times New Roman" w:eastAsia="宋体" w:cs="Times New Roman"/>
                      <w:color w:val="auto"/>
                      <w:kern w:val="0"/>
                      <w:sz w:val="21"/>
                      <w:szCs w:val="21"/>
                      <w:lang w:val="en-US" w:eastAsia="zh-CN" w:bidi="ar"/>
                    </w:rPr>
                    <w:t>，不属于取缔类</w:t>
                  </w:r>
                </w:p>
              </w:tc>
              <w:tc>
                <w:tcPr>
                  <w:tcW w:w="883" w:type="dxa"/>
                  <w:vAlign w:val="center"/>
                </w:tcPr>
                <w:p w14:paraId="6AAD1F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符合</w:t>
                  </w:r>
                </w:p>
              </w:tc>
            </w:tr>
            <w:tr w14:paraId="2AE11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43" w:type="dxa"/>
                  <w:vAlign w:val="center"/>
                </w:tcPr>
                <w:p w14:paraId="6E1D049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专项整治十大重点行业。制定造纸、焦化、氮肥、有色金属、印染、农副食品加工、原料药制造、制革、农药、电镀等行业专项治理方案，实施清洁化改造</w:t>
                  </w:r>
                </w:p>
              </w:tc>
              <w:tc>
                <w:tcPr>
                  <w:tcW w:w="3301" w:type="dxa"/>
                  <w:vAlign w:val="center"/>
                </w:tcPr>
                <w:p w14:paraId="569B256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本项目不属于专项整治重点行业</w:t>
                  </w:r>
                </w:p>
              </w:tc>
              <w:tc>
                <w:tcPr>
                  <w:tcW w:w="883" w:type="dxa"/>
                  <w:vAlign w:val="center"/>
                </w:tcPr>
                <w:p w14:paraId="63CEE6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符合</w:t>
                  </w:r>
                </w:p>
              </w:tc>
            </w:tr>
            <w:tr w14:paraId="6DAE1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43" w:type="dxa"/>
                  <w:vAlign w:val="center"/>
                </w:tcPr>
                <w:p w14:paraId="1C2F0CC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调整产业结构，依法淘汰落后产能；优化空间布局，合理确定发展布局、结构和规模</w:t>
                  </w:r>
                </w:p>
              </w:tc>
              <w:tc>
                <w:tcPr>
                  <w:tcW w:w="3301" w:type="dxa"/>
                  <w:vAlign w:val="center"/>
                </w:tcPr>
                <w:p w14:paraId="728E8C6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本项目属于《产业结构调整指导目录（20</w:t>
                  </w:r>
                  <w:r>
                    <w:rPr>
                      <w:rFonts w:hint="eastAsia" w:ascii="Times New Roman" w:hAnsi="Times New Roman" w:eastAsia="宋体" w:cs="Times New Roman"/>
                      <w:color w:val="auto"/>
                      <w:kern w:val="0"/>
                      <w:sz w:val="21"/>
                      <w:szCs w:val="21"/>
                      <w:lang w:val="en-US" w:eastAsia="zh-CN" w:bidi="ar"/>
                    </w:rPr>
                    <w:t>24年本</w:t>
                  </w:r>
                  <w:r>
                    <w:rPr>
                      <w:rFonts w:hint="default" w:ascii="Times New Roman" w:hAnsi="Times New Roman" w:eastAsia="宋体" w:cs="Times New Roman"/>
                      <w:color w:val="auto"/>
                      <w:kern w:val="0"/>
                      <w:sz w:val="21"/>
                      <w:szCs w:val="21"/>
                      <w:lang w:val="en-US" w:eastAsia="zh-CN" w:bidi="ar"/>
                    </w:rPr>
                    <w:t>）》中</w:t>
                  </w:r>
                  <w:r>
                    <w:rPr>
                      <w:rFonts w:hint="eastAsia" w:ascii="Times New Roman" w:hAnsi="Times New Roman" w:eastAsia="宋体" w:cs="Times New Roman"/>
                      <w:color w:val="auto"/>
                      <w:kern w:val="0"/>
                      <w:sz w:val="21"/>
                      <w:szCs w:val="21"/>
                      <w:lang w:val="en-US" w:eastAsia="zh-CN" w:bidi="ar"/>
                    </w:rPr>
                    <w:t>鼓励</w:t>
                  </w:r>
                  <w:r>
                    <w:rPr>
                      <w:rFonts w:hint="default" w:ascii="Times New Roman" w:hAnsi="Times New Roman" w:eastAsia="宋体" w:cs="Times New Roman"/>
                      <w:color w:val="auto"/>
                      <w:kern w:val="0"/>
                      <w:sz w:val="21"/>
                      <w:szCs w:val="21"/>
                      <w:lang w:val="en-US" w:eastAsia="zh-CN" w:bidi="ar"/>
                    </w:rPr>
                    <w:t>类项目</w:t>
                  </w:r>
                </w:p>
              </w:tc>
              <w:tc>
                <w:tcPr>
                  <w:tcW w:w="883" w:type="dxa"/>
                  <w:vAlign w:val="center"/>
                </w:tcPr>
                <w:p w14:paraId="225FE6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符合</w:t>
                  </w:r>
                </w:p>
              </w:tc>
            </w:tr>
          </w:tbl>
          <w:p w14:paraId="279AE71C">
            <w:pPr>
              <w:widowControl/>
              <w:spacing w:line="360" w:lineRule="auto"/>
              <w:ind w:firstLine="482" w:firstLineChars="200"/>
              <w:jc w:val="left"/>
              <w:rPr>
                <w:rFonts w:hint="default" w:ascii="Times New Roman" w:hAnsi="Times New Roman" w:eastAsia="宋体" w:cs="Times New Roman"/>
                <w:color w:val="auto"/>
                <w:sz w:val="24"/>
                <w:szCs w:val="24"/>
                <w:lang w:eastAsia="zh-CN"/>
              </w:rPr>
            </w:pPr>
            <w:r>
              <w:rPr>
                <w:rFonts w:hint="eastAsia" w:cs="Times New Roman"/>
                <w:b/>
                <w:bCs/>
                <w:color w:val="auto"/>
                <w:kern w:val="0"/>
                <w:sz w:val="24"/>
                <w:szCs w:val="24"/>
                <w:lang w:val="en-US" w:eastAsia="zh-CN"/>
              </w:rPr>
              <w:t>3、</w:t>
            </w:r>
            <w:r>
              <w:rPr>
                <w:rFonts w:hint="default" w:ascii="Times New Roman" w:hAnsi="Times New Roman" w:cs="Times New Roman"/>
                <w:b/>
                <w:bCs/>
                <w:color w:val="auto"/>
                <w:kern w:val="0"/>
                <w:sz w:val="24"/>
                <w:szCs w:val="24"/>
              </w:rPr>
              <w:t>与《淮北市生态环境保</w:t>
            </w:r>
            <w:r>
              <w:rPr>
                <w:rFonts w:hint="eastAsia" w:ascii="宋体" w:hAnsi="宋体" w:eastAsia="宋体" w:cs="宋体"/>
                <w:b/>
                <w:bCs/>
                <w:color w:val="auto"/>
                <w:kern w:val="0"/>
                <w:sz w:val="24"/>
                <w:szCs w:val="24"/>
              </w:rPr>
              <w:t>护“十四五”规</w:t>
            </w:r>
            <w:r>
              <w:rPr>
                <w:rFonts w:hint="default" w:ascii="Times New Roman" w:hAnsi="Times New Roman" w:cs="Times New Roman"/>
                <w:b/>
                <w:bCs/>
                <w:color w:val="auto"/>
                <w:kern w:val="0"/>
                <w:sz w:val="24"/>
                <w:szCs w:val="24"/>
              </w:rPr>
              <w:t>划》的</w:t>
            </w:r>
            <w:r>
              <w:rPr>
                <w:rFonts w:hint="eastAsia" w:cs="Times New Roman"/>
                <w:b/>
                <w:bCs/>
                <w:color w:val="auto"/>
                <w:kern w:val="0"/>
                <w:sz w:val="24"/>
                <w:szCs w:val="24"/>
                <w:lang w:eastAsia="zh-CN"/>
              </w:rPr>
              <w:t>符合性</w:t>
            </w:r>
            <w:r>
              <w:rPr>
                <w:rFonts w:hint="default" w:ascii="Times New Roman" w:hAnsi="Times New Roman" w:cs="Times New Roman"/>
                <w:b/>
                <w:bCs/>
                <w:color w:val="auto"/>
                <w:kern w:val="0"/>
                <w:sz w:val="24"/>
                <w:szCs w:val="24"/>
              </w:rPr>
              <w:t>分析</w:t>
            </w:r>
          </w:p>
          <w:p w14:paraId="16A3F708">
            <w:pPr>
              <w:autoSpaceDE w:val="0"/>
              <w:autoSpaceDN w:val="0"/>
              <w:adjustRightInd w:val="0"/>
              <w:snapToGrid w:val="0"/>
              <w:jc w:val="center"/>
              <w:rPr>
                <w:rFonts w:hint="default" w:ascii="Times New Roman" w:hAnsi="Times New Roman" w:eastAsia="宋体" w:cs="Times New Roman"/>
                <w:b/>
                <w:bCs/>
                <w:color w:val="auto"/>
                <w:spacing w:val="-6"/>
                <w:kern w:val="0"/>
                <w:sz w:val="21"/>
                <w:szCs w:val="21"/>
                <w:lang w:val="en-US" w:eastAsia="zh-CN"/>
              </w:rPr>
            </w:pPr>
            <w:r>
              <w:rPr>
                <w:rFonts w:hint="default" w:ascii="Times New Roman" w:hAnsi="Times New Roman" w:eastAsia="宋体" w:cs="Times New Roman"/>
                <w:b/>
                <w:bCs/>
                <w:color w:val="auto"/>
                <w:spacing w:val="-6"/>
                <w:kern w:val="0"/>
                <w:sz w:val="21"/>
                <w:szCs w:val="21"/>
                <w:lang w:val="en-US" w:eastAsia="zh-CN"/>
              </w:rPr>
              <w:t>表1-</w:t>
            </w:r>
            <w:r>
              <w:rPr>
                <w:rFonts w:hint="eastAsia" w:cs="Times New Roman"/>
                <w:b/>
                <w:bCs/>
                <w:color w:val="auto"/>
                <w:spacing w:val="-6"/>
                <w:kern w:val="0"/>
                <w:sz w:val="21"/>
                <w:szCs w:val="21"/>
                <w:lang w:val="en-US" w:eastAsia="zh-CN"/>
              </w:rPr>
              <w:t>11</w:t>
            </w:r>
            <w:r>
              <w:rPr>
                <w:rFonts w:hint="default" w:ascii="Times New Roman" w:hAnsi="Times New Roman" w:eastAsia="宋体" w:cs="Times New Roman"/>
                <w:b/>
                <w:bCs/>
                <w:color w:val="auto"/>
                <w:spacing w:val="-6"/>
                <w:kern w:val="0"/>
                <w:sz w:val="21"/>
                <w:szCs w:val="21"/>
                <w:lang w:val="en-US" w:eastAsia="zh-CN"/>
              </w:rPr>
              <w:t xml:space="preserve"> 与《淮北市生态环</w:t>
            </w:r>
            <w:r>
              <w:rPr>
                <w:rFonts w:hint="eastAsia" w:ascii="宋体" w:hAnsi="宋体" w:eastAsia="宋体" w:cs="宋体"/>
                <w:b/>
                <w:bCs/>
                <w:color w:val="auto"/>
                <w:spacing w:val="-6"/>
                <w:kern w:val="0"/>
                <w:sz w:val="21"/>
                <w:szCs w:val="21"/>
                <w:lang w:val="en-US" w:eastAsia="zh-CN"/>
              </w:rPr>
              <w:t>境保护“十四五”规</w:t>
            </w:r>
            <w:r>
              <w:rPr>
                <w:rFonts w:hint="default" w:ascii="Times New Roman" w:hAnsi="Times New Roman" w:eastAsia="宋体" w:cs="Times New Roman"/>
                <w:b/>
                <w:bCs/>
                <w:color w:val="auto"/>
                <w:spacing w:val="-6"/>
                <w:kern w:val="0"/>
                <w:sz w:val="21"/>
                <w:szCs w:val="21"/>
                <w:lang w:val="en-US" w:eastAsia="zh-CN"/>
              </w:rPr>
              <w:t>划》</w:t>
            </w:r>
            <w:r>
              <w:rPr>
                <w:rFonts w:hint="eastAsia" w:cs="Times New Roman"/>
                <w:b/>
                <w:bCs/>
                <w:color w:val="auto"/>
                <w:spacing w:val="-6"/>
                <w:kern w:val="0"/>
                <w:sz w:val="21"/>
                <w:szCs w:val="21"/>
                <w:lang w:val="en-US" w:eastAsia="zh-CN"/>
              </w:rPr>
              <w:t>符合性</w:t>
            </w:r>
            <w:r>
              <w:rPr>
                <w:rFonts w:hint="default" w:ascii="Times New Roman" w:hAnsi="Times New Roman" w:eastAsia="宋体" w:cs="Times New Roman"/>
                <w:b/>
                <w:bCs/>
                <w:color w:val="auto"/>
                <w:spacing w:val="-6"/>
                <w:kern w:val="0"/>
                <w:sz w:val="21"/>
                <w:szCs w:val="21"/>
                <w:lang w:val="en-US" w:eastAsia="zh-CN"/>
              </w:rPr>
              <w:t>分析</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8"/>
              <w:gridCol w:w="2340"/>
              <w:gridCol w:w="869"/>
            </w:tblGrid>
            <w:tr w14:paraId="7559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18" w:type="dxa"/>
                  <w:tcBorders>
                    <w:top w:val="single" w:color="auto" w:sz="4" w:space="0"/>
                    <w:left w:val="single" w:color="auto" w:sz="4" w:space="0"/>
                    <w:bottom w:val="single" w:color="auto" w:sz="4" w:space="0"/>
                    <w:right w:val="single" w:color="auto" w:sz="4" w:space="0"/>
                  </w:tcBorders>
                  <w:vAlign w:val="center"/>
                </w:tcPr>
                <w:p w14:paraId="6C55C1AE">
                  <w:pPr>
                    <w:pStyle w:val="82"/>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相关要求</w:t>
                  </w:r>
                </w:p>
              </w:tc>
              <w:tc>
                <w:tcPr>
                  <w:tcW w:w="2340" w:type="dxa"/>
                  <w:tcBorders>
                    <w:top w:val="single" w:color="auto" w:sz="4" w:space="0"/>
                    <w:left w:val="single" w:color="auto" w:sz="4" w:space="0"/>
                    <w:bottom w:val="single" w:color="auto" w:sz="4" w:space="0"/>
                    <w:right w:val="single" w:color="auto" w:sz="4" w:space="0"/>
                  </w:tcBorders>
                  <w:vAlign w:val="center"/>
                </w:tcPr>
                <w:p w14:paraId="216F3220">
                  <w:pPr>
                    <w:pStyle w:val="82"/>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本项目情况</w:t>
                  </w:r>
                </w:p>
              </w:tc>
              <w:tc>
                <w:tcPr>
                  <w:tcW w:w="869" w:type="dxa"/>
                  <w:tcBorders>
                    <w:top w:val="single" w:color="auto" w:sz="4" w:space="0"/>
                    <w:left w:val="single" w:color="auto" w:sz="4" w:space="0"/>
                    <w:bottom w:val="single" w:color="auto" w:sz="4" w:space="0"/>
                    <w:right w:val="single" w:color="auto" w:sz="4" w:space="0"/>
                  </w:tcBorders>
                  <w:vAlign w:val="center"/>
                </w:tcPr>
                <w:p w14:paraId="3BEDD0C4">
                  <w:pPr>
                    <w:pStyle w:val="82"/>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符合性</w:t>
                  </w:r>
                </w:p>
              </w:tc>
            </w:tr>
            <w:tr w14:paraId="51684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18" w:type="dxa"/>
                  <w:tcBorders>
                    <w:top w:val="single" w:color="auto" w:sz="4" w:space="0"/>
                    <w:left w:val="single" w:color="auto" w:sz="4" w:space="0"/>
                    <w:bottom w:val="single" w:color="auto" w:sz="4" w:space="0"/>
                    <w:right w:val="single" w:color="auto" w:sz="4" w:space="0"/>
                  </w:tcBorders>
                  <w:vAlign w:val="center"/>
                </w:tcPr>
                <w:p w14:paraId="4887B50E">
                  <w:pPr>
                    <w:keepNext w:val="0"/>
                    <w:keepLines w:val="0"/>
                    <w:pageBreakBefore w:val="0"/>
                    <w:widowControl/>
                    <w:kinsoku/>
                    <w:wordWrap/>
                    <w:overflowPunct/>
                    <w:topLinePunct w:val="0"/>
                    <w:autoSpaceDE/>
                    <w:autoSpaceDN/>
                    <w:bidi w:val="0"/>
                    <w:snapToGrid/>
                    <w:spacing w:line="240" w:lineRule="auto"/>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坚决控制煤炭消费总量。持续强化煤炭消费总量与强度双控制度，严格控制新增煤耗项目，新、改、扩建项目实施煤炭减量或等量替代，推动煤炭消费指标向优质高效项目倾斜。到2025年，严格控制全市煤炭消费总量在省下达目标之内。</w:t>
                  </w:r>
                </w:p>
              </w:tc>
              <w:tc>
                <w:tcPr>
                  <w:tcW w:w="2340" w:type="dxa"/>
                  <w:tcBorders>
                    <w:top w:val="single" w:color="auto" w:sz="4" w:space="0"/>
                    <w:left w:val="single" w:color="auto" w:sz="4" w:space="0"/>
                    <w:bottom w:val="single" w:color="auto" w:sz="4" w:space="0"/>
                    <w:right w:val="single" w:color="auto" w:sz="4" w:space="0"/>
                  </w:tcBorders>
                  <w:vAlign w:val="center"/>
                </w:tcPr>
                <w:p w14:paraId="428D8902">
                  <w:pPr>
                    <w:pStyle w:val="82"/>
                    <w:keepNext w:val="0"/>
                    <w:keepLines w:val="0"/>
                    <w:pageBreakBefore w:val="0"/>
                    <w:widowControl/>
                    <w:kinsoku/>
                    <w:wordWrap/>
                    <w:overflowPunct/>
                    <w:topLinePunct w:val="0"/>
                    <w:autoSpaceDE/>
                    <w:autoSpaceDN/>
                    <w:bidi w:val="0"/>
                    <w:snapToGrid/>
                    <w:spacing w:line="240" w:lineRule="auto"/>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rPr>
                    <w:t>本项目属于水泥熟料生产线</w:t>
                  </w:r>
                  <w:r>
                    <w:rPr>
                      <w:rFonts w:hint="eastAsia" w:cs="Times New Roman"/>
                      <w:color w:val="auto"/>
                      <w:sz w:val="21"/>
                      <w:szCs w:val="21"/>
                      <w:lang w:val="en-US" w:eastAsia="zh-CN"/>
                    </w:rPr>
                    <w:t>生物质替代燃料节能减排技术改造项目</w:t>
                  </w:r>
                  <w:r>
                    <w:rPr>
                      <w:rFonts w:hint="default" w:ascii="Times New Roman" w:hAnsi="Times New Roman" w:eastAsia="宋体" w:cs="Times New Roman"/>
                      <w:color w:val="auto"/>
                      <w:sz w:val="21"/>
                      <w:szCs w:val="21"/>
                      <w:lang w:val="en-US"/>
                    </w:rPr>
                    <w:t>，无</w:t>
                  </w:r>
                  <w:r>
                    <w:rPr>
                      <w:rFonts w:hint="eastAsia" w:cs="Times New Roman"/>
                      <w:color w:val="auto"/>
                      <w:sz w:val="21"/>
                      <w:szCs w:val="21"/>
                      <w:lang w:val="en-US" w:eastAsia="zh-CN"/>
                    </w:rPr>
                    <w:t>新增</w:t>
                  </w:r>
                  <w:r>
                    <w:rPr>
                      <w:rFonts w:hint="default" w:ascii="Times New Roman" w:hAnsi="Times New Roman" w:eastAsia="宋体" w:cs="Times New Roman"/>
                      <w:color w:val="auto"/>
                      <w:sz w:val="21"/>
                      <w:szCs w:val="21"/>
                      <w:lang w:val="en-US"/>
                    </w:rPr>
                    <w:t>煤炭消耗</w:t>
                  </w:r>
                </w:p>
              </w:tc>
              <w:tc>
                <w:tcPr>
                  <w:tcW w:w="869" w:type="dxa"/>
                  <w:tcBorders>
                    <w:top w:val="single" w:color="auto" w:sz="4" w:space="0"/>
                    <w:left w:val="single" w:color="auto" w:sz="4" w:space="0"/>
                    <w:bottom w:val="single" w:color="auto" w:sz="4" w:space="0"/>
                    <w:right w:val="single" w:color="auto" w:sz="4" w:space="0"/>
                  </w:tcBorders>
                  <w:vAlign w:val="center"/>
                </w:tcPr>
                <w:p w14:paraId="7DAE3553">
                  <w:pPr>
                    <w:pStyle w:val="82"/>
                    <w:keepNext w:val="0"/>
                    <w:keepLines w:val="0"/>
                    <w:pageBreakBefore w:val="0"/>
                    <w:widowControl/>
                    <w:kinsoku/>
                    <w:wordWrap/>
                    <w:overflowPunct/>
                    <w:topLinePunct w:val="0"/>
                    <w:autoSpaceDE/>
                    <w:autoSpaceDN/>
                    <w:bidi w:val="0"/>
                    <w:snapToGrid/>
                    <w:spacing w:line="240" w:lineRule="auto"/>
                    <w:rPr>
                      <w:rFonts w:hint="default" w:ascii="Times New Roman" w:hAnsi="Times New Roman" w:eastAsia="宋体" w:cs="Times New Roman"/>
                      <w:color w:val="auto"/>
                      <w:kern w:val="0"/>
                      <w:sz w:val="21"/>
                      <w:szCs w:val="21"/>
                      <w:lang w:val="en-GB" w:eastAsia="zh-CN" w:bidi="ar-SA"/>
                    </w:rPr>
                  </w:pPr>
                  <w:r>
                    <w:rPr>
                      <w:rFonts w:hint="default" w:ascii="Times New Roman" w:hAnsi="Times New Roman" w:eastAsia="宋体" w:cs="Times New Roman"/>
                      <w:color w:val="auto"/>
                      <w:sz w:val="21"/>
                      <w:szCs w:val="21"/>
                    </w:rPr>
                    <w:t>符合</w:t>
                  </w:r>
                </w:p>
              </w:tc>
            </w:tr>
            <w:tr w14:paraId="7C987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18" w:type="dxa"/>
                  <w:tcBorders>
                    <w:top w:val="single" w:color="auto" w:sz="4" w:space="0"/>
                    <w:left w:val="single" w:color="auto" w:sz="4" w:space="0"/>
                    <w:bottom w:val="single" w:color="auto" w:sz="4" w:space="0"/>
                    <w:right w:val="single" w:color="auto" w:sz="4" w:space="0"/>
                  </w:tcBorders>
                  <w:vAlign w:val="center"/>
                </w:tcPr>
                <w:p w14:paraId="36774FC0">
                  <w:pPr>
                    <w:keepNext w:val="0"/>
                    <w:keepLines w:val="0"/>
                    <w:pageBreakBefore w:val="0"/>
                    <w:widowControl/>
                    <w:kinsoku/>
                    <w:wordWrap/>
                    <w:overflowPunct/>
                    <w:topLinePunct w:val="0"/>
                    <w:autoSpaceDE/>
                    <w:autoSpaceDN/>
                    <w:bidi w:val="0"/>
                    <w:snapToGrid/>
                    <w:spacing w:line="240" w:lineRule="auto"/>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强化面源污染治理。加强施工扬尘综合治理，严</w:t>
                  </w:r>
                  <w:r>
                    <w:rPr>
                      <w:rFonts w:hint="eastAsia" w:ascii="宋体" w:hAnsi="宋体" w:eastAsia="宋体" w:cs="宋体"/>
                      <w:b w:val="0"/>
                      <w:bCs w:val="0"/>
                      <w:color w:val="auto"/>
                      <w:sz w:val="21"/>
                      <w:szCs w:val="21"/>
                    </w:rPr>
                    <w:t>格落实“六个百分之百”扬</w:t>
                  </w:r>
                  <w:r>
                    <w:rPr>
                      <w:rFonts w:hint="default" w:ascii="Times New Roman" w:hAnsi="Times New Roman" w:eastAsia="宋体" w:cs="Times New Roman"/>
                      <w:b w:val="0"/>
                      <w:bCs w:val="0"/>
                      <w:color w:val="auto"/>
                      <w:sz w:val="21"/>
                      <w:szCs w:val="21"/>
                    </w:rPr>
                    <w:t>尘防控长效机制，督促建设单位和施工单位落实施工工地扬尘管控责任，将施工工地扬尘治理与施工企业资质评价、信用评价等挂钩，构建过程全覆盖、管理全方位、责任全链条的建筑施工扬尘治理体系，提高建筑施工标准化水平。鼓励道路、水务等线性工程进行分段施工。强化道路扬尘监控与治理，加强道路洒水、雾炮等抑尘作业，提高道路机械化清扫率，城市出入口、城乡结合部及城市周边重要干线公路路段全部实现机械化清扫。深化堆场扬尘治理，按</w:t>
                  </w:r>
                  <w:r>
                    <w:rPr>
                      <w:rFonts w:hint="eastAsia" w:ascii="宋体" w:hAnsi="宋体" w:eastAsia="宋体" w:cs="宋体"/>
                      <w:b w:val="0"/>
                      <w:bCs w:val="0"/>
                      <w:color w:val="auto"/>
                      <w:sz w:val="21"/>
                      <w:szCs w:val="21"/>
                    </w:rPr>
                    <w:t>照“空中防扬散、地面防流失、底下防渗漏”的标</w:t>
                  </w:r>
                  <w:r>
                    <w:rPr>
                      <w:rFonts w:hint="default" w:ascii="Times New Roman" w:hAnsi="Times New Roman" w:eastAsia="宋体" w:cs="Times New Roman"/>
                      <w:b w:val="0"/>
                      <w:bCs w:val="0"/>
                      <w:color w:val="auto"/>
                      <w:sz w:val="21"/>
                      <w:szCs w:val="21"/>
                    </w:rPr>
                    <w:t>准控制工业企业堆场料场扬尘污染。</w:t>
                  </w:r>
                </w:p>
              </w:tc>
              <w:tc>
                <w:tcPr>
                  <w:tcW w:w="2340" w:type="dxa"/>
                  <w:tcBorders>
                    <w:top w:val="single" w:color="auto" w:sz="4" w:space="0"/>
                    <w:left w:val="single" w:color="auto" w:sz="4" w:space="0"/>
                    <w:bottom w:val="single" w:color="auto" w:sz="4" w:space="0"/>
                    <w:right w:val="single" w:color="auto" w:sz="4" w:space="0"/>
                  </w:tcBorders>
                  <w:vAlign w:val="center"/>
                </w:tcPr>
                <w:p w14:paraId="410DB448">
                  <w:pPr>
                    <w:pStyle w:val="82"/>
                    <w:keepNext w:val="0"/>
                    <w:keepLines w:val="0"/>
                    <w:pageBreakBefore w:val="0"/>
                    <w:widowControl/>
                    <w:kinsoku/>
                    <w:wordWrap/>
                    <w:overflowPunct/>
                    <w:topLinePunct w:val="0"/>
                    <w:autoSpaceDE/>
                    <w:autoSpaceDN/>
                    <w:bidi w:val="0"/>
                    <w:snapToGrid/>
                    <w:spacing w:line="240" w:lineRule="auto"/>
                    <w:jc w:val="both"/>
                    <w:rPr>
                      <w:rFonts w:hint="default" w:ascii="Times New Roman" w:hAnsi="Times New Roman" w:eastAsia="宋体" w:cs="Times New Roman"/>
                      <w:color w:val="auto"/>
                      <w:kern w:val="0"/>
                      <w:sz w:val="21"/>
                      <w:szCs w:val="21"/>
                      <w:highlight w:val="yellow"/>
                      <w:lang w:val="en-US" w:eastAsia="zh-CN" w:bidi="ar-SA"/>
                    </w:rPr>
                  </w:pPr>
                  <w:r>
                    <w:rPr>
                      <w:rFonts w:hint="default" w:ascii="Times New Roman" w:hAnsi="Times New Roman" w:eastAsia="宋体" w:cs="Times New Roman"/>
                      <w:color w:val="auto"/>
                      <w:sz w:val="21"/>
                      <w:szCs w:val="21"/>
                    </w:rPr>
                    <w:t>本项目</w:t>
                  </w:r>
                  <w:r>
                    <w:rPr>
                      <w:rFonts w:hint="eastAsia" w:ascii="Times New Roman" w:hAnsi="Times New Roman" w:eastAsia="宋体" w:cs="Times New Roman"/>
                      <w:color w:val="auto"/>
                      <w:sz w:val="21"/>
                      <w:szCs w:val="21"/>
                      <w:lang w:val="en-US" w:eastAsia="zh-CN"/>
                    </w:rPr>
                    <w:t>施工期严格落</w:t>
                  </w:r>
                  <w:r>
                    <w:rPr>
                      <w:rFonts w:hint="eastAsia" w:ascii="宋体" w:hAnsi="宋体" w:eastAsia="宋体" w:cs="宋体"/>
                      <w:color w:val="auto"/>
                      <w:sz w:val="21"/>
                      <w:szCs w:val="21"/>
                      <w:lang w:val="en-US" w:eastAsia="zh-CN"/>
                    </w:rPr>
                    <w:t>实</w:t>
                  </w:r>
                  <w:r>
                    <w:rPr>
                      <w:rFonts w:hint="eastAsia" w:ascii="宋体" w:hAnsi="宋体" w:eastAsia="宋体" w:cs="宋体"/>
                      <w:color w:val="auto"/>
                      <w:sz w:val="21"/>
                      <w:szCs w:val="21"/>
                    </w:rPr>
                    <w:t>“六个百分之百”</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扬尘影响较小，工期较短</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rPr>
                    <w:t>对周边环境影响较小</w:t>
                  </w:r>
                </w:p>
              </w:tc>
              <w:tc>
                <w:tcPr>
                  <w:tcW w:w="869" w:type="dxa"/>
                  <w:tcBorders>
                    <w:top w:val="single" w:color="auto" w:sz="4" w:space="0"/>
                    <w:left w:val="single" w:color="auto" w:sz="4" w:space="0"/>
                    <w:bottom w:val="single" w:color="auto" w:sz="4" w:space="0"/>
                    <w:right w:val="single" w:color="auto" w:sz="4" w:space="0"/>
                  </w:tcBorders>
                  <w:vAlign w:val="center"/>
                </w:tcPr>
                <w:p w14:paraId="21F98796">
                  <w:pPr>
                    <w:pStyle w:val="82"/>
                    <w:keepNext w:val="0"/>
                    <w:keepLines w:val="0"/>
                    <w:pageBreakBefore w:val="0"/>
                    <w:widowControl/>
                    <w:kinsoku/>
                    <w:wordWrap/>
                    <w:overflowPunct/>
                    <w:topLinePunct w:val="0"/>
                    <w:autoSpaceDE/>
                    <w:autoSpaceDN/>
                    <w:bidi w:val="0"/>
                    <w:snapToGrid/>
                    <w:spacing w:line="240" w:lineRule="auto"/>
                    <w:rPr>
                      <w:rFonts w:hint="default" w:ascii="Times New Roman" w:hAnsi="Times New Roman" w:eastAsia="宋体" w:cs="Times New Roman"/>
                      <w:color w:val="auto"/>
                      <w:kern w:val="0"/>
                      <w:sz w:val="21"/>
                      <w:szCs w:val="21"/>
                      <w:highlight w:val="yellow"/>
                      <w:lang w:val="en-US" w:eastAsia="zh-CN" w:bidi="ar-SA"/>
                    </w:rPr>
                  </w:pPr>
                  <w:r>
                    <w:rPr>
                      <w:rFonts w:hint="default" w:ascii="Times New Roman" w:hAnsi="Times New Roman" w:eastAsia="宋体" w:cs="Times New Roman"/>
                      <w:color w:val="auto"/>
                      <w:sz w:val="21"/>
                      <w:szCs w:val="21"/>
                      <w:lang w:val="en-US"/>
                    </w:rPr>
                    <w:t>符合</w:t>
                  </w:r>
                </w:p>
              </w:tc>
            </w:tr>
            <w:tr w14:paraId="61E89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18" w:type="dxa"/>
                  <w:vAlign w:val="center"/>
                </w:tcPr>
                <w:p w14:paraId="68C4C158">
                  <w:pPr>
                    <w:keepNext w:val="0"/>
                    <w:keepLines w:val="0"/>
                    <w:pageBreakBefore w:val="0"/>
                    <w:widowControl/>
                    <w:kinsoku/>
                    <w:wordWrap/>
                    <w:overflowPunct/>
                    <w:topLinePunct w:val="0"/>
                    <w:autoSpaceDE/>
                    <w:autoSpaceDN/>
                    <w:bidi w:val="0"/>
                    <w:snapToGrid/>
                    <w:spacing w:line="240" w:lineRule="auto"/>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加强危险废物安全处置。继续强化医疗废物管理工作，开展危险废物和危险化学品污染事故应急能力建设，防范环境污染风险，以提高危险废物资源化利用水平为重点，完善危险废物运输、转运和处理机制，杜绝危险废物混入一般工业固体废物或生活垃圾进行处理处置的现象，培育技术先进、综合利用水平高、环境治理设施完善的危险废物持证经营单位，加强危险废物资源化利用，确保危险废物安全处置利用率达到100%。完善危险废物管理台账、转移联单等管理制度，提高危险废物收集、运输、处理处置的全过程信息化管理水平。</w:t>
                  </w:r>
                </w:p>
              </w:tc>
              <w:tc>
                <w:tcPr>
                  <w:tcW w:w="2340" w:type="dxa"/>
                  <w:vAlign w:val="center"/>
                </w:tcPr>
                <w:p w14:paraId="5296CBAC">
                  <w:pPr>
                    <w:pStyle w:val="82"/>
                    <w:keepNext w:val="0"/>
                    <w:keepLines w:val="0"/>
                    <w:pageBreakBefore w:val="0"/>
                    <w:widowControl/>
                    <w:kinsoku/>
                    <w:wordWrap/>
                    <w:overflowPunct/>
                    <w:topLinePunct w:val="0"/>
                    <w:autoSpaceDE/>
                    <w:autoSpaceDN/>
                    <w:bidi w:val="0"/>
                    <w:snapToGrid/>
                    <w:spacing w:line="240" w:lineRule="auto"/>
                    <w:jc w:val="both"/>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本项目</w:t>
                  </w:r>
                  <w:r>
                    <w:rPr>
                      <w:rFonts w:hint="eastAsia" w:cs="Times New Roman"/>
                      <w:color w:val="auto"/>
                      <w:sz w:val="21"/>
                      <w:szCs w:val="21"/>
                      <w:lang w:eastAsia="zh-CN"/>
                    </w:rPr>
                    <w:t>协同处置一般固废，不涉及</w:t>
                  </w:r>
                  <w:r>
                    <w:rPr>
                      <w:rFonts w:hint="default" w:ascii="Times New Roman" w:hAnsi="Times New Roman" w:eastAsia="宋体" w:cs="Times New Roman"/>
                      <w:color w:val="auto"/>
                      <w:sz w:val="21"/>
                      <w:szCs w:val="21"/>
                    </w:rPr>
                    <w:t>危险废物</w:t>
                  </w:r>
                </w:p>
              </w:tc>
              <w:tc>
                <w:tcPr>
                  <w:tcW w:w="869" w:type="dxa"/>
                  <w:vAlign w:val="center"/>
                </w:tcPr>
                <w:p w14:paraId="31B0192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符合</w:t>
                  </w:r>
                </w:p>
              </w:tc>
            </w:tr>
            <w:tr w14:paraId="57F03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18" w:type="dxa"/>
                  <w:vAlign w:val="center"/>
                </w:tcPr>
                <w:p w14:paraId="6E5FFC3E">
                  <w:pPr>
                    <w:keepNext w:val="0"/>
                    <w:keepLines w:val="0"/>
                    <w:pageBreakBefore w:val="0"/>
                    <w:widowControl/>
                    <w:suppressLineNumbers w:val="0"/>
                    <w:kinsoku/>
                    <w:wordWrap/>
                    <w:overflowPunct/>
                    <w:topLinePunct w:val="0"/>
                    <w:autoSpaceDE/>
                    <w:autoSpaceDN/>
                    <w:bidi w:val="0"/>
                    <w:snapToGrid/>
                    <w:spacing w:line="240" w:lineRule="auto"/>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
                    </w:rPr>
                    <w:t>加强大气环境综合管理。坚持以环境空气质量持续改善为核心，深入推进VOCs、工业炉窑、柴油货车、城乡面源四大专项治理。协同开展PM</w:t>
                  </w:r>
                  <w:r>
                    <w:rPr>
                      <w:rFonts w:hint="default" w:ascii="Times New Roman" w:hAnsi="Times New Roman" w:eastAsia="宋体" w:cs="Times New Roman"/>
                      <w:b w:val="0"/>
                      <w:bCs w:val="0"/>
                      <w:color w:val="auto"/>
                      <w:kern w:val="0"/>
                      <w:sz w:val="21"/>
                      <w:szCs w:val="21"/>
                      <w:vertAlign w:val="subscript"/>
                      <w:lang w:val="en-US" w:eastAsia="zh-CN" w:bidi="ar"/>
                    </w:rPr>
                    <w:t>2.5</w:t>
                  </w:r>
                  <w:r>
                    <w:rPr>
                      <w:rFonts w:hint="default" w:ascii="Times New Roman" w:hAnsi="Times New Roman" w:eastAsia="宋体" w:cs="Times New Roman"/>
                      <w:b w:val="0"/>
                      <w:bCs w:val="0"/>
                      <w:color w:val="auto"/>
                      <w:kern w:val="0"/>
                      <w:sz w:val="21"/>
                      <w:szCs w:val="21"/>
                      <w:lang w:val="en-US" w:eastAsia="zh-CN" w:bidi="ar"/>
                    </w:rPr>
                    <w:t>和O</w:t>
                  </w:r>
                  <w:r>
                    <w:rPr>
                      <w:rFonts w:hint="default" w:ascii="Times New Roman" w:hAnsi="Times New Roman" w:eastAsia="宋体" w:cs="Times New Roman"/>
                      <w:b w:val="0"/>
                      <w:bCs w:val="0"/>
                      <w:color w:val="auto"/>
                      <w:kern w:val="0"/>
                      <w:sz w:val="21"/>
                      <w:szCs w:val="21"/>
                      <w:vertAlign w:val="subscript"/>
                      <w:lang w:val="en-US" w:eastAsia="zh-CN" w:bidi="ar"/>
                    </w:rPr>
                    <w:t>3</w:t>
                  </w:r>
                  <w:r>
                    <w:rPr>
                      <w:rFonts w:hint="default" w:ascii="Times New Roman" w:hAnsi="Times New Roman" w:eastAsia="宋体" w:cs="Times New Roman"/>
                      <w:b w:val="0"/>
                      <w:bCs w:val="0"/>
                      <w:color w:val="auto"/>
                      <w:kern w:val="0"/>
                      <w:sz w:val="21"/>
                      <w:szCs w:val="21"/>
                      <w:lang w:val="en-US" w:eastAsia="zh-CN" w:bidi="ar"/>
                    </w:rPr>
                    <w:t>污染防治，推动PM</w:t>
                  </w:r>
                  <w:r>
                    <w:rPr>
                      <w:rFonts w:hint="default" w:ascii="Times New Roman" w:hAnsi="Times New Roman" w:eastAsia="宋体" w:cs="Times New Roman"/>
                      <w:b w:val="0"/>
                      <w:bCs w:val="0"/>
                      <w:color w:val="auto"/>
                      <w:kern w:val="0"/>
                      <w:sz w:val="21"/>
                      <w:szCs w:val="21"/>
                      <w:vertAlign w:val="subscript"/>
                      <w:lang w:val="en-US" w:eastAsia="zh-CN" w:bidi="ar"/>
                    </w:rPr>
                    <w:t>2.5</w:t>
                  </w:r>
                  <w:r>
                    <w:rPr>
                      <w:rFonts w:hint="default" w:ascii="Times New Roman" w:hAnsi="Times New Roman" w:eastAsia="宋体" w:cs="Times New Roman"/>
                      <w:b w:val="0"/>
                      <w:bCs w:val="0"/>
                      <w:color w:val="auto"/>
                      <w:kern w:val="0"/>
                      <w:sz w:val="21"/>
                      <w:szCs w:val="21"/>
                      <w:lang w:val="en-US" w:eastAsia="zh-CN" w:bidi="ar"/>
                    </w:rPr>
                    <w:t>和O</w:t>
                  </w:r>
                  <w:r>
                    <w:rPr>
                      <w:rFonts w:hint="default" w:ascii="Times New Roman" w:hAnsi="Times New Roman" w:eastAsia="宋体" w:cs="Times New Roman"/>
                      <w:b w:val="0"/>
                      <w:bCs w:val="0"/>
                      <w:color w:val="auto"/>
                      <w:kern w:val="0"/>
                      <w:sz w:val="21"/>
                      <w:szCs w:val="21"/>
                      <w:vertAlign w:val="subscript"/>
                      <w:lang w:val="en-US" w:eastAsia="zh-CN" w:bidi="ar"/>
                    </w:rPr>
                    <w:t>3</w:t>
                  </w:r>
                  <w:r>
                    <w:rPr>
                      <w:rFonts w:hint="default" w:ascii="Times New Roman" w:hAnsi="Times New Roman" w:eastAsia="宋体" w:cs="Times New Roman"/>
                      <w:b w:val="0"/>
                      <w:bCs w:val="0"/>
                      <w:color w:val="auto"/>
                      <w:kern w:val="0"/>
                      <w:sz w:val="21"/>
                      <w:szCs w:val="21"/>
                      <w:lang w:val="en-US" w:eastAsia="zh-CN" w:bidi="ar"/>
                    </w:rPr>
                    <w:t>浓度稳中有降。完善重污染天气预警应急的启动、响应、解除机制，建设城市环境空气质量预测预报中心，提高预报能力，开展环境空气质量中长期趋势预测工作，提升PM</w:t>
                  </w:r>
                  <w:r>
                    <w:rPr>
                      <w:rFonts w:hint="default" w:ascii="Times New Roman" w:hAnsi="Times New Roman" w:eastAsia="宋体" w:cs="Times New Roman"/>
                      <w:b w:val="0"/>
                      <w:bCs w:val="0"/>
                      <w:color w:val="auto"/>
                      <w:kern w:val="0"/>
                      <w:sz w:val="21"/>
                      <w:szCs w:val="21"/>
                      <w:vertAlign w:val="subscript"/>
                      <w:lang w:val="en-US" w:eastAsia="zh-CN" w:bidi="ar"/>
                    </w:rPr>
                    <w:t>2.5</w:t>
                  </w:r>
                  <w:r>
                    <w:rPr>
                      <w:rFonts w:hint="default" w:ascii="Times New Roman" w:hAnsi="Times New Roman" w:eastAsia="宋体" w:cs="Times New Roman"/>
                      <w:b w:val="0"/>
                      <w:bCs w:val="0"/>
                      <w:color w:val="auto"/>
                      <w:kern w:val="0"/>
                      <w:sz w:val="21"/>
                      <w:szCs w:val="21"/>
                      <w:lang w:val="en-US" w:eastAsia="zh-CN" w:bidi="ar"/>
                    </w:rPr>
                    <w:t>和O</w:t>
                  </w:r>
                  <w:r>
                    <w:rPr>
                      <w:rFonts w:hint="default" w:ascii="Times New Roman" w:hAnsi="Times New Roman" w:eastAsia="宋体" w:cs="Times New Roman"/>
                      <w:b w:val="0"/>
                      <w:bCs w:val="0"/>
                      <w:color w:val="auto"/>
                      <w:kern w:val="0"/>
                      <w:sz w:val="21"/>
                      <w:szCs w:val="21"/>
                      <w:vertAlign w:val="subscript"/>
                      <w:lang w:val="en-US" w:eastAsia="zh-CN" w:bidi="ar"/>
                    </w:rPr>
                    <w:t>3</w:t>
                  </w:r>
                  <w:r>
                    <w:rPr>
                      <w:rFonts w:hint="default" w:ascii="Times New Roman" w:hAnsi="Times New Roman" w:eastAsia="宋体" w:cs="Times New Roman"/>
                      <w:b w:val="0"/>
                      <w:bCs w:val="0"/>
                      <w:color w:val="auto"/>
                      <w:kern w:val="0"/>
                      <w:sz w:val="21"/>
                      <w:szCs w:val="21"/>
                      <w:lang w:val="en-US" w:eastAsia="zh-CN" w:bidi="ar"/>
                    </w:rPr>
                    <w:t>预报准确率。逐步扩大重污染天气重点行业绩效分级和应急减排的实施范围，完善差异化管控机制。组织开展污染天气应对，常态化开展大气污染源清单工作。</w:t>
                  </w:r>
                </w:p>
              </w:tc>
              <w:tc>
                <w:tcPr>
                  <w:tcW w:w="2340" w:type="dxa"/>
                  <w:vAlign w:val="center"/>
                </w:tcPr>
                <w:p w14:paraId="424838FE">
                  <w:pPr>
                    <w:pStyle w:val="82"/>
                    <w:keepNext w:val="0"/>
                    <w:keepLines w:val="0"/>
                    <w:pageBreakBefore w:val="0"/>
                    <w:widowControl/>
                    <w:kinsoku/>
                    <w:wordWrap/>
                    <w:overflowPunct/>
                    <w:topLinePunct w:val="0"/>
                    <w:autoSpaceDE/>
                    <w:autoSpaceDN/>
                    <w:bidi w:val="0"/>
                    <w:snapToGrid/>
                    <w:spacing w:line="240" w:lineRule="auto"/>
                    <w:jc w:val="both"/>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eastAsia="zh-CN"/>
                    </w:rPr>
                    <w:t>本</w:t>
                  </w:r>
                  <w:r>
                    <w:rPr>
                      <w:color w:val="auto"/>
                      <w:sz w:val="21"/>
                      <w:szCs w:val="21"/>
                      <w:lang w:eastAsia="zh-TW"/>
                    </w:rPr>
                    <w:t>项目</w:t>
                  </w:r>
                  <w:r>
                    <w:rPr>
                      <w:color w:val="auto"/>
                      <w:sz w:val="21"/>
                      <w:szCs w:val="21"/>
                    </w:rPr>
                    <w:t>产生粉尘集气罩收集，</w:t>
                  </w:r>
                  <w:r>
                    <w:rPr>
                      <w:rFonts w:hint="eastAsia"/>
                      <w:color w:val="auto"/>
                      <w:sz w:val="21"/>
                      <w:szCs w:val="21"/>
                      <w:lang w:eastAsia="zh-CN"/>
                    </w:rPr>
                    <w:t>由</w:t>
                  </w:r>
                  <w:r>
                    <w:rPr>
                      <w:rFonts w:hint="default" w:ascii="Times New Roman" w:hAnsi="Times New Roman" w:eastAsia="宋体" w:cs="Times New Roman"/>
                      <w:color w:val="auto"/>
                      <w:sz w:val="21"/>
                      <w:szCs w:val="21"/>
                      <w:lang w:val="en-US" w:eastAsia="zh-CN" w:bidi="ar"/>
                    </w:rPr>
                    <w:t>脉冲除尘器</w:t>
                  </w:r>
                  <w:r>
                    <w:rPr>
                      <w:color w:val="auto"/>
                      <w:sz w:val="21"/>
                      <w:szCs w:val="21"/>
                    </w:rPr>
                    <w:t>处理后</w:t>
                  </w:r>
                  <w:r>
                    <w:rPr>
                      <w:rFonts w:hint="eastAsia"/>
                      <w:color w:val="auto"/>
                      <w:sz w:val="21"/>
                      <w:szCs w:val="21"/>
                      <w:lang w:eastAsia="zh-CN"/>
                    </w:rPr>
                    <w:t>，经排气筒高空</w:t>
                  </w:r>
                  <w:r>
                    <w:rPr>
                      <w:color w:val="auto"/>
                      <w:sz w:val="21"/>
                      <w:szCs w:val="21"/>
                    </w:rPr>
                    <w:t>排放</w:t>
                  </w:r>
                  <w:r>
                    <w:rPr>
                      <w:rFonts w:hint="eastAsia"/>
                      <w:color w:val="auto"/>
                      <w:sz w:val="21"/>
                      <w:szCs w:val="21"/>
                    </w:rPr>
                    <w:t>，</w:t>
                  </w:r>
                  <w:r>
                    <w:rPr>
                      <w:color w:val="auto"/>
                      <w:sz w:val="21"/>
                      <w:szCs w:val="21"/>
                    </w:rPr>
                    <w:t>废气排放</w:t>
                  </w:r>
                  <w:r>
                    <w:rPr>
                      <w:rFonts w:hint="eastAsia"/>
                      <w:color w:val="auto"/>
                      <w:sz w:val="21"/>
                      <w:szCs w:val="21"/>
                      <w:lang w:eastAsia="zh-CN"/>
                    </w:rPr>
                    <w:t>标准</w:t>
                  </w:r>
                  <w:r>
                    <w:rPr>
                      <w:color w:val="auto"/>
                      <w:sz w:val="21"/>
                      <w:szCs w:val="21"/>
                    </w:rPr>
                    <w:t>执行</w:t>
                  </w:r>
                  <w:r>
                    <w:rPr>
                      <w:rFonts w:hint="eastAsia"/>
                      <w:color w:val="auto"/>
                      <w:sz w:val="21"/>
                      <w:szCs w:val="21"/>
                      <w:lang w:eastAsia="zh-CN"/>
                    </w:rPr>
                    <w:t>安徽省地方标准《水泥工业大气污染排放标准》（DB</w:t>
                  </w:r>
                  <w:r>
                    <w:rPr>
                      <w:rFonts w:hint="eastAsia"/>
                      <w:color w:val="auto"/>
                      <w:sz w:val="21"/>
                      <w:szCs w:val="21"/>
                      <w:lang w:val="en-US" w:eastAsia="zh-CN"/>
                    </w:rPr>
                    <w:t xml:space="preserve"> </w:t>
                  </w:r>
                  <w:r>
                    <w:rPr>
                      <w:rFonts w:hint="eastAsia"/>
                      <w:color w:val="auto"/>
                      <w:sz w:val="21"/>
                      <w:szCs w:val="21"/>
                      <w:lang w:eastAsia="zh-CN"/>
                    </w:rPr>
                    <w:t>34/</w:t>
                  </w:r>
                  <w:r>
                    <w:rPr>
                      <w:rFonts w:hint="eastAsia"/>
                      <w:color w:val="auto"/>
                      <w:sz w:val="21"/>
                      <w:szCs w:val="21"/>
                      <w:lang w:val="en-US" w:eastAsia="zh-CN"/>
                    </w:rPr>
                    <w:t xml:space="preserve"> </w:t>
                  </w:r>
                  <w:r>
                    <w:rPr>
                      <w:rFonts w:hint="eastAsia"/>
                      <w:color w:val="auto"/>
                      <w:sz w:val="21"/>
                      <w:szCs w:val="21"/>
                      <w:lang w:eastAsia="zh-CN"/>
                    </w:rPr>
                    <w:t>3576-2020）</w:t>
                  </w:r>
                </w:p>
              </w:tc>
              <w:tc>
                <w:tcPr>
                  <w:tcW w:w="869" w:type="dxa"/>
                  <w:vAlign w:val="center"/>
                </w:tcPr>
                <w:p w14:paraId="409E67F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符合</w:t>
                  </w:r>
                </w:p>
              </w:tc>
            </w:tr>
            <w:tr w14:paraId="0D0DB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18" w:type="dxa"/>
                  <w:vAlign w:val="center"/>
                </w:tcPr>
                <w:p w14:paraId="044D33F4">
                  <w:pPr>
                    <w:keepNext w:val="0"/>
                    <w:keepLines w:val="0"/>
                    <w:pageBreakBefore w:val="0"/>
                    <w:widowControl/>
                    <w:suppressLineNumbers w:val="0"/>
                    <w:kinsoku/>
                    <w:wordWrap/>
                    <w:overflowPunct/>
                    <w:topLinePunct w:val="0"/>
                    <w:autoSpaceDE/>
                    <w:autoSpaceDN/>
                    <w:bidi w:val="0"/>
                    <w:snapToGrid/>
                    <w:spacing w:line="240" w:lineRule="auto"/>
                    <w:jc w:val="both"/>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加强固定源污染综合治理。深入开展锅炉综合整治，全面淘汰35蒸吨/小时以下燃煤锅炉，持续开展燃气锅炉低氮改造和建成区</w:t>
                  </w:r>
                  <w:r>
                    <w:rPr>
                      <w:rFonts w:hint="eastAsia" w:cs="Times New Roman"/>
                      <w:b w:val="0"/>
                      <w:bCs w:val="0"/>
                      <w:color w:val="auto"/>
                      <w:kern w:val="0"/>
                      <w:sz w:val="21"/>
                      <w:szCs w:val="21"/>
                      <w:lang w:val="en-US" w:eastAsia="zh-CN" w:bidi="ar"/>
                    </w:rPr>
                    <w:t>生物质</w:t>
                  </w:r>
                  <w:r>
                    <w:rPr>
                      <w:rFonts w:hint="default" w:ascii="Times New Roman" w:hAnsi="Times New Roman" w:eastAsia="宋体" w:cs="Times New Roman"/>
                      <w:b w:val="0"/>
                      <w:bCs w:val="0"/>
                      <w:color w:val="auto"/>
                      <w:kern w:val="0"/>
                      <w:sz w:val="21"/>
                      <w:szCs w:val="21"/>
                      <w:lang w:val="en-US" w:eastAsia="zh-CN" w:bidi="ar"/>
                    </w:rPr>
                    <w:t>锅炉超低排放改造或淘汰。城市建成区原则上不再新建每小时65蒸吨以下的燃煤锅炉，65蒸吨/小时及以上燃煤锅炉完成超低排放改造，主要污染物排放达到超低排放标准要求，安装大气污染源自动监控设备，并与省、市生态环境部门联网。进一步深化工业炉窑大气污染综合治理，基本完成使用高污染燃料的燃料类工业炉窑清洁能源替代，深化实施玻璃、陶瓷、砖瓦、铸造等行业治理，严格控制物料储存、输送及生产工艺过程无组织排放。以石化、化工、包装印刷、油品储运销为重点，深化VOCs治理。大力推进重点行业低VOCs原辅材料源头替代，加强VOCs无组织排放控制，推进建设适宜高效的末端治理设施。进一步提升工业园区大气环境管理水平。</w:t>
                  </w:r>
                </w:p>
              </w:tc>
              <w:tc>
                <w:tcPr>
                  <w:tcW w:w="2340" w:type="dxa"/>
                  <w:vAlign w:val="center"/>
                </w:tcPr>
                <w:p w14:paraId="148A3A2B">
                  <w:pPr>
                    <w:pStyle w:val="82"/>
                    <w:keepNext w:val="0"/>
                    <w:keepLines w:val="0"/>
                    <w:pageBreakBefore w:val="0"/>
                    <w:widowControl/>
                    <w:kinsoku/>
                    <w:wordWrap/>
                    <w:overflowPunct/>
                    <w:topLinePunct w:val="0"/>
                    <w:autoSpaceDE/>
                    <w:autoSpaceDN/>
                    <w:bidi w:val="0"/>
                    <w:snapToGrid/>
                    <w:spacing w:line="240" w:lineRule="auto"/>
                    <w:jc w:val="both"/>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本</w:t>
                  </w:r>
                  <w:r>
                    <w:rPr>
                      <w:rFonts w:hint="default" w:ascii="Times New Roman" w:hAnsi="Times New Roman" w:eastAsia="宋体" w:cs="Times New Roman"/>
                      <w:color w:val="auto"/>
                      <w:sz w:val="21"/>
                      <w:szCs w:val="21"/>
                      <w:lang w:val="en-US" w:eastAsia="zh-CN"/>
                    </w:rPr>
                    <w:t>项目不涉及燃煤锅炉</w:t>
                  </w:r>
                  <w:r>
                    <w:rPr>
                      <w:rFonts w:hint="eastAsia" w:cs="Times New Roman"/>
                      <w:color w:val="auto"/>
                      <w:sz w:val="21"/>
                      <w:szCs w:val="21"/>
                      <w:lang w:val="en-US" w:eastAsia="zh-CN"/>
                    </w:rPr>
                    <w:t>，也</w:t>
                  </w:r>
                  <w:r>
                    <w:rPr>
                      <w:rFonts w:hint="default" w:ascii="Times New Roman" w:hAnsi="Times New Roman" w:eastAsia="宋体" w:cs="Times New Roman"/>
                      <w:color w:val="auto"/>
                      <w:sz w:val="21"/>
                      <w:szCs w:val="21"/>
                      <w:lang w:val="en-US" w:eastAsia="zh-CN"/>
                    </w:rPr>
                    <w:t>不属于VOCs重点管理行业</w:t>
                  </w:r>
                </w:p>
              </w:tc>
              <w:tc>
                <w:tcPr>
                  <w:tcW w:w="869" w:type="dxa"/>
                  <w:vAlign w:val="center"/>
                </w:tcPr>
                <w:p w14:paraId="3292CD7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符合</w:t>
                  </w:r>
                </w:p>
              </w:tc>
            </w:tr>
          </w:tbl>
          <w:p w14:paraId="538A01FB">
            <w:pPr>
              <w:pStyle w:val="39"/>
              <w:spacing w:line="360" w:lineRule="auto"/>
              <w:ind w:firstLine="482" w:firstLineChars="200"/>
              <w:jc w:val="both"/>
              <w:rPr>
                <w:rFonts w:hint="default" w:ascii="Times New Roman" w:hAnsi="Times New Roman" w:cs="Times New Roman"/>
                <w:b/>
                <w:bCs/>
                <w:color w:val="0000FF"/>
                <w:kern w:val="0"/>
                <w:lang w:val="en-US" w:eastAsia="zh-CN"/>
              </w:rPr>
            </w:pPr>
            <w:r>
              <w:rPr>
                <w:rFonts w:hint="eastAsia" w:ascii="Times New Roman" w:hAnsi="Times New Roman" w:cs="Times New Roman"/>
                <w:b/>
                <w:bCs/>
                <w:color w:val="0000FF"/>
                <w:kern w:val="0"/>
                <w:lang w:val="en-US" w:eastAsia="zh-CN"/>
              </w:rPr>
              <w:t>4、与《安徽省生态环境厅关于强化2024-2025秋冬季大气污染防治攻坚工作的通知》（2024年10月12日）符合性分析</w:t>
            </w:r>
          </w:p>
          <w:p w14:paraId="70EF23E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spacing w:val="-6"/>
                <w:kern w:val="0"/>
                <w:sz w:val="21"/>
                <w:szCs w:val="21"/>
                <w:lang w:val="en-US" w:eastAsia="zh-CN"/>
              </w:rPr>
            </w:pPr>
            <w:r>
              <w:rPr>
                <w:rFonts w:hint="default" w:ascii="Times New Roman" w:hAnsi="Times New Roman" w:eastAsia="宋体" w:cs="Times New Roman"/>
                <w:b/>
                <w:bCs/>
                <w:color w:val="0000FF"/>
                <w:spacing w:val="-6"/>
                <w:kern w:val="0"/>
                <w:sz w:val="21"/>
                <w:szCs w:val="21"/>
                <w:lang w:val="en-US" w:eastAsia="zh-CN"/>
              </w:rPr>
              <w:t>表1-</w:t>
            </w:r>
            <w:r>
              <w:rPr>
                <w:rFonts w:hint="eastAsia" w:cs="Times New Roman"/>
                <w:b/>
                <w:bCs/>
                <w:color w:val="0000FF"/>
                <w:spacing w:val="-6"/>
                <w:kern w:val="0"/>
                <w:sz w:val="21"/>
                <w:szCs w:val="21"/>
                <w:lang w:val="en-US" w:eastAsia="zh-CN"/>
              </w:rPr>
              <w:t>12</w:t>
            </w:r>
            <w:r>
              <w:rPr>
                <w:rFonts w:hint="default" w:ascii="Times New Roman" w:hAnsi="Times New Roman" w:eastAsia="宋体" w:cs="Times New Roman"/>
                <w:b/>
                <w:bCs/>
                <w:color w:val="0000FF"/>
                <w:spacing w:val="-6"/>
                <w:kern w:val="0"/>
                <w:sz w:val="21"/>
                <w:szCs w:val="21"/>
                <w:lang w:val="en-US" w:eastAsia="zh-CN"/>
              </w:rPr>
              <w:t xml:space="preserve"> 与《安徽省生态环境厅关于强化2024-2025秋冬季大气污染防治攻坚工作的通知》</w:t>
            </w:r>
            <w:r>
              <w:rPr>
                <w:rFonts w:hint="eastAsia" w:cs="Times New Roman"/>
                <w:b/>
                <w:bCs/>
                <w:color w:val="0000FF"/>
                <w:spacing w:val="-6"/>
                <w:kern w:val="0"/>
                <w:sz w:val="21"/>
                <w:szCs w:val="21"/>
                <w:lang w:val="en-US" w:eastAsia="zh-CN"/>
              </w:rPr>
              <w:t>符合</w:t>
            </w:r>
            <w:r>
              <w:rPr>
                <w:rFonts w:hint="default" w:ascii="Times New Roman" w:hAnsi="Times New Roman" w:eastAsia="宋体" w:cs="Times New Roman"/>
                <w:b/>
                <w:bCs/>
                <w:color w:val="0000FF"/>
                <w:spacing w:val="-6"/>
                <w:kern w:val="0"/>
                <w:sz w:val="21"/>
                <w:szCs w:val="21"/>
                <w:lang w:val="en-US" w:eastAsia="zh-CN"/>
              </w:rPr>
              <w:t>性</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9"/>
              <w:gridCol w:w="2894"/>
              <w:gridCol w:w="851"/>
            </w:tblGrid>
            <w:tr w14:paraId="7D894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03" w:type="pct"/>
                  <w:tcBorders>
                    <w:tl2br w:val="nil"/>
                    <w:tr2bl w:val="nil"/>
                  </w:tcBorders>
                  <w:noWrap w:val="0"/>
                  <w:vAlign w:val="center"/>
                </w:tcPr>
                <w:p w14:paraId="4C889FC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文件要求</w:t>
                  </w:r>
                </w:p>
              </w:tc>
              <w:tc>
                <w:tcPr>
                  <w:tcW w:w="1697" w:type="pct"/>
                  <w:tcBorders>
                    <w:tl2br w:val="nil"/>
                    <w:tr2bl w:val="nil"/>
                  </w:tcBorders>
                  <w:noWrap w:val="0"/>
                  <w:vAlign w:val="center"/>
                </w:tcPr>
                <w:p w14:paraId="60309021">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项目情况</w:t>
                  </w:r>
                </w:p>
              </w:tc>
              <w:tc>
                <w:tcPr>
                  <w:tcW w:w="499" w:type="pct"/>
                  <w:tcBorders>
                    <w:tl2br w:val="nil"/>
                    <w:tr2bl w:val="nil"/>
                  </w:tcBorders>
                  <w:noWrap w:val="0"/>
                  <w:vAlign w:val="center"/>
                </w:tcPr>
                <w:p w14:paraId="27D3454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符合性</w:t>
                  </w:r>
                </w:p>
              </w:tc>
            </w:tr>
            <w:tr w14:paraId="4DF15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03" w:type="pct"/>
                  <w:tcBorders>
                    <w:tl2br w:val="nil"/>
                    <w:tr2bl w:val="nil"/>
                  </w:tcBorders>
                  <w:noWrap w:val="0"/>
                  <w:vAlign w:val="center"/>
                </w:tcPr>
                <w:p w14:paraId="0441E745">
                  <w:pPr>
                    <w:keepNext w:val="0"/>
                    <w:keepLines w:val="0"/>
                    <w:pageBreakBefore w:val="0"/>
                    <w:kinsoku/>
                    <w:wordWrap/>
                    <w:overflowPunct/>
                    <w:topLinePunct w:val="0"/>
                    <w:autoSpaceDE/>
                    <w:autoSpaceDN/>
                    <w:bidi w:val="0"/>
                    <w:snapToGrid/>
                    <w:spacing w:line="240" w:lineRule="auto"/>
                    <w:jc w:val="both"/>
                    <w:rPr>
                      <w:rFonts w:hint="eastAsia" w:ascii="Times New Roman" w:hAnsi="Times New Roman" w:eastAsia="宋体" w:cs="Times New Roman"/>
                      <w:color w:val="0000FF"/>
                      <w:sz w:val="21"/>
                      <w:szCs w:val="21"/>
                      <w:lang w:eastAsia="zh-CN"/>
                    </w:rPr>
                  </w:pPr>
                  <w:r>
                    <w:rPr>
                      <w:rFonts w:hint="eastAsia" w:cs="Times New Roman"/>
                      <w:i w:val="0"/>
                      <w:iCs w:val="0"/>
                      <w:caps w:val="0"/>
                      <w:color w:val="0000FF"/>
                      <w:spacing w:val="0"/>
                      <w:sz w:val="21"/>
                      <w:szCs w:val="21"/>
                      <w:shd w:val="clear" w:color="auto" w:fill="FFFFFF"/>
                      <w:lang w:eastAsia="zh-CN"/>
                    </w:rPr>
                    <w:t>（二）</w:t>
                  </w:r>
                  <w:r>
                    <w:rPr>
                      <w:rFonts w:hint="default" w:ascii="Times New Roman" w:hAnsi="Times New Roman" w:eastAsia="宋体" w:cs="Times New Roman"/>
                      <w:i w:val="0"/>
                      <w:iCs w:val="0"/>
                      <w:caps w:val="0"/>
                      <w:color w:val="0000FF"/>
                      <w:spacing w:val="0"/>
                      <w:sz w:val="21"/>
                      <w:szCs w:val="21"/>
                      <w:shd w:val="clear" w:color="auto" w:fill="FFFFFF"/>
                    </w:rPr>
                    <w:t>全面启动水泥、焦化行业超低排放改造。全省水泥熟料企业、焦化企业应在2024年底前实质性启动改造工程或明确改造计划</w:t>
                  </w:r>
                  <w:r>
                    <w:rPr>
                      <w:rFonts w:hint="eastAsia" w:cs="Times New Roman"/>
                      <w:i w:val="0"/>
                      <w:iCs w:val="0"/>
                      <w:caps w:val="0"/>
                      <w:color w:val="0000FF"/>
                      <w:spacing w:val="0"/>
                      <w:sz w:val="21"/>
                      <w:szCs w:val="21"/>
                      <w:shd w:val="clear" w:color="auto" w:fill="FFFFFF"/>
                      <w:lang w:eastAsia="zh-CN"/>
                    </w:rPr>
                    <w:t>，</w:t>
                  </w:r>
                  <w:r>
                    <w:rPr>
                      <w:rFonts w:hint="default" w:ascii="Times New Roman" w:hAnsi="Times New Roman" w:eastAsia="宋体" w:cs="Times New Roman"/>
                      <w:i w:val="0"/>
                      <w:iCs w:val="0"/>
                      <w:caps w:val="0"/>
                      <w:color w:val="0000FF"/>
                      <w:spacing w:val="0"/>
                      <w:sz w:val="21"/>
                      <w:szCs w:val="21"/>
                      <w:shd w:val="clear" w:color="auto" w:fill="FFFFFF"/>
                    </w:rPr>
                    <w:t>在2025年10月底前完成与大气污染物排放直接相关的改造项目。已经通过绩效A级评审、基础条件较好的水泥熟料企业应对照超低排放改造要求补齐短板，积极开展评估监测，发挥标杆引领作用【详见附件2】</w:t>
                  </w:r>
                  <w:r>
                    <w:rPr>
                      <w:rFonts w:hint="eastAsia" w:cs="Times New Roman"/>
                      <w:i w:val="0"/>
                      <w:iCs w:val="0"/>
                      <w:caps w:val="0"/>
                      <w:color w:val="0000FF"/>
                      <w:spacing w:val="0"/>
                      <w:sz w:val="21"/>
                      <w:szCs w:val="21"/>
                      <w:shd w:val="clear" w:color="auto" w:fill="FFFFFF"/>
                      <w:lang w:eastAsia="zh-CN"/>
                    </w:rPr>
                    <w:t>。</w:t>
                  </w:r>
                </w:p>
              </w:tc>
              <w:tc>
                <w:tcPr>
                  <w:tcW w:w="1697" w:type="pct"/>
                  <w:tcBorders>
                    <w:tl2br w:val="nil"/>
                    <w:tr2bl w:val="nil"/>
                  </w:tcBorders>
                  <w:noWrap w:val="0"/>
                  <w:vAlign w:val="center"/>
                </w:tcPr>
                <w:p w14:paraId="672594F3">
                  <w:pPr>
                    <w:keepNext w:val="0"/>
                    <w:keepLines w:val="0"/>
                    <w:pageBreakBefore w:val="0"/>
                    <w:kinsoku/>
                    <w:wordWrap/>
                    <w:overflowPunct/>
                    <w:topLinePunct w:val="0"/>
                    <w:autoSpaceDE/>
                    <w:autoSpaceDN/>
                    <w:bidi w:val="0"/>
                    <w:snapToGrid/>
                    <w:spacing w:line="240" w:lineRule="auto"/>
                    <w:jc w:val="both"/>
                    <w:rPr>
                      <w:rFonts w:hint="eastAsia" w:ascii="Times New Roman" w:hAnsi="Times New Roman" w:eastAsia="宋体" w:cs="Times New Roman"/>
                      <w:color w:val="0000FF"/>
                      <w:sz w:val="21"/>
                      <w:szCs w:val="21"/>
                      <w:lang w:val="en-US" w:eastAsia="zh-CN"/>
                    </w:rPr>
                  </w:pPr>
                  <w:r>
                    <w:rPr>
                      <w:rFonts w:hint="eastAsia" w:cs="Times New Roman"/>
                      <w:color w:val="0000FF"/>
                      <w:kern w:val="0"/>
                      <w:sz w:val="21"/>
                      <w:szCs w:val="21"/>
                      <w:lang w:eastAsia="zh-CN"/>
                    </w:rPr>
                    <w:t>本项目建设单位淮北众城水泥有限责任公司在</w:t>
                  </w:r>
                  <w:r>
                    <w:rPr>
                      <w:rFonts w:hint="eastAsia" w:cs="Times New Roman"/>
                      <w:color w:val="0000FF"/>
                      <w:kern w:val="0"/>
                      <w:sz w:val="21"/>
                      <w:szCs w:val="21"/>
                      <w:lang w:val="en-US" w:eastAsia="zh-CN"/>
                    </w:rPr>
                    <w:t>“</w:t>
                  </w:r>
                  <w:r>
                    <w:rPr>
                      <w:rFonts w:hint="eastAsia" w:cs="Times New Roman"/>
                      <w:color w:val="0000FF"/>
                      <w:kern w:val="0"/>
                      <w:sz w:val="21"/>
                      <w:szCs w:val="21"/>
                      <w:lang w:eastAsia="zh-CN"/>
                    </w:rPr>
                    <w:t>附件</w:t>
                  </w:r>
                  <w:r>
                    <w:rPr>
                      <w:rFonts w:hint="eastAsia" w:cs="Times New Roman"/>
                      <w:color w:val="0000FF"/>
                      <w:kern w:val="0"/>
                      <w:sz w:val="21"/>
                      <w:szCs w:val="21"/>
                      <w:lang w:val="en-US" w:eastAsia="zh-CN"/>
                    </w:rPr>
                    <w:t xml:space="preserve">2 </w:t>
                  </w:r>
                  <w:r>
                    <w:rPr>
                      <w:rFonts w:hint="eastAsia" w:cs="Times New Roman"/>
                      <w:color w:val="0000FF"/>
                      <w:kern w:val="0"/>
                      <w:sz w:val="21"/>
                      <w:szCs w:val="21"/>
                      <w:lang w:eastAsia="zh-CN"/>
                    </w:rPr>
                    <w:t>水泥、焦化行业超低排放改造任务</w:t>
                  </w:r>
                  <w:r>
                    <w:rPr>
                      <w:rFonts w:hint="eastAsia" w:cs="Times New Roman"/>
                      <w:color w:val="0000FF"/>
                      <w:kern w:val="0"/>
                      <w:sz w:val="21"/>
                      <w:szCs w:val="21"/>
                      <w:lang w:val="en-US" w:eastAsia="zh-CN"/>
                    </w:rPr>
                    <w:t>”名单中，已在2024年底前明确改造计划，预计在2025年10月底前完成与大气污染物排放直接相关的改造项目</w:t>
                  </w:r>
                </w:p>
              </w:tc>
              <w:tc>
                <w:tcPr>
                  <w:tcW w:w="499" w:type="pct"/>
                  <w:tcBorders>
                    <w:tl2br w:val="nil"/>
                    <w:tr2bl w:val="nil"/>
                  </w:tcBorders>
                  <w:noWrap w:val="0"/>
                  <w:vAlign w:val="center"/>
                </w:tcPr>
                <w:p w14:paraId="35D5838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符合</w:t>
                  </w:r>
                </w:p>
              </w:tc>
            </w:tr>
            <w:tr w14:paraId="4D7D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03" w:type="pct"/>
                  <w:tcBorders>
                    <w:tl2br w:val="nil"/>
                    <w:tr2bl w:val="nil"/>
                  </w:tcBorders>
                  <w:noWrap w:val="0"/>
                  <w:vAlign w:val="center"/>
                </w:tcPr>
                <w:p w14:paraId="3D8BDF42">
                  <w:pPr>
                    <w:keepNext w:val="0"/>
                    <w:keepLines w:val="0"/>
                    <w:pageBreakBefore w:val="0"/>
                    <w:kinsoku/>
                    <w:wordWrap/>
                    <w:overflowPunct/>
                    <w:topLinePunct w:val="0"/>
                    <w:autoSpaceDE/>
                    <w:autoSpaceDN/>
                    <w:bidi w:val="0"/>
                    <w:snapToGrid/>
                    <w:spacing w:line="240" w:lineRule="auto"/>
                    <w:jc w:val="both"/>
                    <w:rPr>
                      <w:rFonts w:hint="eastAsia" w:cs="Times New Roman"/>
                      <w:i w:val="0"/>
                      <w:iCs w:val="0"/>
                      <w:caps w:val="0"/>
                      <w:color w:val="0000FF"/>
                      <w:spacing w:val="0"/>
                      <w:sz w:val="21"/>
                      <w:szCs w:val="21"/>
                      <w:shd w:val="clear" w:color="auto" w:fill="FFFFFF"/>
                      <w:lang w:eastAsia="zh-CN"/>
                    </w:rPr>
                  </w:pPr>
                  <w:r>
                    <w:rPr>
                      <w:rFonts w:hint="eastAsia" w:cs="Times New Roman"/>
                      <w:i w:val="0"/>
                      <w:iCs w:val="0"/>
                      <w:caps w:val="0"/>
                      <w:color w:val="0000FF"/>
                      <w:spacing w:val="0"/>
                      <w:sz w:val="21"/>
                      <w:szCs w:val="21"/>
                      <w:shd w:val="clear" w:color="auto" w:fill="FFFFFF"/>
                      <w:lang w:eastAsia="zh-CN"/>
                    </w:rPr>
                    <w:t>（三）有序推进皖北地区燃煤机组提标改造。淮北、宿州、阜阳、蚌埠要督促尚未完成改造的26台30万千瓦以上燃煤发电机组抓紧明确改造计划，尽早启动实施提标改造，为改造工程留足时间，确保按照省政府要求在2025年底前完成【详见附件3】。</w:t>
                  </w:r>
                </w:p>
              </w:tc>
              <w:tc>
                <w:tcPr>
                  <w:tcW w:w="1697" w:type="pct"/>
                  <w:tcBorders>
                    <w:tl2br w:val="nil"/>
                    <w:tr2bl w:val="nil"/>
                  </w:tcBorders>
                  <w:noWrap w:val="0"/>
                  <w:vAlign w:val="center"/>
                </w:tcPr>
                <w:p w14:paraId="4FDA48EE">
                  <w:pPr>
                    <w:keepNext w:val="0"/>
                    <w:keepLines w:val="0"/>
                    <w:pageBreakBefore w:val="0"/>
                    <w:kinsoku/>
                    <w:wordWrap/>
                    <w:overflowPunct/>
                    <w:topLinePunct w:val="0"/>
                    <w:autoSpaceDE/>
                    <w:autoSpaceDN/>
                    <w:bidi w:val="0"/>
                    <w:snapToGrid/>
                    <w:spacing w:line="240" w:lineRule="auto"/>
                    <w:jc w:val="both"/>
                    <w:rPr>
                      <w:rFonts w:hint="eastAsia" w:ascii="Times New Roman" w:hAnsi="Times New Roman" w:eastAsia="宋体" w:cs="Times New Roman"/>
                      <w:color w:val="0000FF"/>
                      <w:kern w:val="0"/>
                      <w:sz w:val="21"/>
                      <w:szCs w:val="21"/>
                      <w:lang w:eastAsia="zh-CN"/>
                    </w:rPr>
                  </w:pPr>
                  <w:r>
                    <w:rPr>
                      <w:rFonts w:hint="eastAsia" w:cs="Times New Roman"/>
                      <w:color w:val="0000FF"/>
                      <w:kern w:val="0"/>
                      <w:sz w:val="21"/>
                      <w:szCs w:val="21"/>
                      <w:lang w:eastAsia="zh-CN"/>
                    </w:rPr>
                    <w:t>本项目位于淮北市杜集区东山路202号（淮北众城水泥有限责任公司院内），不涉及燃煤发电机组</w:t>
                  </w:r>
                </w:p>
              </w:tc>
              <w:tc>
                <w:tcPr>
                  <w:tcW w:w="499" w:type="pct"/>
                  <w:tcBorders>
                    <w:tl2br w:val="nil"/>
                    <w:tr2bl w:val="nil"/>
                  </w:tcBorders>
                  <w:noWrap w:val="0"/>
                  <w:vAlign w:val="center"/>
                </w:tcPr>
                <w:p w14:paraId="1892199C">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color w:val="0000FF"/>
                      <w:sz w:val="21"/>
                      <w:szCs w:val="21"/>
                      <w:lang w:eastAsia="zh-CN"/>
                    </w:rPr>
                  </w:pPr>
                  <w:r>
                    <w:rPr>
                      <w:rFonts w:hint="eastAsia" w:cs="Times New Roman"/>
                      <w:color w:val="0000FF"/>
                      <w:sz w:val="21"/>
                      <w:szCs w:val="21"/>
                      <w:lang w:eastAsia="zh-CN"/>
                    </w:rPr>
                    <w:t>符合</w:t>
                  </w:r>
                </w:p>
              </w:tc>
            </w:tr>
            <w:tr w14:paraId="70C1B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03" w:type="pct"/>
                  <w:tcBorders>
                    <w:tl2br w:val="nil"/>
                    <w:tr2bl w:val="nil"/>
                  </w:tcBorders>
                  <w:noWrap w:val="0"/>
                  <w:vAlign w:val="center"/>
                </w:tcPr>
                <w:p w14:paraId="441336E6">
                  <w:pPr>
                    <w:keepNext w:val="0"/>
                    <w:keepLines w:val="0"/>
                    <w:pageBreakBefore w:val="0"/>
                    <w:kinsoku/>
                    <w:wordWrap/>
                    <w:overflowPunct/>
                    <w:topLinePunct w:val="0"/>
                    <w:autoSpaceDE/>
                    <w:autoSpaceDN/>
                    <w:bidi w:val="0"/>
                    <w:snapToGrid/>
                    <w:spacing w:line="240" w:lineRule="auto"/>
                    <w:jc w:val="both"/>
                    <w:rPr>
                      <w:rFonts w:hint="eastAsia" w:cs="Times New Roman"/>
                      <w:i w:val="0"/>
                      <w:iCs w:val="0"/>
                      <w:caps w:val="0"/>
                      <w:color w:val="0000FF"/>
                      <w:spacing w:val="0"/>
                      <w:sz w:val="21"/>
                      <w:szCs w:val="21"/>
                      <w:shd w:val="clear" w:color="auto" w:fill="FFFFFF"/>
                      <w:lang w:eastAsia="zh-CN"/>
                    </w:rPr>
                  </w:pPr>
                  <w:r>
                    <w:rPr>
                      <w:rFonts w:hint="eastAsia" w:cs="Times New Roman"/>
                      <w:i w:val="0"/>
                      <w:iCs w:val="0"/>
                      <w:caps w:val="0"/>
                      <w:color w:val="0000FF"/>
                      <w:spacing w:val="0"/>
                      <w:sz w:val="21"/>
                      <w:szCs w:val="21"/>
                      <w:shd w:val="clear" w:color="auto" w:fill="FFFFFF"/>
                      <w:lang w:eastAsia="zh-CN"/>
                    </w:rPr>
                    <w:t>（六）加强挥发性有机物管控。积极督促指导VOCs年排放量1吨及以上企业对照挥发性有机物综合治理“一企一策”方案，对原辅材料替代、过程控制、末端治理及环境监管等环节逐一梳理，及时排查整治跑冒滴漏问题。着重对有机液体储罐、物料装卸、敞开液面、旁路、泄露检测等问题推进治理，更新排查台账，实现涉VOCs企业全覆盖。积极推进吸附剂、活性炭更换智能化全程管理，定期更换。2025年3月底前完成高效低泄漏呼吸阀、全接液浮盘等改造工作。</w:t>
                  </w:r>
                </w:p>
              </w:tc>
              <w:tc>
                <w:tcPr>
                  <w:tcW w:w="1697" w:type="pct"/>
                  <w:tcBorders>
                    <w:tl2br w:val="nil"/>
                    <w:tr2bl w:val="nil"/>
                  </w:tcBorders>
                  <w:noWrap w:val="0"/>
                  <w:vAlign w:val="center"/>
                </w:tcPr>
                <w:p w14:paraId="190F4EA2">
                  <w:pPr>
                    <w:keepNext w:val="0"/>
                    <w:keepLines w:val="0"/>
                    <w:pageBreakBefore w:val="0"/>
                    <w:kinsoku/>
                    <w:wordWrap/>
                    <w:overflowPunct/>
                    <w:topLinePunct w:val="0"/>
                    <w:autoSpaceDE/>
                    <w:autoSpaceDN/>
                    <w:bidi w:val="0"/>
                    <w:snapToGrid/>
                    <w:spacing w:line="240" w:lineRule="auto"/>
                    <w:jc w:val="both"/>
                    <w:rPr>
                      <w:rFonts w:hint="default" w:ascii="Times New Roman" w:hAnsi="Times New Roman" w:cs="Times New Roman"/>
                      <w:color w:val="0000FF"/>
                      <w:kern w:val="0"/>
                      <w:sz w:val="21"/>
                      <w:szCs w:val="21"/>
                    </w:rPr>
                  </w:pPr>
                  <w:r>
                    <w:rPr>
                      <w:rFonts w:hint="default" w:ascii="Times New Roman" w:hAnsi="Times New Roman" w:cs="Times New Roman"/>
                      <w:color w:val="0000FF"/>
                      <w:kern w:val="0"/>
                      <w:sz w:val="21"/>
                      <w:szCs w:val="21"/>
                    </w:rPr>
                    <w:t>本项目不涉及VOCs排放</w:t>
                  </w:r>
                </w:p>
              </w:tc>
              <w:tc>
                <w:tcPr>
                  <w:tcW w:w="499" w:type="pct"/>
                  <w:tcBorders>
                    <w:tl2br w:val="nil"/>
                    <w:tr2bl w:val="nil"/>
                  </w:tcBorders>
                  <w:noWrap w:val="0"/>
                  <w:vAlign w:val="center"/>
                </w:tcPr>
                <w:p w14:paraId="5461FB65">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color w:val="0000FF"/>
                      <w:sz w:val="21"/>
                      <w:szCs w:val="21"/>
                      <w:lang w:eastAsia="zh-CN"/>
                    </w:rPr>
                  </w:pPr>
                  <w:r>
                    <w:rPr>
                      <w:rFonts w:hint="eastAsia" w:cs="Times New Roman"/>
                      <w:color w:val="0000FF"/>
                      <w:sz w:val="21"/>
                      <w:szCs w:val="21"/>
                      <w:lang w:eastAsia="zh-CN"/>
                    </w:rPr>
                    <w:t>符合</w:t>
                  </w:r>
                </w:p>
              </w:tc>
            </w:tr>
            <w:tr w14:paraId="39A95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03" w:type="pct"/>
                  <w:tcBorders>
                    <w:tl2br w:val="nil"/>
                    <w:tr2bl w:val="nil"/>
                  </w:tcBorders>
                  <w:noWrap w:val="0"/>
                  <w:vAlign w:val="center"/>
                </w:tcPr>
                <w:p w14:paraId="5351ACC0">
                  <w:pPr>
                    <w:keepNext w:val="0"/>
                    <w:keepLines w:val="0"/>
                    <w:pageBreakBefore w:val="0"/>
                    <w:kinsoku/>
                    <w:wordWrap/>
                    <w:overflowPunct/>
                    <w:topLinePunct w:val="0"/>
                    <w:autoSpaceDE/>
                    <w:autoSpaceDN/>
                    <w:bidi w:val="0"/>
                    <w:snapToGrid/>
                    <w:spacing w:line="240" w:lineRule="auto"/>
                    <w:jc w:val="both"/>
                    <w:rPr>
                      <w:rFonts w:hint="eastAsia" w:cs="Times New Roman"/>
                      <w:i w:val="0"/>
                      <w:iCs w:val="0"/>
                      <w:caps w:val="0"/>
                      <w:color w:val="0000FF"/>
                      <w:spacing w:val="0"/>
                      <w:sz w:val="21"/>
                      <w:szCs w:val="21"/>
                      <w:shd w:val="clear" w:color="auto" w:fill="FFFFFF"/>
                      <w:lang w:eastAsia="zh-CN"/>
                    </w:rPr>
                  </w:pPr>
                  <w:r>
                    <w:rPr>
                      <w:rFonts w:hint="eastAsia" w:cs="Times New Roman"/>
                      <w:i w:val="0"/>
                      <w:iCs w:val="0"/>
                      <w:caps w:val="0"/>
                      <w:color w:val="0000FF"/>
                      <w:spacing w:val="0"/>
                      <w:sz w:val="21"/>
                      <w:szCs w:val="21"/>
                      <w:shd w:val="clear" w:color="auto" w:fill="FFFFFF"/>
                      <w:lang w:eastAsia="zh-CN"/>
                    </w:rPr>
                    <w:t>（七）加快落后废气治理工艺淘汰。对照《国家污染防治技术指导目录（限制和淘汰类）》要求，指导督促仍在使用低效失效废气治理设施、难以稳定达标排放的企业实施提升改造，特别是目前存量较大的VOCs光催化、光解（光氧化）、低温等离子体净化设施，2025年3月底前完成淘汰更新，争取“夏病冬治”。实施差异化的应急管控措施，鼓励企业改造提升环保绩效等级，进一步提高A级、B级及引领性绩效等级企业占比。</w:t>
                  </w:r>
                </w:p>
              </w:tc>
              <w:tc>
                <w:tcPr>
                  <w:tcW w:w="1697" w:type="pct"/>
                  <w:tcBorders>
                    <w:tl2br w:val="nil"/>
                    <w:tr2bl w:val="nil"/>
                  </w:tcBorders>
                  <w:noWrap w:val="0"/>
                  <w:vAlign w:val="center"/>
                </w:tcPr>
                <w:p w14:paraId="69B0D273">
                  <w:pPr>
                    <w:keepNext w:val="0"/>
                    <w:keepLines w:val="0"/>
                    <w:pageBreakBefore w:val="0"/>
                    <w:kinsoku/>
                    <w:wordWrap/>
                    <w:overflowPunct/>
                    <w:topLinePunct w:val="0"/>
                    <w:autoSpaceDE/>
                    <w:autoSpaceDN/>
                    <w:bidi w:val="0"/>
                    <w:snapToGrid/>
                    <w:spacing w:line="240" w:lineRule="auto"/>
                    <w:jc w:val="both"/>
                    <w:rPr>
                      <w:rFonts w:hint="eastAsia" w:ascii="Times New Roman" w:hAnsi="Times New Roman" w:eastAsia="宋体" w:cs="Times New Roman"/>
                      <w:color w:val="0000FF"/>
                      <w:kern w:val="0"/>
                      <w:sz w:val="21"/>
                      <w:szCs w:val="21"/>
                      <w:lang w:eastAsia="zh-CN"/>
                    </w:rPr>
                  </w:pPr>
                  <w:r>
                    <w:rPr>
                      <w:rFonts w:hint="eastAsia" w:cs="Times New Roman"/>
                      <w:color w:val="0000FF"/>
                      <w:kern w:val="0"/>
                      <w:sz w:val="21"/>
                      <w:szCs w:val="21"/>
                      <w:lang w:eastAsia="zh-CN"/>
                    </w:rPr>
                    <w:t>本项目主要依托现有窑尾烟气净化系统（SNCR+布袋除尘器）处理窑尾，不新增废气污染治理设施，现有废气治理技术不属于限制和淘汰类</w:t>
                  </w:r>
                </w:p>
              </w:tc>
              <w:tc>
                <w:tcPr>
                  <w:tcW w:w="499" w:type="pct"/>
                  <w:tcBorders>
                    <w:tl2br w:val="nil"/>
                    <w:tr2bl w:val="nil"/>
                  </w:tcBorders>
                  <w:noWrap w:val="0"/>
                  <w:vAlign w:val="center"/>
                </w:tcPr>
                <w:p w14:paraId="65CE0FE9">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color w:val="0000FF"/>
                      <w:sz w:val="21"/>
                      <w:szCs w:val="21"/>
                      <w:lang w:eastAsia="zh-CN"/>
                    </w:rPr>
                  </w:pPr>
                  <w:r>
                    <w:rPr>
                      <w:rFonts w:hint="eastAsia" w:cs="Times New Roman"/>
                      <w:color w:val="0000FF"/>
                      <w:sz w:val="21"/>
                      <w:szCs w:val="21"/>
                      <w:lang w:eastAsia="zh-CN"/>
                    </w:rPr>
                    <w:t>符合</w:t>
                  </w:r>
                </w:p>
              </w:tc>
            </w:tr>
          </w:tbl>
          <w:p w14:paraId="3A670930">
            <w:pPr>
              <w:pStyle w:val="39"/>
              <w:spacing w:line="360" w:lineRule="auto"/>
              <w:ind w:firstLine="482" w:firstLineChars="200"/>
              <w:jc w:val="both"/>
              <w:rPr>
                <w:rFonts w:hint="default" w:ascii="Times New Roman" w:hAnsi="Times New Roman" w:cs="Times New Roman"/>
                <w:b/>
                <w:bCs/>
                <w:color w:val="auto"/>
                <w:kern w:val="0"/>
              </w:rPr>
            </w:pPr>
            <w:r>
              <w:rPr>
                <w:rFonts w:hint="eastAsia" w:ascii="Times New Roman" w:hAnsi="Times New Roman" w:cs="Times New Roman"/>
                <w:b/>
                <w:bCs/>
                <w:color w:val="auto"/>
                <w:kern w:val="0"/>
                <w:lang w:val="en-US" w:eastAsia="zh-CN"/>
              </w:rPr>
              <w:t>5、</w:t>
            </w:r>
            <w:r>
              <w:rPr>
                <w:rFonts w:hint="default" w:ascii="Times New Roman" w:hAnsi="Times New Roman" w:cs="Times New Roman"/>
                <w:b/>
                <w:bCs/>
                <w:color w:val="auto"/>
                <w:kern w:val="0"/>
              </w:rPr>
              <w:t>与淮北市生态环境保护委员会办公室关于印发《淮北市2023-2024年秋冬季大气污染防治攻坚行动实施方案》的通知（淮环委办〔2023〕48号）符合性分析</w:t>
            </w:r>
          </w:p>
          <w:p w14:paraId="514A37C3">
            <w:pPr>
              <w:autoSpaceDE w:val="0"/>
              <w:autoSpaceDN w:val="0"/>
              <w:adjustRightInd w:val="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表1-</w:t>
            </w:r>
            <w:r>
              <w:rPr>
                <w:rFonts w:hint="eastAsia" w:cs="Times New Roman"/>
                <w:b/>
                <w:color w:val="auto"/>
                <w:lang w:val="en-US" w:eastAsia="zh-CN"/>
              </w:rPr>
              <w:t>13</w:t>
            </w:r>
            <w:r>
              <w:rPr>
                <w:rFonts w:hint="default" w:ascii="Times New Roman" w:hAnsi="Times New Roman" w:eastAsia="宋体" w:cs="Times New Roman"/>
                <w:b/>
                <w:color w:val="auto"/>
              </w:rPr>
              <w:t xml:space="preserve"> 与《淮北市202</w:t>
            </w:r>
            <w:r>
              <w:rPr>
                <w:rFonts w:hint="eastAsia" w:ascii="Times New Roman" w:hAnsi="Times New Roman" w:eastAsia="宋体" w:cs="Times New Roman"/>
                <w:b/>
                <w:color w:val="auto"/>
                <w:lang w:val="en-US" w:eastAsia="zh-CN"/>
              </w:rPr>
              <w:t>3</w:t>
            </w:r>
            <w:r>
              <w:rPr>
                <w:rFonts w:hint="default" w:ascii="Times New Roman" w:hAnsi="Times New Roman" w:eastAsia="宋体" w:cs="Times New Roman"/>
                <w:b/>
                <w:color w:val="auto"/>
              </w:rPr>
              <w:t>-202</w:t>
            </w:r>
            <w:r>
              <w:rPr>
                <w:rFonts w:hint="eastAsia" w:ascii="Times New Roman" w:hAnsi="Times New Roman" w:eastAsia="宋体" w:cs="Times New Roman"/>
                <w:b/>
                <w:color w:val="auto"/>
                <w:lang w:val="en-US" w:eastAsia="zh-CN"/>
              </w:rPr>
              <w:t>4</w:t>
            </w:r>
            <w:r>
              <w:rPr>
                <w:rFonts w:hint="default" w:ascii="Times New Roman" w:hAnsi="Times New Roman" w:eastAsia="宋体" w:cs="Times New Roman"/>
                <w:b/>
                <w:color w:val="auto"/>
              </w:rPr>
              <w:t>年秋冬季大气污染防治攻坚行动实施方案》符合性分析</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65"/>
              <w:gridCol w:w="2108"/>
              <w:gridCol w:w="851"/>
            </w:tblGrid>
            <w:tr w14:paraId="386E9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3263" w:type="pct"/>
                  <w:tcBorders>
                    <w:tl2br w:val="nil"/>
                    <w:tr2bl w:val="nil"/>
                  </w:tcBorders>
                  <w:noWrap w:val="0"/>
                  <w:vAlign w:val="center"/>
                </w:tcPr>
                <w:p w14:paraId="1C67F6D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文件要求</w:t>
                  </w:r>
                </w:p>
              </w:tc>
              <w:tc>
                <w:tcPr>
                  <w:tcW w:w="1236" w:type="pct"/>
                  <w:tcBorders>
                    <w:tl2br w:val="nil"/>
                    <w:tr2bl w:val="nil"/>
                  </w:tcBorders>
                  <w:noWrap w:val="0"/>
                  <w:vAlign w:val="center"/>
                </w:tcPr>
                <w:p w14:paraId="68C5B5E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项目情况</w:t>
                  </w:r>
                </w:p>
              </w:tc>
              <w:tc>
                <w:tcPr>
                  <w:tcW w:w="499" w:type="pct"/>
                  <w:tcBorders>
                    <w:tl2br w:val="nil"/>
                    <w:tr2bl w:val="nil"/>
                  </w:tcBorders>
                  <w:noWrap w:val="0"/>
                  <w:vAlign w:val="center"/>
                </w:tcPr>
                <w:p w14:paraId="05CB926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符合性</w:t>
                  </w:r>
                </w:p>
              </w:tc>
            </w:tr>
            <w:tr w14:paraId="3BD79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63" w:type="pct"/>
                  <w:tcBorders>
                    <w:tl2br w:val="nil"/>
                    <w:tr2bl w:val="nil"/>
                  </w:tcBorders>
                  <w:noWrap w:val="0"/>
                  <w:vAlign w:val="center"/>
                </w:tcPr>
                <w:p w14:paraId="45C97319">
                  <w:pPr>
                    <w:keepNext w:val="0"/>
                    <w:keepLines w:val="0"/>
                    <w:pageBreakBefore w:val="0"/>
                    <w:kinsoku/>
                    <w:wordWrap/>
                    <w:overflowPunct/>
                    <w:topLinePunct w:val="0"/>
                    <w:autoSpaceDE/>
                    <w:autoSpaceDN/>
                    <w:bidi w:val="0"/>
                    <w:snapToGrid/>
                    <w:spacing w:line="240" w:lineRule="auto"/>
                    <w:jc w:val="both"/>
                    <w:rPr>
                      <w:rFonts w:hint="default" w:ascii="Times New Roman" w:hAnsi="Times New Roman" w:cs="Times New Roman"/>
                      <w:color w:val="auto"/>
                      <w:sz w:val="21"/>
                      <w:szCs w:val="21"/>
                    </w:rPr>
                  </w:pPr>
                  <w:r>
                    <w:rPr>
                      <w:rFonts w:hint="default" w:ascii="Times New Roman" w:hAnsi="Times New Roman" w:eastAsia="宋体" w:cs="Times New Roman"/>
                      <w:i w:val="0"/>
                      <w:iCs w:val="0"/>
                      <w:caps w:val="0"/>
                      <w:color w:val="auto"/>
                      <w:spacing w:val="0"/>
                      <w:sz w:val="21"/>
                      <w:szCs w:val="21"/>
                      <w:shd w:val="clear" w:color="auto" w:fill="FFFFFF"/>
                    </w:rPr>
                    <w:t>聚焦重点行业深度治理。积极推进火电行业超净排放改造，全力推进建成区</w:t>
                  </w:r>
                  <w:r>
                    <w:rPr>
                      <w:rFonts w:hint="eastAsia" w:cs="Times New Roman"/>
                      <w:i w:val="0"/>
                      <w:iCs w:val="0"/>
                      <w:caps w:val="0"/>
                      <w:color w:val="auto"/>
                      <w:spacing w:val="0"/>
                      <w:sz w:val="21"/>
                      <w:szCs w:val="21"/>
                      <w:shd w:val="clear" w:color="auto" w:fill="FFFFFF"/>
                      <w:lang w:eastAsia="zh-CN"/>
                    </w:rPr>
                    <w:t>生物质</w:t>
                  </w:r>
                  <w:r>
                    <w:rPr>
                      <w:rFonts w:hint="default" w:ascii="Times New Roman" w:hAnsi="Times New Roman" w:eastAsia="宋体" w:cs="Times New Roman"/>
                      <w:i w:val="0"/>
                      <w:iCs w:val="0"/>
                      <w:caps w:val="0"/>
                      <w:color w:val="auto"/>
                      <w:spacing w:val="0"/>
                      <w:sz w:val="21"/>
                      <w:szCs w:val="21"/>
                      <w:shd w:val="clear" w:color="auto" w:fill="FFFFFF"/>
                    </w:rPr>
                    <w:t>电厂超低排放改造；持续加强水泥、焦化行业超低排放改造工程。企业要根据实际选择成熟适用的技术路线，严把工程质量，加强运行管理，确保全工序、全环节达到排放要求。落实安徽省地方污染物排放标准和绩效分级差异管控，提升企业改造积极性和运行管理水平。经评估监测确认全面达到重污染天气应急减排评定相关标准的企业，按程序纳入动态清单管理，分类施策。</w:t>
                  </w:r>
                </w:p>
              </w:tc>
              <w:tc>
                <w:tcPr>
                  <w:tcW w:w="1236" w:type="pct"/>
                  <w:tcBorders>
                    <w:tl2br w:val="nil"/>
                    <w:tr2bl w:val="nil"/>
                  </w:tcBorders>
                  <w:noWrap w:val="0"/>
                  <w:vAlign w:val="center"/>
                </w:tcPr>
                <w:p w14:paraId="181C8CCD">
                  <w:pPr>
                    <w:keepNext w:val="0"/>
                    <w:keepLines w:val="0"/>
                    <w:pageBreakBefore w:val="0"/>
                    <w:kinsoku/>
                    <w:wordWrap/>
                    <w:overflowPunct/>
                    <w:topLinePunct w:val="0"/>
                    <w:autoSpaceDE/>
                    <w:autoSpaceDN/>
                    <w:bidi w:val="0"/>
                    <w:snapToGrid/>
                    <w:spacing w:line="240" w:lineRule="auto"/>
                    <w:jc w:val="both"/>
                    <w:rPr>
                      <w:rFonts w:hint="default" w:ascii="Times New Roman" w:hAnsi="Times New Roman" w:cs="Times New Roman"/>
                      <w:color w:val="auto"/>
                      <w:sz w:val="21"/>
                      <w:szCs w:val="21"/>
                      <w:lang w:val="en-US"/>
                    </w:rPr>
                  </w:pPr>
                  <w:r>
                    <w:rPr>
                      <w:rFonts w:hint="default" w:ascii="Times New Roman" w:hAnsi="Times New Roman" w:cs="Times New Roman"/>
                      <w:color w:val="auto"/>
                      <w:kern w:val="0"/>
                      <w:sz w:val="21"/>
                      <w:szCs w:val="21"/>
                    </w:rPr>
                    <w:t>本项目</w:t>
                  </w:r>
                  <w:r>
                    <w:rPr>
                      <w:rFonts w:hint="default" w:ascii="Times New Roman" w:hAnsi="Times New Roman" w:cs="Times New Roman"/>
                      <w:color w:val="auto"/>
                      <w:kern w:val="0"/>
                      <w:sz w:val="21"/>
                      <w:szCs w:val="21"/>
                      <w:lang w:val="en-US" w:eastAsia="zh-CN"/>
                    </w:rPr>
                    <w:t>为</w:t>
                  </w:r>
                  <w:r>
                    <w:rPr>
                      <w:rFonts w:hint="eastAsia" w:cs="Times New Roman"/>
                      <w:color w:val="auto"/>
                      <w:sz w:val="21"/>
                      <w:szCs w:val="21"/>
                      <w:lang w:eastAsia="zh-CN"/>
                    </w:rPr>
                    <w:t>N7723固体废物治理</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为水泥熟料生产线生物质替代燃料节能减排技术改造项目</w:t>
                  </w:r>
                </w:p>
              </w:tc>
              <w:tc>
                <w:tcPr>
                  <w:tcW w:w="499" w:type="pct"/>
                  <w:tcBorders>
                    <w:tl2br w:val="nil"/>
                    <w:tr2bl w:val="nil"/>
                  </w:tcBorders>
                  <w:noWrap w:val="0"/>
                  <w:vAlign w:val="center"/>
                </w:tcPr>
                <w:p w14:paraId="34A7AF5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4F0EC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63" w:type="pct"/>
                  <w:tcBorders>
                    <w:tl2br w:val="nil"/>
                    <w:tr2bl w:val="nil"/>
                  </w:tcBorders>
                  <w:noWrap w:val="0"/>
                  <w:vAlign w:val="center"/>
                </w:tcPr>
                <w:p w14:paraId="3166EF61">
                  <w:pPr>
                    <w:keepNext w:val="0"/>
                    <w:keepLines w:val="0"/>
                    <w:pageBreakBefore w:val="0"/>
                    <w:kinsoku/>
                    <w:wordWrap/>
                    <w:overflowPunct/>
                    <w:topLinePunct w:val="0"/>
                    <w:autoSpaceDE/>
                    <w:autoSpaceDN/>
                    <w:bidi w:val="0"/>
                    <w:snapToGrid/>
                    <w:spacing w:line="240" w:lineRule="auto"/>
                    <w:jc w:val="both"/>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aps w:val="0"/>
                      <w:color w:val="auto"/>
                      <w:spacing w:val="0"/>
                      <w:sz w:val="21"/>
                      <w:szCs w:val="21"/>
                      <w:shd w:val="clear" w:color="auto" w:fill="FFFFFF"/>
                    </w:rPr>
                    <w:t>扎实推进VOCs综合治理工程。以化工、工业涂装、包装印刷和油品储运销为重点，按照《关于加快解决当前挥发性有机物治理突出问题的通知》提出的10个关键环节，开展源头、过程和末端全流程治理改造提升。分类推进低（无）VOCs含量原辅材料源头替代、加油站油气综合治理、有机废气收集处理设施升级改造、VOCs治</w:t>
                  </w:r>
                  <w:r>
                    <w:rPr>
                      <w:rFonts w:hint="eastAsia" w:ascii="宋体" w:hAnsi="宋体" w:eastAsia="宋体" w:cs="宋体"/>
                      <w:i w:val="0"/>
                      <w:iCs w:val="0"/>
                      <w:caps w:val="0"/>
                      <w:color w:val="auto"/>
                      <w:spacing w:val="0"/>
                      <w:sz w:val="21"/>
                      <w:szCs w:val="21"/>
                      <w:shd w:val="clear" w:color="auto" w:fill="FFFFFF"/>
                    </w:rPr>
                    <w:t>理“绿岛”项</w:t>
                  </w:r>
                  <w:r>
                    <w:rPr>
                      <w:rFonts w:hint="default" w:ascii="Times New Roman" w:hAnsi="Times New Roman" w:eastAsia="宋体" w:cs="Times New Roman"/>
                      <w:i w:val="0"/>
                      <w:iCs w:val="0"/>
                      <w:caps w:val="0"/>
                      <w:color w:val="auto"/>
                      <w:spacing w:val="0"/>
                      <w:sz w:val="21"/>
                      <w:szCs w:val="21"/>
                      <w:shd w:val="clear" w:color="auto" w:fill="FFFFFF"/>
                    </w:rPr>
                    <w:t>目等。加强企业运行管理，规范开展泄漏检测与修复（LDAR），强化有机</w:t>
                  </w:r>
                  <w:r>
                    <w:rPr>
                      <w:rFonts w:hint="eastAsia" w:ascii="宋体" w:hAnsi="宋体" w:eastAsia="宋体" w:cs="宋体"/>
                      <w:i w:val="0"/>
                      <w:iCs w:val="0"/>
                      <w:caps w:val="0"/>
                      <w:color w:val="auto"/>
                      <w:spacing w:val="0"/>
                      <w:sz w:val="21"/>
                      <w:szCs w:val="21"/>
                      <w:shd w:val="clear" w:color="auto" w:fill="FFFFFF"/>
                    </w:rPr>
                    <w:t>废气旁路综合整治；运用我市重点行业企业“一企一案”成</w:t>
                  </w:r>
                  <w:r>
                    <w:rPr>
                      <w:rFonts w:hint="default" w:ascii="Times New Roman" w:hAnsi="Times New Roman" w:eastAsia="宋体" w:cs="Times New Roman"/>
                      <w:i w:val="0"/>
                      <w:iCs w:val="0"/>
                      <w:caps w:val="0"/>
                      <w:color w:val="auto"/>
                      <w:spacing w:val="0"/>
                      <w:sz w:val="21"/>
                      <w:szCs w:val="21"/>
                      <w:shd w:val="clear" w:color="auto" w:fill="FFFFFF"/>
                    </w:rPr>
                    <w:t>果，推动76家企业VOCs治理水平提升</w:t>
                  </w:r>
                  <w:r>
                    <w:rPr>
                      <w:rFonts w:hint="eastAsia" w:cs="Times New Roman"/>
                      <w:i w:val="0"/>
                      <w:iCs w:val="0"/>
                      <w:caps w:val="0"/>
                      <w:color w:val="auto"/>
                      <w:spacing w:val="0"/>
                      <w:sz w:val="21"/>
                      <w:szCs w:val="21"/>
                      <w:shd w:val="clear" w:color="auto" w:fill="FFFFFF"/>
                      <w:lang w:eastAsia="zh-CN"/>
                    </w:rPr>
                    <w:t>。</w:t>
                  </w:r>
                </w:p>
              </w:tc>
              <w:tc>
                <w:tcPr>
                  <w:tcW w:w="1236" w:type="pct"/>
                  <w:tcBorders>
                    <w:tl2br w:val="nil"/>
                    <w:tr2bl w:val="nil"/>
                  </w:tcBorders>
                  <w:noWrap w:val="0"/>
                  <w:vAlign w:val="center"/>
                </w:tcPr>
                <w:p w14:paraId="2A7E05A3">
                  <w:pPr>
                    <w:pStyle w:val="82"/>
                    <w:keepNext w:val="0"/>
                    <w:keepLines w:val="0"/>
                    <w:pageBreakBefore w:val="0"/>
                    <w:kinsoku/>
                    <w:wordWrap/>
                    <w:overflowPunct/>
                    <w:topLinePunct w:val="0"/>
                    <w:autoSpaceDE/>
                    <w:autoSpaceDN/>
                    <w:bidi w:val="0"/>
                    <w:snapToGrid/>
                    <w:spacing w:line="240" w:lineRule="auto"/>
                    <w:jc w:val="both"/>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本项目不涉及</w:t>
                  </w:r>
                  <w:r>
                    <w:rPr>
                      <w:rFonts w:hint="eastAsia" w:ascii="Times New Roman" w:hAnsi="Times New Roman" w:cs="Times New Roman"/>
                      <w:color w:val="auto"/>
                      <w:sz w:val="21"/>
                      <w:szCs w:val="21"/>
                      <w:lang w:val="en-US" w:eastAsia="zh-CN"/>
                    </w:rPr>
                    <w:t>VOCs排放</w:t>
                  </w:r>
                </w:p>
              </w:tc>
              <w:tc>
                <w:tcPr>
                  <w:tcW w:w="499" w:type="pct"/>
                  <w:tcBorders>
                    <w:tl2br w:val="nil"/>
                    <w:tr2bl w:val="nil"/>
                  </w:tcBorders>
                  <w:noWrap w:val="0"/>
                  <w:vAlign w:val="center"/>
                </w:tcPr>
                <w:p w14:paraId="71BF1B5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524D9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63" w:type="pct"/>
                  <w:tcBorders>
                    <w:tl2br w:val="nil"/>
                    <w:tr2bl w:val="nil"/>
                  </w:tcBorders>
                  <w:noWrap w:val="0"/>
                  <w:vAlign w:val="center"/>
                </w:tcPr>
                <w:p w14:paraId="17F101A4">
                  <w:pPr>
                    <w:keepNext w:val="0"/>
                    <w:keepLines w:val="0"/>
                    <w:pageBreakBefore w:val="0"/>
                    <w:kinsoku/>
                    <w:wordWrap/>
                    <w:overflowPunct/>
                    <w:topLinePunct w:val="0"/>
                    <w:autoSpaceDE/>
                    <w:autoSpaceDN/>
                    <w:bidi w:val="0"/>
                    <w:snapToGrid/>
                    <w:spacing w:line="240" w:lineRule="auto"/>
                    <w:jc w:val="both"/>
                    <w:rPr>
                      <w:rFonts w:hint="default" w:ascii="Times New Roman" w:hAnsi="Times New Roman" w:eastAsia="宋体" w:cs="Times New Roman"/>
                      <w:i w:val="0"/>
                      <w:iCs w:val="0"/>
                      <w:caps w:val="0"/>
                      <w:color w:val="auto"/>
                      <w:spacing w:val="0"/>
                      <w:sz w:val="21"/>
                      <w:szCs w:val="21"/>
                      <w:shd w:val="clear" w:color="auto" w:fill="FFFFFF"/>
                    </w:rPr>
                  </w:pPr>
                  <w:r>
                    <w:rPr>
                      <w:rFonts w:hint="eastAsia" w:ascii="宋体" w:hAnsi="宋体" w:eastAsia="宋体" w:cs="宋体"/>
                      <w:i w:val="0"/>
                      <w:iCs w:val="0"/>
                      <w:caps w:val="0"/>
                      <w:color w:val="auto"/>
                      <w:spacing w:val="0"/>
                      <w:sz w:val="21"/>
                      <w:szCs w:val="21"/>
                      <w:shd w:val="clear" w:color="auto" w:fill="FFFFFF"/>
                    </w:rPr>
                    <w:t>强化“散乱污”企业综合整治。依据《淮北市关于开展整治“散乱污”企业专项行动实施方案》要求，持续开展拉网式排查，建立动态管理台账。对“散乱污”企业采取分类整治，对整治无望的落实“两断三清”（断水、断电、清除原料、清除设备、清除产品），坚决防止已关停取缔的“散乱污”企业死灰复燃、异地转移。各县区、市高新区、新型煤化工基地要明确责任人，建立落实“散乱污”企业排查、取缔责任，确保整治工作有效推进。</w:t>
                  </w:r>
                </w:p>
              </w:tc>
              <w:tc>
                <w:tcPr>
                  <w:tcW w:w="1236" w:type="pct"/>
                  <w:tcBorders>
                    <w:tl2br w:val="nil"/>
                    <w:tr2bl w:val="nil"/>
                  </w:tcBorders>
                  <w:noWrap w:val="0"/>
                  <w:vAlign w:val="center"/>
                </w:tcPr>
                <w:p w14:paraId="6B0A3D9F">
                  <w:pPr>
                    <w:pStyle w:val="82"/>
                    <w:keepNext w:val="0"/>
                    <w:keepLines w:val="0"/>
                    <w:pageBreakBefore w:val="0"/>
                    <w:kinsoku/>
                    <w:wordWrap/>
                    <w:overflowPunct/>
                    <w:topLinePunct w:val="0"/>
                    <w:autoSpaceDE/>
                    <w:autoSpaceDN/>
                    <w:bidi w:val="0"/>
                    <w:snapToGrid/>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本项目不属于</w:t>
                  </w:r>
                  <w:r>
                    <w:rPr>
                      <w:rFonts w:hint="eastAsia" w:ascii="宋体" w:hAnsi="宋体" w:eastAsia="宋体" w:cs="宋体"/>
                      <w:i w:val="0"/>
                      <w:iCs w:val="0"/>
                      <w:caps w:val="0"/>
                      <w:color w:val="auto"/>
                      <w:spacing w:val="0"/>
                      <w:sz w:val="21"/>
                      <w:szCs w:val="21"/>
                      <w:shd w:val="clear" w:color="auto" w:fill="FFFFFF"/>
                    </w:rPr>
                    <w:t>“散乱污”企业</w:t>
                  </w:r>
                </w:p>
              </w:tc>
              <w:tc>
                <w:tcPr>
                  <w:tcW w:w="499" w:type="pct"/>
                  <w:tcBorders>
                    <w:tl2br w:val="nil"/>
                    <w:tr2bl w:val="nil"/>
                  </w:tcBorders>
                  <w:noWrap w:val="0"/>
                  <w:vAlign w:val="center"/>
                </w:tcPr>
                <w:p w14:paraId="5E3A35E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符合</w:t>
                  </w:r>
                </w:p>
              </w:tc>
            </w:tr>
            <w:tr w14:paraId="07715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63" w:type="pct"/>
                  <w:tcBorders>
                    <w:tl2br w:val="nil"/>
                    <w:tr2bl w:val="nil"/>
                  </w:tcBorders>
                  <w:noWrap w:val="0"/>
                  <w:vAlign w:val="center"/>
                </w:tcPr>
                <w:p w14:paraId="312098EA">
                  <w:pPr>
                    <w:keepNext w:val="0"/>
                    <w:keepLines w:val="0"/>
                    <w:pageBreakBefore w:val="0"/>
                    <w:kinsoku/>
                    <w:wordWrap/>
                    <w:overflowPunct/>
                    <w:topLinePunct w:val="0"/>
                    <w:autoSpaceDE/>
                    <w:autoSpaceDN/>
                    <w:bidi w:val="0"/>
                    <w:snapToGrid/>
                    <w:spacing w:line="240" w:lineRule="auto"/>
                    <w:jc w:val="both"/>
                    <w:rPr>
                      <w:rFonts w:hint="default" w:ascii="Times New Roman" w:hAnsi="Times New Roman" w:eastAsia="宋体" w:cs="Times New Roman"/>
                      <w:i w:val="0"/>
                      <w:iCs w:val="0"/>
                      <w:caps w:val="0"/>
                      <w:color w:val="auto"/>
                      <w:spacing w:val="0"/>
                      <w:sz w:val="21"/>
                      <w:szCs w:val="21"/>
                      <w:shd w:val="clear" w:color="auto" w:fill="FFFFFF"/>
                    </w:rPr>
                  </w:pPr>
                  <w:r>
                    <w:rPr>
                      <w:rFonts w:hint="eastAsia" w:ascii="宋体" w:hAnsi="宋体" w:eastAsia="宋体" w:cs="宋体"/>
                      <w:i w:val="0"/>
                      <w:iCs w:val="0"/>
                      <w:caps w:val="0"/>
                      <w:color w:val="auto"/>
                      <w:spacing w:val="0"/>
                      <w:sz w:val="21"/>
                      <w:szCs w:val="21"/>
                      <w:shd w:val="clear" w:color="auto" w:fill="FFFFFF"/>
                    </w:rPr>
                    <w:t>强化扬尘综合管控。依据《淮北市扬尘污染防治管理办法》，压实责任，加强扬尘精细化管控，城市施工工地严格执行“六个百分之百”。按照《安徽省建筑工程施工扬尘污染防治规定》《建筑工程施工和预拌混凝土生产扬尘污染防治标准（试行）》要求，加强日常管理，推进问题整改，主要包括建筑工地、城市道路、城市周边干道、拆迁工地和老旧小区改造、公路建设、重点工程、工业企业及其堆场、渣土受纳场、混凝土搅拌站、港口码头及其堆场、露天矿山等的扬尘治理。加强运输车辆综合治理，加大重点区域湿扫冲洗力度，推深做实“洁净相城”，常态化开展道路积尘负荷走航监测。严格实行降尘监测和考核，降尘量不高于</w:t>
                  </w:r>
                  <w:r>
                    <w:rPr>
                      <w:rFonts w:hint="default" w:ascii="Times New Roman" w:hAnsi="Times New Roman" w:eastAsia="宋体" w:cs="Times New Roman"/>
                      <w:i w:val="0"/>
                      <w:iCs w:val="0"/>
                      <w:caps w:val="0"/>
                      <w:color w:val="auto"/>
                      <w:spacing w:val="0"/>
                      <w:sz w:val="21"/>
                      <w:szCs w:val="21"/>
                      <w:shd w:val="clear" w:color="auto" w:fill="FFFFFF"/>
                    </w:rPr>
                    <w:t>7</w:t>
                  </w:r>
                  <w:r>
                    <w:rPr>
                      <w:rFonts w:hint="eastAsia" w:ascii="宋体" w:hAnsi="宋体" w:eastAsia="宋体" w:cs="宋体"/>
                      <w:i w:val="0"/>
                      <w:iCs w:val="0"/>
                      <w:caps w:val="0"/>
                      <w:color w:val="auto"/>
                      <w:spacing w:val="0"/>
                      <w:sz w:val="21"/>
                      <w:szCs w:val="21"/>
                      <w:shd w:val="clear" w:color="auto" w:fill="FFFFFF"/>
                    </w:rPr>
                    <w:t>吨/月·平方公里。</w:t>
                  </w:r>
                </w:p>
              </w:tc>
              <w:tc>
                <w:tcPr>
                  <w:tcW w:w="1236" w:type="pct"/>
                  <w:tcBorders>
                    <w:tl2br w:val="nil"/>
                    <w:tr2bl w:val="nil"/>
                  </w:tcBorders>
                  <w:noWrap w:val="0"/>
                  <w:vAlign w:val="center"/>
                </w:tcPr>
                <w:p w14:paraId="6CF4F8E0">
                  <w:pPr>
                    <w:pStyle w:val="82"/>
                    <w:keepNext w:val="0"/>
                    <w:keepLines w:val="0"/>
                    <w:pageBreakBefore w:val="0"/>
                    <w:kinsoku/>
                    <w:wordWrap/>
                    <w:overflowPunct/>
                    <w:topLinePunct w:val="0"/>
                    <w:autoSpaceDE/>
                    <w:autoSpaceDN/>
                    <w:bidi w:val="0"/>
                    <w:snapToGrid/>
                    <w:spacing w:line="240" w:lineRule="auto"/>
                    <w:jc w:val="both"/>
                    <w:rPr>
                      <w:rFonts w:hint="eastAsia" w:ascii="宋体" w:hAnsi="宋体" w:eastAsia="宋体" w:cs="宋体"/>
                      <w:color w:val="0000FF"/>
                      <w:sz w:val="21"/>
                      <w:szCs w:val="21"/>
                      <w:lang w:val="en-US" w:eastAsia="zh-CN"/>
                    </w:rPr>
                  </w:pPr>
                  <w:r>
                    <w:rPr>
                      <w:rFonts w:hint="eastAsia" w:ascii="宋体" w:hAnsi="宋体" w:eastAsia="宋体" w:cs="宋体"/>
                      <w:color w:val="auto"/>
                      <w:sz w:val="21"/>
                      <w:szCs w:val="21"/>
                      <w:lang w:val="en-US" w:eastAsia="zh-CN"/>
                    </w:rPr>
                    <w:t>本项目施工期</w:t>
                  </w:r>
                  <w:r>
                    <w:rPr>
                      <w:rFonts w:hint="eastAsia" w:ascii="宋体" w:hAnsi="宋体" w:eastAsia="宋体" w:cs="宋体"/>
                      <w:i w:val="0"/>
                      <w:iCs w:val="0"/>
                      <w:caps w:val="0"/>
                      <w:color w:val="auto"/>
                      <w:spacing w:val="0"/>
                      <w:sz w:val="21"/>
                      <w:szCs w:val="21"/>
                      <w:shd w:val="clear" w:color="auto" w:fill="FFFFFF"/>
                    </w:rPr>
                    <w:t>严格执行“六个百分之百”</w:t>
                  </w:r>
                  <w:r>
                    <w:rPr>
                      <w:rFonts w:hint="eastAsia" w:ascii="宋体" w:hAnsi="宋体" w:eastAsia="宋体" w:cs="宋体"/>
                      <w:i w:val="0"/>
                      <w:iCs w:val="0"/>
                      <w:caps w:val="0"/>
                      <w:color w:val="auto"/>
                      <w:spacing w:val="0"/>
                      <w:sz w:val="21"/>
                      <w:szCs w:val="21"/>
                      <w:shd w:val="clear" w:color="auto" w:fill="FFFFFF"/>
                      <w:lang w:eastAsia="zh-CN"/>
                    </w:rPr>
                    <w:t>，</w:t>
                  </w:r>
                  <w:r>
                    <w:rPr>
                      <w:rFonts w:hint="eastAsia" w:ascii="宋体" w:hAnsi="宋体" w:eastAsia="宋体" w:cs="宋体"/>
                      <w:i w:val="0"/>
                      <w:iCs w:val="0"/>
                      <w:caps w:val="0"/>
                      <w:color w:val="auto"/>
                      <w:spacing w:val="0"/>
                      <w:sz w:val="21"/>
                      <w:szCs w:val="21"/>
                      <w:shd w:val="clear" w:color="auto" w:fill="FFFFFF"/>
                      <w:lang w:val="en-US" w:eastAsia="zh-CN"/>
                    </w:rPr>
                    <w:t>扬尘影响较小</w:t>
                  </w:r>
                </w:p>
              </w:tc>
              <w:tc>
                <w:tcPr>
                  <w:tcW w:w="499" w:type="pct"/>
                  <w:tcBorders>
                    <w:tl2br w:val="nil"/>
                    <w:tr2bl w:val="nil"/>
                  </w:tcBorders>
                  <w:noWrap w:val="0"/>
                  <w:vAlign w:val="center"/>
                </w:tcPr>
                <w:p w14:paraId="744F406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符合</w:t>
                  </w:r>
                </w:p>
              </w:tc>
            </w:tr>
          </w:tbl>
          <w:p w14:paraId="16DF2B70">
            <w:pPr>
              <w:pStyle w:val="39"/>
              <w:numPr>
                <w:ilvl w:val="0"/>
                <w:numId w:val="0"/>
              </w:numPr>
              <w:spacing w:line="360" w:lineRule="auto"/>
              <w:ind w:firstLine="482" w:firstLineChars="200"/>
              <w:jc w:val="both"/>
              <w:rPr>
                <w:rFonts w:hint="default" w:ascii="Times New Roman" w:hAnsi="Times New Roman" w:cs="Times New Roman"/>
                <w:b/>
                <w:bCs/>
                <w:color w:val="auto"/>
                <w:kern w:val="0"/>
              </w:rPr>
            </w:pPr>
            <w:r>
              <w:rPr>
                <w:rFonts w:hint="eastAsia" w:ascii="Times New Roman" w:hAnsi="Times New Roman" w:cs="Times New Roman"/>
                <w:b/>
                <w:bCs/>
                <w:color w:val="auto"/>
                <w:kern w:val="0"/>
                <w:lang w:val="en-US" w:eastAsia="zh-CN"/>
              </w:rPr>
              <w:t>6、</w:t>
            </w:r>
            <w:r>
              <w:rPr>
                <w:rFonts w:hint="default" w:ascii="Times New Roman" w:hAnsi="Times New Roman" w:cs="Times New Roman"/>
                <w:b/>
                <w:bCs/>
                <w:color w:val="auto"/>
                <w:kern w:val="0"/>
              </w:rPr>
              <w:t>与</w:t>
            </w:r>
            <w:r>
              <w:rPr>
                <w:rFonts w:hint="eastAsia" w:ascii="Times New Roman" w:hAnsi="Times New Roman" w:cs="Times New Roman"/>
                <w:b/>
                <w:bCs/>
                <w:color w:val="auto"/>
                <w:kern w:val="0"/>
                <w:lang w:eastAsia="zh-CN"/>
              </w:rPr>
              <w:t>国务院关于印发《大气污染防治行动计划》的通知（国发〔2013〕37号，</w:t>
            </w:r>
            <w:r>
              <w:rPr>
                <w:rFonts w:hint="eastAsia" w:ascii="Times New Roman" w:hAnsi="Times New Roman" w:cs="Times New Roman"/>
                <w:b/>
                <w:bCs/>
                <w:color w:val="auto"/>
                <w:kern w:val="0"/>
                <w:lang w:val="en-US" w:eastAsia="zh-CN"/>
              </w:rPr>
              <w:t>2013年9月10日</w:t>
            </w:r>
            <w:r>
              <w:rPr>
                <w:rFonts w:hint="eastAsia" w:ascii="Times New Roman" w:hAnsi="Times New Roman" w:cs="Times New Roman"/>
                <w:b/>
                <w:bCs/>
                <w:color w:val="auto"/>
                <w:kern w:val="0"/>
                <w:lang w:eastAsia="zh-CN"/>
              </w:rPr>
              <w:t>）</w:t>
            </w:r>
            <w:r>
              <w:rPr>
                <w:rFonts w:hint="default" w:ascii="Times New Roman" w:hAnsi="Times New Roman" w:cs="Times New Roman"/>
                <w:b/>
                <w:bCs/>
                <w:color w:val="auto"/>
                <w:kern w:val="0"/>
              </w:rPr>
              <w:t>符合性分析</w:t>
            </w:r>
          </w:p>
          <w:p w14:paraId="37FADD3C">
            <w:pPr>
              <w:autoSpaceDE w:val="0"/>
              <w:autoSpaceDN w:val="0"/>
              <w:adjustRightInd w:val="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表1-</w:t>
            </w:r>
            <w:r>
              <w:rPr>
                <w:rFonts w:hint="eastAsia" w:cs="Times New Roman"/>
                <w:b/>
                <w:color w:val="auto"/>
                <w:lang w:val="en-US" w:eastAsia="zh-CN"/>
              </w:rPr>
              <w:t xml:space="preserve">14 </w:t>
            </w:r>
            <w:r>
              <w:rPr>
                <w:rFonts w:hint="default" w:ascii="Times New Roman" w:hAnsi="Times New Roman" w:eastAsia="宋体" w:cs="Times New Roman"/>
                <w:b/>
                <w:color w:val="auto"/>
              </w:rPr>
              <w:t>与关于印发《大气污染防治行动计划》的通知符合性分析</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1"/>
              <w:gridCol w:w="1163"/>
              <w:gridCol w:w="880"/>
            </w:tblGrid>
            <w:tr w14:paraId="6F1D5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01" w:type="pct"/>
                  <w:vAlign w:val="center"/>
                </w:tcPr>
                <w:p w14:paraId="3C3490E0">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cs="Times New Roman"/>
                      <w:color w:val="auto"/>
                      <w:sz w:val="21"/>
                      <w:szCs w:val="21"/>
                      <w:lang w:eastAsia="zh-CN"/>
                    </w:rPr>
                  </w:pPr>
                  <w:r>
                    <w:rPr>
                      <w:rFonts w:hint="eastAsia" w:cs="Times New Roman"/>
                      <w:color w:val="auto"/>
                      <w:sz w:val="21"/>
                      <w:szCs w:val="21"/>
                      <w:lang w:eastAsia="zh-CN"/>
                    </w:rPr>
                    <w:t>文件</w:t>
                  </w:r>
                  <w:r>
                    <w:rPr>
                      <w:rFonts w:hint="eastAsia" w:ascii="Times New Roman" w:hAnsi="Times New Roman" w:cs="Times New Roman"/>
                      <w:color w:val="auto"/>
                      <w:sz w:val="21"/>
                      <w:szCs w:val="21"/>
                      <w:lang w:eastAsia="zh-CN"/>
                    </w:rPr>
                    <w:t>要求</w:t>
                  </w:r>
                </w:p>
              </w:tc>
              <w:tc>
                <w:tcPr>
                  <w:tcW w:w="682" w:type="pct"/>
                  <w:vAlign w:val="center"/>
                </w:tcPr>
                <w:p w14:paraId="4C7C113B">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项目情况</w:t>
                  </w:r>
                </w:p>
              </w:tc>
              <w:tc>
                <w:tcPr>
                  <w:tcW w:w="516" w:type="pct"/>
                  <w:vAlign w:val="center"/>
                </w:tcPr>
                <w:p w14:paraId="37DA6CEE">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符合性</w:t>
                  </w:r>
                </w:p>
              </w:tc>
            </w:tr>
            <w:tr w14:paraId="5FBC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01" w:type="pct"/>
                  <w:vAlign w:val="center"/>
                </w:tcPr>
                <w:p w14:paraId="2AF91D0A">
                  <w:pPr>
                    <w:keepNext w:val="0"/>
                    <w:keepLines w:val="0"/>
                    <w:pageBreakBefore w:val="0"/>
                    <w:kinsoku/>
                    <w:wordWrap/>
                    <w:overflowPunct/>
                    <w:topLinePunct w:val="0"/>
                    <w:autoSpaceDE/>
                    <w:autoSpaceDN/>
                    <w:bidi w:val="0"/>
                    <w:snapToGrid/>
                    <w:spacing w:line="240" w:lineRule="auto"/>
                    <w:jc w:val="both"/>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（一）加强工业企业大气污染综合治理。全面整治燃煤小锅炉。加快推进集</w:t>
                  </w:r>
                  <w:r>
                    <w:rPr>
                      <w:rFonts w:hint="eastAsia" w:ascii="宋体" w:hAnsi="宋体" w:eastAsia="宋体" w:cs="宋体"/>
                      <w:color w:val="auto"/>
                      <w:sz w:val="21"/>
                      <w:szCs w:val="21"/>
                    </w:rPr>
                    <w:t>中供热、“煤改气”、“煤改电”工程建</w:t>
                  </w:r>
                  <w:r>
                    <w:rPr>
                      <w:rFonts w:hint="default" w:ascii="Times New Roman" w:hAnsi="Times New Roman" w:eastAsia="宋体" w:cs="Times New Roman"/>
                      <w:color w:val="auto"/>
                      <w:sz w:val="21"/>
                      <w:szCs w:val="21"/>
                    </w:rPr>
                    <w:t xml:space="preserve">设，到2017年，除必要保留的以外，地级及以上城市建成区基本淘汰每小时10蒸吨及以下的燃煤锅炉，禁止新建每小时20蒸吨以下的燃煤锅炉；其他地区原则上不再新建每小时10蒸吨以下的燃煤锅炉。在供热供气管网不能覆盖的地区，改用电、新能源或洁净煤，推广应用高效节能环保型锅炉。在化工、造纸、印染、制革、制药等产业集聚区，通过集中建设热电联产机组逐步淘汰分散燃煤锅炉。 </w:t>
                  </w:r>
                  <w:r>
                    <w:rPr>
                      <w:rFonts w:hint="default" w:ascii="Times New Roman" w:hAnsi="Times New Roman" w:cs="Times New Roman"/>
                      <w:color w:val="auto"/>
                      <w:sz w:val="21"/>
                      <w:szCs w:val="21"/>
                    </w:rPr>
                    <w:t>加快重点行业脱硫、脱硝、除尘改造工程建设。所有燃煤电厂、钢铁企业的烧结机和球团生产设备、石油炼制企业的催化裂化装置、有色金属冶炼企业都要安装脱硫设施，每小时20蒸吨及以上的燃煤锅炉要实施脱硫。除循环流化床锅炉以外的燃煤机组均应安装脱硝设施，新型干法水泥窑要实施低氮燃烧技术改造并安装脱硝设施。燃煤锅炉和工业窑炉现有除尘设施要实施升级改造。推进挥发性有机物污染治理。在石化、有机化工、表</w:t>
                  </w:r>
                  <w:r>
                    <w:rPr>
                      <w:rFonts w:hint="eastAsia" w:ascii="宋体" w:hAnsi="宋体" w:eastAsia="宋体" w:cs="宋体"/>
                      <w:color w:val="auto"/>
                      <w:sz w:val="21"/>
                      <w:szCs w:val="21"/>
                    </w:rPr>
                    <w:t>面涂装、包装印刷等行业实施挥发性有机物综合整治，在石化行业开展“泄漏检测与修复”技</w:t>
                  </w:r>
                  <w:r>
                    <w:rPr>
                      <w:rFonts w:hint="default" w:ascii="Times New Roman" w:hAnsi="Times New Roman" w:cs="Times New Roman"/>
                      <w:color w:val="auto"/>
                      <w:sz w:val="21"/>
                      <w:szCs w:val="21"/>
                    </w:rPr>
                    <w:t>术改造。限时完成加油站、储油库、油罐车的油气回收治理，在原油成品油码头积极开展油气回收治理。完善涂料、胶粘剂等产品挥发性有机物限值标准，推广使用水性涂料，鼓励生产、销售和使用低毒、低挥发性有机溶剂。京津冀、长三角、珠三角等区域要于2015年底前基本完成燃煤电厂、燃煤锅炉和工业窑炉的污染治理设施建设与改造，完成石化企业有机废气综合治理。</w:t>
                  </w:r>
                </w:p>
              </w:tc>
              <w:tc>
                <w:tcPr>
                  <w:tcW w:w="682" w:type="pct"/>
                  <w:vAlign w:val="center"/>
                </w:tcPr>
                <w:p w14:paraId="1C988DB2">
                  <w:pPr>
                    <w:keepNext w:val="0"/>
                    <w:keepLines w:val="0"/>
                    <w:pageBreakBefore w:val="0"/>
                    <w:kinsoku/>
                    <w:wordWrap/>
                    <w:overflowPunct/>
                    <w:topLinePunct w:val="0"/>
                    <w:autoSpaceDE/>
                    <w:autoSpaceDN/>
                    <w:bidi w:val="0"/>
                    <w:snapToGrid/>
                    <w:spacing w:line="240" w:lineRule="auto"/>
                    <w:jc w:val="both"/>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本项目位于淮北市杜集区东山路202号（淮北众城水泥有限责任公司院内），仅建设协同处置代替燃料节能减排改造系统一套，利用废纺、生物质（木屑）燃料替代部分燃煤，不改变现有生产工艺</w:t>
                  </w:r>
                </w:p>
              </w:tc>
              <w:tc>
                <w:tcPr>
                  <w:tcW w:w="516" w:type="pct"/>
                  <w:vAlign w:val="center"/>
                </w:tcPr>
                <w:p w14:paraId="56C9CD46">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符合</w:t>
                  </w:r>
                </w:p>
              </w:tc>
            </w:tr>
          </w:tbl>
          <w:p w14:paraId="3C394282">
            <w:pPr>
              <w:pStyle w:val="39"/>
              <w:numPr>
                <w:ilvl w:val="0"/>
                <w:numId w:val="0"/>
              </w:numPr>
              <w:spacing w:line="360" w:lineRule="auto"/>
              <w:ind w:firstLine="482" w:firstLineChars="200"/>
              <w:jc w:val="both"/>
              <w:rPr>
                <w:rFonts w:hint="default" w:ascii="Times New Roman" w:hAnsi="Times New Roman" w:cs="Times New Roman"/>
                <w:b/>
                <w:bCs/>
                <w:color w:val="auto"/>
                <w:kern w:val="0"/>
              </w:rPr>
            </w:pPr>
            <w:r>
              <w:rPr>
                <w:rFonts w:hint="eastAsia" w:ascii="Times New Roman" w:hAnsi="Times New Roman" w:cs="Times New Roman"/>
                <w:b/>
                <w:bCs/>
                <w:color w:val="auto"/>
                <w:kern w:val="0"/>
                <w:lang w:val="en-US" w:eastAsia="zh-CN"/>
              </w:rPr>
              <w:t>7、</w:t>
            </w:r>
            <w:r>
              <w:rPr>
                <w:rFonts w:hint="default" w:ascii="Times New Roman" w:hAnsi="Times New Roman" w:cs="Times New Roman"/>
                <w:b/>
                <w:bCs/>
                <w:color w:val="auto"/>
                <w:kern w:val="0"/>
              </w:rPr>
              <w:t>与</w:t>
            </w:r>
            <w:r>
              <w:rPr>
                <w:rFonts w:hint="eastAsia" w:ascii="Times New Roman" w:hAnsi="Times New Roman" w:cs="Times New Roman"/>
                <w:b/>
                <w:bCs/>
                <w:color w:val="auto"/>
                <w:kern w:val="0"/>
                <w:lang w:eastAsia="zh-CN"/>
              </w:rPr>
              <w:t>环境保护部关于发布《水泥窑协同处置固体废物污染防治技术政策》的公告（环保部公告</w:t>
            </w:r>
            <w:r>
              <w:rPr>
                <w:rFonts w:hint="eastAsia" w:ascii="Times New Roman" w:hAnsi="Times New Roman" w:cs="Times New Roman"/>
                <w:b/>
                <w:bCs/>
                <w:color w:val="auto"/>
                <w:kern w:val="0"/>
                <w:lang w:val="en-US" w:eastAsia="zh-CN"/>
              </w:rPr>
              <w:t xml:space="preserve"> </w:t>
            </w:r>
            <w:r>
              <w:rPr>
                <w:rFonts w:hint="eastAsia" w:ascii="Times New Roman" w:hAnsi="Times New Roman" w:cs="Times New Roman"/>
                <w:b/>
                <w:bCs/>
                <w:color w:val="auto"/>
                <w:kern w:val="0"/>
                <w:lang w:eastAsia="zh-CN"/>
              </w:rPr>
              <w:t>2016年</w:t>
            </w:r>
            <w:r>
              <w:rPr>
                <w:rFonts w:hint="eastAsia" w:ascii="Times New Roman" w:hAnsi="Times New Roman" w:cs="Times New Roman"/>
                <w:b/>
                <w:bCs/>
                <w:color w:val="auto"/>
                <w:kern w:val="0"/>
                <w:lang w:val="en-US" w:eastAsia="zh-CN"/>
              </w:rPr>
              <w:t xml:space="preserve"> </w:t>
            </w:r>
            <w:r>
              <w:rPr>
                <w:rFonts w:hint="eastAsia" w:ascii="Times New Roman" w:hAnsi="Times New Roman" w:cs="Times New Roman"/>
                <w:b/>
                <w:bCs/>
                <w:color w:val="auto"/>
                <w:kern w:val="0"/>
                <w:lang w:eastAsia="zh-CN"/>
              </w:rPr>
              <w:t>第72号）</w:t>
            </w:r>
            <w:r>
              <w:rPr>
                <w:rFonts w:hint="default" w:ascii="Times New Roman" w:hAnsi="Times New Roman" w:cs="Times New Roman"/>
                <w:b/>
                <w:bCs/>
                <w:color w:val="auto"/>
                <w:kern w:val="0"/>
              </w:rPr>
              <w:t>符合性分析</w:t>
            </w:r>
          </w:p>
          <w:p w14:paraId="545DDB2F">
            <w:pPr>
              <w:autoSpaceDE w:val="0"/>
              <w:autoSpaceDN w:val="0"/>
              <w:adjustRightInd w:val="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表1-</w:t>
            </w:r>
            <w:r>
              <w:rPr>
                <w:rFonts w:hint="eastAsia" w:cs="Times New Roman"/>
                <w:b/>
                <w:color w:val="auto"/>
                <w:lang w:val="en-US" w:eastAsia="zh-CN"/>
              </w:rPr>
              <w:t>15</w:t>
            </w:r>
            <w:r>
              <w:rPr>
                <w:rFonts w:hint="default" w:ascii="Times New Roman" w:hAnsi="Times New Roman" w:eastAsia="宋体" w:cs="Times New Roman"/>
                <w:b/>
                <w:color w:val="auto"/>
              </w:rPr>
              <w:t xml:space="preserve"> 与</w:t>
            </w:r>
            <w:r>
              <w:rPr>
                <w:rFonts w:hint="eastAsia" w:ascii="Times New Roman" w:hAnsi="Times New Roman" w:cs="Times New Roman"/>
                <w:b/>
                <w:bCs/>
                <w:color w:val="auto"/>
                <w:kern w:val="0"/>
                <w:lang w:eastAsia="zh-CN"/>
              </w:rPr>
              <w:t>《水泥窑协同处置固体废物污染防治技术政策》</w:t>
            </w:r>
            <w:r>
              <w:rPr>
                <w:rFonts w:hint="default" w:ascii="Times New Roman" w:hAnsi="Times New Roman" w:eastAsia="宋体" w:cs="Times New Roman"/>
                <w:b/>
                <w:color w:val="auto"/>
              </w:rPr>
              <w:t>符合性分析</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01"/>
              <w:gridCol w:w="3029"/>
              <w:gridCol w:w="894"/>
            </w:tblGrid>
            <w:tr w14:paraId="35E2D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2698" w:type="pct"/>
                  <w:vAlign w:val="center"/>
                </w:tcPr>
                <w:p w14:paraId="337AC815">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文件要求</w:t>
                  </w:r>
                </w:p>
              </w:tc>
              <w:tc>
                <w:tcPr>
                  <w:tcW w:w="1776" w:type="pct"/>
                  <w:vAlign w:val="center"/>
                </w:tcPr>
                <w:p w14:paraId="5A38112B">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项目情况</w:t>
                  </w:r>
                </w:p>
              </w:tc>
              <w:tc>
                <w:tcPr>
                  <w:tcW w:w="524" w:type="pct"/>
                  <w:vAlign w:val="center"/>
                </w:tcPr>
                <w:p w14:paraId="720539FC">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符合性</w:t>
                  </w:r>
                </w:p>
              </w:tc>
            </w:tr>
            <w:tr w14:paraId="0D4CB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98" w:type="pct"/>
                  <w:vAlign w:val="center"/>
                </w:tcPr>
                <w:p w14:paraId="213BE3AD">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default" w:cs="Times New Roman"/>
                      <w:color w:val="auto"/>
                      <w:sz w:val="21"/>
                      <w:szCs w:val="21"/>
                      <w:lang w:eastAsia="zh-CN"/>
                    </w:rPr>
                    <w:t>协同处置固体废物应利用现有新型干法水泥窑，并采用窑磨一体化运行方式。处置固体废物应采用单线设计熟料生产规模2000吨/日及以上的水泥窑。本技术政策发布之后新建、改建或扩建处置危险废物的水泥企业，应选择单线设计熟料生产规模4000吨/日及以上水泥窑；新建、改建或扩建处置其他固体废物的水泥企业，应选择单线设计熟料生产规模3000吨/日及以上水泥窑。鼓励利用符合《水泥行业规范条件（2015年本）》的水泥窑协同处置固体废物，拟改造前应符合《水泥窑协同处置固体废物污染控制标准》（GB</w:t>
                  </w:r>
                  <w:r>
                    <w:rPr>
                      <w:rFonts w:hint="eastAsia" w:cs="Times New Roman"/>
                      <w:color w:val="auto"/>
                      <w:sz w:val="21"/>
                      <w:szCs w:val="21"/>
                      <w:lang w:val="en-US" w:eastAsia="zh-CN"/>
                    </w:rPr>
                    <w:t xml:space="preserve"> </w:t>
                  </w:r>
                  <w:r>
                    <w:rPr>
                      <w:rFonts w:hint="default" w:cs="Times New Roman"/>
                      <w:color w:val="auto"/>
                      <w:sz w:val="21"/>
                      <w:szCs w:val="21"/>
                      <w:lang w:eastAsia="zh-CN"/>
                    </w:rPr>
                    <w:t>30485-2013）的要求。</w:t>
                  </w:r>
                </w:p>
              </w:tc>
              <w:tc>
                <w:tcPr>
                  <w:tcW w:w="1776" w:type="pct"/>
                  <w:vAlign w:val="center"/>
                </w:tcPr>
                <w:p w14:paraId="1C389F9E">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val="en-US" w:eastAsia="zh-CN"/>
                    </w:rPr>
                  </w:pPr>
                  <w:r>
                    <w:rPr>
                      <w:rFonts w:hint="eastAsia" w:cs="Times New Roman"/>
                      <w:color w:val="auto"/>
                      <w:sz w:val="21"/>
                      <w:szCs w:val="21"/>
                      <w:lang w:eastAsia="zh-CN"/>
                    </w:rPr>
                    <w:t>本项目主要依托现有</w:t>
                  </w:r>
                  <w:r>
                    <w:rPr>
                      <w:rFonts w:hint="eastAsia" w:cs="Times New Roman"/>
                      <w:color w:val="auto"/>
                      <w:sz w:val="21"/>
                      <w:szCs w:val="21"/>
                      <w:lang w:val="en-US" w:eastAsia="zh-CN"/>
                    </w:rPr>
                    <w:t>5000t/d水泥熟料生产线协同处置固体废物，符合《水泥行业规范条件（2015年本）》以及《水泥窑协同处置固体废物污染控制标准》（GB 30485-2013）的要求</w:t>
                  </w:r>
                </w:p>
              </w:tc>
              <w:tc>
                <w:tcPr>
                  <w:tcW w:w="524" w:type="pct"/>
                  <w:vAlign w:val="center"/>
                </w:tcPr>
                <w:p w14:paraId="24D7CEA4">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符合</w:t>
                  </w:r>
                </w:p>
              </w:tc>
            </w:tr>
            <w:tr w14:paraId="5ED69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98" w:type="pct"/>
                  <w:vAlign w:val="center"/>
                </w:tcPr>
                <w:p w14:paraId="61687BB4">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default" w:cs="Times New Roman"/>
                      <w:color w:val="auto"/>
                      <w:sz w:val="21"/>
                      <w:szCs w:val="21"/>
                      <w:lang w:eastAsia="zh-CN"/>
                    </w:rPr>
                    <w:t>应根据生产工艺与技术装备，合理确定水泥窑协同处置固体废物的种类及处置规模。严禁利用水泥窑协同处置具有放射性、爆炸性和反应性废物，未经拆解的废家用电器、废电池和电子产品，含汞的温度计、血压计、荧光灯管和开关，铬渣，以及未知特性和未经过检测的不明性质废物。</w:t>
                  </w:r>
                </w:p>
              </w:tc>
              <w:tc>
                <w:tcPr>
                  <w:tcW w:w="1776" w:type="pct"/>
                  <w:vAlign w:val="center"/>
                </w:tcPr>
                <w:p w14:paraId="0819C702">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本项目一般固废接收类别为：废纺、生物质（木屑），不涉及危险废物，不属于严禁利用水泥窑协同处置废物类别</w:t>
                  </w:r>
                </w:p>
              </w:tc>
              <w:tc>
                <w:tcPr>
                  <w:tcW w:w="524" w:type="pct"/>
                  <w:vAlign w:val="center"/>
                </w:tcPr>
                <w:p w14:paraId="08B180D5">
                  <w:pPr>
                    <w:keepNext w:val="0"/>
                    <w:keepLines w:val="0"/>
                    <w:pageBreakBefore w:val="0"/>
                    <w:kinsoku/>
                    <w:wordWrap/>
                    <w:overflowPunct/>
                    <w:topLinePunct w:val="0"/>
                    <w:autoSpaceDE/>
                    <w:autoSpaceDN/>
                    <w:bidi w:val="0"/>
                    <w:snapToGrid/>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符合</w:t>
                  </w:r>
                </w:p>
              </w:tc>
            </w:tr>
            <w:tr w14:paraId="52CE2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98" w:type="pct"/>
                  <w:vAlign w:val="center"/>
                </w:tcPr>
                <w:p w14:paraId="49135E38">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eastAsia" w:cs="Times New Roman"/>
                      <w:color w:val="auto"/>
                      <w:sz w:val="21"/>
                      <w:szCs w:val="21"/>
                      <w:lang w:eastAsia="zh-CN"/>
                    </w:rPr>
                    <w:t>水泥窑协同处置固体废物，应对进场接收、贮存与运输、预处理和入窑处置等场所或设置采取密闭、负压或其他防漏散、防飞扬、防恶臭的有效措施。</w:t>
                  </w:r>
                </w:p>
              </w:tc>
              <w:tc>
                <w:tcPr>
                  <w:tcW w:w="1776" w:type="pct"/>
                  <w:vAlign w:val="center"/>
                </w:tcPr>
                <w:p w14:paraId="67C661C4">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本项目产生的一般固废依托现有一般固废暂存间</w:t>
                  </w:r>
                </w:p>
              </w:tc>
              <w:tc>
                <w:tcPr>
                  <w:tcW w:w="524" w:type="pct"/>
                  <w:vAlign w:val="center"/>
                </w:tcPr>
                <w:p w14:paraId="65646289">
                  <w:pPr>
                    <w:keepNext w:val="0"/>
                    <w:keepLines w:val="0"/>
                    <w:pageBreakBefore w:val="0"/>
                    <w:kinsoku/>
                    <w:wordWrap/>
                    <w:overflowPunct/>
                    <w:topLinePunct w:val="0"/>
                    <w:autoSpaceDE/>
                    <w:autoSpaceDN/>
                    <w:bidi w:val="0"/>
                    <w:snapToGrid/>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符合</w:t>
                  </w:r>
                </w:p>
              </w:tc>
            </w:tr>
            <w:tr w14:paraId="26DB0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98" w:type="pct"/>
                  <w:vAlign w:val="center"/>
                </w:tcPr>
                <w:p w14:paraId="4288A6B6">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val="en-US" w:eastAsia="zh-CN"/>
                    </w:rPr>
                  </w:pPr>
                  <w:r>
                    <w:rPr>
                      <w:rFonts w:hint="eastAsia" w:cs="Times New Roman"/>
                      <w:color w:val="auto"/>
                      <w:sz w:val="21"/>
                      <w:szCs w:val="21"/>
                      <w:lang w:eastAsia="zh-CN"/>
                    </w:rPr>
                    <w:t>固体废物在水泥企业应分类贮存，贮存设施应单独建设，不应与水泥生产原燃料或产品混合贮存。危险废物贮存还应满足《危险废物贮存污染控制标准》（</w:t>
                  </w:r>
                  <w:r>
                    <w:rPr>
                      <w:rFonts w:hint="eastAsia" w:cs="Times New Roman"/>
                      <w:color w:val="auto"/>
                      <w:sz w:val="21"/>
                      <w:szCs w:val="21"/>
                      <w:lang w:val="en-US" w:eastAsia="zh-CN"/>
                    </w:rPr>
                    <w:t>GB 18597-2001</w:t>
                  </w:r>
                  <w:r>
                    <w:rPr>
                      <w:rFonts w:hint="eastAsia" w:cs="Times New Roman"/>
                      <w:color w:val="auto"/>
                      <w:sz w:val="21"/>
                      <w:szCs w:val="21"/>
                      <w:lang w:eastAsia="zh-CN"/>
                    </w:rPr>
                    <w:t>）和《危险废物收集贮存运输技术规范》（</w:t>
                  </w:r>
                  <w:r>
                    <w:rPr>
                      <w:rFonts w:hint="eastAsia" w:cs="Times New Roman"/>
                      <w:color w:val="auto"/>
                      <w:sz w:val="21"/>
                      <w:szCs w:val="21"/>
                      <w:lang w:val="en-US" w:eastAsia="zh-CN"/>
                    </w:rPr>
                    <w:t>HJ 2025-2012</w:t>
                  </w:r>
                  <w:r>
                    <w:rPr>
                      <w:rFonts w:hint="eastAsia" w:cs="Times New Roman"/>
                      <w:color w:val="auto"/>
                      <w:sz w:val="21"/>
                      <w:szCs w:val="21"/>
                      <w:lang w:eastAsia="zh-CN"/>
                    </w:rPr>
                    <w:t>）的要求。对不明性质废物应按危险废物贮存要求设置隔离贮存的暂存区，并设置专门的存取通道。</w:t>
                  </w:r>
                </w:p>
              </w:tc>
              <w:tc>
                <w:tcPr>
                  <w:tcW w:w="1776" w:type="pct"/>
                  <w:vAlign w:val="center"/>
                </w:tcPr>
                <w:p w14:paraId="041AED89">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本项目产生的一般固废依托现有一般固废暂存间，不涉及危险废物</w:t>
                  </w:r>
                </w:p>
              </w:tc>
              <w:tc>
                <w:tcPr>
                  <w:tcW w:w="524" w:type="pct"/>
                  <w:vAlign w:val="center"/>
                </w:tcPr>
                <w:p w14:paraId="16891C67">
                  <w:pPr>
                    <w:keepNext w:val="0"/>
                    <w:keepLines w:val="0"/>
                    <w:pageBreakBefore w:val="0"/>
                    <w:kinsoku/>
                    <w:wordWrap/>
                    <w:overflowPunct/>
                    <w:topLinePunct w:val="0"/>
                    <w:autoSpaceDE/>
                    <w:autoSpaceDN/>
                    <w:bidi w:val="0"/>
                    <w:snapToGrid/>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符合</w:t>
                  </w:r>
                </w:p>
              </w:tc>
            </w:tr>
            <w:tr w14:paraId="460C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98" w:type="pct"/>
                  <w:vAlign w:val="center"/>
                </w:tcPr>
                <w:p w14:paraId="097B85DA">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eastAsia" w:cs="Times New Roman"/>
                      <w:color w:val="auto"/>
                      <w:sz w:val="21"/>
                      <w:szCs w:val="21"/>
                      <w:lang w:eastAsia="zh-CN"/>
                    </w:rPr>
                    <w:t>根据协同处置固体废物特性及入窑要求，合理确定预处理工艺。鼓励污水处理厂进行污泥干化，干化后污泥宜满足直接入窑处置的要求。水泥厂内进行污泥干化时，宜单独设置污泥干化系统，干化热源宜利用水泥窑废气余热。原生生活垃圾不可直接入水泥窑，必须进行预处理后入窑。生活垃圾在预处理过程中严禁混入危险废物。</w:t>
                  </w:r>
                </w:p>
              </w:tc>
              <w:tc>
                <w:tcPr>
                  <w:tcW w:w="1776" w:type="pct"/>
                  <w:vAlign w:val="center"/>
                </w:tcPr>
                <w:p w14:paraId="1A23EE49">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本项目协同处置固体废物中不涉及污泥和生活垃圾</w:t>
                  </w:r>
                </w:p>
              </w:tc>
              <w:tc>
                <w:tcPr>
                  <w:tcW w:w="524" w:type="pct"/>
                  <w:vAlign w:val="center"/>
                </w:tcPr>
                <w:p w14:paraId="03C4E385">
                  <w:pPr>
                    <w:keepNext w:val="0"/>
                    <w:keepLines w:val="0"/>
                    <w:pageBreakBefore w:val="0"/>
                    <w:kinsoku/>
                    <w:wordWrap/>
                    <w:overflowPunct/>
                    <w:topLinePunct w:val="0"/>
                    <w:autoSpaceDE/>
                    <w:autoSpaceDN/>
                    <w:bidi w:val="0"/>
                    <w:snapToGrid/>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符合</w:t>
                  </w:r>
                </w:p>
              </w:tc>
            </w:tr>
            <w:tr w14:paraId="2426D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98" w:type="pct"/>
                  <w:vAlign w:val="center"/>
                </w:tcPr>
                <w:p w14:paraId="1E424B90">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eastAsia" w:cs="Times New Roman"/>
                      <w:color w:val="auto"/>
                      <w:sz w:val="21"/>
                      <w:szCs w:val="21"/>
                      <w:lang w:eastAsia="zh-CN"/>
                    </w:rPr>
                    <w:t>严格控制水泥窑协同处置入窑废物中重金属含量及投加量；水泥熟料中可浸出重金属含量限值应满足《水泥窑协同处置固体废物技术规范》（</w:t>
                  </w:r>
                  <w:r>
                    <w:rPr>
                      <w:rFonts w:hint="eastAsia" w:cs="Times New Roman"/>
                      <w:color w:val="auto"/>
                      <w:sz w:val="21"/>
                      <w:szCs w:val="21"/>
                      <w:lang w:val="en-US" w:eastAsia="zh-CN"/>
                    </w:rPr>
                    <w:t>GB 30760-2014</w:t>
                  </w:r>
                  <w:r>
                    <w:rPr>
                      <w:rFonts w:hint="eastAsia" w:cs="Times New Roman"/>
                      <w:color w:val="auto"/>
                      <w:sz w:val="21"/>
                      <w:szCs w:val="21"/>
                      <w:lang w:eastAsia="zh-CN"/>
                    </w:rPr>
                    <w:t>）的相关要求。水泥窑协同处置重金属类危险废物时，应提高对水泥熟料重金属浸出浓度的检测频次。严格控制入窑废物中氯元素的含量，保证水泥窑能稳定运行和水泥熟料质量，同时遏制二噁英类污染物的产生。</w:t>
                  </w:r>
                </w:p>
              </w:tc>
              <w:tc>
                <w:tcPr>
                  <w:tcW w:w="1776" w:type="pct"/>
                  <w:vAlign w:val="center"/>
                </w:tcPr>
                <w:p w14:paraId="006D8827">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本项目严格按照配比进行投加量，根据工程分析，水泥熟料中可浸出重金属含量限值应满足《水泥窑协同处置固体废物技术规范》（GB/T 30760-2024）的相关要求</w:t>
                  </w:r>
                </w:p>
              </w:tc>
              <w:tc>
                <w:tcPr>
                  <w:tcW w:w="524" w:type="pct"/>
                  <w:vAlign w:val="center"/>
                </w:tcPr>
                <w:p w14:paraId="0969B70D">
                  <w:pPr>
                    <w:keepNext w:val="0"/>
                    <w:keepLines w:val="0"/>
                    <w:pageBreakBefore w:val="0"/>
                    <w:kinsoku/>
                    <w:wordWrap/>
                    <w:overflowPunct/>
                    <w:topLinePunct w:val="0"/>
                    <w:autoSpaceDE/>
                    <w:autoSpaceDN/>
                    <w:bidi w:val="0"/>
                    <w:snapToGrid/>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符合</w:t>
                  </w:r>
                </w:p>
              </w:tc>
            </w:tr>
            <w:tr w14:paraId="16DDF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98" w:type="pct"/>
                  <w:vAlign w:val="center"/>
                </w:tcPr>
                <w:p w14:paraId="3284C3E1">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eastAsia" w:cs="Times New Roman"/>
                      <w:color w:val="auto"/>
                      <w:sz w:val="21"/>
                      <w:szCs w:val="21"/>
                      <w:lang w:eastAsia="zh-CN"/>
                    </w:rPr>
                    <w:t>固体废物入窑投加位置及投加方式应根据水泥窑运行条件及预处理情况在满足《水泥窑协同处置固体废物环境保护技术规范》（</w:t>
                  </w:r>
                  <w:r>
                    <w:rPr>
                      <w:rFonts w:hint="eastAsia" w:cs="Times New Roman"/>
                      <w:color w:val="auto"/>
                      <w:sz w:val="21"/>
                      <w:szCs w:val="21"/>
                      <w:lang w:val="en-US" w:eastAsia="zh-CN"/>
                    </w:rPr>
                    <w:t>HJ 662-2013</w:t>
                  </w:r>
                  <w:r>
                    <w:rPr>
                      <w:rFonts w:hint="eastAsia" w:cs="Times New Roman"/>
                      <w:color w:val="auto"/>
                      <w:sz w:val="21"/>
                      <w:szCs w:val="21"/>
                      <w:lang w:eastAsia="zh-CN"/>
                    </w:rPr>
                    <w:t>）要求的同时，根据固体废物的成分、热值等参数进行合理配伍，保障固体废物投加后水泥窑能稳定运行。含有机挥发性物质的废物、含恶臭废物及含氰废物不能投入生料制备系统，应从高温段投入水泥窑。</w:t>
                  </w:r>
                </w:p>
              </w:tc>
              <w:tc>
                <w:tcPr>
                  <w:tcW w:w="1776" w:type="pct"/>
                  <w:vAlign w:val="center"/>
                </w:tcPr>
                <w:p w14:paraId="7503BDE0">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本项目严格按照固废参数进行合理配伍，不涉及含有机挥发性物质的废物及含氰废物</w:t>
                  </w:r>
                </w:p>
              </w:tc>
              <w:tc>
                <w:tcPr>
                  <w:tcW w:w="524" w:type="pct"/>
                  <w:vAlign w:val="center"/>
                </w:tcPr>
                <w:p w14:paraId="4548ADA3">
                  <w:pPr>
                    <w:keepNext w:val="0"/>
                    <w:keepLines w:val="0"/>
                    <w:pageBreakBefore w:val="0"/>
                    <w:kinsoku/>
                    <w:wordWrap/>
                    <w:overflowPunct/>
                    <w:topLinePunct w:val="0"/>
                    <w:autoSpaceDE/>
                    <w:autoSpaceDN/>
                    <w:bidi w:val="0"/>
                    <w:snapToGrid/>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符合</w:t>
                  </w:r>
                </w:p>
              </w:tc>
            </w:tr>
            <w:tr w14:paraId="5198D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98" w:type="pct"/>
                  <w:vAlign w:val="center"/>
                </w:tcPr>
                <w:p w14:paraId="7DBB7B52">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eastAsia" w:cs="Times New Roman"/>
                      <w:color w:val="auto"/>
                      <w:sz w:val="21"/>
                      <w:szCs w:val="21"/>
                      <w:lang w:eastAsia="zh-CN"/>
                    </w:rPr>
                    <w:t>水泥窑协同处置固体废物应按照废物特性和水泥生产要求配置相应的投加计量和自动控制进料装置。</w:t>
                  </w:r>
                </w:p>
              </w:tc>
              <w:tc>
                <w:tcPr>
                  <w:tcW w:w="1776" w:type="pct"/>
                  <w:vAlign w:val="center"/>
                </w:tcPr>
                <w:p w14:paraId="2F119A2E">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本项目新建一套计量喂料系统</w:t>
                  </w:r>
                </w:p>
              </w:tc>
              <w:tc>
                <w:tcPr>
                  <w:tcW w:w="524" w:type="pct"/>
                  <w:vAlign w:val="center"/>
                </w:tcPr>
                <w:p w14:paraId="380CB0D8">
                  <w:pPr>
                    <w:keepNext w:val="0"/>
                    <w:keepLines w:val="0"/>
                    <w:pageBreakBefore w:val="0"/>
                    <w:kinsoku/>
                    <w:wordWrap/>
                    <w:overflowPunct/>
                    <w:topLinePunct w:val="0"/>
                    <w:autoSpaceDE/>
                    <w:autoSpaceDN/>
                    <w:bidi w:val="0"/>
                    <w:snapToGrid/>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符合</w:t>
                  </w:r>
                </w:p>
              </w:tc>
            </w:tr>
            <w:tr w14:paraId="2E62A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98" w:type="pct"/>
                  <w:vAlign w:val="center"/>
                </w:tcPr>
                <w:p w14:paraId="6D225247">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val="en-US" w:eastAsia="zh-CN"/>
                    </w:rPr>
                  </w:pPr>
                  <w:r>
                    <w:rPr>
                      <w:rFonts w:hint="eastAsia" w:cs="Times New Roman"/>
                      <w:color w:val="auto"/>
                      <w:sz w:val="21"/>
                      <w:szCs w:val="21"/>
                      <w:lang w:eastAsia="zh-CN"/>
                    </w:rPr>
                    <w:t>水泥窑协同处置固体废物设置，窑尾烟气除尘应采用高效袋式除尘器；</w:t>
                  </w:r>
                  <w:r>
                    <w:rPr>
                      <w:rFonts w:hint="eastAsia" w:cs="Times New Roman"/>
                      <w:color w:val="auto"/>
                      <w:sz w:val="21"/>
                      <w:szCs w:val="21"/>
                      <w:lang w:val="en-US" w:eastAsia="zh-CN"/>
                    </w:rPr>
                    <w:t>2014年3月1日影响评价文件已通过审批的协同处置固体废物设施，如窑尾采用电除尘器应持续提升其运行的稳定性，提高除尘效率，确保污染物连续稳定达标排放，鼓励将电除尘器改造为高效袋式除尘器。加强对协同处置固体废物水泥窑除尘器的运行与维护管理，确保除尘器与水泥窑生产百分之百同步运转。</w:t>
                  </w:r>
                </w:p>
              </w:tc>
              <w:tc>
                <w:tcPr>
                  <w:tcW w:w="1776" w:type="pct"/>
                  <w:vAlign w:val="center"/>
                </w:tcPr>
                <w:p w14:paraId="4AC7D0B0">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本项目窑尾废气依托现有废气治理工程，已采用袋式除尘器处理窑尾烟气</w:t>
                  </w:r>
                </w:p>
              </w:tc>
              <w:tc>
                <w:tcPr>
                  <w:tcW w:w="524" w:type="pct"/>
                  <w:vAlign w:val="center"/>
                </w:tcPr>
                <w:p w14:paraId="0D4624A5">
                  <w:pPr>
                    <w:keepNext w:val="0"/>
                    <w:keepLines w:val="0"/>
                    <w:pageBreakBefore w:val="0"/>
                    <w:kinsoku/>
                    <w:wordWrap/>
                    <w:overflowPunct/>
                    <w:topLinePunct w:val="0"/>
                    <w:autoSpaceDE/>
                    <w:autoSpaceDN/>
                    <w:bidi w:val="0"/>
                    <w:snapToGrid/>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符合</w:t>
                  </w:r>
                </w:p>
              </w:tc>
            </w:tr>
            <w:tr w14:paraId="32104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98" w:type="pct"/>
                  <w:vAlign w:val="center"/>
                </w:tcPr>
                <w:p w14:paraId="36F097C5">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eastAsia" w:cs="Times New Roman"/>
                      <w:color w:val="auto"/>
                      <w:sz w:val="21"/>
                      <w:szCs w:val="21"/>
                      <w:lang w:eastAsia="zh-CN"/>
                    </w:rPr>
                    <w:t>水泥窑协同处置过程中的氮氧化物。二氧化硫等污染物排放控制应执行《水泥工业污染防治技术政策》（环境保护部公告</w:t>
                  </w:r>
                  <w:r>
                    <w:rPr>
                      <w:rFonts w:hint="eastAsia" w:cs="Times New Roman"/>
                      <w:color w:val="auto"/>
                      <w:sz w:val="21"/>
                      <w:szCs w:val="21"/>
                      <w:lang w:val="en-US" w:eastAsia="zh-CN"/>
                    </w:rPr>
                    <w:t>2013年第31号</w:t>
                  </w:r>
                  <w:r>
                    <w:rPr>
                      <w:rFonts w:hint="eastAsia" w:cs="Times New Roman"/>
                      <w:color w:val="auto"/>
                      <w:sz w:val="21"/>
                      <w:szCs w:val="21"/>
                      <w:lang w:eastAsia="zh-CN"/>
                    </w:rPr>
                    <w:t>）的相关要求。</w:t>
                  </w:r>
                </w:p>
              </w:tc>
              <w:tc>
                <w:tcPr>
                  <w:tcW w:w="1776" w:type="pct"/>
                  <w:vAlign w:val="center"/>
                </w:tcPr>
                <w:p w14:paraId="6239C126">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本项目窑尾废气依托现有废气治理工程，各污染物排放可满足《水泥工业污染防治技术政策》的相关要求</w:t>
                  </w:r>
                </w:p>
              </w:tc>
              <w:tc>
                <w:tcPr>
                  <w:tcW w:w="524" w:type="pct"/>
                  <w:vAlign w:val="center"/>
                </w:tcPr>
                <w:p w14:paraId="4EF7D082">
                  <w:pPr>
                    <w:keepNext w:val="0"/>
                    <w:keepLines w:val="0"/>
                    <w:pageBreakBefore w:val="0"/>
                    <w:kinsoku/>
                    <w:wordWrap/>
                    <w:overflowPunct/>
                    <w:topLinePunct w:val="0"/>
                    <w:autoSpaceDE/>
                    <w:autoSpaceDN/>
                    <w:bidi w:val="0"/>
                    <w:snapToGrid/>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符合</w:t>
                  </w:r>
                </w:p>
              </w:tc>
            </w:tr>
            <w:tr w14:paraId="7BBCA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98" w:type="pct"/>
                  <w:vAlign w:val="center"/>
                </w:tcPr>
                <w:p w14:paraId="29A81511">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eastAsia" w:cs="Times New Roman"/>
                      <w:color w:val="auto"/>
                      <w:sz w:val="21"/>
                      <w:szCs w:val="21"/>
                      <w:lang w:eastAsia="zh-CN"/>
                    </w:rPr>
                    <w:t>水泥窑协同处置固体废物产生的渗滤液、车辆清洗废水及协同处置固体废物过程产生的其他废水，可经适当预处理后送入城市污水处理厂处理，或单独设置污水处理装置处理达标后回用，如果废水产生量小可直接喷入水泥窑内焚烧处置。严禁将未经处理的渗滤液及废水以任何形式直接排放。</w:t>
                  </w:r>
                </w:p>
              </w:tc>
              <w:tc>
                <w:tcPr>
                  <w:tcW w:w="1776" w:type="pct"/>
                  <w:vAlign w:val="center"/>
                </w:tcPr>
                <w:p w14:paraId="7B45B008">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本项目不新增废水</w:t>
                  </w:r>
                </w:p>
              </w:tc>
              <w:tc>
                <w:tcPr>
                  <w:tcW w:w="524" w:type="pct"/>
                  <w:vAlign w:val="center"/>
                </w:tcPr>
                <w:p w14:paraId="2EDDDD47">
                  <w:pPr>
                    <w:keepNext w:val="0"/>
                    <w:keepLines w:val="0"/>
                    <w:pageBreakBefore w:val="0"/>
                    <w:kinsoku/>
                    <w:wordWrap/>
                    <w:overflowPunct/>
                    <w:topLinePunct w:val="0"/>
                    <w:autoSpaceDE/>
                    <w:autoSpaceDN/>
                    <w:bidi w:val="0"/>
                    <w:snapToGrid/>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符合</w:t>
                  </w:r>
                </w:p>
              </w:tc>
            </w:tr>
            <w:tr w14:paraId="3ABDA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98" w:type="pct"/>
                  <w:vAlign w:val="center"/>
                </w:tcPr>
                <w:p w14:paraId="7149D1BB">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水泥窑旁路放风系统排出的废气不能直接排放，应与窑尾烟气混合处理或单独处理。旁路防风排气筒污染物排放限值和监测方法应执行《水泥窑协同处置固体废物污染控制标准》（</w:t>
                  </w:r>
                  <w:r>
                    <w:rPr>
                      <w:rFonts w:hint="eastAsia" w:cs="Times New Roman"/>
                      <w:color w:val="auto"/>
                      <w:sz w:val="21"/>
                      <w:szCs w:val="21"/>
                      <w:lang w:val="en-US" w:eastAsia="zh-CN"/>
                    </w:rPr>
                    <w:t>GB 30485-2013</w:t>
                  </w:r>
                  <w:r>
                    <w:rPr>
                      <w:rFonts w:hint="eastAsia" w:cs="Times New Roman"/>
                      <w:color w:val="auto"/>
                      <w:sz w:val="21"/>
                      <w:szCs w:val="21"/>
                      <w:lang w:eastAsia="zh-CN"/>
                    </w:rPr>
                    <w:t>）的相关要求。对标准中未包含的特征污染物应符合环境影响评价提出的相关排放限值的要求。</w:t>
                  </w:r>
                </w:p>
              </w:tc>
              <w:tc>
                <w:tcPr>
                  <w:tcW w:w="1776" w:type="pct"/>
                  <w:vAlign w:val="center"/>
                </w:tcPr>
                <w:p w14:paraId="23997272">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本项目不设置水泥窑旁路放风系统，无此废气排放</w:t>
                  </w:r>
                </w:p>
              </w:tc>
              <w:tc>
                <w:tcPr>
                  <w:tcW w:w="524" w:type="pct"/>
                  <w:vAlign w:val="center"/>
                </w:tcPr>
                <w:p w14:paraId="5F528436">
                  <w:pPr>
                    <w:keepNext w:val="0"/>
                    <w:keepLines w:val="0"/>
                    <w:pageBreakBefore w:val="0"/>
                    <w:kinsoku/>
                    <w:wordWrap/>
                    <w:overflowPunct/>
                    <w:topLinePunct w:val="0"/>
                    <w:autoSpaceDE/>
                    <w:autoSpaceDN/>
                    <w:bidi w:val="0"/>
                    <w:snapToGrid/>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符合</w:t>
                  </w:r>
                </w:p>
              </w:tc>
            </w:tr>
            <w:tr w14:paraId="00395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98" w:type="pct"/>
                  <w:vAlign w:val="center"/>
                </w:tcPr>
                <w:p w14:paraId="7AA3F58D">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协同处置固体废物水泥窑的窑尾除尘灰宜返回原料系统，但为避免汞等挥发性重金属在窑内过度积累而排放的窑尾除尘灰和旁路放风粉尘不应返回原料系统。如果窑灰和旁路放风粉尘需要送至厂外进行处理处置，应按危险废物进行管理。</w:t>
                  </w:r>
                </w:p>
              </w:tc>
              <w:tc>
                <w:tcPr>
                  <w:tcW w:w="1776" w:type="pct"/>
                  <w:vAlign w:val="center"/>
                </w:tcPr>
                <w:p w14:paraId="291EAB14">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本项目固废均按相关要求进行妥善处置，不设置旁路放风系统</w:t>
                  </w:r>
                </w:p>
              </w:tc>
              <w:tc>
                <w:tcPr>
                  <w:tcW w:w="524" w:type="pct"/>
                  <w:vAlign w:val="center"/>
                </w:tcPr>
                <w:p w14:paraId="588444DF">
                  <w:pPr>
                    <w:keepNext w:val="0"/>
                    <w:keepLines w:val="0"/>
                    <w:pageBreakBefore w:val="0"/>
                    <w:kinsoku/>
                    <w:wordWrap/>
                    <w:overflowPunct/>
                    <w:topLinePunct w:val="0"/>
                    <w:autoSpaceDE/>
                    <w:autoSpaceDN/>
                    <w:bidi w:val="0"/>
                    <w:snapToGrid/>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符合</w:t>
                  </w:r>
                </w:p>
              </w:tc>
            </w:tr>
            <w:tr w14:paraId="359E2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98" w:type="pct"/>
                  <w:vAlign w:val="center"/>
                </w:tcPr>
                <w:p w14:paraId="37D2F7FD">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污泥干化系统、生活垃圾贮存及预处理产生的废气应送入水泥窑高温区焚烧处理或在干化系统中安装废气除臭设施，采用生物、化学等除臭技术处理后达标排放。在水泥窑停窑期间，固体废物贮存及预处理产生的废气、污泥干化系统产生的废气须经废气治理设施处理后达标排放。</w:t>
                  </w:r>
                </w:p>
              </w:tc>
              <w:tc>
                <w:tcPr>
                  <w:tcW w:w="1776" w:type="pct"/>
                  <w:vAlign w:val="center"/>
                </w:tcPr>
                <w:p w14:paraId="77050F9A">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本项目废气经废气治理设施处理后达标排放</w:t>
                  </w:r>
                </w:p>
              </w:tc>
              <w:tc>
                <w:tcPr>
                  <w:tcW w:w="524" w:type="pct"/>
                  <w:vAlign w:val="center"/>
                </w:tcPr>
                <w:p w14:paraId="0650D521">
                  <w:pPr>
                    <w:keepNext w:val="0"/>
                    <w:keepLines w:val="0"/>
                    <w:pageBreakBefore w:val="0"/>
                    <w:kinsoku/>
                    <w:wordWrap/>
                    <w:overflowPunct/>
                    <w:topLinePunct w:val="0"/>
                    <w:autoSpaceDE/>
                    <w:autoSpaceDN/>
                    <w:bidi w:val="0"/>
                    <w:snapToGrid/>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符合</w:t>
                  </w:r>
                </w:p>
              </w:tc>
            </w:tr>
          </w:tbl>
          <w:p w14:paraId="393B8E24">
            <w:pPr>
              <w:pStyle w:val="39"/>
              <w:numPr>
                <w:ilvl w:val="0"/>
                <w:numId w:val="0"/>
              </w:numPr>
              <w:spacing w:line="360" w:lineRule="auto"/>
              <w:ind w:firstLine="482" w:firstLineChars="200"/>
              <w:jc w:val="both"/>
              <w:rPr>
                <w:rFonts w:hint="default" w:ascii="Times New Roman" w:hAnsi="Times New Roman" w:cs="Times New Roman"/>
                <w:b/>
                <w:bCs/>
                <w:color w:val="auto"/>
                <w:kern w:val="0"/>
              </w:rPr>
            </w:pPr>
            <w:r>
              <w:rPr>
                <w:rFonts w:hint="eastAsia" w:ascii="Times New Roman" w:hAnsi="Times New Roman" w:cs="Times New Roman"/>
                <w:b/>
                <w:bCs/>
                <w:color w:val="auto"/>
                <w:kern w:val="0"/>
                <w:lang w:val="en-US" w:eastAsia="zh-CN"/>
              </w:rPr>
              <w:t>8、</w:t>
            </w:r>
            <w:r>
              <w:rPr>
                <w:rFonts w:hint="default" w:ascii="Times New Roman" w:hAnsi="Times New Roman" w:cs="Times New Roman"/>
                <w:b/>
                <w:bCs/>
                <w:color w:val="auto"/>
                <w:kern w:val="0"/>
              </w:rPr>
              <w:t>与</w:t>
            </w:r>
            <w:r>
              <w:rPr>
                <w:rFonts w:hint="eastAsia" w:ascii="Times New Roman" w:hAnsi="Times New Roman" w:cs="Times New Roman"/>
                <w:b/>
                <w:bCs/>
                <w:color w:val="auto"/>
                <w:kern w:val="0"/>
                <w:lang w:eastAsia="zh-CN"/>
              </w:rPr>
              <w:t>《水泥窑协同处置固体废物污染控制标准》（</w:t>
            </w:r>
            <w:r>
              <w:rPr>
                <w:rFonts w:hint="eastAsia" w:ascii="Times New Roman" w:hAnsi="Times New Roman" w:cs="Times New Roman"/>
                <w:b/>
                <w:bCs/>
                <w:color w:val="auto"/>
                <w:kern w:val="0"/>
                <w:lang w:val="en-US" w:eastAsia="zh-CN"/>
              </w:rPr>
              <w:t>GB 30485-2013</w:t>
            </w:r>
            <w:r>
              <w:rPr>
                <w:rFonts w:hint="eastAsia" w:ascii="Times New Roman" w:hAnsi="Times New Roman" w:cs="Times New Roman"/>
                <w:b/>
                <w:bCs/>
                <w:color w:val="auto"/>
                <w:kern w:val="0"/>
                <w:lang w:eastAsia="zh-CN"/>
              </w:rPr>
              <w:t>）</w:t>
            </w:r>
            <w:r>
              <w:rPr>
                <w:rFonts w:hint="default" w:ascii="Times New Roman" w:hAnsi="Times New Roman" w:cs="Times New Roman"/>
                <w:b/>
                <w:bCs/>
                <w:color w:val="auto"/>
                <w:kern w:val="0"/>
              </w:rPr>
              <w:t>符合性分析</w:t>
            </w:r>
          </w:p>
          <w:p w14:paraId="14D49E7B">
            <w:pPr>
              <w:autoSpaceDE w:val="0"/>
              <w:autoSpaceDN w:val="0"/>
              <w:adjustRightInd w:val="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表1-</w:t>
            </w:r>
            <w:r>
              <w:rPr>
                <w:rFonts w:hint="eastAsia" w:cs="Times New Roman"/>
                <w:b/>
                <w:color w:val="auto"/>
                <w:lang w:val="en-US" w:eastAsia="zh-CN"/>
              </w:rPr>
              <w:t>16</w:t>
            </w:r>
            <w:r>
              <w:rPr>
                <w:rFonts w:hint="default" w:ascii="Times New Roman" w:hAnsi="Times New Roman" w:eastAsia="宋体" w:cs="Times New Roman"/>
                <w:b/>
                <w:color w:val="auto"/>
              </w:rPr>
              <w:t xml:space="preserve"> 与</w:t>
            </w:r>
            <w:r>
              <w:rPr>
                <w:rFonts w:hint="eastAsia" w:ascii="Times New Roman" w:hAnsi="Times New Roman" w:cs="Times New Roman"/>
                <w:b/>
                <w:bCs/>
                <w:color w:val="auto"/>
                <w:kern w:val="0"/>
                <w:lang w:eastAsia="zh-CN"/>
              </w:rPr>
              <w:t>《水泥窑协同处置固体废物污染控制标准》（</w:t>
            </w:r>
            <w:r>
              <w:rPr>
                <w:rFonts w:hint="eastAsia" w:ascii="Times New Roman" w:hAnsi="Times New Roman" w:cs="Times New Roman"/>
                <w:b/>
                <w:bCs/>
                <w:color w:val="auto"/>
                <w:kern w:val="0"/>
                <w:lang w:val="en-US" w:eastAsia="zh-CN"/>
              </w:rPr>
              <w:t>GB 30485-2013</w:t>
            </w:r>
            <w:r>
              <w:rPr>
                <w:rFonts w:hint="eastAsia" w:ascii="Times New Roman" w:hAnsi="Times New Roman" w:cs="Times New Roman"/>
                <w:b/>
                <w:bCs/>
                <w:color w:val="auto"/>
                <w:kern w:val="0"/>
                <w:lang w:eastAsia="zh-CN"/>
              </w:rPr>
              <w:t>）</w:t>
            </w:r>
            <w:r>
              <w:rPr>
                <w:rFonts w:hint="default" w:ascii="Times New Roman" w:hAnsi="Times New Roman" w:eastAsia="宋体" w:cs="Times New Roman"/>
                <w:b/>
                <w:color w:val="auto"/>
              </w:rPr>
              <w:t>符合性分析</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3418"/>
              <w:gridCol w:w="3348"/>
              <w:gridCol w:w="894"/>
            </w:tblGrid>
            <w:tr w14:paraId="68266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Align w:val="center"/>
                </w:tcPr>
                <w:p w14:paraId="649CF0E7">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序号</w:t>
                  </w:r>
                </w:p>
              </w:tc>
              <w:tc>
                <w:tcPr>
                  <w:tcW w:w="2004" w:type="pct"/>
                  <w:vAlign w:val="center"/>
                </w:tcPr>
                <w:p w14:paraId="644C2FFF">
                  <w:pPr>
                    <w:keepNext w:val="0"/>
                    <w:keepLines w:val="0"/>
                    <w:pageBreakBefore w:val="0"/>
                    <w:kinsoku/>
                    <w:wordWrap/>
                    <w:overflowPunct/>
                    <w:topLinePunct w:val="0"/>
                    <w:autoSpaceDE/>
                    <w:autoSpaceDN/>
                    <w:bidi w:val="0"/>
                    <w:snapToGrid/>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文件要求</w:t>
                  </w:r>
                </w:p>
              </w:tc>
              <w:tc>
                <w:tcPr>
                  <w:tcW w:w="1963" w:type="pct"/>
                  <w:vAlign w:val="center"/>
                </w:tcPr>
                <w:p w14:paraId="5175A414">
                  <w:pPr>
                    <w:keepNext w:val="0"/>
                    <w:keepLines w:val="0"/>
                    <w:pageBreakBefore w:val="0"/>
                    <w:kinsoku/>
                    <w:wordWrap/>
                    <w:overflowPunct/>
                    <w:topLinePunct w:val="0"/>
                    <w:autoSpaceDE/>
                    <w:autoSpaceDN/>
                    <w:bidi w:val="0"/>
                    <w:snapToGrid/>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项目情况</w:t>
                  </w:r>
                </w:p>
              </w:tc>
              <w:tc>
                <w:tcPr>
                  <w:tcW w:w="524" w:type="pct"/>
                  <w:vAlign w:val="center"/>
                </w:tcPr>
                <w:p w14:paraId="396CA06C">
                  <w:pPr>
                    <w:keepNext w:val="0"/>
                    <w:keepLines w:val="0"/>
                    <w:pageBreakBefore w:val="0"/>
                    <w:kinsoku/>
                    <w:wordWrap/>
                    <w:overflowPunct/>
                    <w:topLinePunct w:val="0"/>
                    <w:autoSpaceDE/>
                    <w:autoSpaceDN/>
                    <w:bidi w:val="0"/>
                    <w:snapToGrid/>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符合性</w:t>
                  </w:r>
                </w:p>
              </w:tc>
            </w:tr>
            <w:tr w14:paraId="1A227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restart"/>
                  <w:vAlign w:val="center"/>
                </w:tcPr>
                <w:p w14:paraId="3127CCD4">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①由于协同处置固体废弃物的水泥窑应满足以下条件</w:t>
                  </w:r>
                </w:p>
              </w:tc>
              <w:tc>
                <w:tcPr>
                  <w:tcW w:w="2004" w:type="pct"/>
                  <w:vAlign w:val="center"/>
                </w:tcPr>
                <w:p w14:paraId="5E37CA44">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default" w:cs="Times New Roman"/>
                      <w:color w:val="auto"/>
                      <w:sz w:val="21"/>
                      <w:szCs w:val="21"/>
                      <w:lang w:eastAsia="zh-CN"/>
                    </w:rPr>
                    <w:t>A、单线设计熟料生产规模不小于200吨/天的新型干法水泥窑</w:t>
                  </w:r>
                </w:p>
              </w:tc>
              <w:tc>
                <w:tcPr>
                  <w:tcW w:w="1963" w:type="pct"/>
                  <w:vAlign w:val="center"/>
                </w:tcPr>
                <w:p w14:paraId="6FB551C3">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val="en-US" w:eastAsia="zh-CN"/>
                    </w:rPr>
                  </w:pPr>
                  <w:r>
                    <w:rPr>
                      <w:rFonts w:hint="eastAsia" w:cs="Times New Roman"/>
                      <w:color w:val="auto"/>
                      <w:sz w:val="21"/>
                      <w:szCs w:val="21"/>
                      <w:lang w:val="en-US" w:eastAsia="zh-CN"/>
                    </w:rPr>
                    <w:t>本项目主要依托现有5000t/d水泥熟料生产线协同处置固体废物</w:t>
                  </w:r>
                </w:p>
              </w:tc>
              <w:tc>
                <w:tcPr>
                  <w:tcW w:w="524" w:type="pct"/>
                  <w:vAlign w:val="center"/>
                </w:tcPr>
                <w:p w14:paraId="768FEE8D">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符合</w:t>
                  </w:r>
                </w:p>
              </w:tc>
            </w:tr>
            <w:tr w14:paraId="63A3B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vAlign w:val="center"/>
                </w:tcPr>
                <w:p w14:paraId="56AAF9CF">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val="en-US" w:eastAsia="zh-CN"/>
                    </w:rPr>
                  </w:pPr>
                </w:p>
              </w:tc>
              <w:tc>
                <w:tcPr>
                  <w:tcW w:w="2004" w:type="pct"/>
                  <w:vAlign w:val="center"/>
                </w:tcPr>
                <w:p w14:paraId="747C273E">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default" w:cs="Times New Roman"/>
                      <w:color w:val="auto"/>
                      <w:sz w:val="21"/>
                      <w:szCs w:val="21"/>
                      <w:lang w:val="en-US" w:eastAsia="zh-CN"/>
                    </w:rPr>
                    <w:t>B</w:t>
                  </w:r>
                  <w:r>
                    <w:rPr>
                      <w:rFonts w:hint="eastAsia" w:cs="Times New Roman"/>
                      <w:color w:val="auto"/>
                      <w:sz w:val="21"/>
                      <w:szCs w:val="21"/>
                      <w:lang w:val="en-US" w:eastAsia="zh-CN"/>
                    </w:rPr>
                    <w:t>、采用窑磨一体机模式</w:t>
                  </w:r>
                </w:p>
              </w:tc>
              <w:tc>
                <w:tcPr>
                  <w:tcW w:w="1963" w:type="pct"/>
                  <w:vAlign w:val="center"/>
                </w:tcPr>
                <w:p w14:paraId="02B5CEE5">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eastAsia" w:cs="Times New Roman"/>
                      <w:color w:val="auto"/>
                      <w:sz w:val="21"/>
                      <w:szCs w:val="21"/>
                      <w:lang w:eastAsia="zh-CN"/>
                    </w:rPr>
                    <w:t>本项目采用窑磨一体机</w:t>
                  </w:r>
                </w:p>
              </w:tc>
              <w:tc>
                <w:tcPr>
                  <w:tcW w:w="524" w:type="pct"/>
                  <w:vAlign w:val="center"/>
                </w:tcPr>
                <w:p w14:paraId="0230887C">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符合</w:t>
                  </w:r>
                </w:p>
              </w:tc>
            </w:tr>
            <w:tr w14:paraId="1653C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vAlign w:val="center"/>
                </w:tcPr>
                <w:p w14:paraId="44D786BF">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val="en-US" w:eastAsia="zh-CN"/>
                    </w:rPr>
                  </w:pPr>
                </w:p>
              </w:tc>
              <w:tc>
                <w:tcPr>
                  <w:tcW w:w="2004" w:type="pct"/>
                  <w:vAlign w:val="center"/>
                </w:tcPr>
                <w:p w14:paraId="340B4F93">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default" w:cs="Times New Roman"/>
                      <w:color w:val="auto"/>
                      <w:sz w:val="21"/>
                      <w:szCs w:val="21"/>
                      <w:lang w:val="en-US" w:eastAsia="zh-CN"/>
                    </w:rPr>
                    <w:t>C</w:t>
                  </w:r>
                  <w:r>
                    <w:rPr>
                      <w:rFonts w:hint="eastAsia" w:cs="Times New Roman"/>
                      <w:color w:val="auto"/>
                      <w:sz w:val="21"/>
                      <w:szCs w:val="21"/>
                      <w:lang w:val="en-US" w:eastAsia="zh-CN"/>
                    </w:rPr>
                    <w:t>、水泥窑及窑尾余热利用系统采用高效布袋除尘器作为烟气除尘设施</w:t>
                  </w:r>
                </w:p>
              </w:tc>
              <w:tc>
                <w:tcPr>
                  <w:tcW w:w="1963" w:type="pct"/>
                  <w:vAlign w:val="center"/>
                </w:tcPr>
                <w:p w14:paraId="47E62ABA">
                  <w:pPr>
                    <w:keepNext w:val="0"/>
                    <w:keepLines w:val="0"/>
                    <w:widowControl/>
                    <w:suppressLineNumbers w:val="0"/>
                    <w:jc w:val="left"/>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1"/>
                      <w:szCs w:val="21"/>
                      <w:lang w:val="en-US" w:eastAsia="zh-CN" w:bidi="ar"/>
                    </w:rPr>
                    <w:t>本项目</w:t>
                  </w:r>
                  <w:r>
                    <w:rPr>
                      <w:rFonts w:hint="eastAsia" w:ascii="宋体" w:hAnsi="宋体" w:cs="宋体"/>
                      <w:color w:val="000000"/>
                      <w:kern w:val="0"/>
                      <w:sz w:val="21"/>
                      <w:szCs w:val="21"/>
                      <w:lang w:val="en-US" w:eastAsia="zh-CN" w:bidi="ar"/>
                    </w:rPr>
                    <w:t>窑尾废气依托现有废气治理工程，已采用袋式除尘器处理装置处理窑尾烟气</w:t>
                  </w:r>
                </w:p>
              </w:tc>
              <w:tc>
                <w:tcPr>
                  <w:tcW w:w="524" w:type="pct"/>
                  <w:vAlign w:val="center"/>
                </w:tcPr>
                <w:p w14:paraId="5752118C">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符合</w:t>
                  </w:r>
                </w:p>
              </w:tc>
            </w:tr>
            <w:tr w14:paraId="2A205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vAlign w:val="center"/>
                </w:tcPr>
                <w:p w14:paraId="0301AF86">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val="en-US" w:eastAsia="zh-CN"/>
                    </w:rPr>
                  </w:pPr>
                </w:p>
              </w:tc>
              <w:tc>
                <w:tcPr>
                  <w:tcW w:w="2004" w:type="pct"/>
                  <w:vAlign w:val="center"/>
                </w:tcPr>
                <w:p w14:paraId="0A7BFCF8">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default" w:cs="Times New Roman"/>
                      <w:color w:val="auto"/>
                      <w:sz w:val="21"/>
                      <w:szCs w:val="21"/>
                      <w:lang w:val="en-US" w:eastAsia="zh-CN"/>
                    </w:rPr>
                    <w:t>D</w:t>
                  </w:r>
                  <w:r>
                    <w:rPr>
                      <w:rFonts w:hint="eastAsia" w:cs="Times New Roman"/>
                      <w:color w:val="auto"/>
                      <w:sz w:val="21"/>
                      <w:szCs w:val="21"/>
                      <w:lang w:val="en-US" w:eastAsia="zh-CN"/>
                    </w:rPr>
                    <w:t>、对于改造利用原有设施协同处置固体废物的水泥窑，在进行改造之前原有设施应连续两年达到</w:t>
                  </w:r>
                  <w:r>
                    <w:rPr>
                      <w:rFonts w:hint="default" w:cs="Times New Roman"/>
                      <w:color w:val="auto"/>
                      <w:sz w:val="21"/>
                      <w:szCs w:val="21"/>
                      <w:lang w:val="en-US" w:eastAsia="zh-CN"/>
                    </w:rPr>
                    <w:t>GB</w:t>
                  </w:r>
                  <w:r>
                    <w:rPr>
                      <w:rFonts w:hint="eastAsia" w:cs="Times New Roman"/>
                      <w:color w:val="auto"/>
                      <w:sz w:val="21"/>
                      <w:szCs w:val="21"/>
                      <w:lang w:val="en-US" w:eastAsia="zh-CN"/>
                    </w:rPr>
                    <w:t xml:space="preserve"> </w:t>
                  </w:r>
                  <w:r>
                    <w:rPr>
                      <w:rFonts w:hint="default" w:cs="Times New Roman"/>
                      <w:color w:val="auto"/>
                      <w:sz w:val="21"/>
                      <w:szCs w:val="21"/>
                      <w:lang w:val="en-US" w:eastAsia="zh-CN"/>
                    </w:rPr>
                    <w:t>4915</w:t>
                  </w:r>
                  <w:r>
                    <w:rPr>
                      <w:rFonts w:hint="eastAsia" w:cs="Times New Roman"/>
                      <w:color w:val="auto"/>
                      <w:sz w:val="21"/>
                      <w:szCs w:val="21"/>
                      <w:lang w:val="en-US" w:eastAsia="zh-CN"/>
                    </w:rPr>
                    <w:t>的要求</w:t>
                  </w:r>
                </w:p>
              </w:tc>
              <w:tc>
                <w:tcPr>
                  <w:tcW w:w="1963" w:type="pct"/>
                  <w:vAlign w:val="center"/>
                </w:tcPr>
                <w:p w14:paraId="773AEBFF">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val="en-US" w:eastAsia="zh-CN"/>
                    </w:rPr>
                  </w:pPr>
                  <w:r>
                    <w:rPr>
                      <w:rFonts w:hint="eastAsia" w:cs="Times New Roman"/>
                      <w:color w:val="0000FF"/>
                      <w:sz w:val="21"/>
                      <w:szCs w:val="21"/>
                      <w:lang w:eastAsia="zh-CN"/>
                    </w:rPr>
                    <w:t>根据建设单位提供的在线监测数据资料，水泥窑废气可达到《水泥工业大气污染物排放标准》（</w:t>
                  </w:r>
                  <w:r>
                    <w:rPr>
                      <w:rFonts w:hint="eastAsia" w:cs="Times New Roman"/>
                      <w:color w:val="0000FF"/>
                      <w:sz w:val="21"/>
                      <w:szCs w:val="21"/>
                      <w:lang w:val="en-US" w:eastAsia="zh-CN"/>
                    </w:rPr>
                    <w:t>GB 4915-2013</w:t>
                  </w:r>
                  <w:r>
                    <w:rPr>
                      <w:rFonts w:hint="eastAsia" w:cs="Times New Roman"/>
                      <w:color w:val="0000FF"/>
                      <w:sz w:val="21"/>
                      <w:szCs w:val="21"/>
                      <w:lang w:eastAsia="zh-CN"/>
                    </w:rPr>
                    <w:t>）相关要求，详见附件</w:t>
                  </w:r>
                </w:p>
              </w:tc>
              <w:tc>
                <w:tcPr>
                  <w:tcW w:w="524" w:type="pct"/>
                  <w:vAlign w:val="center"/>
                </w:tcPr>
                <w:p w14:paraId="3936E69A">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符合</w:t>
                  </w:r>
                </w:p>
              </w:tc>
            </w:tr>
            <w:tr w14:paraId="5ED7B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restart"/>
                  <w:vAlign w:val="center"/>
                </w:tcPr>
                <w:p w14:paraId="49146C93">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②由于协同处置固体废弃物的水泥窑所处位置应满足以下条件</w:t>
                  </w:r>
                </w:p>
              </w:tc>
              <w:tc>
                <w:tcPr>
                  <w:tcW w:w="2004" w:type="pct"/>
                  <w:vAlign w:val="center"/>
                </w:tcPr>
                <w:p w14:paraId="22CB95FA">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val="en-US" w:eastAsia="zh-CN"/>
                    </w:rPr>
                  </w:pPr>
                  <w:r>
                    <w:rPr>
                      <w:rFonts w:hint="default" w:cs="Times New Roman"/>
                      <w:color w:val="auto"/>
                      <w:sz w:val="21"/>
                      <w:szCs w:val="21"/>
                      <w:lang w:val="en-US" w:eastAsia="zh-CN"/>
                    </w:rPr>
                    <w:t>A</w:t>
                  </w:r>
                  <w:r>
                    <w:rPr>
                      <w:rFonts w:hint="eastAsia" w:cs="Times New Roman"/>
                      <w:color w:val="auto"/>
                      <w:sz w:val="21"/>
                      <w:szCs w:val="21"/>
                      <w:lang w:val="en-US" w:eastAsia="zh-CN"/>
                    </w:rPr>
                    <w:t>、符合城市总体发展规划、城市工业发展规划要求</w:t>
                  </w:r>
                </w:p>
              </w:tc>
              <w:tc>
                <w:tcPr>
                  <w:tcW w:w="1963" w:type="pct"/>
                  <w:vAlign w:val="center"/>
                </w:tcPr>
                <w:p w14:paraId="348EE798">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eastAsia" w:cs="Times New Roman"/>
                      <w:color w:val="auto"/>
                      <w:sz w:val="21"/>
                      <w:szCs w:val="21"/>
                      <w:lang w:eastAsia="zh-CN"/>
                    </w:rPr>
                    <w:t>本项目选址位于淮北市杜集区东山路202号（淮北众城水泥有限责任公司院内），符合城市总体发展规划、城市工业发展规划要求</w:t>
                  </w:r>
                </w:p>
              </w:tc>
              <w:tc>
                <w:tcPr>
                  <w:tcW w:w="524" w:type="pct"/>
                  <w:vAlign w:val="center"/>
                </w:tcPr>
                <w:p w14:paraId="6ADD03CE">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符合</w:t>
                  </w:r>
                </w:p>
              </w:tc>
            </w:tr>
            <w:tr w14:paraId="735E7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vAlign w:val="center"/>
                </w:tcPr>
                <w:p w14:paraId="5BA067E3">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val="en-US" w:eastAsia="zh-CN"/>
                    </w:rPr>
                  </w:pPr>
                </w:p>
              </w:tc>
              <w:tc>
                <w:tcPr>
                  <w:tcW w:w="2004" w:type="pct"/>
                  <w:vAlign w:val="center"/>
                </w:tcPr>
                <w:p w14:paraId="7A2B2609">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val="en-US" w:eastAsia="zh-CN"/>
                    </w:rPr>
                  </w:pPr>
                  <w:r>
                    <w:rPr>
                      <w:rFonts w:hint="default" w:cs="Times New Roman"/>
                      <w:color w:val="auto"/>
                      <w:sz w:val="21"/>
                      <w:szCs w:val="21"/>
                      <w:lang w:val="en-US" w:eastAsia="zh-CN"/>
                    </w:rPr>
                    <w:t>B</w:t>
                  </w:r>
                  <w:r>
                    <w:rPr>
                      <w:rFonts w:hint="eastAsia" w:cs="Times New Roman"/>
                      <w:color w:val="auto"/>
                      <w:sz w:val="21"/>
                      <w:szCs w:val="21"/>
                      <w:lang w:val="en-US" w:eastAsia="zh-CN"/>
                    </w:rPr>
                    <w:t>、所在区域无洪水、潮水或内涝威胁。设施所在标高应位于重现期不小于</w:t>
                  </w:r>
                  <w:r>
                    <w:rPr>
                      <w:rFonts w:hint="default" w:cs="Times New Roman"/>
                      <w:color w:val="auto"/>
                      <w:sz w:val="21"/>
                      <w:szCs w:val="21"/>
                      <w:lang w:val="en-US" w:eastAsia="zh-CN"/>
                    </w:rPr>
                    <w:t>100</w:t>
                  </w:r>
                  <w:r>
                    <w:rPr>
                      <w:rFonts w:hint="eastAsia" w:cs="Times New Roman"/>
                      <w:color w:val="auto"/>
                      <w:sz w:val="21"/>
                      <w:szCs w:val="21"/>
                      <w:lang w:val="en-US" w:eastAsia="zh-CN"/>
                    </w:rPr>
                    <w:t>年一遇的洪水位之上并建设在现有和各类规划中的水库等人工蓄水设施的淹没区和保护区之外</w:t>
                  </w:r>
                </w:p>
              </w:tc>
              <w:tc>
                <w:tcPr>
                  <w:tcW w:w="1963" w:type="pct"/>
                  <w:vAlign w:val="center"/>
                </w:tcPr>
                <w:p w14:paraId="1EEA5996">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eastAsia" w:cs="Times New Roman"/>
                      <w:color w:val="auto"/>
                      <w:sz w:val="21"/>
                      <w:szCs w:val="21"/>
                      <w:lang w:eastAsia="zh-CN"/>
                    </w:rPr>
                    <w:t>根据现有工程原环评，水泥窑所在区域无洪水</w:t>
                  </w:r>
                  <w:r>
                    <w:rPr>
                      <w:rFonts w:hint="eastAsia" w:cs="Times New Roman"/>
                      <w:color w:val="auto"/>
                      <w:sz w:val="21"/>
                      <w:szCs w:val="21"/>
                      <w:lang w:val="en-US" w:eastAsia="zh-CN"/>
                    </w:rPr>
                    <w:t>、潮水或内涝威胁。设施所在标高应位于重现期不小于</w:t>
                  </w:r>
                  <w:r>
                    <w:rPr>
                      <w:rFonts w:hint="default" w:cs="Times New Roman"/>
                      <w:color w:val="auto"/>
                      <w:sz w:val="21"/>
                      <w:szCs w:val="21"/>
                      <w:lang w:val="en-US" w:eastAsia="zh-CN"/>
                    </w:rPr>
                    <w:t>100</w:t>
                  </w:r>
                  <w:r>
                    <w:rPr>
                      <w:rFonts w:hint="eastAsia" w:cs="Times New Roman"/>
                      <w:color w:val="auto"/>
                      <w:sz w:val="21"/>
                      <w:szCs w:val="21"/>
                      <w:lang w:val="en-US" w:eastAsia="zh-CN"/>
                    </w:rPr>
                    <w:t>年一遇的洪水位之上并建设在现有和各类规划中的水库等人工蓄水设施的淹没区和保护区之外</w:t>
                  </w:r>
                </w:p>
              </w:tc>
              <w:tc>
                <w:tcPr>
                  <w:tcW w:w="524" w:type="pct"/>
                  <w:vAlign w:val="center"/>
                </w:tcPr>
                <w:p w14:paraId="6C88F85A">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符合</w:t>
                  </w:r>
                </w:p>
              </w:tc>
            </w:tr>
            <w:tr w14:paraId="76756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Align w:val="center"/>
                </w:tcPr>
                <w:p w14:paraId="64E5F4C1">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③水泥窑协同处置固体废物污染控制标准</w:t>
                  </w:r>
                </w:p>
              </w:tc>
              <w:tc>
                <w:tcPr>
                  <w:tcW w:w="2004" w:type="pct"/>
                  <w:vAlign w:val="center"/>
                </w:tcPr>
                <w:p w14:paraId="27FDA5DC">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val="en-US" w:eastAsia="zh-CN"/>
                    </w:rPr>
                  </w:pPr>
                  <w:r>
                    <w:rPr>
                      <w:rFonts w:hint="eastAsia" w:cs="Times New Roman"/>
                      <w:color w:val="auto"/>
                      <w:sz w:val="21"/>
                      <w:szCs w:val="21"/>
                      <w:lang w:val="en-US" w:eastAsia="zh-CN"/>
                    </w:rPr>
                    <w:t>危险废物贮存设施应满足</w:t>
                  </w:r>
                  <w:r>
                    <w:rPr>
                      <w:rFonts w:hint="default" w:cs="Times New Roman"/>
                      <w:color w:val="auto"/>
                      <w:sz w:val="21"/>
                      <w:szCs w:val="21"/>
                      <w:lang w:val="en-US" w:eastAsia="zh-CN"/>
                    </w:rPr>
                    <w:t>GB</w:t>
                  </w:r>
                  <w:r>
                    <w:rPr>
                      <w:rFonts w:hint="eastAsia" w:cs="Times New Roman"/>
                      <w:color w:val="auto"/>
                      <w:sz w:val="21"/>
                      <w:szCs w:val="21"/>
                      <w:lang w:val="en-US" w:eastAsia="zh-CN"/>
                    </w:rPr>
                    <w:t xml:space="preserve"> </w:t>
                  </w:r>
                  <w:r>
                    <w:rPr>
                      <w:rFonts w:hint="default" w:cs="Times New Roman"/>
                      <w:color w:val="auto"/>
                      <w:sz w:val="21"/>
                      <w:szCs w:val="21"/>
                      <w:lang w:val="en-US" w:eastAsia="zh-CN"/>
                    </w:rPr>
                    <w:t>18597</w:t>
                  </w:r>
                  <w:r>
                    <w:rPr>
                      <w:rFonts w:hint="eastAsia" w:cs="Times New Roman"/>
                      <w:color w:val="auto"/>
                      <w:sz w:val="21"/>
                      <w:szCs w:val="21"/>
                      <w:lang w:val="en-US" w:eastAsia="zh-CN"/>
                    </w:rPr>
                    <w:t>和</w:t>
                  </w:r>
                  <w:r>
                    <w:rPr>
                      <w:rFonts w:hint="default" w:cs="Times New Roman"/>
                      <w:color w:val="auto"/>
                      <w:sz w:val="21"/>
                      <w:szCs w:val="21"/>
                      <w:lang w:val="en-US" w:eastAsia="zh-CN"/>
                    </w:rPr>
                    <w:t>HJT</w:t>
                  </w:r>
                  <w:r>
                    <w:rPr>
                      <w:rFonts w:hint="eastAsia" w:cs="Times New Roman"/>
                      <w:color w:val="auto"/>
                      <w:sz w:val="21"/>
                      <w:szCs w:val="21"/>
                      <w:lang w:val="en-US" w:eastAsia="zh-CN"/>
                    </w:rPr>
                    <w:t xml:space="preserve"> </w:t>
                  </w:r>
                  <w:r>
                    <w:rPr>
                      <w:rFonts w:hint="default" w:cs="Times New Roman"/>
                      <w:color w:val="auto"/>
                      <w:sz w:val="21"/>
                      <w:szCs w:val="21"/>
                      <w:lang w:val="en-US" w:eastAsia="zh-CN"/>
                    </w:rPr>
                    <w:t>176</w:t>
                  </w:r>
                  <w:r>
                    <w:rPr>
                      <w:rFonts w:hint="eastAsia" w:cs="Times New Roman"/>
                      <w:color w:val="auto"/>
                      <w:sz w:val="21"/>
                      <w:szCs w:val="21"/>
                      <w:lang w:val="en-US" w:eastAsia="zh-CN"/>
                    </w:rPr>
                    <w:t>的规定。生活垃圾和城市污水处理厂污泥的贮存设施应有良好的防渗性能并设置污水收集装置：贮存设施应采用封闭措施，保证其中有生活垃圾或污泥存放时处于负压状态；贮存设施内抽取的空气应导入水泥窑高温区焚烧处理，或经过其他处理措施达标后排放前述两款规定之外的其他固体废物的贮存施应有良好的防渗性能，以及必要的防雨、防尘功能</w:t>
                  </w:r>
                </w:p>
              </w:tc>
              <w:tc>
                <w:tcPr>
                  <w:tcW w:w="1963" w:type="pct"/>
                  <w:vAlign w:val="center"/>
                </w:tcPr>
                <w:p w14:paraId="1B11E21D">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eastAsia" w:cs="Times New Roman"/>
                      <w:color w:val="auto"/>
                      <w:sz w:val="21"/>
                      <w:szCs w:val="21"/>
                      <w:lang w:eastAsia="zh-CN"/>
                    </w:rPr>
                    <w:t>本项目仅处置废纺、生物质（木屑），不涉及处置危险废物、城市污泥、生活垃圾等废物</w:t>
                  </w:r>
                </w:p>
              </w:tc>
              <w:tc>
                <w:tcPr>
                  <w:tcW w:w="524" w:type="pct"/>
                  <w:vAlign w:val="center"/>
                </w:tcPr>
                <w:p w14:paraId="1C06C73A">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符合</w:t>
                  </w:r>
                </w:p>
              </w:tc>
            </w:tr>
            <w:tr w14:paraId="5E768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restart"/>
                  <w:vAlign w:val="center"/>
                </w:tcPr>
                <w:p w14:paraId="28A1DE0D">
                  <w:pPr>
                    <w:keepNext w:val="0"/>
                    <w:keepLines w:val="0"/>
                    <w:pageBreakBefore w:val="0"/>
                    <w:kinsoku/>
                    <w:wordWrap/>
                    <w:overflowPunct/>
                    <w:topLinePunct w:val="0"/>
                    <w:autoSpaceDE/>
                    <w:autoSpaceDN/>
                    <w:bidi w:val="0"/>
                    <w:snapToGrid/>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④根据所需要协同处置的固体废物特性设置专用固体废物投加设施。固体废物投加设施应满足以下条件</w:t>
                  </w:r>
                </w:p>
                <w:p w14:paraId="57742E3B">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val="en-US" w:eastAsia="zh-CN"/>
                    </w:rPr>
                  </w:pPr>
                </w:p>
              </w:tc>
              <w:tc>
                <w:tcPr>
                  <w:tcW w:w="2004" w:type="pct"/>
                  <w:vAlign w:val="center"/>
                </w:tcPr>
                <w:p w14:paraId="279C195B">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val="en-US" w:eastAsia="zh-CN"/>
                    </w:rPr>
                  </w:pPr>
                  <w:r>
                    <w:rPr>
                      <w:rFonts w:hint="default" w:cs="Times New Roman"/>
                      <w:color w:val="auto"/>
                      <w:sz w:val="21"/>
                      <w:szCs w:val="21"/>
                      <w:lang w:val="en-US" w:eastAsia="zh-CN"/>
                    </w:rPr>
                    <w:t>A</w:t>
                  </w:r>
                  <w:r>
                    <w:rPr>
                      <w:rFonts w:hint="eastAsia" w:cs="Times New Roman"/>
                      <w:color w:val="auto"/>
                      <w:sz w:val="21"/>
                      <w:szCs w:val="21"/>
                      <w:lang w:val="en-US" w:eastAsia="zh-CN"/>
                    </w:rPr>
                    <w:t>、能实现自动进料并配备可调节投加速率的计量装置实现定量投料</w:t>
                  </w:r>
                </w:p>
              </w:tc>
              <w:tc>
                <w:tcPr>
                  <w:tcW w:w="1963" w:type="pct"/>
                  <w:vAlign w:val="center"/>
                </w:tcPr>
                <w:p w14:paraId="31358B8D">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eastAsia" w:cs="Times New Roman"/>
                      <w:color w:val="auto"/>
                      <w:sz w:val="21"/>
                      <w:szCs w:val="21"/>
                      <w:lang w:eastAsia="zh-CN"/>
                    </w:rPr>
                    <w:t>本项目按要求配备一套计量喂料系统</w:t>
                  </w:r>
                </w:p>
              </w:tc>
              <w:tc>
                <w:tcPr>
                  <w:tcW w:w="524" w:type="pct"/>
                  <w:vAlign w:val="center"/>
                </w:tcPr>
                <w:p w14:paraId="1E72A0F5">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符合</w:t>
                  </w:r>
                </w:p>
              </w:tc>
            </w:tr>
            <w:tr w14:paraId="6D950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vAlign w:val="center"/>
                </w:tcPr>
                <w:p w14:paraId="242322E4">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val="en-US" w:eastAsia="zh-CN"/>
                    </w:rPr>
                  </w:pPr>
                </w:p>
              </w:tc>
              <w:tc>
                <w:tcPr>
                  <w:tcW w:w="2004" w:type="pct"/>
                  <w:vAlign w:val="center"/>
                </w:tcPr>
                <w:p w14:paraId="6CE02C63">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val="en-US" w:eastAsia="zh-CN"/>
                    </w:rPr>
                  </w:pPr>
                  <w:r>
                    <w:rPr>
                      <w:rFonts w:hint="default" w:cs="Times New Roman"/>
                      <w:color w:val="auto"/>
                      <w:sz w:val="21"/>
                      <w:szCs w:val="21"/>
                      <w:lang w:val="en-US" w:eastAsia="zh-CN"/>
                    </w:rPr>
                    <w:t>B</w:t>
                  </w:r>
                  <w:r>
                    <w:rPr>
                      <w:rFonts w:hint="eastAsia" w:cs="Times New Roman"/>
                      <w:color w:val="auto"/>
                      <w:sz w:val="21"/>
                      <w:szCs w:val="21"/>
                      <w:lang w:val="en-US" w:eastAsia="zh-CN"/>
                    </w:rPr>
                    <w:t>、固体废物输送装置和投加口应保持密闭，固体废物投加口应具有防回火功能。</w:t>
                  </w:r>
                </w:p>
              </w:tc>
              <w:tc>
                <w:tcPr>
                  <w:tcW w:w="1963" w:type="pct"/>
                  <w:vAlign w:val="center"/>
                </w:tcPr>
                <w:p w14:paraId="1DDD60B0">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eastAsia" w:cs="Times New Roman"/>
                      <w:color w:val="auto"/>
                      <w:sz w:val="21"/>
                      <w:szCs w:val="21"/>
                      <w:lang w:eastAsia="zh-CN"/>
                    </w:rPr>
                    <w:t>本项目固体废物运输装置和投加口均保持密闭，固体废物投加口所有翻板阀、闸板阀和溜管都要衬耐火材料，并具有防回火功能</w:t>
                  </w:r>
                </w:p>
              </w:tc>
              <w:tc>
                <w:tcPr>
                  <w:tcW w:w="524" w:type="pct"/>
                  <w:vAlign w:val="center"/>
                </w:tcPr>
                <w:p w14:paraId="29A1ECA5">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符合</w:t>
                  </w:r>
                </w:p>
              </w:tc>
            </w:tr>
            <w:tr w14:paraId="6CE2F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vAlign w:val="center"/>
                </w:tcPr>
                <w:p w14:paraId="54A52769">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p>
              </w:tc>
              <w:tc>
                <w:tcPr>
                  <w:tcW w:w="2004" w:type="pct"/>
                  <w:vAlign w:val="center"/>
                </w:tcPr>
                <w:p w14:paraId="1F541682">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val="en-US" w:eastAsia="zh-CN"/>
                    </w:rPr>
                  </w:pPr>
                  <w:r>
                    <w:rPr>
                      <w:rFonts w:hint="default" w:cs="Times New Roman"/>
                      <w:color w:val="auto"/>
                      <w:sz w:val="21"/>
                      <w:szCs w:val="21"/>
                      <w:lang w:val="en-US" w:eastAsia="zh-CN"/>
                    </w:rPr>
                    <w:t>C</w:t>
                  </w:r>
                  <w:r>
                    <w:rPr>
                      <w:rFonts w:hint="eastAsia" w:cs="Times New Roman"/>
                      <w:color w:val="auto"/>
                      <w:sz w:val="21"/>
                      <w:szCs w:val="21"/>
                      <w:lang w:val="en-US" w:eastAsia="zh-CN"/>
                    </w:rPr>
                    <w:t>、保持进料通畅以防止固体废物搭桥堵塞。</w:t>
                  </w:r>
                </w:p>
              </w:tc>
              <w:tc>
                <w:tcPr>
                  <w:tcW w:w="1963" w:type="pct"/>
                  <w:vAlign w:val="center"/>
                </w:tcPr>
                <w:p w14:paraId="092EA8C6">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eastAsia" w:cs="Times New Roman"/>
                      <w:color w:val="auto"/>
                      <w:sz w:val="21"/>
                      <w:szCs w:val="21"/>
                      <w:lang w:eastAsia="zh-CN"/>
                    </w:rPr>
                    <w:t>本项目采用机械化、自动化设备，避免人工加料，防止物料堆积</w:t>
                  </w:r>
                </w:p>
              </w:tc>
              <w:tc>
                <w:tcPr>
                  <w:tcW w:w="524" w:type="pct"/>
                  <w:vAlign w:val="center"/>
                </w:tcPr>
                <w:p w14:paraId="76FE7D51">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符合</w:t>
                  </w:r>
                </w:p>
              </w:tc>
            </w:tr>
            <w:tr w14:paraId="14109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vAlign w:val="center"/>
                </w:tcPr>
                <w:p w14:paraId="6014E032">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p>
              </w:tc>
              <w:tc>
                <w:tcPr>
                  <w:tcW w:w="2004" w:type="pct"/>
                  <w:vAlign w:val="center"/>
                </w:tcPr>
                <w:p w14:paraId="41B8B289">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val="en-US" w:eastAsia="zh-CN"/>
                    </w:rPr>
                  </w:pPr>
                  <w:r>
                    <w:rPr>
                      <w:rFonts w:hint="default" w:cs="Times New Roman"/>
                      <w:color w:val="auto"/>
                      <w:sz w:val="21"/>
                      <w:szCs w:val="21"/>
                      <w:lang w:val="en-US" w:eastAsia="zh-CN"/>
                    </w:rPr>
                    <w:t>D</w:t>
                  </w:r>
                  <w:r>
                    <w:rPr>
                      <w:rFonts w:hint="eastAsia" w:cs="Times New Roman"/>
                      <w:color w:val="auto"/>
                      <w:sz w:val="21"/>
                      <w:szCs w:val="21"/>
                      <w:lang w:val="en-US" w:eastAsia="zh-CN"/>
                    </w:rPr>
                    <w:t>、配置可实时显示固体废物投加状况的在线监视系统。</w:t>
                  </w:r>
                </w:p>
              </w:tc>
              <w:tc>
                <w:tcPr>
                  <w:tcW w:w="1963" w:type="pct"/>
                  <w:vAlign w:val="center"/>
                </w:tcPr>
                <w:p w14:paraId="5926655F">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eastAsia" w:cs="Times New Roman"/>
                      <w:color w:val="auto"/>
                      <w:sz w:val="21"/>
                      <w:szCs w:val="21"/>
                      <w:lang w:eastAsia="zh-CN"/>
                    </w:rPr>
                    <w:t>本项目</w:t>
                  </w:r>
                  <w:r>
                    <w:rPr>
                      <w:rFonts w:hint="eastAsia" w:cs="Times New Roman"/>
                      <w:color w:val="auto"/>
                      <w:sz w:val="21"/>
                      <w:szCs w:val="21"/>
                      <w:lang w:val="en-US" w:eastAsia="zh-CN"/>
                    </w:rPr>
                    <w:t>配置可实时显示固体废物投加状况的在线监视系统</w:t>
                  </w:r>
                </w:p>
              </w:tc>
              <w:tc>
                <w:tcPr>
                  <w:tcW w:w="524" w:type="pct"/>
                  <w:vAlign w:val="center"/>
                </w:tcPr>
                <w:p w14:paraId="53B3D68B">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符合</w:t>
                  </w:r>
                </w:p>
              </w:tc>
            </w:tr>
            <w:tr w14:paraId="0EDD8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vAlign w:val="center"/>
                </w:tcPr>
                <w:p w14:paraId="0C9C7A66">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p>
              </w:tc>
              <w:tc>
                <w:tcPr>
                  <w:tcW w:w="2004" w:type="pct"/>
                  <w:vAlign w:val="center"/>
                </w:tcPr>
                <w:p w14:paraId="13BB891F">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val="en-US" w:eastAsia="zh-CN"/>
                    </w:rPr>
                  </w:pPr>
                  <w:r>
                    <w:rPr>
                      <w:rFonts w:hint="default" w:cs="Times New Roman"/>
                      <w:color w:val="auto"/>
                      <w:sz w:val="21"/>
                      <w:szCs w:val="21"/>
                      <w:lang w:val="en-US" w:eastAsia="zh-CN"/>
                    </w:rPr>
                    <w:t>E</w:t>
                  </w:r>
                  <w:r>
                    <w:rPr>
                      <w:rFonts w:hint="eastAsia" w:cs="Times New Roman"/>
                      <w:color w:val="auto"/>
                      <w:sz w:val="21"/>
                      <w:szCs w:val="21"/>
                      <w:lang w:val="en-US" w:eastAsia="zh-CN"/>
                    </w:rPr>
                    <w:t>、具有自动联机停机功能，当水泥窑或烟气处理设施因故障停止运转，或者当窑内温度、压力、窑转速、烟气中氧含量等运行参数偏离设定值时，或者烟气排放超过标准设定值时，可自动停止固体废物投加。</w:t>
                  </w:r>
                </w:p>
              </w:tc>
              <w:tc>
                <w:tcPr>
                  <w:tcW w:w="1963" w:type="pct"/>
                  <w:vAlign w:val="center"/>
                </w:tcPr>
                <w:p w14:paraId="3F765401">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eastAsia" w:cs="Times New Roman"/>
                      <w:color w:val="auto"/>
                      <w:sz w:val="21"/>
                      <w:szCs w:val="21"/>
                      <w:lang w:eastAsia="zh-CN"/>
                    </w:rPr>
                    <w:t>本项目设置自动联机停机装置</w:t>
                  </w:r>
                </w:p>
              </w:tc>
              <w:tc>
                <w:tcPr>
                  <w:tcW w:w="524" w:type="pct"/>
                  <w:vAlign w:val="center"/>
                </w:tcPr>
                <w:p w14:paraId="6C2560C5">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符合</w:t>
                  </w:r>
                </w:p>
              </w:tc>
            </w:tr>
            <w:tr w14:paraId="03B9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vAlign w:val="center"/>
                </w:tcPr>
                <w:p w14:paraId="676D5330">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p>
              </w:tc>
              <w:tc>
                <w:tcPr>
                  <w:tcW w:w="2004" w:type="pct"/>
                  <w:vAlign w:val="center"/>
                </w:tcPr>
                <w:p w14:paraId="319FA541">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val="en-US" w:eastAsia="zh-CN"/>
                    </w:rPr>
                  </w:pPr>
                  <w:r>
                    <w:rPr>
                      <w:rFonts w:hint="default" w:cs="Times New Roman"/>
                      <w:color w:val="auto"/>
                      <w:sz w:val="21"/>
                      <w:szCs w:val="21"/>
                      <w:lang w:val="en-US" w:eastAsia="zh-CN"/>
                    </w:rPr>
                    <w:t>F</w:t>
                  </w:r>
                  <w:r>
                    <w:rPr>
                      <w:rFonts w:hint="eastAsia" w:cs="Times New Roman"/>
                      <w:color w:val="auto"/>
                      <w:sz w:val="21"/>
                      <w:szCs w:val="21"/>
                      <w:lang w:val="en-US" w:eastAsia="zh-CN"/>
                    </w:rPr>
                    <w:t>、处理腐蚀性废物时，投加和输送装置应采用防腐材料。</w:t>
                  </w:r>
                </w:p>
              </w:tc>
              <w:tc>
                <w:tcPr>
                  <w:tcW w:w="1963" w:type="pct"/>
                  <w:vAlign w:val="center"/>
                </w:tcPr>
                <w:p w14:paraId="5D8F1B1F">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eastAsia" w:cs="Times New Roman"/>
                      <w:color w:val="auto"/>
                      <w:sz w:val="21"/>
                      <w:szCs w:val="21"/>
                      <w:lang w:eastAsia="zh-CN"/>
                    </w:rPr>
                    <w:t>本项目投加和运输装置都设计采用防腐材料</w:t>
                  </w:r>
                </w:p>
              </w:tc>
              <w:tc>
                <w:tcPr>
                  <w:tcW w:w="524" w:type="pct"/>
                  <w:vAlign w:val="center"/>
                </w:tcPr>
                <w:p w14:paraId="6FCE4830">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符合</w:t>
                  </w:r>
                </w:p>
              </w:tc>
            </w:tr>
            <w:tr w14:paraId="303BF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vAlign w:val="center"/>
                </w:tcPr>
                <w:p w14:paraId="5361B99C">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p>
              </w:tc>
              <w:tc>
                <w:tcPr>
                  <w:tcW w:w="2004" w:type="pct"/>
                  <w:vAlign w:val="center"/>
                </w:tcPr>
                <w:p w14:paraId="568E9622">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eastAsia" w:cs="Times New Roman"/>
                      <w:color w:val="auto"/>
                      <w:sz w:val="21"/>
                      <w:szCs w:val="21"/>
                      <w:lang w:val="en-US" w:eastAsia="zh-CN"/>
                    </w:rPr>
                    <w:t xml:space="preserve">固体废物在水泥窑中投加位置应根据固体废物特性从以下三处选择： </w:t>
                  </w:r>
                </w:p>
                <w:p w14:paraId="46FE6FC8">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default" w:cs="Times New Roman"/>
                      <w:color w:val="auto"/>
                      <w:sz w:val="21"/>
                      <w:szCs w:val="21"/>
                      <w:lang w:val="en-US" w:eastAsia="zh-CN"/>
                    </w:rPr>
                    <w:t>A</w:t>
                  </w:r>
                  <w:r>
                    <w:rPr>
                      <w:rFonts w:hint="eastAsia" w:cs="Times New Roman"/>
                      <w:color w:val="auto"/>
                      <w:sz w:val="21"/>
                      <w:szCs w:val="21"/>
                      <w:lang w:val="en-US" w:eastAsia="zh-CN"/>
                    </w:rPr>
                    <w:t xml:space="preserve">、窑头窝温段，包括主燃烧器投加点和窑门罩投加点。 </w:t>
                  </w:r>
                </w:p>
                <w:p w14:paraId="7298128F">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default" w:cs="Times New Roman"/>
                      <w:color w:val="auto"/>
                      <w:sz w:val="21"/>
                      <w:szCs w:val="21"/>
                      <w:lang w:val="en-US" w:eastAsia="zh-CN"/>
                    </w:rPr>
                    <w:t>B</w:t>
                  </w:r>
                  <w:r>
                    <w:rPr>
                      <w:rFonts w:hint="eastAsia" w:cs="Times New Roman"/>
                      <w:color w:val="auto"/>
                      <w:sz w:val="21"/>
                      <w:szCs w:val="21"/>
                      <w:lang w:val="en-US" w:eastAsia="zh-CN"/>
                    </w:rPr>
                    <w:t xml:space="preserve">、窑尾商温段，包括分解炉、窑尾烟室和上升烟道投加点。 </w:t>
                  </w:r>
                </w:p>
                <w:p w14:paraId="5D730C01">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val="en-US" w:eastAsia="zh-CN"/>
                    </w:rPr>
                  </w:pPr>
                  <w:r>
                    <w:rPr>
                      <w:rFonts w:hint="default" w:cs="Times New Roman"/>
                      <w:color w:val="auto"/>
                      <w:sz w:val="21"/>
                      <w:szCs w:val="21"/>
                      <w:lang w:val="en-US" w:eastAsia="zh-CN"/>
                    </w:rPr>
                    <w:t>C</w:t>
                  </w:r>
                  <w:r>
                    <w:rPr>
                      <w:rFonts w:hint="eastAsia" w:cs="Times New Roman"/>
                      <w:color w:val="auto"/>
                      <w:sz w:val="21"/>
                      <w:szCs w:val="21"/>
                      <w:lang w:val="en-US" w:eastAsia="zh-CN"/>
                    </w:rPr>
                    <w:t>、生料配料系统（生料磨）</w:t>
                  </w:r>
                </w:p>
              </w:tc>
              <w:tc>
                <w:tcPr>
                  <w:tcW w:w="1963" w:type="pct"/>
                  <w:vAlign w:val="center"/>
                </w:tcPr>
                <w:p w14:paraId="74A479A4">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eastAsia" w:cs="Times New Roman"/>
                      <w:color w:val="auto"/>
                      <w:sz w:val="21"/>
                      <w:szCs w:val="21"/>
                      <w:lang w:eastAsia="zh-CN"/>
                    </w:rPr>
                    <w:t>本项目处理的一般固体废物主要投加位置为窑尾分解炉</w:t>
                  </w:r>
                </w:p>
              </w:tc>
              <w:tc>
                <w:tcPr>
                  <w:tcW w:w="524" w:type="pct"/>
                  <w:vAlign w:val="center"/>
                </w:tcPr>
                <w:p w14:paraId="781BBE8F">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符合</w:t>
                  </w:r>
                </w:p>
              </w:tc>
            </w:tr>
            <w:tr w14:paraId="01A53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restart"/>
                  <w:vAlign w:val="center"/>
                </w:tcPr>
                <w:p w14:paraId="6E1E72EB">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④入窑协同处置固体废物特性</w:t>
                  </w:r>
                </w:p>
              </w:tc>
              <w:tc>
                <w:tcPr>
                  <w:tcW w:w="2004" w:type="pct"/>
                  <w:vAlign w:val="center"/>
                </w:tcPr>
                <w:p w14:paraId="04AF2383">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val="en-US" w:eastAsia="zh-CN"/>
                    </w:rPr>
                  </w:pPr>
                  <w:r>
                    <w:rPr>
                      <w:rFonts w:hint="default" w:cs="Times New Roman"/>
                      <w:color w:val="auto"/>
                      <w:sz w:val="21"/>
                      <w:szCs w:val="21"/>
                      <w:lang w:val="en-US" w:eastAsia="zh-CN"/>
                    </w:rPr>
                    <w:t>A</w:t>
                  </w:r>
                  <w:r>
                    <w:rPr>
                      <w:rFonts w:hint="eastAsia" w:cs="Times New Roman"/>
                      <w:color w:val="auto"/>
                      <w:sz w:val="21"/>
                      <w:szCs w:val="21"/>
                      <w:lang w:val="en-US" w:eastAsia="zh-CN"/>
                    </w:rPr>
                    <w:t>、禁止入窑的固体废物：放射性废物；爆炸性及反应性废物；未经拆解的废电池、废家用电器和电子产品；含汞的温度计、血压计、荧光灯和开关；铬渣；未知特性和未经鉴定的废物</w:t>
                  </w:r>
                </w:p>
              </w:tc>
              <w:tc>
                <w:tcPr>
                  <w:tcW w:w="1963" w:type="pct"/>
                  <w:vAlign w:val="center"/>
                </w:tcPr>
                <w:p w14:paraId="0C2DA2DE">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eastAsia" w:cs="Times New Roman"/>
                      <w:color w:val="auto"/>
                      <w:sz w:val="21"/>
                      <w:szCs w:val="21"/>
                      <w:lang w:eastAsia="zh-CN"/>
                    </w:rPr>
                    <w:t>本项目仅处置废纺、生物质（木屑），不涉及禁止入窑的固体废物</w:t>
                  </w:r>
                </w:p>
              </w:tc>
              <w:tc>
                <w:tcPr>
                  <w:tcW w:w="524" w:type="pct"/>
                  <w:vAlign w:val="center"/>
                </w:tcPr>
                <w:p w14:paraId="131D1ED4">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符合</w:t>
                  </w:r>
                </w:p>
              </w:tc>
            </w:tr>
            <w:tr w14:paraId="1842F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vAlign w:val="center"/>
                </w:tcPr>
                <w:p w14:paraId="1973CA24">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p>
              </w:tc>
              <w:tc>
                <w:tcPr>
                  <w:tcW w:w="2004" w:type="pct"/>
                  <w:vAlign w:val="center"/>
                </w:tcPr>
                <w:p w14:paraId="22C20051">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val="en-US" w:eastAsia="zh-CN"/>
                    </w:rPr>
                  </w:pPr>
                  <w:r>
                    <w:rPr>
                      <w:rFonts w:hint="default" w:cs="Times New Roman"/>
                      <w:color w:val="auto"/>
                      <w:sz w:val="21"/>
                      <w:szCs w:val="21"/>
                      <w:lang w:val="en-US" w:eastAsia="zh-CN"/>
                    </w:rPr>
                    <w:t>B</w:t>
                  </w:r>
                  <w:r>
                    <w:rPr>
                      <w:rFonts w:hint="eastAsia" w:cs="Times New Roman"/>
                      <w:color w:val="auto"/>
                      <w:sz w:val="21"/>
                      <w:szCs w:val="21"/>
                      <w:lang w:val="en-US" w:eastAsia="zh-CN"/>
                    </w:rPr>
                    <w:t>、入窑固体废物应具有相对稳定的化学组成和物理特性，其重金属以及氯、氟、硫等有害元素的含量及投加量应满足</w:t>
                  </w:r>
                  <w:r>
                    <w:rPr>
                      <w:rFonts w:hint="default" w:cs="Times New Roman"/>
                      <w:color w:val="auto"/>
                      <w:sz w:val="21"/>
                      <w:szCs w:val="21"/>
                      <w:lang w:val="en-US" w:eastAsia="zh-CN"/>
                    </w:rPr>
                    <w:t>HJ</w:t>
                  </w:r>
                  <w:r>
                    <w:rPr>
                      <w:rFonts w:hint="eastAsia" w:cs="Times New Roman"/>
                      <w:color w:val="auto"/>
                      <w:sz w:val="21"/>
                      <w:szCs w:val="21"/>
                      <w:lang w:val="en-US" w:eastAsia="zh-CN"/>
                    </w:rPr>
                    <w:t xml:space="preserve"> </w:t>
                  </w:r>
                  <w:r>
                    <w:rPr>
                      <w:rFonts w:hint="default" w:cs="Times New Roman"/>
                      <w:color w:val="auto"/>
                      <w:sz w:val="21"/>
                      <w:szCs w:val="21"/>
                      <w:lang w:val="en-US" w:eastAsia="zh-CN"/>
                    </w:rPr>
                    <w:t>662</w:t>
                  </w:r>
                  <w:r>
                    <w:rPr>
                      <w:rFonts w:hint="eastAsia" w:cs="Times New Roman"/>
                      <w:color w:val="auto"/>
                      <w:sz w:val="21"/>
                      <w:szCs w:val="21"/>
                      <w:lang w:val="en-US" w:eastAsia="zh-CN"/>
                    </w:rPr>
                    <w:t>的要求</w:t>
                  </w:r>
                </w:p>
              </w:tc>
              <w:tc>
                <w:tcPr>
                  <w:tcW w:w="1963" w:type="pct"/>
                  <w:vAlign w:val="center"/>
                </w:tcPr>
                <w:p w14:paraId="61D486D2">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eastAsia" w:cs="Times New Roman"/>
                      <w:color w:val="auto"/>
                      <w:sz w:val="21"/>
                      <w:szCs w:val="21"/>
                      <w:lang w:eastAsia="zh-CN"/>
                    </w:rPr>
                    <w:t>本项目入窑固体废物的重金属以及氯、硫等元素的含量及投加量均在要求的限量内</w:t>
                  </w:r>
                </w:p>
              </w:tc>
              <w:tc>
                <w:tcPr>
                  <w:tcW w:w="524" w:type="pct"/>
                  <w:vAlign w:val="center"/>
                </w:tcPr>
                <w:p w14:paraId="7349B20C">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符合</w:t>
                  </w:r>
                </w:p>
              </w:tc>
            </w:tr>
            <w:tr w14:paraId="497CD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restart"/>
                  <w:vAlign w:val="center"/>
                </w:tcPr>
                <w:p w14:paraId="4FFE285E">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⑤运行技术要求</w:t>
                  </w:r>
                </w:p>
              </w:tc>
              <w:tc>
                <w:tcPr>
                  <w:tcW w:w="2004" w:type="pct"/>
                  <w:vAlign w:val="center"/>
                </w:tcPr>
                <w:p w14:paraId="5F0A0E26">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val="en-US" w:eastAsia="zh-CN"/>
                    </w:rPr>
                  </w:pPr>
                  <w:r>
                    <w:rPr>
                      <w:rFonts w:hint="default" w:cs="Times New Roman"/>
                      <w:color w:val="auto"/>
                      <w:sz w:val="21"/>
                      <w:szCs w:val="21"/>
                      <w:lang w:val="en-US" w:eastAsia="zh-CN"/>
                    </w:rPr>
                    <w:t>A</w:t>
                  </w:r>
                  <w:r>
                    <w:rPr>
                      <w:rFonts w:hint="eastAsia" w:cs="Times New Roman"/>
                      <w:color w:val="auto"/>
                      <w:sz w:val="21"/>
                      <w:szCs w:val="21"/>
                      <w:lang w:val="en-US" w:eastAsia="zh-CN"/>
                    </w:rPr>
                    <w:t>、在运行过程中，应根据固体废物特性按照</w:t>
                  </w:r>
                  <w:r>
                    <w:rPr>
                      <w:rFonts w:hint="default" w:cs="Times New Roman"/>
                      <w:color w:val="auto"/>
                      <w:sz w:val="21"/>
                      <w:szCs w:val="21"/>
                      <w:lang w:val="en-US" w:eastAsia="zh-CN"/>
                    </w:rPr>
                    <w:t>HJ</w:t>
                  </w:r>
                  <w:r>
                    <w:rPr>
                      <w:rFonts w:hint="eastAsia" w:cs="Times New Roman"/>
                      <w:color w:val="auto"/>
                      <w:sz w:val="21"/>
                      <w:szCs w:val="21"/>
                      <w:lang w:val="en-US" w:eastAsia="zh-CN"/>
                    </w:rPr>
                    <w:t xml:space="preserve"> </w:t>
                  </w:r>
                  <w:r>
                    <w:rPr>
                      <w:rFonts w:hint="default" w:cs="Times New Roman"/>
                      <w:color w:val="auto"/>
                      <w:sz w:val="21"/>
                      <w:szCs w:val="21"/>
                      <w:lang w:val="en-US" w:eastAsia="zh-CN"/>
                    </w:rPr>
                    <w:t>662</w:t>
                  </w:r>
                  <w:r>
                    <w:rPr>
                      <w:rFonts w:hint="eastAsia" w:cs="Times New Roman"/>
                      <w:color w:val="auto"/>
                      <w:sz w:val="21"/>
                      <w:szCs w:val="21"/>
                      <w:lang w:val="en-US" w:eastAsia="zh-CN"/>
                    </w:rPr>
                    <w:t>中的要求正确选择固体废物投加点和投加方式</w:t>
                  </w:r>
                </w:p>
              </w:tc>
              <w:tc>
                <w:tcPr>
                  <w:tcW w:w="1963" w:type="pct"/>
                  <w:vAlign w:val="center"/>
                </w:tcPr>
                <w:p w14:paraId="424F96C9">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eastAsia" w:cs="Times New Roman"/>
                      <w:color w:val="auto"/>
                      <w:sz w:val="21"/>
                      <w:szCs w:val="21"/>
                      <w:lang w:eastAsia="zh-CN"/>
                    </w:rPr>
                    <w:t>本项目处置废纺和生物质（木屑），投加点为窑尾分解炉</w:t>
                  </w:r>
                </w:p>
              </w:tc>
              <w:tc>
                <w:tcPr>
                  <w:tcW w:w="524" w:type="pct"/>
                  <w:vAlign w:val="center"/>
                </w:tcPr>
                <w:p w14:paraId="6ABCACB7">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符合</w:t>
                  </w:r>
                </w:p>
              </w:tc>
            </w:tr>
            <w:tr w14:paraId="0E3A7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vAlign w:val="center"/>
                </w:tcPr>
                <w:p w14:paraId="16ED6EB9">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p>
              </w:tc>
              <w:tc>
                <w:tcPr>
                  <w:tcW w:w="2004" w:type="pct"/>
                  <w:vAlign w:val="center"/>
                </w:tcPr>
                <w:p w14:paraId="5C503A37">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val="en-US" w:eastAsia="zh-CN"/>
                    </w:rPr>
                  </w:pPr>
                  <w:r>
                    <w:rPr>
                      <w:rFonts w:hint="default" w:cs="Times New Roman"/>
                      <w:color w:val="auto"/>
                      <w:sz w:val="21"/>
                      <w:szCs w:val="21"/>
                      <w:lang w:val="en-US" w:eastAsia="zh-CN"/>
                    </w:rPr>
                    <w:t>B</w:t>
                  </w:r>
                  <w:r>
                    <w:rPr>
                      <w:rFonts w:hint="eastAsia" w:cs="Times New Roman"/>
                      <w:color w:val="auto"/>
                      <w:sz w:val="21"/>
                      <w:szCs w:val="21"/>
                      <w:lang w:val="en-US" w:eastAsia="zh-CN"/>
                    </w:rPr>
                    <w:t>、固体废物的投加过程和在水泥窑中的协同处置过程应不影响水泥的正常生产。</w:t>
                  </w:r>
                </w:p>
              </w:tc>
              <w:tc>
                <w:tcPr>
                  <w:tcW w:w="1963" w:type="pct"/>
                  <w:vAlign w:val="center"/>
                </w:tcPr>
                <w:p w14:paraId="15339586">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eastAsia" w:cs="Times New Roman"/>
                      <w:color w:val="auto"/>
                      <w:sz w:val="21"/>
                      <w:szCs w:val="21"/>
                      <w:lang w:eastAsia="zh-CN"/>
                    </w:rPr>
                    <w:t>本项目处置废纺和生物质（木屑），均为替代部分燃料使用，不会影响水泥正常生产</w:t>
                  </w:r>
                </w:p>
              </w:tc>
              <w:tc>
                <w:tcPr>
                  <w:tcW w:w="524" w:type="pct"/>
                  <w:vAlign w:val="center"/>
                </w:tcPr>
                <w:p w14:paraId="69E74369">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符合</w:t>
                  </w:r>
                </w:p>
              </w:tc>
            </w:tr>
            <w:tr w14:paraId="1725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vAlign w:val="center"/>
                </w:tcPr>
                <w:p w14:paraId="1003C1AA">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p>
              </w:tc>
              <w:tc>
                <w:tcPr>
                  <w:tcW w:w="2004" w:type="pct"/>
                  <w:vAlign w:val="center"/>
                </w:tcPr>
                <w:p w14:paraId="31B86301">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val="en-US" w:eastAsia="zh-CN"/>
                    </w:rPr>
                  </w:pPr>
                  <w:r>
                    <w:rPr>
                      <w:rFonts w:hint="default" w:cs="Times New Roman"/>
                      <w:color w:val="auto"/>
                      <w:sz w:val="21"/>
                      <w:szCs w:val="21"/>
                      <w:lang w:val="en-US" w:eastAsia="zh-CN"/>
                    </w:rPr>
                    <w:t>C</w:t>
                  </w:r>
                  <w:r>
                    <w:rPr>
                      <w:rFonts w:hint="eastAsia" w:cs="Times New Roman"/>
                      <w:color w:val="auto"/>
                      <w:sz w:val="21"/>
                      <w:szCs w:val="21"/>
                      <w:lang w:val="en-US" w:eastAsia="zh-CN"/>
                    </w:rPr>
                    <w:t>、在水泥窑达到正常生产工况并稳定运行至少</w:t>
                  </w:r>
                  <w:r>
                    <w:rPr>
                      <w:rFonts w:hint="default" w:cs="Times New Roman"/>
                      <w:color w:val="auto"/>
                      <w:sz w:val="21"/>
                      <w:szCs w:val="21"/>
                      <w:lang w:val="en-US" w:eastAsia="zh-CN"/>
                    </w:rPr>
                    <w:t>4</w:t>
                  </w:r>
                  <w:r>
                    <w:rPr>
                      <w:rFonts w:hint="eastAsia" w:cs="Times New Roman"/>
                      <w:color w:val="auto"/>
                      <w:sz w:val="21"/>
                      <w:szCs w:val="21"/>
                      <w:lang w:val="en-US" w:eastAsia="zh-CN"/>
                    </w:rPr>
                    <w:t>小时后，方可开始投加固体废物；因水泥窑维修、事故检修等原因停窑前至少</w:t>
                  </w:r>
                  <w:r>
                    <w:rPr>
                      <w:rFonts w:hint="default" w:cs="Times New Roman"/>
                      <w:color w:val="auto"/>
                      <w:sz w:val="21"/>
                      <w:szCs w:val="21"/>
                      <w:lang w:val="en-US" w:eastAsia="zh-CN"/>
                    </w:rPr>
                    <w:t>4</w:t>
                  </w:r>
                  <w:r>
                    <w:rPr>
                      <w:rFonts w:hint="eastAsia" w:cs="Times New Roman"/>
                      <w:color w:val="auto"/>
                      <w:sz w:val="21"/>
                      <w:szCs w:val="21"/>
                      <w:lang w:val="en-US" w:eastAsia="zh-CN"/>
                    </w:rPr>
                    <w:t>小时内禁止投加固体废物。</w:t>
                  </w:r>
                </w:p>
              </w:tc>
              <w:tc>
                <w:tcPr>
                  <w:tcW w:w="1963" w:type="pct"/>
                  <w:vAlign w:val="center"/>
                </w:tcPr>
                <w:p w14:paraId="1CD06E6A">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eastAsia" w:cs="Times New Roman"/>
                      <w:color w:val="auto"/>
                      <w:sz w:val="21"/>
                      <w:szCs w:val="21"/>
                      <w:lang w:eastAsia="zh-CN"/>
                    </w:rPr>
                    <w:t>待项目投产运行后，公司将严格按照要求进行投加固体废物</w:t>
                  </w:r>
                </w:p>
              </w:tc>
              <w:tc>
                <w:tcPr>
                  <w:tcW w:w="524" w:type="pct"/>
                  <w:vAlign w:val="center"/>
                </w:tcPr>
                <w:p w14:paraId="689A3E4A">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符合</w:t>
                  </w:r>
                </w:p>
              </w:tc>
            </w:tr>
            <w:tr w14:paraId="18DE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vAlign w:val="center"/>
                </w:tcPr>
                <w:p w14:paraId="64F448F1">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p>
              </w:tc>
              <w:tc>
                <w:tcPr>
                  <w:tcW w:w="2004" w:type="pct"/>
                  <w:vAlign w:val="center"/>
                </w:tcPr>
                <w:p w14:paraId="1E9BFFAC">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val="en-US" w:eastAsia="zh-CN"/>
                    </w:rPr>
                  </w:pPr>
                  <w:r>
                    <w:rPr>
                      <w:rFonts w:hint="default" w:cs="Times New Roman"/>
                      <w:color w:val="auto"/>
                      <w:sz w:val="21"/>
                      <w:szCs w:val="21"/>
                      <w:lang w:val="en-US" w:eastAsia="zh-CN"/>
                    </w:rPr>
                    <w:t>D</w:t>
                  </w:r>
                  <w:r>
                    <w:rPr>
                      <w:rFonts w:hint="eastAsia" w:cs="Times New Roman"/>
                      <w:color w:val="auto"/>
                      <w:sz w:val="21"/>
                      <w:szCs w:val="21"/>
                      <w:lang w:val="en-US" w:eastAsia="zh-CN"/>
                    </w:rPr>
                    <w:t>、当水泥窑出现故障或事故造成运行工况不正常，如窑内温度明显下降、烟气中污染物浓度明显升高等情况时，必须立即停止投加固体废物，待查明原因并恢复正常运行后方可恢复投加。</w:t>
                  </w:r>
                </w:p>
              </w:tc>
              <w:tc>
                <w:tcPr>
                  <w:tcW w:w="1963" w:type="pct"/>
                  <w:vAlign w:val="center"/>
                </w:tcPr>
                <w:p w14:paraId="0615FD83">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eastAsia" w:cs="Times New Roman"/>
                      <w:color w:val="auto"/>
                      <w:sz w:val="21"/>
                      <w:szCs w:val="21"/>
                      <w:lang w:eastAsia="zh-CN"/>
                    </w:rPr>
                    <w:t>待项目投产运行时，若水泥窑发生故障，公司将严格按照要求停止投加废纺和生物质（木屑）</w:t>
                  </w:r>
                </w:p>
              </w:tc>
              <w:tc>
                <w:tcPr>
                  <w:tcW w:w="524" w:type="pct"/>
                  <w:vAlign w:val="center"/>
                </w:tcPr>
                <w:p w14:paraId="62609ACB">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符合</w:t>
                  </w:r>
                </w:p>
              </w:tc>
            </w:tr>
            <w:tr w14:paraId="73619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Merge w:val="continue"/>
                  <w:vAlign w:val="center"/>
                </w:tcPr>
                <w:p w14:paraId="5C55B0C2">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p>
              </w:tc>
              <w:tc>
                <w:tcPr>
                  <w:tcW w:w="2004" w:type="pct"/>
                  <w:vAlign w:val="center"/>
                </w:tcPr>
                <w:p w14:paraId="75275FF3">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val="en-US" w:eastAsia="zh-CN"/>
                    </w:rPr>
                  </w:pPr>
                  <w:r>
                    <w:rPr>
                      <w:rFonts w:hint="default" w:cs="Times New Roman"/>
                      <w:color w:val="auto"/>
                      <w:sz w:val="21"/>
                      <w:szCs w:val="21"/>
                      <w:lang w:val="en-US" w:eastAsia="zh-CN"/>
                    </w:rPr>
                    <w:t>E</w:t>
                  </w:r>
                  <w:r>
                    <w:rPr>
                      <w:rFonts w:hint="eastAsia" w:cs="Times New Roman"/>
                      <w:color w:val="auto"/>
                      <w:sz w:val="21"/>
                      <w:szCs w:val="21"/>
                      <w:lang w:val="en-US" w:eastAsia="zh-CN"/>
                    </w:rPr>
                    <w:t>、在协同处置固体废物时，水泥窑及窑尾余热利用系统排气筒总有机碳（</w:t>
                  </w:r>
                  <w:r>
                    <w:rPr>
                      <w:rFonts w:hint="default" w:cs="Times New Roman"/>
                      <w:color w:val="auto"/>
                      <w:sz w:val="21"/>
                      <w:szCs w:val="21"/>
                      <w:lang w:val="en-US" w:eastAsia="zh-CN"/>
                    </w:rPr>
                    <w:t>TOC</w:t>
                  </w:r>
                  <w:r>
                    <w:rPr>
                      <w:rFonts w:hint="eastAsia" w:cs="Times New Roman"/>
                      <w:color w:val="auto"/>
                      <w:sz w:val="21"/>
                      <w:szCs w:val="21"/>
                      <w:lang w:val="en-US" w:eastAsia="zh-CN"/>
                    </w:rPr>
                    <w:t xml:space="preserve">）因协同处置固体废物增加的浓度不应超过 </w:t>
                  </w:r>
                  <w:r>
                    <w:rPr>
                      <w:rFonts w:hint="default" w:cs="Times New Roman"/>
                      <w:color w:val="auto"/>
                      <w:sz w:val="21"/>
                      <w:szCs w:val="21"/>
                      <w:lang w:val="en-US" w:eastAsia="zh-CN"/>
                    </w:rPr>
                    <w:t>10mg/m</w:t>
                  </w:r>
                  <w:r>
                    <w:rPr>
                      <w:rFonts w:hint="default" w:cs="Times New Roman"/>
                      <w:color w:val="auto"/>
                      <w:sz w:val="21"/>
                      <w:szCs w:val="21"/>
                      <w:vertAlign w:val="superscript"/>
                      <w:lang w:val="en-US" w:eastAsia="zh-CN"/>
                    </w:rPr>
                    <w:t>3</w:t>
                  </w:r>
                  <w:r>
                    <w:rPr>
                      <w:rFonts w:hint="eastAsia" w:cs="Times New Roman"/>
                      <w:color w:val="auto"/>
                      <w:sz w:val="21"/>
                      <w:szCs w:val="21"/>
                      <w:lang w:val="en-US" w:eastAsia="zh-CN"/>
                    </w:rPr>
                    <w:t>，</w:t>
                  </w:r>
                  <w:r>
                    <w:rPr>
                      <w:rFonts w:hint="default" w:cs="Times New Roman"/>
                      <w:color w:val="auto"/>
                      <w:sz w:val="21"/>
                      <w:szCs w:val="21"/>
                      <w:lang w:val="en-US" w:eastAsia="zh-CN"/>
                    </w:rPr>
                    <w:t>TOC</w:t>
                  </w:r>
                  <w:r>
                    <w:rPr>
                      <w:rFonts w:hint="eastAsia" w:cs="Times New Roman"/>
                      <w:color w:val="auto"/>
                      <w:sz w:val="21"/>
                      <w:szCs w:val="21"/>
                      <w:lang w:val="en-US" w:eastAsia="zh-CN"/>
                    </w:rPr>
                    <w:t>的测定步骤和方法执行</w:t>
                  </w:r>
                  <w:r>
                    <w:rPr>
                      <w:rFonts w:hint="default" w:cs="Times New Roman"/>
                      <w:color w:val="auto"/>
                      <w:sz w:val="21"/>
                      <w:szCs w:val="21"/>
                      <w:lang w:val="en-US" w:eastAsia="zh-CN"/>
                    </w:rPr>
                    <w:t>HJ662</w:t>
                  </w:r>
                  <w:r>
                    <w:rPr>
                      <w:rFonts w:hint="eastAsia" w:cs="Times New Roman"/>
                      <w:color w:val="auto"/>
                      <w:sz w:val="21"/>
                      <w:szCs w:val="21"/>
                      <w:lang w:val="en-US" w:eastAsia="zh-CN"/>
                    </w:rPr>
                    <w:t xml:space="preserve">和 </w:t>
                  </w:r>
                  <w:r>
                    <w:rPr>
                      <w:rFonts w:hint="default" w:cs="Times New Roman"/>
                      <w:color w:val="auto"/>
                      <w:sz w:val="21"/>
                      <w:szCs w:val="21"/>
                      <w:lang w:val="en-US" w:eastAsia="zh-CN"/>
                    </w:rPr>
                    <w:t>HJT38</w:t>
                  </w:r>
                  <w:r>
                    <w:rPr>
                      <w:rFonts w:hint="eastAsia" w:cs="Times New Roman"/>
                      <w:color w:val="auto"/>
                      <w:sz w:val="21"/>
                      <w:szCs w:val="21"/>
                      <w:lang w:val="en-US" w:eastAsia="zh-CN"/>
                    </w:rPr>
                    <w:t>等国家环境保护标准。</w:t>
                  </w:r>
                </w:p>
              </w:tc>
              <w:tc>
                <w:tcPr>
                  <w:tcW w:w="1963" w:type="pct"/>
                  <w:vAlign w:val="center"/>
                </w:tcPr>
                <w:p w14:paraId="202182C6">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eastAsia" w:cs="Times New Roman"/>
                      <w:color w:val="auto"/>
                      <w:sz w:val="21"/>
                      <w:szCs w:val="21"/>
                      <w:lang w:eastAsia="zh-CN"/>
                    </w:rPr>
                    <w:t>待项目投产运行时，公司将严格按照要求进行监控</w:t>
                  </w:r>
                </w:p>
              </w:tc>
              <w:tc>
                <w:tcPr>
                  <w:tcW w:w="524" w:type="pct"/>
                  <w:vAlign w:val="center"/>
                </w:tcPr>
                <w:p w14:paraId="387DF8FF">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符合</w:t>
                  </w:r>
                </w:p>
              </w:tc>
            </w:tr>
            <w:tr w14:paraId="2719A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vAlign w:val="center"/>
                </w:tcPr>
                <w:p w14:paraId="22D8F1FB">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⑥污染物排放限值</w:t>
                  </w:r>
                </w:p>
              </w:tc>
              <w:tc>
                <w:tcPr>
                  <w:tcW w:w="2004" w:type="pct"/>
                  <w:vAlign w:val="center"/>
                </w:tcPr>
                <w:p w14:paraId="33F7DA0B">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val="en-US" w:eastAsia="zh-CN"/>
                    </w:rPr>
                  </w:pPr>
                  <w:r>
                    <w:rPr>
                      <w:rFonts w:hint="eastAsia" w:cs="Times New Roman"/>
                      <w:color w:val="auto"/>
                      <w:sz w:val="21"/>
                      <w:szCs w:val="21"/>
                      <w:lang w:val="en-US" w:eastAsia="zh-CN"/>
                    </w:rPr>
                    <w:t>利用水泥窑协同处置固体废物时，水泥窑及窑尾余热利用系统排气筒大气污染物中颗粒物、二氧化硫、氮氧化物和氨的排放限值按</w:t>
                  </w:r>
                  <w:r>
                    <w:rPr>
                      <w:rFonts w:hint="default" w:cs="Times New Roman"/>
                      <w:color w:val="auto"/>
                      <w:sz w:val="21"/>
                      <w:szCs w:val="21"/>
                      <w:lang w:val="en-US" w:eastAsia="zh-CN"/>
                    </w:rPr>
                    <w:t>GB</w:t>
                  </w:r>
                  <w:r>
                    <w:rPr>
                      <w:rFonts w:hint="eastAsia" w:cs="Times New Roman"/>
                      <w:color w:val="auto"/>
                      <w:sz w:val="21"/>
                      <w:szCs w:val="21"/>
                      <w:lang w:val="en-US" w:eastAsia="zh-CN"/>
                    </w:rPr>
                    <w:t xml:space="preserve"> </w:t>
                  </w:r>
                  <w:r>
                    <w:rPr>
                      <w:rFonts w:hint="default" w:cs="Times New Roman"/>
                      <w:color w:val="auto"/>
                      <w:sz w:val="21"/>
                      <w:szCs w:val="21"/>
                      <w:lang w:val="en-US" w:eastAsia="zh-CN"/>
                    </w:rPr>
                    <w:t>4915</w:t>
                  </w:r>
                  <w:r>
                    <w:rPr>
                      <w:rFonts w:hint="eastAsia" w:cs="Times New Roman"/>
                      <w:color w:val="auto"/>
                      <w:sz w:val="21"/>
                      <w:szCs w:val="21"/>
                      <w:lang w:val="en-US" w:eastAsia="zh-CN"/>
                    </w:rPr>
                    <w:t>中的要求执行。</w:t>
                  </w:r>
                </w:p>
              </w:tc>
              <w:tc>
                <w:tcPr>
                  <w:tcW w:w="1963" w:type="pct"/>
                  <w:vAlign w:val="center"/>
                </w:tcPr>
                <w:p w14:paraId="21B8CF9D">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eastAsia" w:cs="Times New Roman"/>
                      <w:color w:val="auto"/>
                      <w:sz w:val="21"/>
                      <w:szCs w:val="21"/>
                      <w:lang w:eastAsia="zh-CN"/>
                    </w:rPr>
                    <w:t>本项目</w:t>
                  </w:r>
                  <w:r>
                    <w:rPr>
                      <w:rFonts w:hint="eastAsia" w:cs="Times New Roman"/>
                      <w:color w:val="auto"/>
                      <w:sz w:val="21"/>
                      <w:szCs w:val="21"/>
                      <w:lang w:val="en-US" w:eastAsia="zh-CN"/>
                    </w:rPr>
                    <w:t>利用水泥窑协同处置固体废物时，水泥窑及窑尾余热利用系统排气筒大气污染物中颗粒物、二氧化硫、氮氧化物和氨的排放限值按照安徽省地标《水泥工业大气污染排放标准》（DB 34/ 3576-2020）中的要求执行</w:t>
                  </w:r>
                </w:p>
              </w:tc>
              <w:tc>
                <w:tcPr>
                  <w:tcW w:w="524" w:type="pct"/>
                  <w:vAlign w:val="center"/>
                </w:tcPr>
                <w:p w14:paraId="4F30B888">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符合</w:t>
                  </w:r>
                </w:p>
              </w:tc>
            </w:tr>
          </w:tbl>
          <w:p w14:paraId="6750E321">
            <w:pPr>
              <w:pStyle w:val="39"/>
              <w:numPr>
                <w:ilvl w:val="0"/>
                <w:numId w:val="0"/>
              </w:numPr>
              <w:spacing w:line="360" w:lineRule="auto"/>
              <w:ind w:firstLine="482" w:firstLineChars="200"/>
              <w:jc w:val="both"/>
              <w:rPr>
                <w:rFonts w:hint="default" w:ascii="Times New Roman" w:hAnsi="Times New Roman" w:cs="Times New Roman"/>
                <w:b/>
                <w:bCs/>
                <w:color w:val="auto"/>
                <w:kern w:val="0"/>
              </w:rPr>
            </w:pPr>
            <w:r>
              <w:rPr>
                <w:rFonts w:hint="eastAsia" w:ascii="Times New Roman" w:hAnsi="Times New Roman" w:cs="Times New Roman"/>
                <w:b/>
                <w:bCs/>
                <w:color w:val="auto"/>
                <w:kern w:val="0"/>
                <w:lang w:val="en-US" w:eastAsia="zh-CN"/>
              </w:rPr>
              <w:t>9、</w:t>
            </w:r>
            <w:r>
              <w:rPr>
                <w:rFonts w:hint="default" w:ascii="Times New Roman" w:hAnsi="Times New Roman" w:cs="Times New Roman"/>
                <w:b/>
                <w:bCs/>
                <w:color w:val="auto"/>
                <w:kern w:val="0"/>
              </w:rPr>
              <w:t>与</w:t>
            </w:r>
            <w:r>
              <w:rPr>
                <w:rFonts w:hint="eastAsia" w:ascii="Times New Roman" w:hAnsi="Times New Roman" w:cs="Times New Roman"/>
                <w:b/>
                <w:bCs/>
                <w:color w:val="auto"/>
                <w:kern w:val="0"/>
                <w:lang w:eastAsia="zh-CN"/>
              </w:rPr>
              <w:t>《水泥窑协同处置固体废物环境保护技术规范》（</w:t>
            </w:r>
            <w:r>
              <w:rPr>
                <w:rFonts w:hint="eastAsia" w:ascii="Times New Roman" w:hAnsi="Times New Roman" w:cs="Times New Roman"/>
                <w:b/>
                <w:bCs/>
                <w:color w:val="auto"/>
                <w:kern w:val="0"/>
                <w:lang w:val="en-US" w:eastAsia="zh-CN"/>
              </w:rPr>
              <w:t>HJ 662-2013</w:t>
            </w:r>
            <w:r>
              <w:rPr>
                <w:rFonts w:hint="eastAsia" w:ascii="Times New Roman" w:hAnsi="Times New Roman" w:cs="Times New Roman"/>
                <w:b/>
                <w:bCs/>
                <w:color w:val="auto"/>
                <w:kern w:val="0"/>
                <w:lang w:eastAsia="zh-CN"/>
              </w:rPr>
              <w:t>）</w:t>
            </w:r>
            <w:r>
              <w:rPr>
                <w:rFonts w:hint="default" w:ascii="Times New Roman" w:hAnsi="Times New Roman" w:cs="Times New Roman"/>
                <w:b/>
                <w:bCs/>
                <w:color w:val="auto"/>
                <w:kern w:val="0"/>
              </w:rPr>
              <w:t>符合性分析</w:t>
            </w:r>
          </w:p>
          <w:p w14:paraId="41F2B5D5">
            <w:pPr>
              <w:autoSpaceDE w:val="0"/>
              <w:autoSpaceDN w:val="0"/>
              <w:adjustRightInd w:val="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表1-</w:t>
            </w:r>
            <w:r>
              <w:rPr>
                <w:rFonts w:hint="eastAsia" w:cs="Times New Roman"/>
                <w:b/>
                <w:color w:val="auto"/>
                <w:lang w:val="en-US" w:eastAsia="zh-CN"/>
              </w:rPr>
              <w:t>17</w:t>
            </w:r>
            <w:r>
              <w:rPr>
                <w:rFonts w:hint="default" w:ascii="Times New Roman" w:hAnsi="Times New Roman" w:eastAsia="宋体" w:cs="Times New Roman"/>
                <w:b/>
                <w:color w:val="auto"/>
              </w:rPr>
              <w:t xml:space="preserve"> 与</w:t>
            </w:r>
            <w:r>
              <w:rPr>
                <w:rFonts w:hint="eastAsia" w:ascii="Times New Roman" w:hAnsi="Times New Roman" w:cs="Times New Roman"/>
                <w:b/>
                <w:bCs/>
                <w:color w:val="auto"/>
                <w:kern w:val="0"/>
                <w:lang w:eastAsia="zh-CN"/>
              </w:rPr>
              <w:t>《水泥窑协同处置固体废物环境保护技术规范》（</w:t>
            </w:r>
            <w:r>
              <w:rPr>
                <w:rFonts w:hint="eastAsia" w:ascii="Times New Roman" w:hAnsi="Times New Roman" w:cs="Times New Roman"/>
                <w:b/>
                <w:bCs/>
                <w:color w:val="auto"/>
                <w:kern w:val="0"/>
                <w:lang w:val="en-US" w:eastAsia="zh-CN"/>
              </w:rPr>
              <w:t>HJ 662-2013</w:t>
            </w:r>
            <w:r>
              <w:rPr>
                <w:rFonts w:hint="eastAsia" w:ascii="Times New Roman" w:hAnsi="Times New Roman" w:cs="Times New Roman"/>
                <w:b/>
                <w:bCs/>
                <w:color w:val="auto"/>
                <w:kern w:val="0"/>
                <w:lang w:eastAsia="zh-CN"/>
              </w:rPr>
              <w:t>）</w:t>
            </w:r>
            <w:r>
              <w:rPr>
                <w:rFonts w:hint="default" w:ascii="Times New Roman" w:hAnsi="Times New Roman" w:eastAsia="宋体" w:cs="Times New Roman"/>
                <w:b/>
                <w:color w:val="auto"/>
              </w:rPr>
              <w:t>符合性分析</w:t>
            </w:r>
          </w:p>
          <w:tbl>
            <w:tblPr>
              <w:tblStyle w:val="2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3693"/>
              <w:gridCol w:w="3270"/>
              <w:gridCol w:w="895"/>
            </w:tblGrid>
            <w:tr w14:paraId="5EC9F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1" w:type="pct"/>
                  <w:vAlign w:val="center"/>
                </w:tcPr>
                <w:p w14:paraId="2CA3BDAB">
                  <w:pPr>
                    <w:keepNext w:val="0"/>
                    <w:keepLines w:val="0"/>
                    <w:pageBreakBefore w:val="0"/>
                    <w:kinsoku/>
                    <w:wordWrap/>
                    <w:overflowPunct/>
                    <w:topLinePunct w:val="0"/>
                    <w:autoSpaceDE/>
                    <w:autoSpaceDN/>
                    <w:bidi w:val="0"/>
                    <w:snapToGrid/>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序号</w:t>
                  </w:r>
                </w:p>
              </w:tc>
              <w:tc>
                <w:tcPr>
                  <w:tcW w:w="2165" w:type="pct"/>
                  <w:vAlign w:val="center"/>
                </w:tcPr>
                <w:p w14:paraId="640FC200">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文件要求</w:t>
                  </w:r>
                </w:p>
              </w:tc>
              <w:tc>
                <w:tcPr>
                  <w:tcW w:w="1917" w:type="pct"/>
                  <w:vAlign w:val="center"/>
                </w:tcPr>
                <w:p w14:paraId="154BDC08">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项目情况</w:t>
                  </w:r>
                </w:p>
              </w:tc>
              <w:tc>
                <w:tcPr>
                  <w:tcW w:w="525" w:type="pct"/>
                  <w:vAlign w:val="center"/>
                </w:tcPr>
                <w:p w14:paraId="588596E8">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符合性</w:t>
                  </w:r>
                </w:p>
              </w:tc>
            </w:tr>
            <w:tr w14:paraId="023E1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1" w:type="pct"/>
                  <w:vMerge w:val="restart"/>
                  <w:vAlign w:val="center"/>
                </w:tcPr>
                <w:p w14:paraId="569AF695">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val="en-US" w:eastAsia="zh-CN"/>
                    </w:rPr>
                  </w:pPr>
                  <w:r>
                    <w:rPr>
                      <w:rFonts w:hint="eastAsia" w:cs="Times New Roman"/>
                      <w:color w:val="auto"/>
                      <w:sz w:val="21"/>
                      <w:szCs w:val="21"/>
                      <w:lang w:eastAsia="zh-CN"/>
                    </w:rPr>
                    <w:t>固体废物贮存设施</w:t>
                  </w:r>
                </w:p>
              </w:tc>
              <w:tc>
                <w:tcPr>
                  <w:tcW w:w="2165" w:type="pct"/>
                  <w:vAlign w:val="center"/>
                </w:tcPr>
                <w:p w14:paraId="755DBBFD">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eastAsia" w:cs="Times New Roman"/>
                      <w:color w:val="auto"/>
                      <w:sz w:val="21"/>
                      <w:szCs w:val="21"/>
                      <w:lang w:eastAsia="zh-CN"/>
                    </w:rPr>
                    <w:t>固体废物贮存设施应专门建设，以保证固体废物不与水泥生产原料、燃料和产品混合贮存</w:t>
                  </w:r>
                </w:p>
              </w:tc>
              <w:tc>
                <w:tcPr>
                  <w:tcW w:w="1917" w:type="pct"/>
                  <w:vAlign w:val="center"/>
                </w:tcPr>
                <w:p w14:paraId="334C16BB">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eastAsia="zh-CN"/>
                    </w:rPr>
                  </w:pPr>
                  <w:r>
                    <w:rPr>
                      <w:rFonts w:hint="eastAsia" w:cs="Times New Roman"/>
                      <w:color w:val="auto"/>
                      <w:sz w:val="21"/>
                      <w:szCs w:val="21"/>
                      <w:lang w:eastAsia="zh-CN"/>
                    </w:rPr>
                    <w:t>本项目替代燃料暂存库拟定利用原有原煤堆棚进行改造（堆棚尺寸：</w:t>
                  </w:r>
                  <w:r>
                    <w:rPr>
                      <w:rFonts w:hint="eastAsia" w:cs="Times New Roman"/>
                      <w:color w:val="auto"/>
                      <w:sz w:val="21"/>
                      <w:szCs w:val="21"/>
                      <w:lang w:val="en-US" w:eastAsia="zh-CN"/>
                    </w:rPr>
                    <w:t>54m*15m*9m</w:t>
                  </w:r>
                  <w:r>
                    <w:rPr>
                      <w:rFonts w:hint="eastAsia" w:cs="Times New Roman"/>
                      <w:color w:val="auto"/>
                      <w:sz w:val="21"/>
                      <w:szCs w:val="21"/>
                      <w:lang w:eastAsia="zh-CN"/>
                    </w:rPr>
                    <w:t>）</w:t>
                  </w:r>
                </w:p>
              </w:tc>
              <w:tc>
                <w:tcPr>
                  <w:tcW w:w="525" w:type="pct"/>
                  <w:vAlign w:val="center"/>
                </w:tcPr>
                <w:p w14:paraId="1396ACBE">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符合</w:t>
                  </w:r>
                </w:p>
              </w:tc>
            </w:tr>
            <w:tr w14:paraId="47A1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1" w:type="pct"/>
                  <w:vMerge w:val="continue"/>
                  <w:vAlign w:val="center"/>
                </w:tcPr>
                <w:p w14:paraId="782ED52A">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p>
              </w:tc>
              <w:tc>
                <w:tcPr>
                  <w:tcW w:w="2165" w:type="pct"/>
                  <w:vAlign w:val="center"/>
                </w:tcPr>
                <w:p w14:paraId="0008FF20">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固体废物贮存设施应在专门设置不明性质废物暂存区。不明性质废物暂存区应与其他固体废物贮存区隔离，并设有专门的存取通道。</w:t>
                  </w:r>
                </w:p>
              </w:tc>
              <w:tc>
                <w:tcPr>
                  <w:tcW w:w="1917" w:type="pct"/>
                  <w:vAlign w:val="center"/>
                </w:tcPr>
                <w:p w14:paraId="0125B81E">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本项目不涉及不明性质废物处理</w:t>
                  </w:r>
                </w:p>
              </w:tc>
              <w:tc>
                <w:tcPr>
                  <w:tcW w:w="525" w:type="pct"/>
                  <w:vAlign w:val="center"/>
                </w:tcPr>
                <w:p w14:paraId="3FD72528">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符合</w:t>
                  </w:r>
                </w:p>
              </w:tc>
            </w:tr>
            <w:tr w14:paraId="155B4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1" w:type="pct"/>
                  <w:vMerge w:val="continue"/>
                  <w:vAlign w:val="center"/>
                </w:tcPr>
                <w:p w14:paraId="38C7417A">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p>
              </w:tc>
              <w:tc>
                <w:tcPr>
                  <w:tcW w:w="2165" w:type="pct"/>
                  <w:vAlign w:val="center"/>
                </w:tcPr>
                <w:p w14:paraId="2D5FA9C4">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val="en-US" w:eastAsia="zh-CN"/>
                    </w:rPr>
                  </w:pPr>
                  <w:r>
                    <w:rPr>
                      <w:rFonts w:hint="eastAsia" w:cs="Times New Roman"/>
                      <w:color w:val="auto"/>
                      <w:sz w:val="21"/>
                      <w:szCs w:val="21"/>
                      <w:lang w:eastAsia="zh-CN"/>
                    </w:rPr>
                    <w:t>固体废物贮存设施应符合</w:t>
                  </w:r>
                  <w:r>
                    <w:rPr>
                      <w:rFonts w:hint="eastAsia" w:cs="Times New Roman"/>
                      <w:color w:val="auto"/>
                      <w:sz w:val="21"/>
                      <w:szCs w:val="21"/>
                      <w:lang w:val="en-US" w:eastAsia="zh-CN"/>
                    </w:rPr>
                    <w:t>GB 50016等相关消防规范的要求。与水泥窑窑体、分解炉和预热器保持一定的安全距离；贮存设施内应张贴严禁烟火的明显标识；应根据固体废物特性、贮存和卸载区条件配置相应的消防报警设备和灭火药剂；贮存设施中的电子设备应接地，并装备抗静电设备；应设置防爆通讯设备并保持畅通完好</w:t>
                  </w:r>
                </w:p>
              </w:tc>
              <w:tc>
                <w:tcPr>
                  <w:tcW w:w="1917" w:type="pct"/>
                  <w:vAlign w:val="center"/>
                </w:tcPr>
                <w:p w14:paraId="63413F37">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本项目固体废物贮存设施符合GB 50016等相关消防规范的要求</w:t>
                  </w:r>
                </w:p>
              </w:tc>
              <w:tc>
                <w:tcPr>
                  <w:tcW w:w="525" w:type="pct"/>
                  <w:vAlign w:val="center"/>
                </w:tcPr>
                <w:p w14:paraId="4516DBE0">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符合</w:t>
                  </w:r>
                </w:p>
              </w:tc>
            </w:tr>
            <w:tr w14:paraId="32184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1" w:type="pct"/>
                  <w:vMerge w:val="continue"/>
                  <w:vAlign w:val="center"/>
                </w:tcPr>
                <w:p w14:paraId="269C1207">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p>
              </w:tc>
              <w:tc>
                <w:tcPr>
                  <w:tcW w:w="2165" w:type="pct"/>
                  <w:vAlign w:val="center"/>
                </w:tcPr>
                <w:p w14:paraId="6D061839">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val="en-US" w:eastAsia="zh-CN"/>
                    </w:rPr>
                  </w:pPr>
                  <w:r>
                    <w:rPr>
                      <w:rFonts w:hint="eastAsia" w:cs="Times New Roman"/>
                      <w:color w:val="auto"/>
                      <w:sz w:val="21"/>
                      <w:szCs w:val="21"/>
                      <w:lang w:eastAsia="zh-CN"/>
                    </w:rPr>
                    <w:t>危险废物贮存设施的设计、安全防护、污染防治等应满足</w:t>
                  </w:r>
                  <w:r>
                    <w:rPr>
                      <w:rFonts w:hint="eastAsia" w:cs="Times New Roman"/>
                      <w:color w:val="auto"/>
                      <w:sz w:val="21"/>
                      <w:szCs w:val="21"/>
                      <w:lang w:val="en-US" w:eastAsia="zh-CN"/>
                    </w:rPr>
                    <w:t>GB 18597和HJ/T 176中的相关要求；危险废物贮存区应标有明确的安全警告和清晰的撤离路线：危险废物贮存区及附近应配备紧急人体冲洗冲淋设施，并标明用途</w:t>
                  </w:r>
                </w:p>
              </w:tc>
              <w:tc>
                <w:tcPr>
                  <w:tcW w:w="1917" w:type="pct"/>
                  <w:vAlign w:val="center"/>
                </w:tcPr>
                <w:p w14:paraId="761A69C4">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本项目仅处置废纺、生物质（木屑），不涉及处置危险废物</w:t>
                  </w:r>
                </w:p>
              </w:tc>
              <w:tc>
                <w:tcPr>
                  <w:tcW w:w="525" w:type="pct"/>
                  <w:vAlign w:val="center"/>
                </w:tcPr>
                <w:p w14:paraId="06200EAF">
                  <w:pPr>
                    <w:keepNext w:val="0"/>
                    <w:keepLines w:val="0"/>
                    <w:pageBreakBefore w:val="0"/>
                    <w:kinsoku/>
                    <w:wordWrap/>
                    <w:overflowPunct/>
                    <w:topLinePunct w:val="0"/>
                    <w:autoSpaceDE/>
                    <w:autoSpaceDN/>
                    <w:bidi w:val="0"/>
                    <w:snapToGrid/>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符合</w:t>
                  </w:r>
                </w:p>
              </w:tc>
            </w:tr>
            <w:tr w14:paraId="003B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1" w:type="pct"/>
                  <w:vMerge w:val="continue"/>
                  <w:vAlign w:val="center"/>
                </w:tcPr>
                <w:p w14:paraId="58C9383C">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p>
              </w:tc>
              <w:tc>
                <w:tcPr>
                  <w:tcW w:w="2165" w:type="pct"/>
                  <w:vAlign w:val="center"/>
                </w:tcPr>
                <w:p w14:paraId="01ABFBC7">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生活垃圾和城市污水处理厂污泥的贮存设施应有良好的防渗性能并设置污水收集装置；贮存设施应采用封闭措施，保证其中有生活垃圾或污泥存放时处于负压状态；贮存设施内抽取的空气应导入水泥窑高温区焚烧处理，或经过其他处理措施达标后排放</w:t>
                  </w:r>
                </w:p>
              </w:tc>
              <w:tc>
                <w:tcPr>
                  <w:tcW w:w="1917" w:type="pct"/>
                  <w:vAlign w:val="center"/>
                </w:tcPr>
                <w:p w14:paraId="35D66F7C">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val="en-US" w:eastAsia="zh-CN"/>
                    </w:rPr>
                  </w:pPr>
                  <w:r>
                    <w:rPr>
                      <w:rFonts w:hint="eastAsia" w:cs="Times New Roman"/>
                      <w:color w:val="auto"/>
                      <w:sz w:val="21"/>
                      <w:szCs w:val="21"/>
                      <w:lang w:eastAsia="zh-CN"/>
                    </w:rPr>
                    <w:t>本项目仅处置废纺、生物质（木屑），不涉及生活垃圾和城市污水处理厂污泥</w:t>
                  </w:r>
                </w:p>
              </w:tc>
              <w:tc>
                <w:tcPr>
                  <w:tcW w:w="525" w:type="pct"/>
                  <w:vAlign w:val="center"/>
                </w:tcPr>
                <w:p w14:paraId="5BF81D09">
                  <w:pPr>
                    <w:keepNext w:val="0"/>
                    <w:keepLines w:val="0"/>
                    <w:pageBreakBefore w:val="0"/>
                    <w:kinsoku/>
                    <w:wordWrap/>
                    <w:overflowPunct/>
                    <w:topLinePunct w:val="0"/>
                    <w:autoSpaceDE/>
                    <w:autoSpaceDN/>
                    <w:bidi w:val="0"/>
                    <w:snapToGrid/>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符合</w:t>
                  </w:r>
                </w:p>
              </w:tc>
            </w:tr>
            <w:tr w14:paraId="347D2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1" w:type="pct"/>
                  <w:vMerge w:val="continue"/>
                  <w:vAlign w:val="center"/>
                </w:tcPr>
                <w:p w14:paraId="1A3EB9A9">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p>
              </w:tc>
              <w:tc>
                <w:tcPr>
                  <w:tcW w:w="2165" w:type="pct"/>
                  <w:vAlign w:val="center"/>
                </w:tcPr>
                <w:p w14:paraId="18B91F0C">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val="en-US" w:eastAsia="zh-CN"/>
                    </w:rPr>
                  </w:pPr>
                  <w:r>
                    <w:rPr>
                      <w:rFonts w:hint="eastAsia" w:cs="Times New Roman"/>
                      <w:color w:val="auto"/>
                      <w:sz w:val="21"/>
                      <w:szCs w:val="21"/>
                      <w:lang w:eastAsia="zh-CN"/>
                    </w:rPr>
                    <w:t>除第</w:t>
                  </w:r>
                  <w:r>
                    <w:rPr>
                      <w:rFonts w:hint="eastAsia" w:cs="Times New Roman"/>
                      <w:color w:val="auto"/>
                      <w:sz w:val="21"/>
                      <w:szCs w:val="21"/>
                      <w:lang w:val="en-US" w:eastAsia="zh-CN"/>
                    </w:rPr>
                    <w:t>4.3.4和4.3.5两条规定之外的其他固体废物储存设施应有良好的防渗性能，以及必要的防雨、防尘功能</w:t>
                  </w:r>
                </w:p>
              </w:tc>
              <w:tc>
                <w:tcPr>
                  <w:tcW w:w="1917" w:type="pct"/>
                  <w:vAlign w:val="center"/>
                </w:tcPr>
                <w:p w14:paraId="5A741B50">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本项目仅处置废纺和生物质（木屑），替代燃料暂存库依托现有原煤堆棚进行改造，有良好的防渗性能，以及必要的防雨、防尘功能</w:t>
                  </w:r>
                </w:p>
              </w:tc>
              <w:tc>
                <w:tcPr>
                  <w:tcW w:w="525" w:type="pct"/>
                  <w:vAlign w:val="center"/>
                </w:tcPr>
                <w:p w14:paraId="3EABA561">
                  <w:pPr>
                    <w:keepNext w:val="0"/>
                    <w:keepLines w:val="0"/>
                    <w:pageBreakBefore w:val="0"/>
                    <w:kinsoku/>
                    <w:wordWrap/>
                    <w:overflowPunct/>
                    <w:topLinePunct w:val="0"/>
                    <w:autoSpaceDE/>
                    <w:autoSpaceDN/>
                    <w:bidi w:val="0"/>
                    <w:snapToGrid/>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符合</w:t>
                  </w:r>
                </w:p>
              </w:tc>
            </w:tr>
            <w:tr w14:paraId="54A72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1" w:type="pct"/>
                  <w:vMerge w:val="restart"/>
                  <w:vAlign w:val="center"/>
                </w:tcPr>
                <w:p w14:paraId="24148D6D">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固体废物预处理设施</w:t>
                  </w:r>
                </w:p>
              </w:tc>
              <w:tc>
                <w:tcPr>
                  <w:tcW w:w="2165" w:type="pct"/>
                  <w:vAlign w:val="center"/>
                </w:tcPr>
                <w:p w14:paraId="5C8DD115">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val="en-US" w:eastAsia="zh-CN"/>
                    </w:rPr>
                  </w:pPr>
                  <w:r>
                    <w:rPr>
                      <w:rFonts w:hint="eastAsia" w:cs="Times New Roman"/>
                      <w:color w:val="auto"/>
                      <w:sz w:val="21"/>
                      <w:szCs w:val="21"/>
                      <w:lang w:eastAsia="zh-CN"/>
                    </w:rPr>
                    <w:t>固体废物的破碎、研磨、混合搅拌等预处理设施有较好的密闭性，并保证与操作人员隔离；含挥发性和半挥发性有毒有害成分的固体废物的预处理设施应设置通风换气装置，排出气体应通过处理后排放或导入水泥窑高温区焚烧</w:t>
                  </w:r>
                </w:p>
              </w:tc>
              <w:tc>
                <w:tcPr>
                  <w:tcW w:w="1917" w:type="pct"/>
                  <w:vAlign w:val="center"/>
                </w:tcPr>
                <w:p w14:paraId="2881CE42">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本项目处置的固体废物为废纺和生物质（木屑），均为干燥无异味废物，替代燃料暂存库依托现有原煤堆棚进行改造，且与其他固废分开贮存，避免固体废物相互发生反应；本项目不设置预处理破碎系统</w:t>
                  </w:r>
                </w:p>
              </w:tc>
              <w:tc>
                <w:tcPr>
                  <w:tcW w:w="525" w:type="pct"/>
                  <w:vAlign w:val="center"/>
                </w:tcPr>
                <w:p w14:paraId="7E33AF91">
                  <w:pPr>
                    <w:keepNext w:val="0"/>
                    <w:keepLines w:val="0"/>
                    <w:pageBreakBefore w:val="0"/>
                    <w:kinsoku/>
                    <w:wordWrap/>
                    <w:overflowPunct/>
                    <w:topLinePunct w:val="0"/>
                    <w:autoSpaceDE/>
                    <w:autoSpaceDN/>
                    <w:bidi w:val="0"/>
                    <w:snapToGrid/>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符合</w:t>
                  </w:r>
                </w:p>
              </w:tc>
            </w:tr>
            <w:tr w14:paraId="0483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1" w:type="pct"/>
                  <w:vMerge w:val="continue"/>
                  <w:vAlign w:val="center"/>
                </w:tcPr>
                <w:p w14:paraId="18CFA400">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p>
              </w:tc>
              <w:tc>
                <w:tcPr>
                  <w:tcW w:w="2165" w:type="pct"/>
                  <w:vAlign w:val="center"/>
                </w:tcPr>
                <w:p w14:paraId="4831779F">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预处理设施所用材料需适应固体废物特性以确保不被腐蚀，并不与固体废物发生任何反应</w:t>
                  </w:r>
                </w:p>
              </w:tc>
              <w:tc>
                <w:tcPr>
                  <w:tcW w:w="1917" w:type="pct"/>
                  <w:vAlign w:val="center"/>
                </w:tcPr>
                <w:p w14:paraId="7457852E">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本项目不设置预处理破碎系统</w:t>
                  </w:r>
                </w:p>
              </w:tc>
              <w:tc>
                <w:tcPr>
                  <w:tcW w:w="525" w:type="pct"/>
                  <w:vAlign w:val="center"/>
                </w:tcPr>
                <w:p w14:paraId="0F140E4B">
                  <w:pPr>
                    <w:keepNext w:val="0"/>
                    <w:keepLines w:val="0"/>
                    <w:pageBreakBefore w:val="0"/>
                    <w:kinsoku/>
                    <w:wordWrap/>
                    <w:overflowPunct/>
                    <w:topLinePunct w:val="0"/>
                    <w:autoSpaceDE/>
                    <w:autoSpaceDN/>
                    <w:bidi w:val="0"/>
                    <w:snapToGrid/>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符合</w:t>
                  </w:r>
                </w:p>
              </w:tc>
            </w:tr>
            <w:tr w14:paraId="21EA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Merge w:val="continue"/>
                  <w:vAlign w:val="center"/>
                </w:tcPr>
                <w:p w14:paraId="2222A301">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p>
              </w:tc>
              <w:tc>
                <w:tcPr>
                  <w:tcW w:w="2165" w:type="pct"/>
                  <w:vAlign w:val="center"/>
                </w:tcPr>
                <w:p w14:paraId="1B60AB6C">
                  <w:pPr>
                    <w:keepNext w:val="0"/>
                    <w:keepLines w:val="0"/>
                    <w:pageBreakBefore w:val="0"/>
                    <w:kinsoku/>
                    <w:wordWrap/>
                    <w:overflowPunct/>
                    <w:topLinePunct w:val="0"/>
                    <w:autoSpaceDE/>
                    <w:autoSpaceDN/>
                    <w:bidi w:val="0"/>
                    <w:snapToGrid/>
                    <w:spacing w:line="240" w:lineRule="auto"/>
                    <w:jc w:val="both"/>
                    <w:rPr>
                      <w:rFonts w:hint="default" w:cs="Times New Roman"/>
                      <w:color w:val="auto"/>
                      <w:sz w:val="21"/>
                      <w:szCs w:val="21"/>
                      <w:lang w:val="en-US" w:eastAsia="zh-CN"/>
                    </w:rPr>
                  </w:pPr>
                  <w:r>
                    <w:rPr>
                      <w:rFonts w:hint="eastAsia" w:cs="Times New Roman"/>
                      <w:color w:val="auto"/>
                      <w:sz w:val="21"/>
                      <w:szCs w:val="21"/>
                      <w:lang w:eastAsia="zh-CN"/>
                    </w:rPr>
                    <w:t>预处理设施应符合</w:t>
                  </w:r>
                  <w:r>
                    <w:rPr>
                      <w:rFonts w:hint="eastAsia" w:cs="Times New Roman"/>
                      <w:color w:val="auto"/>
                      <w:sz w:val="21"/>
                      <w:szCs w:val="21"/>
                      <w:lang w:val="en-US" w:eastAsia="zh-CN"/>
                    </w:rPr>
                    <w:t>GB 50016等相关消防规范的要求。区域内应配备防火防爆装置，灭火用水储量大于50m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；配备防爆通讯设备并保持畅通完好。对易燃性固体废物进行预处理的破碎仓和混合搅拌仓，为防止发生火灾爆炸等事故，应优先配备氮气充入装置</w:t>
                  </w:r>
                </w:p>
              </w:tc>
              <w:tc>
                <w:tcPr>
                  <w:tcW w:w="1917" w:type="pct"/>
                  <w:vAlign w:val="center"/>
                </w:tcPr>
                <w:p w14:paraId="30436090">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本项目不设置预处理破碎系统</w:t>
                  </w:r>
                </w:p>
              </w:tc>
              <w:tc>
                <w:tcPr>
                  <w:tcW w:w="525" w:type="pct"/>
                  <w:vAlign w:val="center"/>
                </w:tcPr>
                <w:p w14:paraId="66767308">
                  <w:pPr>
                    <w:keepNext w:val="0"/>
                    <w:keepLines w:val="0"/>
                    <w:pageBreakBefore w:val="0"/>
                    <w:kinsoku/>
                    <w:wordWrap/>
                    <w:overflowPunct/>
                    <w:topLinePunct w:val="0"/>
                    <w:autoSpaceDE/>
                    <w:autoSpaceDN/>
                    <w:bidi w:val="0"/>
                    <w:snapToGrid/>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符合</w:t>
                  </w:r>
                </w:p>
              </w:tc>
            </w:tr>
            <w:tr w14:paraId="0208F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Merge w:val="continue"/>
                  <w:vAlign w:val="center"/>
                </w:tcPr>
                <w:p w14:paraId="1B66B6E7">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p>
              </w:tc>
              <w:tc>
                <w:tcPr>
                  <w:tcW w:w="2165" w:type="pct"/>
                  <w:vAlign w:val="center"/>
                </w:tcPr>
                <w:p w14:paraId="4524ED55">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危险废物预处理区域及附近应配备紧急人体清洗冲淋设施，并标明用途</w:t>
                  </w:r>
                </w:p>
              </w:tc>
              <w:tc>
                <w:tcPr>
                  <w:tcW w:w="1917" w:type="pct"/>
                  <w:vAlign w:val="center"/>
                </w:tcPr>
                <w:p w14:paraId="5FA83B79">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本项目仅处置废纺、生物质（木屑），不涉及处置危险废物</w:t>
                  </w:r>
                </w:p>
              </w:tc>
              <w:tc>
                <w:tcPr>
                  <w:tcW w:w="525" w:type="pct"/>
                  <w:vAlign w:val="center"/>
                </w:tcPr>
                <w:p w14:paraId="3FF8C5A9">
                  <w:pPr>
                    <w:keepNext w:val="0"/>
                    <w:keepLines w:val="0"/>
                    <w:pageBreakBefore w:val="0"/>
                    <w:kinsoku/>
                    <w:wordWrap/>
                    <w:overflowPunct/>
                    <w:topLinePunct w:val="0"/>
                    <w:autoSpaceDE/>
                    <w:autoSpaceDN/>
                    <w:bidi w:val="0"/>
                    <w:snapToGrid/>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符合</w:t>
                  </w:r>
                </w:p>
              </w:tc>
            </w:tr>
            <w:tr w14:paraId="7B237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Merge w:val="continue"/>
                  <w:vAlign w:val="center"/>
                </w:tcPr>
                <w:p w14:paraId="2D98A815">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p>
              </w:tc>
              <w:tc>
                <w:tcPr>
                  <w:tcW w:w="2165" w:type="pct"/>
                  <w:vAlign w:val="center"/>
                </w:tcPr>
                <w:p w14:paraId="7C5FE2DC">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应根据固体废物特性及入窑要求，确定预处理工艺流程和预处理设施：</w:t>
                  </w:r>
                </w:p>
                <w:p w14:paraId="219BB2E7">
                  <w:pPr>
                    <w:keepNext w:val="0"/>
                    <w:keepLines w:val="0"/>
                    <w:pageBreakBefore w:val="0"/>
                    <w:numPr>
                      <w:ilvl w:val="0"/>
                      <w:numId w:val="0"/>
                    </w:numPr>
                    <w:kinsoku/>
                    <w:wordWrap/>
                    <w:overflowPunct/>
                    <w:topLinePunct w:val="0"/>
                    <w:autoSpaceDE/>
                    <w:autoSpaceDN/>
                    <w:bidi w:val="0"/>
                    <w:snapToGrid/>
                    <w:spacing w:line="240" w:lineRule="auto"/>
                    <w:jc w:val="both"/>
                    <w:rPr>
                      <w:rFonts w:hint="eastAsia"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a）</w:t>
                  </w:r>
                  <w:r>
                    <w:rPr>
                      <w:rFonts w:hint="eastAsia" w:cs="Times New Roman"/>
                      <w:color w:val="auto"/>
                      <w:sz w:val="21"/>
                      <w:szCs w:val="21"/>
                      <w:lang w:val="en-US" w:eastAsia="zh-CN"/>
                    </w:rPr>
                    <w:t>从配料系统入窑的固态废物，其预处理设施应具有破碎和配料的功能：也可根据需要配备烘干等装置。</w:t>
                  </w:r>
                </w:p>
                <w:p w14:paraId="23283A5A">
                  <w:pPr>
                    <w:keepNext w:val="0"/>
                    <w:keepLines w:val="0"/>
                    <w:pageBreakBefore w:val="0"/>
                    <w:numPr>
                      <w:ilvl w:val="0"/>
                      <w:numId w:val="0"/>
                    </w:numPr>
                    <w:kinsoku/>
                    <w:wordWrap/>
                    <w:overflowPunct/>
                    <w:topLinePunct w:val="0"/>
                    <w:autoSpaceDE/>
                    <w:autoSpaceDN/>
                    <w:bidi w:val="0"/>
                    <w:snapToGrid/>
                    <w:spacing w:line="240" w:lineRule="auto"/>
                    <w:jc w:val="both"/>
                    <w:rPr>
                      <w:rFonts w:hint="default"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b）</w:t>
                  </w:r>
                  <w:r>
                    <w:rPr>
                      <w:rFonts w:hint="eastAsia" w:cs="Times New Roman"/>
                      <w:color w:val="auto"/>
                      <w:sz w:val="21"/>
                      <w:szCs w:val="21"/>
                      <w:lang w:val="en-US" w:eastAsia="zh-CN"/>
                    </w:rPr>
                    <w:t>从窑尾入窑的固态废物，其预处理设施应具有破碎和混合搅拌的功能：也可根据需要配备分选和筛分等装置。</w:t>
                  </w:r>
                </w:p>
                <w:p w14:paraId="63EFF125">
                  <w:pPr>
                    <w:keepNext w:val="0"/>
                    <w:keepLines w:val="0"/>
                    <w:pageBreakBefore w:val="0"/>
                    <w:numPr>
                      <w:ilvl w:val="0"/>
                      <w:numId w:val="0"/>
                    </w:numPr>
                    <w:kinsoku/>
                    <w:wordWrap/>
                    <w:overflowPunct/>
                    <w:topLinePunct w:val="0"/>
                    <w:autoSpaceDE/>
                    <w:autoSpaceDN/>
                    <w:bidi w:val="0"/>
                    <w:snapToGrid/>
                    <w:spacing w:line="240" w:lineRule="auto"/>
                    <w:jc w:val="both"/>
                    <w:rPr>
                      <w:rFonts w:hint="default"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c）</w:t>
                  </w:r>
                  <w:r>
                    <w:rPr>
                      <w:rFonts w:hint="eastAsia" w:cs="Times New Roman"/>
                      <w:color w:val="auto"/>
                      <w:sz w:val="21"/>
                      <w:szCs w:val="21"/>
                      <w:lang w:val="en-US" w:eastAsia="zh-CN"/>
                    </w:rPr>
                    <w:t>从窑头入窑的固态废物，其预处理设施应具有破碎、分选和精筛的功能。</w:t>
                  </w:r>
                </w:p>
                <w:p w14:paraId="2EAEFF98">
                  <w:pPr>
                    <w:keepNext w:val="0"/>
                    <w:keepLines w:val="0"/>
                    <w:pageBreakBefore w:val="0"/>
                    <w:numPr>
                      <w:ilvl w:val="0"/>
                      <w:numId w:val="0"/>
                    </w:numPr>
                    <w:kinsoku/>
                    <w:wordWrap/>
                    <w:overflowPunct/>
                    <w:topLinePunct w:val="0"/>
                    <w:autoSpaceDE/>
                    <w:autoSpaceDN/>
                    <w:bidi w:val="0"/>
                    <w:snapToGrid/>
                    <w:spacing w:line="240" w:lineRule="auto"/>
                    <w:jc w:val="both"/>
                    <w:rPr>
                      <w:rFonts w:hint="default"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d）</w:t>
                  </w:r>
                  <w:r>
                    <w:rPr>
                      <w:rFonts w:hint="eastAsia" w:cs="Times New Roman"/>
                      <w:color w:val="auto"/>
                      <w:sz w:val="21"/>
                      <w:szCs w:val="21"/>
                      <w:lang w:val="en-US" w:eastAsia="zh-CN"/>
                    </w:rPr>
                    <w:t>液态废物，其预处理设施应具有混合搅拌功能，若液态废物中有较大的颗粒物，可在混合搅拌系统内配加研磨装置：也可根据需要配备沉淀、中和、过滤等装置。</w:t>
                  </w:r>
                </w:p>
                <w:p w14:paraId="78B8093C">
                  <w:pPr>
                    <w:keepNext w:val="0"/>
                    <w:keepLines w:val="0"/>
                    <w:pageBreakBefore w:val="0"/>
                    <w:numPr>
                      <w:ilvl w:val="0"/>
                      <w:numId w:val="0"/>
                    </w:numPr>
                    <w:kinsoku/>
                    <w:wordWrap/>
                    <w:overflowPunct/>
                    <w:topLinePunct w:val="0"/>
                    <w:autoSpaceDE/>
                    <w:autoSpaceDN/>
                    <w:bidi w:val="0"/>
                    <w:snapToGrid/>
                    <w:spacing w:line="240" w:lineRule="auto"/>
                    <w:jc w:val="both"/>
                    <w:rPr>
                      <w:rFonts w:hint="default"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e）</w:t>
                  </w:r>
                  <w:r>
                    <w:rPr>
                      <w:rFonts w:hint="eastAsia" w:cs="Times New Roman"/>
                      <w:color w:val="auto"/>
                      <w:sz w:val="21"/>
                      <w:szCs w:val="21"/>
                      <w:lang w:val="en-US" w:eastAsia="zh-CN"/>
                    </w:rPr>
                    <w:t>半固态（浆状）废物，其预处理设施应具有混合搅拌的功能：也可根据需要配备破碎、筛分、分选、高速研磨等装置。</w:t>
                  </w:r>
                </w:p>
              </w:tc>
              <w:tc>
                <w:tcPr>
                  <w:tcW w:w="1917" w:type="pct"/>
                  <w:vAlign w:val="center"/>
                </w:tcPr>
                <w:p w14:paraId="011336CD">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本项目不设置预处理破碎系统</w:t>
                  </w:r>
                </w:p>
              </w:tc>
              <w:tc>
                <w:tcPr>
                  <w:tcW w:w="525" w:type="pct"/>
                  <w:vAlign w:val="center"/>
                </w:tcPr>
                <w:p w14:paraId="0D003F95">
                  <w:pPr>
                    <w:keepNext w:val="0"/>
                    <w:keepLines w:val="0"/>
                    <w:pageBreakBefore w:val="0"/>
                    <w:kinsoku/>
                    <w:wordWrap/>
                    <w:overflowPunct/>
                    <w:topLinePunct w:val="0"/>
                    <w:autoSpaceDE/>
                    <w:autoSpaceDN/>
                    <w:bidi w:val="0"/>
                    <w:snapToGrid/>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符合</w:t>
                  </w:r>
                </w:p>
              </w:tc>
            </w:tr>
            <w:tr w14:paraId="005C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Merge w:val="restart"/>
                  <w:vAlign w:val="center"/>
                </w:tcPr>
                <w:p w14:paraId="7084C69D">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r>
                    <w:rPr>
                      <w:rFonts w:hint="eastAsia" w:cs="Times New Roman"/>
                      <w:color w:val="auto"/>
                      <w:sz w:val="21"/>
                      <w:szCs w:val="21"/>
                      <w:lang w:eastAsia="zh-CN"/>
                    </w:rPr>
                    <w:t>固体废物场内输送设施</w:t>
                  </w:r>
                </w:p>
              </w:tc>
              <w:tc>
                <w:tcPr>
                  <w:tcW w:w="2165" w:type="pct"/>
                  <w:vAlign w:val="center"/>
                </w:tcPr>
                <w:p w14:paraId="52A29C91">
                  <w:pPr>
                    <w:keepNext w:val="0"/>
                    <w:keepLines w:val="0"/>
                    <w:pageBreakBefore w:val="0"/>
                    <w:numPr>
                      <w:ilvl w:val="0"/>
                      <w:numId w:val="0"/>
                    </w:numPr>
                    <w:kinsoku/>
                    <w:wordWrap/>
                    <w:overflowPunct/>
                    <w:topLinePunct w:val="0"/>
                    <w:autoSpaceDE/>
                    <w:autoSpaceDN/>
                    <w:bidi w:val="0"/>
                    <w:snapToGrid/>
                    <w:spacing w:line="240" w:lineRule="auto"/>
                    <w:jc w:val="both"/>
                    <w:rPr>
                      <w:rFonts w:hint="eastAsia" w:cs="Times New Roman"/>
                      <w:color w:val="auto"/>
                      <w:sz w:val="21"/>
                      <w:szCs w:val="21"/>
                      <w:lang w:val="en-US" w:eastAsia="zh-CN"/>
                    </w:rPr>
                  </w:pPr>
                  <w:r>
                    <w:rPr>
                      <w:rFonts w:hint="eastAsia" w:cs="Times New Roman"/>
                      <w:color w:val="auto"/>
                      <w:sz w:val="21"/>
                      <w:szCs w:val="21"/>
                      <w:lang w:val="en-US" w:eastAsia="zh-CN"/>
                    </w:rPr>
                    <w:t>在固体废物装卸场所、贮存场所、预处理区域、投加区域等各个区域之间，应根据固体废物特性和设施要求配备必要的运输设备。</w:t>
                  </w:r>
                </w:p>
              </w:tc>
              <w:tc>
                <w:tcPr>
                  <w:tcW w:w="1917" w:type="pct"/>
                  <w:vAlign w:val="center"/>
                </w:tcPr>
                <w:p w14:paraId="21680B9B">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本项目根据固体废物特性和现有工程设备配备了必要的输送设备</w:t>
                  </w:r>
                </w:p>
              </w:tc>
              <w:tc>
                <w:tcPr>
                  <w:tcW w:w="525" w:type="pct"/>
                  <w:vAlign w:val="center"/>
                </w:tcPr>
                <w:p w14:paraId="3004EC59">
                  <w:pPr>
                    <w:keepNext w:val="0"/>
                    <w:keepLines w:val="0"/>
                    <w:pageBreakBefore w:val="0"/>
                    <w:kinsoku/>
                    <w:wordWrap/>
                    <w:overflowPunct/>
                    <w:topLinePunct w:val="0"/>
                    <w:autoSpaceDE/>
                    <w:autoSpaceDN/>
                    <w:bidi w:val="0"/>
                    <w:snapToGrid/>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符合</w:t>
                  </w:r>
                </w:p>
              </w:tc>
            </w:tr>
            <w:tr w14:paraId="00F9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Merge w:val="continue"/>
                  <w:vAlign w:val="center"/>
                </w:tcPr>
                <w:p w14:paraId="065C4099">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p>
              </w:tc>
              <w:tc>
                <w:tcPr>
                  <w:tcW w:w="2165" w:type="pct"/>
                  <w:vAlign w:val="center"/>
                </w:tcPr>
                <w:p w14:paraId="305562CD">
                  <w:pPr>
                    <w:keepNext w:val="0"/>
                    <w:keepLines w:val="0"/>
                    <w:pageBreakBefore w:val="0"/>
                    <w:numPr>
                      <w:ilvl w:val="0"/>
                      <w:numId w:val="0"/>
                    </w:numPr>
                    <w:kinsoku/>
                    <w:wordWrap/>
                    <w:overflowPunct/>
                    <w:topLinePunct w:val="0"/>
                    <w:autoSpaceDE/>
                    <w:autoSpaceDN/>
                    <w:bidi w:val="0"/>
                    <w:snapToGrid/>
                    <w:spacing w:line="240" w:lineRule="auto"/>
                    <w:jc w:val="both"/>
                    <w:rPr>
                      <w:rFonts w:hint="eastAsia" w:cs="Times New Roman"/>
                      <w:color w:val="auto"/>
                      <w:sz w:val="21"/>
                      <w:szCs w:val="21"/>
                      <w:lang w:val="en-US" w:eastAsia="zh-CN"/>
                    </w:rPr>
                  </w:pPr>
                  <w:r>
                    <w:rPr>
                      <w:rFonts w:hint="eastAsia" w:cs="Times New Roman"/>
                      <w:color w:val="auto"/>
                      <w:sz w:val="21"/>
                      <w:szCs w:val="21"/>
                      <w:lang w:val="en-US" w:eastAsia="zh-CN"/>
                    </w:rPr>
                    <w:t>固体废物的物流出入口以及运转、输送路线应远离办公和生活服务设施。</w:t>
                  </w:r>
                </w:p>
              </w:tc>
              <w:tc>
                <w:tcPr>
                  <w:tcW w:w="1917" w:type="pct"/>
                  <w:vAlign w:val="center"/>
                </w:tcPr>
                <w:p w14:paraId="7D371441">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本项目</w:t>
                  </w:r>
                  <w:r>
                    <w:rPr>
                      <w:rFonts w:hint="eastAsia" w:cs="Times New Roman"/>
                      <w:color w:val="auto"/>
                      <w:sz w:val="21"/>
                      <w:szCs w:val="21"/>
                      <w:lang w:val="en-US" w:eastAsia="zh-CN"/>
                    </w:rPr>
                    <w:t>固体废物的物流出入口以及运转、输送路线远离办公和生活服务设施</w:t>
                  </w:r>
                </w:p>
              </w:tc>
              <w:tc>
                <w:tcPr>
                  <w:tcW w:w="525" w:type="pct"/>
                  <w:vAlign w:val="center"/>
                </w:tcPr>
                <w:p w14:paraId="4FE1A608">
                  <w:pPr>
                    <w:keepNext w:val="0"/>
                    <w:keepLines w:val="0"/>
                    <w:pageBreakBefore w:val="0"/>
                    <w:kinsoku/>
                    <w:wordWrap/>
                    <w:overflowPunct/>
                    <w:topLinePunct w:val="0"/>
                    <w:autoSpaceDE/>
                    <w:autoSpaceDN/>
                    <w:bidi w:val="0"/>
                    <w:snapToGrid/>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符合</w:t>
                  </w:r>
                </w:p>
              </w:tc>
            </w:tr>
            <w:tr w14:paraId="10C43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Merge w:val="continue"/>
                  <w:vAlign w:val="center"/>
                </w:tcPr>
                <w:p w14:paraId="55FF80F6">
                  <w:pPr>
                    <w:keepNext w:val="0"/>
                    <w:keepLines w:val="0"/>
                    <w:pageBreakBefore w:val="0"/>
                    <w:kinsoku/>
                    <w:wordWrap/>
                    <w:overflowPunct/>
                    <w:topLinePunct w:val="0"/>
                    <w:autoSpaceDE/>
                    <w:autoSpaceDN/>
                    <w:bidi w:val="0"/>
                    <w:snapToGrid/>
                    <w:spacing w:line="240" w:lineRule="auto"/>
                    <w:jc w:val="center"/>
                    <w:rPr>
                      <w:rFonts w:hint="default" w:cs="Times New Roman"/>
                      <w:color w:val="auto"/>
                      <w:sz w:val="21"/>
                      <w:szCs w:val="21"/>
                      <w:lang w:eastAsia="zh-CN"/>
                    </w:rPr>
                  </w:pPr>
                </w:p>
              </w:tc>
              <w:tc>
                <w:tcPr>
                  <w:tcW w:w="2165" w:type="pct"/>
                  <w:vAlign w:val="center"/>
                </w:tcPr>
                <w:p w14:paraId="4823D13A">
                  <w:pPr>
                    <w:keepNext w:val="0"/>
                    <w:keepLines w:val="0"/>
                    <w:pageBreakBefore w:val="0"/>
                    <w:numPr>
                      <w:ilvl w:val="0"/>
                      <w:numId w:val="0"/>
                    </w:numPr>
                    <w:kinsoku/>
                    <w:wordWrap/>
                    <w:overflowPunct/>
                    <w:topLinePunct w:val="0"/>
                    <w:autoSpaceDE/>
                    <w:autoSpaceDN/>
                    <w:bidi w:val="0"/>
                    <w:snapToGrid/>
                    <w:spacing w:line="240" w:lineRule="auto"/>
                    <w:jc w:val="both"/>
                    <w:rPr>
                      <w:rFonts w:hint="eastAsia" w:cs="Times New Roman"/>
                      <w:color w:val="auto"/>
                      <w:sz w:val="21"/>
                      <w:szCs w:val="21"/>
                      <w:lang w:val="en-US" w:eastAsia="zh-CN"/>
                    </w:rPr>
                  </w:pPr>
                  <w:r>
                    <w:rPr>
                      <w:rFonts w:hint="eastAsia" w:cs="Times New Roman"/>
                      <w:color w:val="auto"/>
                      <w:sz w:val="21"/>
                      <w:szCs w:val="21"/>
                      <w:lang w:val="en-US" w:eastAsia="zh-CN"/>
                    </w:rPr>
                    <w:t>输送设备所用材料应适应固体废物特性，确保不被腐蚀和不与固体废物发生任何反应。</w:t>
                  </w:r>
                </w:p>
              </w:tc>
              <w:tc>
                <w:tcPr>
                  <w:tcW w:w="1917" w:type="pct"/>
                  <w:vAlign w:val="center"/>
                </w:tcPr>
                <w:p w14:paraId="0F3227DD">
                  <w:pPr>
                    <w:keepNext w:val="0"/>
                    <w:keepLines w:val="0"/>
                    <w:pageBreakBefore w:val="0"/>
                    <w:kinsoku/>
                    <w:wordWrap/>
                    <w:overflowPunct/>
                    <w:topLinePunct w:val="0"/>
                    <w:autoSpaceDE/>
                    <w:autoSpaceDN/>
                    <w:bidi w:val="0"/>
                    <w:snapToGrid/>
                    <w:spacing w:line="240" w:lineRule="auto"/>
                    <w:jc w:val="both"/>
                    <w:rPr>
                      <w:rFonts w:hint="eastAsia" w:cs="Times New Roman"/>
                      <w:color w:val="auto"/>
                      <w:sz w:val="21"/>
                      <w:szCs w:val="21"/>
                      <w:lang w:eastAsia="zh-CN"/>
                    </w:rPr>
                  </w:pPr>
                  <w:r>
                    <w:rPr>
                      <w:rFonts w:hint="eastAsia" w:cs="Times New Roman"/>
                      <w:color w:val="auto"/>
                      <w:sz w:val="21"/>
                      <w:szCs w:val="21"/>
                      <w:lang w:eastAsia="zh-CN"/>
                    </w:rPr>
                    <w:t>本项目所处理固体废物均为一般固废，干燥无水，不会腐蚀相应设备，也不会发生反应</w:t>
                  </w:r>
                </w:p>
              </w:tc>
              <w:tc>
                <w:tcPr>
                  <w:tcW w:w="525" w:type="pct"/>
                  <w:vAlign w:val="center"/>
                </w:tcPr>
                <w:p w14:paraId="44E85C60">
                  <w:pPr>
                    <w:keepNext w:val="0"/>
                    <w:keepLines w:val="0"/>
                    <w:pageBreakBefore w:val="0"/>
                    <w:kinsoku/>
                    <w:wordWrap/>
                    <w:overflowPunct/>
                    <w:topLinePunct w:val="0"/>
                    <w:autoSpaceDE/>
                    <w:autoSpaceDN/>
                    <w:bidi w:val="0"/>
                    <w:snapToGrid/>
                    <w:spacing w:line="240" w:lineRule="auto"/>
                    <w:jc w:val="center"/>
                    <w:rPr>
                      <w:rFonts w:hint="eastAsia" w:cs="Times New Roman"/>
                      <w:color w:val="auto"/>
                      <w:sz w:val="21"/>
                      <w:szCs w:val="21"/>
                      <w:lang w:eastAsia="zh-CN"/>
                    </w:rPr>
                  </w:pPr>
                  <w:r>
                    <w:rPr>
                      <w:rFonts w:hint="eastAsia" w:cs="Times New Roman"/>
                      <w:color w:val="auto"/>
                      <w:sz w:val="21"/>
                      <w:szCs w:val="21"/>
                      <w:lang w:eastAsia="zh-CN"/>
                    </w:rPr>
                    <w:t>符合</w:t>
                  </w:r>
                </w:p>
              </w:tc>
            </w:tr>
          </w:tbl>
          <w:p w14:paraId="0A13470A">
            <w:pPr>
              <w:bidi w:val="0"/>
              <w:jc w:val="center"/>
              <w:rPr>
                <w:rFonts w:hint="default"/>
                <w:lang w:val="en-US" w:eastAsia="zh-CN"/>
              </w:rPr>
            </w:pPr>
          </w:p>
        </w:tc>
      </w:tr>
    </w:tbl>
    <w:p w14:paraId="60BF7DEA">
      <w:pPr>
        <w:spacing w:line="360" w:lineRule="auto"/>
        <w:outlineLvl w:val="9"/>
        <w:rPr>
          <w:rFonts w:hint="default" w:ascii="Times New Roman" w:hAnsi="Times New Roman" w:eastAsia="黑体" w:cs="Times New Roman"/>
          <w:color w:val="auto"/>
          <w:sz w:val="30"/>
          <w:szCs w:val="30"/>
        </w:rPr>
        <w:sectPr>
          <w:headerReference r:id="rId3" w:type="default"/>
          <w:footerReference r:id="rId4" w:type="default"/>
          <w:pgSz w:w="11906" w:h="16838"/>
          <w:pgMar w:top="1276"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24B590C6">
      <w:pPr>
        <w:pStyle w:val="24"/>
        <w:spacing w:before="0" w:beforeAutospacing="0"/>
        <w:jc w:val="both"/>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二、建设项目工程分析</w:t>
      </w:r>
    </w:p>
    <w:tbl>
      <w:tblPr>
        <w:tblStyle w:val="28"/>
        <w:tblW w:w="988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436"/>
      </w:tblGrid>
      <w:tr w14:paraId="2906BD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tcBorders>
              <w:top w:val="single" w:color="auto" w:sz="8" w:space="0"/>
              <w:bottom w:val="single" w:color="auto" w:sz="8" w:space="0"/>
            </w:tcBorders>
            <w:vAlign w:val="center"/>
          </w:tcPr>
          <w:p w14:paraId="64D8B051">
            <w:pPr>
              <w:pStyle w:val="24"/>
              <w:adjustRightInd w:val="0"/>
              <w:snapToGrid w:val="0"/>
              <w:spacing w:before="0" w:beforeAutospacing="0" w:after="0" w:afterAutospacing="0" w:line="460" w:lineRule="exact"/>
              <w:jc w:val="center"/>
              <w:rPr>
                <w:rFonts w:hint="default" w:ascii="Times New Roman" w:hAnsi="Times New Roman" w:cs="Times New Roman"/>
                <w:color w:val="0000FF"/>
              </w:rPr>
            </w:pPr>
            <w:r>
              <w:rPr>
                <w:rFonts w:hint="default" w:ascii="Times New Roman" w:hAnsi="Times New Roman" w:cs="Times New Roman"/>
                <w:color w:val="0000FF"/>
              </w:rPr>
              <w:t>建设内容</w:t>
            </w:r>
          </w:p>
        </w:tc>
        <w:tc>
          <w:tcPr>
            <w:tcW w:w="9426" w:type="dxa"/>
            <w:tcBorders>
              <w:top w:val="single" w:color="auto" w:sz="8" w:space="0"/>
              <w:bottom w:val="single" w:color="auto" w:sz="8" w:space="0"/>
            </w:tcBorders>
          </w:tcPr>
          <w:p w14:paraId="77147036">
            <w:pPr>
              <w:adjustRightInd w:val="0"/>
              <w:snapToGrid w:val="0"/>
              <w:spacing w:line="360" w:lineRule="auto"/>
              <w:ind w:firstLine="482" w:firstLineChars="200"/>
              <w:rPr>
                <w:rFonts w:hint="default" w:ascii="Times New Roman" w:hAnsi="Times New Roman" w:cs="Times New Roman"/>
                <w:b/>
                <w:bCs/>
                <w:color w:val="0000FF"/>
                <w:sz w:val="24"/>
                <w:szCs w:val="24"/>
              </w:rPr>
            </w:pPr>
            <w:r>
              <w:rPr>
                <w:rFonts w:hint="default" w:ascii="Times New Roman" w:hAnsi="Times New Roman" w:cs="Times New Roman"/>
                <w:b/>
                <w:bCs/>
                <w:color w:val="0000FF"/>
                <w:sz w:val="24"/>
                <w:szCs w:val="24"/>
              </w:rPr>
              <w:t>一、项目背景</w:t>
            </w:r>
          </w:p>
          <w:p w14:paraId="64510274">
            <w:pPr>
              <w:snapToGrid w:val="0"/>
              <w:spacing w:line="360" w:lineRule="auto"/>
              <w:ind w:firstLine="480" w:firstLineChars="200"/>
              <w:rPr>
                <w:rFonts w:hint="eastAsia" w:cs="Times New Roman"/>
                <w:color w:val="0000FF"/>
                <w:kern w:val="0"/>
                <w:sz w:val="24"/>
                <w:szCs w:val="28"/>
                <w:lang w:eastAsia="zh-CN"/>
              </w:rPr>
            </w:pPr>
            <w:bookmarkStart w:id="3" w:name="OLE_LINK2"/>
            <w:r>
              <w:rPr>
                <w:rFonts w:hint="eastAsia" w:cs="Times New Roman"/>
                <w:color w:val="0000FF"/>
                <w:kern w:val="0"/>
                <w:sz w:val="24"/>
                <w:szCs w:val="28"/>
                <w:lang w:eastAsia="zh-CN"/>
              </w:rPr>
              <w:t>近年来，随着国民经济与工业的持续快速发展，环境污染问题日益突出，加强治理环境污染就显得尤为重要。其中，一般工业固体废物的处理处置是个较为突出的问题，通常采用的处理处置方式为填埋和焚烧，往往容易造成二次污染问题。</w:t>
            </w:r>
            <w:bookmarkStart w:id="4" w:name="OLE_LINK1"/>
            <w:r>
              <w:rPr>
                <w:rFonts w:hint="eastAsia" w:cs="Times New Roman"/>
                <w:color w:val="0000FF"/>
                <w:kern w:val="0"/>
                <w:sz w:val="24"/>
                <w:szCs w:val="28"/>
                <w:lang w:eastAsia="zh-CN"/>
              </w:rPr>
              <w:t>利用水泥窑所具备的超高温条件进行固体废弃物的协同处置技术，多年来一直受到业界的广泛关注与深入研究。国外发达国家经多年的实践证明其具有安全、环保及经济性特征，是固体废物的有效处置途径。国内水泥行业经过技术引进和多年来的研究开发，协同处置的技术装备已经逐步完善成熟，水泥窑协同处置固体废物以其建设费用低，选址较容易等优势而受到国家政策支持。相较于以往常用的填埋、焚烧等传统技术方法而言，新型干法水泥工艺本身具有温度高、热量大、工况稳定等特点，以及最终水泥熟料产品的有效固化作用，使得水泥窑协同处置技术在一般工业固废时具有明显优势，有利于实现工业固废的减量化、无害化及资源化。</w:t>
            </w:r>
          </w:p>
          <w:bookmarkEnd w:id="3"/>
          <w:bookmarkEnd w:id="4"/>
          <w:p w14:paraId="6A781609">
            <w:pPr>
              <w:spacing w:line="360" w:lineRule="auto"/>
              <w:ind w:firstLine="480" w:firstLineChars="200"/>
              <w:rPr>
                <w:rFonts w:hint="eastAsia" w:cs="Times New Roman"/>
                <w:color w:val="0000FF"/>
                <w:sz w:val="24"/>
                <w:szCs w:val="24"/>
                <w:highlight w:val="none"/>
                <w:lang w:val="en-US" w:eastAsia="zh-CN"/>
              </w:rPr>
            </w:pPr>
            <w:bookmarkStart w:id="5" w:name="OLE_LINK3"/>
            <w:r>
              <w:rPr>
                <w:rFonts w:hint="eastAsia" w:cs="Times New Roman"/>
                <w:color w:val="0000FF"/>
                <w:kern w:val="0"/>
                <w:sz w:val="24"/>
                <w:szCs w:val="24"/>
                <w:highlight w:val="none"/>
                <w:lang w:eastAsia="zh-CN"/>
              </w:rPr>
              <w:t>为此</w:t>
            </w:r>
            <w:bookmarkEnd w:id="5"/>
            <w:r>
              <w:rPr>
                <w:rFonts w:hint="eastAsia" w:cs="Times New Roman"/>
                <w:color w:val="0000FF"/>
                <w:kern w:val="0"/>
                <w:sz w:val="24"/>
                <w:szCs w:val="24"/>
                <w:highlight w:val="none"/>
                <w:lang w:eastAsia="zh-CN"/>
              </w:rPr>
              <w:t>淮北众城水泥有限责任公司</w:t>
            </w:r>
            <w:r>
              <w:rPr>
                <w:rFonts w:hint="default" w:ascii="Times New Roman" w:hAnsi="Times New Roman" w:cs="Times New Roman"/>
                <w:color w:val="0000FF"/>
                <w:kern w:val="0"/>
                <w:sz w:val="24"/>
                <w:szCs w:val="24"/>
                <w:highlight w:val="none"/>
                <w:lang w:val="en-US" w:eastAsia="zh-CN"/>
              </w:rPr>
              <w:t>在</w:t>
            </w:r>
            <w:r>
              <w:rPr>
                <w:rFonts w:hint="eastAsia" w:cs="Times New Roman"/>
                <w:color w:val="0000FF"/>
                <w:kern w:val="0"/>
                <w:sz w:val="24"/>
                <w:szCs w:val="24"/>
                <w:highlight w:val="none"/>
                <w:lang w:val="en-US" w:eastAsia="zh-CN"/>
              </w:rPr>
              <w:t>淮北市杜集区东山路202号（淮北众城水泥有限责任公司院内）</w:t>
            </w:r>
            <w:r>
              <w:rPr>
                <w:rFonts w:hint="default" w:ascii="Times New Roman" w:hAnsi="Times New Roman" w:cs="Times New Roman"/>
                <w:color w:val="0000FF"/>
                <w:kern w:val="0"/>
                <w:sz w:val="24"/>
                <w:szCs w:val="24"/>
                <w:highlight w:val="none"/>
                <w:lang w:val="en-US" w:eastAsia="zh-CN"/>
              </w:rPr>
              <w:t>投资建设</w:t>
            </w:r>
            <w:r>
              <w:rPr>
                <w:rFonts w:hint="eastAsia" w:cs="Times New Roman"/>
                <w:color w:val="0000FF"/>
                <w:sz w:val="24"/>
                <w:szCs w:val="24"/>
                <w:highlight w:val="none"/>
                <w:lang w:eastAsia="zh-CN"/>
              </w:rPr>
              <w:t>淮北众城水泥公司5000t/d熟料生产线生物质替代燃料节能减排技术改造项目</w:t>
            </w:r>
            <w:r>
              <w:rPr>
                <w:rFonts w:hint="default" w:ascii="Times New Roman" w:hAnsi="Times New Roman" w:cs="Times New Roman"/>
                <w:color w:val="0000FF"/>
                <w:sz w:val="24"/>
                <w:szCs w:val="24"/>
                <w:highlight w:val="none"/>
                <w:lang w:val="en-US" w:eastAsia="zh-CN"/>
              </w:rPr>
              <w:t>，该项目</w:t>
            </w:r>
            <w:r>
              <w:rPr>
                <w:rFonts w:hint="eastAsia" w:cs="Times New Roman"/>
                <w:color w:val="0000FF"/>
                <w:sz w:val="24"/>
                <w:szCs w:val="24"/>
                <w:highlight w:val="none"/>
                <w:lang w:val="en-US" w:eastAsia="zh-CN"/>
              </w:rPr>
              <w:t>于</w:t>
            </w:r>
            <w:bookmarkStart w:id="6" w:name="OLE_LINK4"/>
            <w:r>
              <w:rPr>
                <w:rFonts w:hint="eastAsia" w:ascii="Times New Roman" w:hAnsi="Times New Roman" w:cs="Times New Roman"/>
                <w:color w:val="0000FF"/>
                <w:sz w:val="24"/>
                <w:szCs w:val="24"/>
                <w:highlight w:val="none"/>
                <w:lang w:val="en-US" w:eastAsia="zh-CN"/>
              </w:rPr>
              <w:t>2024</w:t>
            </w:r>
            <w:r>
              <w:rPr>
                <w:rFonts w:hint="default" w:ascii="Times New Roman" w:hAnsi="Times New Roman" w:cs="Times New Roman"/>
                <w:color w:val="0000FF"/>
                <w:sz w:val="24"/>
                <w:szCs w:val="24"/>
                <w:highlight w:val="none"/>
                <w:lang w:val="en-US" w:eastAsia="zh-CN"/>
              </w:rPr>
              <w:t>年</w:t>
            </w:r>
            <w:r>
              <w:rPr>
                <w:rFonts w:hint="eastAsia" w:cs="Times New Roman"/>
                <w:color w:val="0000FF"/>
                <w:sz w:val="24"/>
                <w:szCs w:val="24"/>
                <w:highlight w:val="none"/>
                <w:lang w:val="en-US" w:eastAsia="zh-CN"/>
              </w:rPr>
              <w:t>7</w:t>
            </w:r>
            <w:r>
              <w:rPr>
                <w:rFonts w:hint="default" w:ascii="Times New Roman" w:hAnsi="Times New Roman" w:cs="Times New Roman"/>
                <w:color w:val="0000FF"/>
                <w:sz w:val="24"/>
                <w:szCs w:val="24"/>
                <w:highlight w:val="none"/>
                <w:lang w:val="en-US" w:eastAsia="zh-CN"/>
              </w:rPr>
              <w:t>月</w:t>
            </w:r>
            <w:r>
              <w:rPr>
                <w:rFonts w:hint="eastAsia" w:cs="Times New Roman"/>
                <w:color w:val="0000FF"/>
                <w:sz w:val="24"/>
                <w:szCs w:val="24"/>
                <w:highlight w:val="none"/>
                <w:lang w:val="en-US" w:eastAsia="zh-CN"/>
              </w:rPr>
              <w:t>24日</w:t>
            </w:r>
            <w:bookmarkEnd w:id="6"/>
            <w:r>
              <w:rPr>
                <w:rFonts w:hint="eastAsia" w:cs="Times New Roman"/>
                <w:color w:val="0000FF"/>
                <w:sz w:val="24"/>
                <w:szCs w:val="24"/>
                <w:highlight w:val="none"/>
                <w:lang w:val="en-US" w:eastAsia="zh-CN"/>
              </w:rPr>
              <w:t>取得安徽淮北杜集经济开发区管理委员会备案，</w:t>
            </w:r>
            <w:r>
              <w:rPr>
                <w:rFonts w:hint="eastAsia" w:cs="Times New Roman"/>
                <w:color w:val="0000FF"/>
                <w:sz w:val="24"/>
                <w:szCs w:val="32"/>
                <w:lang w:eastAsia="zh-CN"/>
              </w:rPr>
              <w:t>文号为杜经开技改函﹝</w:t>
            </w:r>
            <w:r>
              <w:rPr>
                <w:rFonts w:hint="eastAsia" w:cs="Times New Roman"/>
                <w:color w:val="0000FF"/>
                <w:sz w:val="24"/>
                <w:szCs w:val="32"/>
                <w:lang w:val="en-US" w:eastAsia="zh-CN"/>
              </w:rPr>
              <w:t>2024</w:t>
            </w:r>
            <w:r>
              <w:rPr>
                <w:rFonts w:hint="eastAsia" w:cs="Times New Roman"/>
                <w:color w:val="0000FF"/>
                <w:sz w:val="24"/>
                <w:szCs w:val="32"/>
                <w:lang w:eastAsia="zh-CN"/>
              </w:rPr>
              <w:t>﹞</w:t>
            </w:r>
            <w:r>
              <w:rPr>
                <w:rFonts w:hint="eastAsia" w:cs="Times New Roman"/>
                <w:color w:val="0000FF"/>
                <w:sz w:val="24"/>
                <w:szCs w:val="32"/>
                <w:lang w:val="en-US" w:eastAsia="zh-CN"/>
              </w:rPr>
              <w:t>7号</w:t>
            </w:r>
            <w:r>
              <w:rPr>
                <w:rFonts w:hint="default" w:ascii="Times New Roman" w:hAnsi="Times New Roman" w:cs="Times New Roman"/>
                <w:color w:val="0000FF"/>
                <w:sz w:val="24"/>
                <w:szCs w:val="32"/>
              </w:rPr>
              <w:t>。</w:t>
            </w:r>
            <w:r>
              <w:rPr>
                <w:rFonts w:hint="eastAsia" w:cs="Times New Roman"/>
                <w:color w:val="0000FF"/>
                <w:sz w:val="24"/>
                <w:szCs w:val="24"/>
                <w:highlight w:val="none"/>
                <w:lang w:val="en-US" w:eastAsia="zh-CN"/>
              </w:rPr>
              <w:t>项目现处于筹备阶段，不存在未批先建情况。</w:t>
            </w:r>
          </w:p>
          <w:p w14:paraId="59904746">
            <w:pPr>
              <w:snapToGrid w:val="0"/>
              <w:spacing w:line="360" w:lineRule="auto"/>
              <w:ind w:firstLine="480" w:firstLineChars="200"/>
              <w:rPr>
                <w:rFonts w:hint="default" w:ascii="Times New Roman" w:hAnsi="Times New Roman" w:eastAsia="宋体" w:cs="Times New Roman"/>
                <w:color w:val="0000FF"/>
                <w:sz w:val="24"/>
                <w:szCs w:val="32"/>
                <w:lang w:eastAsia="zh-CN"/>
              </w:rPr>
            </w:pPr>
            <w:r>
              <w:rPr>
                <w:rFonts w:hint="default" w:ascii="Times New Roman" w:hAnsi="Times New Roman" w:eastAsia="宋体" w:cs="Times New Roman"/>
                <w:color w:val="0000FF"/>
                <w:sz w:val="24"/>
                <w:szCs w:val="32"/>
                <w:lang w:eastAsia="zh-CN"/>
              </w:rPr>
              <w:t>根据《中华人民共和国环境保护法》、《中华人民共和国环境影响评价法》和《建设项目环境保护管理条例》等法律、法规的规定及要求，本项目的建设应开展环境影响评价工作。对照《</w:t>
            </w:r>
            <w:bookmarkStart w:id="7" w:name="OLE_LINK5"/>
            <w:r>
              <w:rPr>
                <w:rFonts w:hint="default" w:ascii="Times New Roman" w:hAnsi="Times New Roman" w:eastAsia="宋体" w:cs="Times New Roman"/>
                <w:color w:val="0000FF"/>
                <w:sz w:val="24"/>
                <w:szCs w:val="32"/>
                <w:lang w:eastAsia="zh-CN"/>
              </w:rPr>
              <w:t>建设项目环境影响评价分类管理名录</w:t>
            </w:r>
            <w:bookmarkEnd w:id="7"/>
            <w:r>
              <w:rPr>
                <w:rFonts w:hint="default" w:ascii="Times New Roman" w:hAnsi="Times New Roman" w:eastAsia="宋体" w:cs="Times New Roman"/>
                <w:color w:val="0000FF"/>
                <w:sz w:val="24"/>
                <w:szCs w:val="32"/>
                <w:lang w:eastAsia="zh-CN"/>
              </w:rPr>
              <w:t>（2021年版）》，本项目属</w:t>
            </w:r>
            <w:r>
              <w:rPr>
                <w:rFonts w:hint="eastAsia" w:ascii="宋体" w:hAnsi="宋体" w:eastAsia="宋体" w:cs="宋体"/>
                <w:color w:val="0000FF"/>
                <w:sz w:val="24"/>
                <w:szCs w:val="32"/>
                <w:lang w:eastAsia="zh-CN"/>
              </w:rPr>
              <w:t>于“</w:t>
            </w:r>
            <w:r>
              <w:rPr>
                <w:rFonts w:hint="eastAsia" w:ascii="宋体" w:hAnsi="宋体" w:cs="宋体"/>
                <w:color w:val="0000FF"/>
                <w:sz w:val="24"/>
                <w:szCs w:val="32"/>
                <w:lang w:eastAsia="zh-CN"/>
              </w:rPr>
              <w:t>四十七、生态保护和环境治理业</w:t>
            </w:r>
            <w:r>
              <w:rPr>
                <w:rFonts w:hint="eastAsia" w:ascii="宋体" w:hAnsi="宋体" w:eastAsia="宋体" w:cs="宋体"/>
                <w:color w:val="0000FF"/>
                <w:sz w:val="24"/>
                <w:szCs w:val="32"/>
                <w:lang w:eastAsia="zh-CN"/>
              </w:rPr>
              <w:t>”</w:t>
            </w:r>
            <w:r>
              <w:rPr>
                <w:rFonts w:hint="eastAsia" w:ascii="宋体" w:hAnsi="宋体" w:cs="宋体"/>
                <w:color w:val="0000FF"/>
                <w:sz w:val="24"/>
                <w:szCs w:val="32"/>
                <w:lang w:eastAsia="zh-CN"/>
              </w:rPr>
              <w:t>中“</w:t>
            </w:r>
            <w:r>
              <w:rPr>
                <w:rFonts w:hint="default" w:ascii="Times New Roman" w:hAnsi="Times New Roman" w:cs="Times New Roman"/>
                <w:color w:val="0000FF"/>
                <w:sz w:val="24"/>
                <w:szCs w:val="32"/>
                <w:lang w:val="en-US" w:eastAsia="zh-CN"/>
              </w:rPr>
              <w:t>103</w:t>
            </w:r>
            <w:r>
              <w:rPr>
                <w:rFonts w:hint="eastAsia" w:ascii="Times New Roman" w:hAnsi="Times New Roman" w:cs="Times New Roman"/>
                <w:color w:val="0000FF"/>
                <w:sz w:val="24"/>
                <w:szCs w:val="32"/>
                <w:lang w:val="en-US" w:eastAsia="zh-CN"/>
              </w:rPr>
              <w:t xml:space="preserve"> 一般工业固体废物（含污水处理污泥）、建筑施工废弃物处置及综合利用</w:t>
            </w:r>
            <w:r>
              <w:rPr>
                <w:rFonts w:hint="eastAsia" w:ascii="宋体" w:hAnsi="宋体" w:cs="宋体"/>
                <w:color w:val="0000FF"/>
                <w:sz w:val="24"/>
                <w:szCs w:val="32"/>
                <w:lang w:eastAsia="zh-CN"/>
              </w:rPr>
              <w:t>”中“其他”</w:t>
            </w:r>
            <w:r>
              <w:rPr>
                <w:rFonts w:hint="eastAsia" w:ascii="宋体" w:hAnsi="宋体" w:eastAsia="宋体" w:cs="宋体"/>
                <w:color w:val="0000FF"/>
                <w:sz w:val="24"/>
                <w:szCs w:val="32"/>
                <w:lang w:eastAsia="zh-CN"/>
              </w:rPr>
              <w:t>，应编制环境影响</w:t>
            </w:r>
            <w:r>
              <w:rPr>
                <w:rFonts w:hint="default" w:ascii="Times New Roman" w:hAnsi="Times New Roman" w:eastAsia="宋体" w:cs="Times New Roman"/>
                <w:color w:val="0000FF"/>
                <w:sz w:val="24"/>
                <w:szCs w:val="32"/>
                <w:lang w:eastAsia="zh-CN"/>
              </w:rPr>
              <w:t>报告表。</w:t>
            </w:r>
          </w:p>
          <w:p w14:paraId="222C1EF2">
            <w:pPr>
              <w:autoSpaceDE w:val="0"/>
              <w:autoSpaceDN w:val="0"/>
              <w:adjustRightInd w:val="0"/>
              <w:jc w:val="center"/>
              <w:rPr>
                <w:rFonts w:hint="eastAsia" w:ascii="Times New Roman" w:hAnsi="Times New Roman" w:eastAsia="宋体" w:cs="Times New Roman"/>
                <w:b/>
                <w:color w:val="0000FF"/>
                <w:lang w:val="en-US" w:eastAsia="zh-CN"/>
              </w:rPr>
            </w:pPr>
            <w:r>
              <w:rPr>
                <w:rFonts w:hint="eastAsia" w:ascii="Times New Roman" w:hAnsi="Times New Roman" w:eastAsia="宋体" w:cs="Times New Roman"/>
                <w:b/>
                <w:color w:val="0000FF"/>
                <w:lang w:eastAsia="zh-CN"/>
              </w:rPr>
              <w:t>表</w:t>
            </w:r>
            <w:r>
              <w:rPr>
                <w:rFonts w:hint="eastAsia" w:cs="Times New Roman"/>
                <w:b/>
                <w:color w:val="0000FF"/>
                <w:lang w:val="en-US" w:eastAsia="zh-CN"/>
              </w:rPr>
              <w:t>2-1</w:t>
            </w:r>
            <w:r>
              <w:rPr>
                <w:rFonts w:hint="eastAsia" w:ascii="Times New Roman" w:hAnsi="Times New Roman" w:eastAsia="宋体" w:cs="Times New Roman"/>
                <w:b/>
                <w:color w:val="0000FF"/>
                <w:lang w:val="en-US" w:eastAsia="zh-CN"/>
              </w:rPr>
              <w:t xml:space="preserve"> 建设项目环境影响评价分类管理名录（摘录）</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1"/>
              <w:gridCol w:w="2507"/>
              <w:gridCol w:w="3454"/>
              <w:gridCol w:w="1365"/>
              <w:gridCol w:w="1343"/>
            </w:tblGrid>
            <w:tr w14:paraId="79C4B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5" w:type="pct"/>
                  <w:gridSpan w:val="2"/>
                  <w:tcBorders>
                    <w:tl2br w:val="single" w:color="auto" w:sz="4" w:space="0"/>
                  </w:tcBorders>
                  <w:vAlign w:val="center"/>
                </w:tcPr>
                <w:p w14:paraId="3AF61AEC">
                  <w:pPr>
                    <w:keepNext w:val="0"/>
                    <w:keepLines w:val="0"/>
                    <w:pageBreakBefore w:val="0"/>
                    <w:widowControl w:val="0"/>
                    <w:kinsoku/>
                    <w:wordWrap/>
                    <w:overflowPunct/>
                    <w:topLinePunct w:val="0"/>
                    <w:autoSpaceDE/>
                    <w:autoSpaceDN/>
                    <w:bidi w:val="0"/>
                    <w:adjustRightInd/>
                    <w:snapToGrid/>
                    <w:spacing w:before="63" w:beforeLines="20" w:after="63" w:afterLines="20"/>
                    <w:jc w:val="right"/>
                    <w:textAlignment w:val="auto"/>
                    <w:rPr>
                      <w:rFonts w:hint="eastAsia"/>
                      <w:color w:val="0000FF"/>
                      <w:lang w:val="en-US" w:eastAsia="zh-CN"/>
                    </w:rPr>
                  </w:pPr>
                  <w:r>
                    <w:rPr>
                      <w:rFonts w:hint="eastAsia"/>
                      <w:color w:val="0000FF"/>
                      <w:lang w:val="en-US" w:eastAsia="zh-CN"/>
                    </w:rPr>
                    <w:t>环评类别</w:t>
                  </w:r>
                </w:p>
                <w:p w14:paraId="1E48D075">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240" w:lineRule="auto"/>
                    <w:jc w:val="left"/>
                    <w:textAlignment w:val="auto"/>
                    <w:rPr>
                      <w:rFonts w:hint="default"/>
                      <w:color w:val="0000FF"/>
                      <w:vertAlign w:val="baseline"/>
                      <w:lang w:val="en-US" w:eastAsia="zh-CN"/>
                    </w:rPr>
                  </w:pPr>
                  <w:r>
                    <w:rPr>
                      <w:rFonts w:hint="eastAsia" w:ascii="Times New Roman" w:hAnsi="Times New Roman" w:eastAsia="宋体" w:cs="Times New Roman"/>
                      <w:color w:val="0000FF"/>
                      <w:sz w:val="21"/>
                      <w:szCs w:val="21"/>
                      <w:lang w:val="en-US" w:eastAsia="zh-CN"/>
                    </w:rPr>
                    <w:t>项目类别</w:t>
                  </w:r>
                </w:p>
              </w:tc>
              <w:tc>
                <w:tcPr>
                  <w:tcW w:w="1875" w:type="pct"/>
                  <w:vAlign w:val="center"/>
                </w:tcPr>
                <w:p w14:paraId="67CE4EFE">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报告书</w:t>
                  </w:r>
                </w:p>
              </w:tc>
              <w:tc>
                <w:tcPr>
                  <w:tcW w:w="741" w:type="pct"/>
                  <w:vAlign w:val="center"/>
                </w:tcPr>
                <w:p w14:paraId="426C9343">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报告表</w:t>
                  </w:r>
                </w:p>
              </w:tc>
              <w:tc>
                <w:tcPr>
                  <w:tcW w:w="727" w:type="pct"/>
                  <w:vAlign w:val="center"/>
                </w:tcPr>
                <w:p w14:paraId="4417EEAA">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登记表</w:t>
                  </w:r>
                </w:p>
              </w:tc>
            </w:tr>
            <w:tr w14:paraId="04A97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5"/>
                  <w:vAlign w:val="center"/>
                </w:tcPr>
                <w:p w14:paraId="6FCC08D5">
                  <w:pPr>
                    <w:keepNext w:val="0"/>
                    <w:keepLines w:val="0"/>
                    <w:pageBreakBefore w:val="0"/>
                    <w:widowControl w:val="0"/>
                    <w:kinsoku/>
                    <w:wordWrap/>
                    <w:overflowPunct/>
                    <w:topLinePunct w:val="0"/>
                    <w:autoSpaceDE/>
                    <w:autoSpaceDN/>
                    <w:bidi w:val="0"/>
                    <w:adjustRightInd/>
                    <w:snapToGrid/>
                    <w:spacing w:before="63" w:beforeLines="20" w:after="63" w:afterLines="20"/>
                    <w:jc w:val="left"/>
                    <w:textAlignment w:val="auto"/>
                    <w:rPr>
                      <w:rFonts w:hint="default"/>
                      <w:color w:val="0000FF"/>
                      <w:lang w:val="en-US" w:eastAsia="zh-CN"/>
                    </w:rPr>
                  </w:pPr>
                  <w:r>
                    <w:rPr>
                      <w:rFonts w:hint="default"/>
                      <w:color w:val="0000FF"/>
                      <w:lang w:val="en-US" w:eastAsia="zh-CN"/>
                    </w:rPr>
                    <w:t>四十七、 生态保护和环境治理业</w:t>
                  </w:r>
                </w:p>
              </w:tc>
            </w:tr>
            <w:tr w14:paraId="5C984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4" w:type="pct"/>
                  <w:vAlign w:val="center"/>
                </w:tcPr>
                <w:p w14:paraId="6502FBC8">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color w:val="0000FF"/>
                      <w:vertAlign w:val="baseline"/>
                      <w:lang w:val="en-US" w:eastAsia="zh-CN"/>
                    </w:rPr>
                  </w:pPr>
                  <w:r>
                    <w:rPr>
                      <w:rFonts w:hint="eastAsia"/>
                      <w:color w:val="0000FF"/>
                      <w:vertAlign w:val="baseline"/>
                      <w:lang w:val="en-US" w:eastAsia="zh-CN"/>
                    </w:rPr>
                    <w:t>103</w:t>
                  </w:r>
                </w:p>
              </w:tc>
              <w:tc>
                <w:tcPr>
                  <w:tcW w:w="1361" w:type="pct"/>
                  <w:vAlign w:val="center"/>
                </w:tcPr>
                <w:p w14:paraId="1F28BBF2">
                  <w:pPr>
                    <w:keepNext w:val="0"/>
                    <w:keepLines w:val="0"/>
                    <w:pageBreakBefore w:val="0"/>
                    <w:widowControl w:val="0"/>
                    <w:kinsoku/>
                    <w:wordWrap/>
                    <w:overflowPunct/>
                    <w:topLinePunct w:val="0"/>
                    <w:autoSpaceDE/>
                    <w:autoSpaceDN/>
                    <w:bidi w:val="0"/>
                    <w:adjustRightInd/>
                    <w:snapToGrid/>
                    <w:spacing w:before="63" w:beforeLines="20" w:after="63" w:afterLines="20"/>
                    <w:jc w:val="both"/>
                    <w:textAlignment w:val="auto"/>
                    <w:rPr>
                      <w:rFonts w:hint="default"/>
                      <w:color w:val="0000FF"/>
                      <w:vertAlign w:val="baseline"/>
                      <w:lang w:val="en-US" w:eastAsia="zh-CN"/>
                    </w:rPr>
                  </w:pPr>
                  <w:r>
                    <w:rPr>
                      <w:rFonts w:hint="eastAsia"/>
                      <w:color w:val="0000FF"/>
                      <w:vertAlign w:val="baseline"/>
                      <w:lang w:val="en-US" w:eastAsia="zh-CN"/>
                    </w:rPr>
                    <w:t>一般工业固体废物</w:t>
                  </w:r>
                  <w:r>
                    <w:rPr>
                      <w:rFonts w:hint="default"/>
                      <w:color w:val="0000FF"/>
                      <w:vertAlign w:val="baseline"/>
                      <w:lang w:val="en-US" w:eastAsia="zh-CN"/>
                    </w:rPr>
                    <w:t>（含污水处理污泥）、建筑施工废弃物处置及综合利用</w:t>
                  </w:r>
                </w:p>
              </w:tc>
              <w:tc>
                <w:tcPr>
                  <w:tcW w:w="1875" w:type="pct"/>
                  <w:vAlign w:val="center"/>
                </w:tcPr>
                <w:p w14:paraId="5C0F7196">
                  <w:pPr>
                    <w:keepNext w:val="0"/>
                    <w:keepLines w:val="0"/>
                    <w:pageBreakBefore w:val="0"/>
                    <w:widowControl w:val="0"/>
                    <w:kinsoku/>
                    <w:wordWrap/>
                    <w:overflowPunct/>
                    <w:topLinePunct w:val="0"/>
                    <w:autoSpaceDE/>
                    <w:autoSpaceDN/>
                    <w:bidi w:val="0"/>
                    <w:adjustRightInd/>
                    <w:snapToGrid/>
                    <w:spacing w:before="63" w:beforeLines="20" w:after="63" w:afterLines="20"/>
                    <w:jc w:val="both"/>
                    <w:textAlignment w:val="auto"/>
                    <w:rPr>
                      <w:rFonts w:hint="default"/>
                      <w:color w:val="0000FF"/>
                      <w:vertAlign w:val="baseline"/>
                      <w:lang w:val="en-US" w:eastAsia="zh-CN"/>
                    </w:rPr>
                  </w:pPr>
                  <w:r>
                    <w:rPr>
                      <w:rFonts w:hint="default"/>
                      <w:color w:val="0000FF"/>
                      <w:vertAlign w:val="baseline"/>
                      <w:lang w:val="en-US" w:eastAsia="zh-CN"/>
                    </w:rPr>
                    <w:t>一般工业固体废物（含污水处理污泥）采取填埋、焚烧（水泥窑协同处置的改造项目除外）方式的</w:t>
                  </w:r>
                </w:p>
              </w:tc>
              <w:tc>
                <w:tcPr>
                  <w:tcW w:w="741" w:type="pct"/>
                  <w:vAlign w:val="center"/>
                </w:tcPr>
                <w:p w14:paraId="358E2B9B">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color w:val="0000FF"/>
                      <w:vertAlign w:val="baseline"/>
                      <w:lang w:val="en-US" w:eastAsia="zh-CN"/>
                    </w:rPr>
                  </w:pPr>
                  <w:r>
                    <w:rPr>
                      <w:rFonts w:hint="eastAsia"/>
                      <w:color w:val="0000FF"/>
                      <w:vertAlign w:val="baseline"/>
                      <w:lang w:val="en-US" w:eastAsia="zh-CN"/>
                    </w:rPr>
                    <w:t>其他</w:t>
                  </w:r>
                </w:p>
              </w:tc>
              <w:tc>
                <w:tcPr>
                  <w:tcW w:w="727" w:type="pct"/>
                  <w:vAlign w:val="center"/>
                </w:tcPr>
                <w:p w14:paraId="5D2637A6">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color w:val="0000FF"/>
                      <w:vertAlign w:val="baseline"/>
                      <w:lang w:val="en-US" w:eastAsia="zh-CN"/>
                    </w:rPr>
                  </w:pPr>
                  <w:r>
                    <w:rPr>
                      <w:rFonts w:hint="eastAsia"/>
                      <w:color w:val="0000FF"/>
                      <w:vertAlign w:val="baseline"/>
                      <w:lang w:val="en-US" w:eastAsia="zh-CN"/>
                    </w:rPr>
                    <w:t>/</w:t>
                  </w:r>
                </w:p>
              </w:tc>
            </w:tr>
          </w:tbl>
          <w:p w14:paraId="1EE1A9C8">
            <w:pPr>
              <w:snapToGrid w:val="0"/>
              <w:spacing w:line="360" w:lineRule="auto"/>
              <w:ind w:firstLine="480" w:firstLineChars="200"/>
              <w:rPr>
                <w:rFonts w:hint="default" w:ascii="Times New Roman" w:hAnsi="Times New Roman" w:cs="Times New Roman"/>
                <w:color w:val="0000FF"/>
                <w:kern w:val="0"/>
                <w:sz w:val="24"/>
                <w:szCs w:val="28"/>
              </w:rPr>
            </w:pPr>
            <w:r>
              <w:rPr>
                <w:rFonts w:hint="default" w:ascii="Times New Roman" w:hAnsi="Times New Roman" w:cs="Times New Roman"/>
                <w:color w:val="0000FF"/>
                <w:sz w:val="24"/>
                <w:szCs w:val="32"/>
              </w:rPr>
              <w:t>建设单位委托</w:t>
            </w:r>
            <w:r>
              <w:rPr>
                <w:rFonts w:hint="eastAsia" w:ascii="Times New Roman" w:hAnsi="Times New Roman" w:cs="Times New Roman"/>
                <w:color w:val="0000FF"/>
                <w:sz w:val="24"/>
                <w:szCs w:val="32"/>
                <w:lang w:eastAsia="zh-CN"/>
              </w:rPr>
              <w:t>安徽碧晟环保科技有限公司</w:t>
            </w:r>
            <w:r>
              <w:rPr>
                <w:rFonts w:hint="default" w:ascii="Times New Roman" w:hAnsi="Times New Roman" w:cs="Times New Roman"/>
                <w:color w:val="0000FF"/>
                <w:sz w:val="24"/>
                <w:szCs w:val="32"/>
              </w:rPr>
              <w:t>进行本次项目环境影响报告表的编制工作。</w:t>
            </w:r>
            <w:r>
              <w:rPr>
                <w:rFonts w:hint="eastAsia" w:ascii="Times New Roman" w:hAnsi="Times New Roman" w:cs="Times New Roman"/>
                <w:color w:val="0000FF"/>
                <w:sz w:val="24"/>
                <w:szCs w:val="32"/>
                <w:lang w:eastAsia="zh-CN"/>
              </w:rPr>
              <w:t>安徽碧晟环保科技有限公司</w:t>
            </w:r>
            <w:r>
              <w:rPr>
                <w:rFonts w:hint="default" w:ascii="Times New Roman" w:hAnsi="Times New Roman" w:cs="Times New Roman"/>
                <w:color w:val="0000FF"/>
                <w:sz w:val="24"/>
                <w:szCs w:val="32"/>
              </w:rPr>
              <w:t>在接到委托后，按项目特点与专业要求，进行现场踏勘、收集资料，针对</w:t>
            </w:r>
            <w:r>
              <w:rPr>
                <w:rFonts w:hint="default" w:ascii="Times New Roman" w:hAnsi="Times New Roman" w:cs="Times New Roman"/>
                <w:color w:val="0000FF"/>
                <w:sz w:val="24"/>
                <w:szCs w:val="32"/>
                <w:lang w:eastAsia="zh-CN"/>
              </w:rPr>
              <w:t>拟建</w:t>
            </w:r>
            <w:r>
              <w:rPr>
                <w:rFonts w:hint="default" w:ascii="Times New Roman" w:hAnsi="Times New Roman" w:cs="Times New Roman"/>
                <w:color w:val="0000FF"/>
                <w:sz w:val="24"/>
                <w:szCs w:val="32"/>
              </w:rPr>
              <w:t>项目可能涉及的污染问题，从工程角度和环境角度进行了分析，并对工程中的污染等问题提出了相应的防治对策和管理措施，在此基础上，</w:t>
            </w:r>
            <w:r>
              <w:rPr>
                <w:rFonts w:hint="default" w:ascii="Times New Roman" w:hAnsi="Times New Roman" w:cs="Times New Roman"/>
                <w:color w:val="0000FF"/>
                <w:kern w:val="0"/>
                <w:sz w:val="24"/>
                <w:szCs w:val="28"/>
              </w:rPr>
              <w:t>编制完成了《</w:t>
            </w:r>
            <w:r>
              <w:rPr>
                <w:rFonts w:hint="eastAsia" w:cs="Times New Roman"/>
                <w:color w:val="0000FF"/>
                <w:kern w:val="0"/>
                <w:sz w:val="24"/>
                <w:szCs w:val="28"/>
                <w:lang w:val="en-US" w:eastAsia="zh-CN"/>
              </w:rPr>
              <w:t>淮北众城水泥公司5000t/d熟料生产线生物质替代燃料节能减排技术改造项目</w:t>
            </w:r>
            <w:r>
              <w:rPr>
                <w:rFonts w:hint="default" w:ascii="Times New Roman" w:hAnsi="Times New Roman" w:cs="Times New Roman"/>
                <w:color w:val="0000FF"/>
                <w:kern w:val="0"/>
                <w:sz w:val="24"/>
                <w:szCs w:val="28"/>
              </w:rPr>
              <w:t>环境影响报告表》，呈报生态环境主管部门审查。</w:t>
            </w:r>
          </w:p>
          <w:p w14:paraId="4914627C">
            <w:pPr>
              <w:adjustRightInd w:val="0"/>
              <w:snapToGrid w:val="0"/>
              <w:spacing w:line="360" w:lineRule="auto"/>
              <w:ind w:firstLine="482" w:firstLineChars="200"/>
              <w:rPr>
                <w:rFonts w:hint="default" w:ascii="Times New Roman" w:hAnsi="Times New Roman" w:cs="Times New Roman"/>
                <w:b/>
                <w:bCs/>
                <w:color w:val="0000FF"/>
                <w:sz w:val="24"/>
                <w:szCs w:val="24"/>
              </w:rPr>
            </w:pPr>
            <w:r>
              <w:rPr>
                <w:rFonts w:hint="default" w:ascii="Times New Roman" w:hAnsi="Times New Roman" w:cs="Times New Roman"/>
                <w:b/>
                <w:bCs/>
                <w:color w:val="0000FF"/>
                <w:sz w:val="24"/>
                <w:szCs w:val="24"/>
              </w:rPr>
              <w:t>二、建设项目</w:t>
            </w:r>
            <w:bookmarkStart w:id="8" w:name="OLE_LINK7"/>
            <w:r>
              <w:rPr>
                <w:rFonts w:hint="default" w:ascii="Times New Roman" w:hAnsi="Times New Roman" w:cs="Times New Roman"/>
                <w:b/>
                <w:bCs/>
                <w:color w:val="0000FF"/>
                <w:sz w:val="24"/>
                <w:szCs w:val="24"/>
              </w:rPr>
              <w:t>组成</w:t>
            </w:r>
            <w:bookmarkEnd w:id="8"/>
          </w:p>
          <w:p w14:paraId="014EBD80">
            <w:pPr>
              <w:spacing w:line="360" w:lineRule="auto"/>
              <w:ind w:firstLine="480" w:firstLineChars="200"/>
              <w:rPr>
                <w:rFonts w:hint="default" w:ascii="Times New Roman" w:hAnsi="Times New Roman" w:cs="Times New Roman"/>
                <w:color w:val="0000FF"/>
                <w:sz w:val="24"/>
                <w:szCs w:val="24"/>
              </w:rPr>
            </w:pPr>
            <w:r>
              <w:rPr>
                <w:rFonts w:hint="default" w:ascii="Times New Roman" w:hAnsi="Times New Roman" w:cs="Times New Roman"/>
                <w:color w:val="0000FF"/>
                <w:sz w:val="24"/>
                <w:szCs w:val="24"/>
              </w:rPr>
              <w:t>本项目内容及规模详见表</w:t>
            </w:r>
            <w:r>
              <w:rPr>
                <w:rFonts w:hint="eastAsia" w:cs="Times New Roman"/>
                <w:color w:val="0000FF"/>
                <w:sz w:val="24"/>
                <w:szCs w:val="24"/>
                <w:lang w:val="en-US" w:eastAsia="zh-CN"/>
              </w:rPr>
              <w:t>2-2</w:t>
            </w:r>
            <w:r>
              <w:rPr>
                <w:rFonts w:hint="default" w:ascii="Times New Roman" w:hAnsi="Times New Roman" w:cs="Times New Roman"/>
                <w:color w:val="0000FF"/>
                <w:sz w:val="24"/>
                <w:szCs w:val="24"/>
              </w:rPr>
              <w:t>。</w:t>
            </w:r>
          </w:p>
          <w:p w14:paraId="7E927CCA">
            <w:pPr>
              <w:autoSpaceDE w:val="0"/>
              <w:autoSpaceDN w:val="0"/>
              <w:adjustRightInd w:val="0"/>
              <w:jc w:val="center"/>
              <w:rPr>
                <w:rFonts w:ascii="Times New Roman" w:hAnsi="Times New Roman" w:cs="Times New Roman"/>
                <w:b/>
                <w:color w:val="0000FF"/>
              </w:rPr>
            </w:pPr>
            <w:bookmarkStart w:id="9" w:name="OLE_LINK6"/>
            <w:r>
              <w:rPr>
                <w:rFonts w:hint="eastAsia" w:ascii="Times New Roman" w:hAnsi="Times New Roman" w:cs="Times New Roman"/>
                <w:b/>
                <w:color w:val="0000FF"/>
              </w:rPr>
              <w:t>表</w:t>
            </w:r>
            <w:r>
              <w:rPr>
                <w:rFonts w:hint="eastAsia" w:cs="Times New Roman"/>
                <w:b/>
                <w:color w:val="0000FF"/>
                <w:lang w:val="en-US" w:eastAsia="zh-CN"/>
              </w:rPr>
              <w:t>2-2</w:t>
            </w:r>
            <w:r>
              <w:rPr>
                <w:rFonts w:ascii="Times New Roman" w:hAnsi="Times New Roman" w:cs="Times New Roman"/>
                <w:b/>
                <w:color w:val="0000FF"/>
              </w:rPr>
              <w:t xml:space="preserve"> </w:t>
            </w:r>
            <w:r>
              <w:rPr>
                <w:rFonts w:hint="eastAsia" w:ascii="Times New Roman" w:hAnsi="Times New Roman" w:cs="Times New Roman"/>
                <w:b/>
                <w:color w:val="0000FF"/>
              </w:rPr>
              <w:t>项目建设内容一览表</w:t>
            </w:r>
          </w:p>
          <w:bookmarkEnd w:id="9"/>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125"/>
              <w:gridCol w:w="2100"/>
              <w:gridCol w:w="2070"/>
              <w:gridCol w:w="1994"/>
              <w:gridCol w:w="1220"/>
            </w:tblGrid>
            <w:tr w14:paraId="52C9E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1" w:type="dxa"/>
                  <w:vAlign w:val="center"/>
                </w:tcPr>
                <w:p w14:paraId="5145758B">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bookmarkStart w:id="10" w:name="OLE_LINK28"/>
                  <w:r>
                    <w:rPr>
                      <w:rFonts w:hint="eastAsia" w:cs="Times New Roman"/>
                      <w:b w:val="0"/>
                      <w:bCs w:val="0"/>
                      <w:color w:val="0000FF"/>
                      <w:sz w:val="21"/>
                      <w:szCs w:val="21"/>
                      <w:lang w:val="en-US" w:eastAsia="zh-CN"/>
                    </w:rPr>
                    <w:t>工程类别</w:t>
                  </w:r>
                </w:p>
              </w:tc>
              <w:tc>
                <w:tcPr>
                  <w:tcW w:w="1125" w:type="dxa"/>
                  <w:vAlign w:val="center"/>
                </w:tcPr>
                <w:p w14:paraId="4340275B">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工程名称</w:t>
                  </w:r>
                </w:p>
              </w:tc>
              <w:tc>
                <w:tcPr>
                  <w:tcW w:w="2100" w:type="dxa"/>
                  <w:vAlign w:val="center"/>
                </w:tcPr>
                <w:p w14:paraId="10D2EB9D">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现有项目环评要求工程内容及规模</w:t>
                  </w:r>
                </w:p>
              </w:tc>
              <w:tc>
                <w:tcPr>
                  <w:tcW w:w="2070" w:type="dxa"/>
                  <w:vAlign w:val="center"/>
                </w:tcPr>
                <w:p w14:paraId="31E7BA1C">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技改项目工程内容及规模</w:t>
                  </w:r>
                </w:p>
              </w:tc>
              <w:tc>
                <w:tcPr>
                  <w:tcW w:w="1994" w:type="dxa"/>
                  <w:vAlign w:val="center"/>
                </w:tcPr>
                <w:p w14:paraId="5807B721">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技改后全厂工程内容及规模</w:t>
                  </w:r>
                </w:p>
              </w:tc>
              <w:tc>
                <w:tcPr>
                  <w:tcW w:w="1220" w:type="dxa"/>
                  <w:vAlign w:val="center"/>
                </w:tcPr>
                <w:p w14:paraId="311063DF">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备注</w:t>
                  </w:r>
                </w:p>
              </w:tc>
            </w:tr>
            <w:tr w14:paraId="70689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691" w:type="dxa"/>
                  <w:vMerge w:val="restart"/>
                  <w:vAlign w:val="center"/>
                </w:tcPr>
                <w:p w14:paraId="22A8A941">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主体工程</w:t>
                  </w:r>
                </w:p>
              </w:tc>
              <w:tc>
                <w:tcPr>
                  <w:tcW w:w="1125" w:type="dxa"/>
                  <w:vAlign w:val="center"/>
                </w:tcPr>
                <w:p w14:paraId="4BEB0C44">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5000t/d</w:t>
                  </w:r>
                  <w:bookmarkStart w:id="11" w:name="OLE_LINK23"/>
                  <w:r>
                    <w:rPr>
                      <w:rFonts w:hint="eastAsia" w:cs="Times New Roman"/>
                      <w:b w:val="0"/>
                      <w:bCs w:val="0"/>
                      <w:color w:val="0000FF"/>
                      <w:sz w:val="21"/>
                      <w:szCs w:val="21"/>
                      <w:lang w:val="en-US" w:eastAsia="zh-CN"/>
                    </w:rPr>
                    <w:t>新型干法预分解窑水泥熟料生产线</w:t>
                  </w:r>
                  <w:bookmarkEnd w:id="11"/>
                  <w:r>
                    <w:rPr>
                      <w:rFonts w:hint="eastAsia" w:cs="Times New Roman"/>
                      <w:b w:val="0"/>
                      <w:bCs w:val="0"/>
                      <w:color w:val="0000FF"/>
                      <w:sz w:val="21"/>
                      <w:szCs w:val="21"/>
                      <w:lang w:val="en-US" w:eastAsia="zh-CN"/>
                    </w:rPr>
                    <w:t>（一线）</w:t>
                  </w:r>
                </w:p>
              </w:tc>
              <w:tc>
                <w:tcPr>
                  <w:tcW w:w="2100" w:type="dxa"/>
                  <w:vAlign w:val="center"/>
                </w:tcPr>
                <w:p w14:paraId="0638F0D2">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bookmarkStart w:id="12" w:name="OLE_LINK14"/>
                  <w:r>
                    <w:rPr>
                      <w:rFonts w:hint="eastAsia" w:cs="Times New Roman"/>
                      <w:b w:val="0"/>
                      <w:bCs w:val="0"/>
                      <w:color w:val="0000FF"/>
                      <w:sz w:val="21"/>
                      <w:szCs w:val="21"/>
                      <w:lang w:val="en-US" w:eastAsia="zh-CN"/>
                    </w:rPr>
                    <w:t>原料均化系统、原料粉磨系统、烧成系统</w:t>
                  </w:r>
                  <w:bookmarkStart w:id="13" w:name="OLE_LINK16"/>
                  <w:r>
                    <w:rPr>
                      <w:rFonts w:hint="eastAsia" w:cs="Times New Roman"/>
                      <w:b w:val="0"/>
                      <w:bCs w:val="0"/>
                      <w:color w:val="0000FF"/>
                      <w:sz w:val="21"/>
                      <w:szCs w:val="21"/>
                      <w:lang w:val="en-US" w:eastAsia="zh-CN"/>
                    </w:rPr>
                    <w:t>（回转窑规格</w:t>
                  </w:r>
                  <w:bookmarkStart w:id="14" w:name="OLE_LINK8"/>
                  <w:r>
                    <w:rPr>
                      <w:rFonts w:hint="eastAsia" w:cs="Times New Roman"/>
                      <w:b w:val="0"/>
                      <w:bCs w:val="0"/>
                      <w:color w:val="0000FF"/>
                      <w:sz w:val="21"/>
                      <w:szCs w:val="21"/>
                      <w:lang w:val="en-US" w:eastAsia="zh-CN"/>
                    </w:rPr>
                    <w:t>：</w:t>
                  </w:r>
                  <w:bookmarkEnd w:id="14"/>
                  <w:bookmarkStart w:id="15" w:name="OLE_LINK9"/>
                  <w:r>
                    <w:rPr>
                      <w:rFonts w:hint="eastAsia" w:cs="Times New Roman"/>
                      <w:b w:val="0"/>
                      <w:bCs w:val="0"/>
                      <w:color w:val="0000FF"/>
                      <w:sz w:val="21"/>
                      <w:szCs w:val="21"/>
                      <w:lang w:val="en-US" w:eastAsia="zh-CN"/>
                    </w:rPr>
                    <w:t>Φ</w:t>
                  </w:r>
                  <w:bookmarkEnd w:id="15"/>
                  <w:r>
                    <w:rPr>
                      <w:rFonts w:hint="eastAsia" w:cs="Times New Roman"/>
                      <w:b w:val="0"/>
                      <w:bCs w:val="0"/>
                      <w:color w:val="0000FF"/>
                      <w:sz w:val="21"/>
                      <w:szCs w:val="21"/>
                      <w:lang w:val="en-US" w:eastAsia="zh-CN"/>
                    </w:rPr>
                    <w:t>4.8×74m）、原煤破碎系统、煤粉制备系统；5000t/d水泥熟料</w:t>
                  </w:r>
                  <w:bookmarkEnd w:id="12"/>
                  <w:bookmarkEnd w:id="13"/>
                </w:p>
              </w:tc>
              <w:tc>
                <w:tcPr>
                  <w:tcW w:w="2070" w:type="dxa"/>
                  <w:vAlign w:val="center"/>
                </w:tcPr>
                <w:p w14:paraId="136C8B36">
                  <w:pPr>
                    <w:keepNext w:val="0"/>
                    <w:keepLines w:val="0"/>
                    <w:pageBreakBefore w:val="0"/>
                    <w:kinsoku/>
                    <w:wordWrap/>
                    <w:overflowPunct/>
                    <w:topLinePunct w:val="0"/>
                    <w:autoSpaceDE/>
                    <w:autoSpaceDN/>
                    <w:bidi w:val="0"/>
                    <w:snapToGrid/>
                    <w:spacing w:line="240" w:lineRule="auto"/>
                    <w:jc w:val="center"/>
                    <w:rPr>
                      <w:rFonts w:hint="default" w:eastAsia="宋体" w:cs="Times New Roman"/>
                      <w:b w:val="0"/>
                      <w:bCs w:val="0"/>
                      <w:color w:val="0000FF"/>
                      <w:sz w:val="21"/>
                      <w:szCs w:val="21"/>
                      <w:lang w:val="en-US" w:eastAsia="zh-CN"/>
                    </w:rPr>
                  </w:pPr>
                  <w:r>
                    <w:rPr>
                      <w:rFonts w:hint="eastAsia" w:cs="Times New Roman"/>
                      <w:b w:val="0"/>
                      <w:bCs w:val="0"/>
                      <w:color w:val="0000FF"/>
                      <w:sz w:val="21"/>
                      <w:szCs w:val="21"/>
                      <w:lang w:val="en-US" w:eastAsia="zh-CN"/>
                    </w:rPr>
                    <w:t>原有工程不变，新建协同处置替代燃料节能减排技术改造系统一套，利用原有5000t/d水泥熟料生产线，年处置10万吨替代燃料（废纺和生物质各5万吨）</w:t>
                  </w:r>
                </w:p>
              </w:tc>
              <w:tc>
                <w:tcPr>
                  <w:tcW w:w="1994" w:type="dxa"/>
                  <w:vAlign w:val="center"/>
                </w:tcPr>
                <w:p w14:paraId="113A8F9C">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原有工程不变，新建协同处置替代燃料节能减排技术改造系统一套，利用原有5000t/d水泥熟料生产线，年处置10万吨替代燃料（废纺和生物质各5万吨）</w:t>
                  </w:r>
                </w:p>
              </w:tc>
              <w:tc>
                <w:tcPr>
                  <w:tcW w:w="1220" w:type="dxa"/>
                  <w:vAlign w:val="center"/>
                </w:tcPr>
                <w:p w14:paraId="698B433A">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依托现有生产线进行协同处置替代燃料节能减排技术改造</w:t>
                  </w:r>
                </w:p>
              </w:tc>
            </w:tr>
            <w:tr w14:paraId="5CE08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1" w:type="dxa"/>
                  <w:vMerge w:val="continue"/>
                  <w:vAlign w:val="center"/>
                </w:tcPr>
                <w:p w14:paraId="310F5BA1">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p>
              </w:tc>
              <w:tc>
                <w:tcPr>
                  <w:tcW w:w="1125" w:type="dxa"/>
                  <w:vAlign w:val="center"/>
                </w:tcPr>
                <w:p w14:paraId="2F1E3735">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4500t/d新型干法预分解窑水泥熟料生产线（二线）</w:t>
                  </w:r>
                </w:p>
              </w:tc>
              <w:tc>
                <w:tcPr>
                  <w:tcW w:w="2100" w:type="dxa"/>
                  <w:vAlign w:val="center"/>
                </w:tcPr>
                <w:p w14:paraId="703B6DCE">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原料均化系统、原料粉磨系统、烧成系统、原煤破碎系统、煤粉制备系统；4500t/d水泥熟料</w:t>
                  </w:r>
                </w:p>
              </w:tc>
              <w:tc>
                <w:tcPr>
                  <w:tcW w:w="2070" w:type="dxa"/>
                  <w:vAlign w:val="center"/>
                </w:tcPr>
                <w:p w14:paraId="7BDB889A">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不变</w:t>
                  </w:r>
                </w:p>
              </w:tc>
              <w:tc>
                <w:tcPr>
                  <w:tcW w:w="1994" w:type="dxa"/>
                  <w:vAlign w:val="center"/>
                </w:tcPr>
                <w:p w14:paraId="49639575">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原料均化系统、原料粉磨系统、烧成系统、原煤破碎系统、煤粉制备系统；4500t/d水泥熟料</w:t>
                  </w:r>
                </w:p>
              </w:tc>
              <w:tc>
                <w:tcPr>
                  <w:tcW w:w="1220" w:type="dxa"/>
                  <w:vAlign w:val="center"/>
                </w:tcPr>
                <w:p w14:paraId="313DD24A">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本次技改项目不涉及二线内容</w:t>
                  </w:r>
                </w:p>
              </w:tc>
            </w:tr>
            <w:tr w14:paraId="4A776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1" w:type="dxa"/>
                  <w:vAlign w:val="center"/>
                </w:tcPr>
                <w:p w14:paraId="74F71B6A">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辅助工程</w:t>
                  </w:r>
                </w:p>
              </w:tc>
              <w:tc>
                <w:tcPr>
                  <w:tcW w:w="1125" w:type="dxa"/>
                  <w:vAlign w:val="center"/>
                </w:tcPr>
                <w:p w14:paraId="4D8287D3">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电力工程</w:t>
                  </w:r>
                </w:p>
              </w:tc>
              <w:tc>
                <w:tcPr>
                  <w:tcW w:w="2100" w:type="dxa"/>
                  <w:vAlign w:val="center"/>
                </w:tcPr>
                <w:p w14:paraId="433AA3FF">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bookmarkStart w:id="16" w:name="OLE_LINK11"/>
                  <w:bookmarkStart w:id="17" w:name="OLE_LINK15"/>
                  <w:r>
                    <w:rPr>
                      <w:rFonts w:hint="eastAsia" w:cs="Times New Roman"/>
                      <w:b w:val="0"/>
                      <w:bCs w:val="0"/>
                      <w:color w:val="0000FF"/>
                      <w:sz w:val="21"/>
                      <w:szCs w:val="21"/>
                      <w:lang w:val="en-US" w:eastAsia="zh-CN"/>
                    </w:rPr>
                    <w:t>余热发电工程</w:t>
                  </w:r>
                  <w:bookmarkEnd w:id="16"/>
                  <w:r>
                    <w:rPr>
                      <w:rFonts w:hint="eastAsia" w:cs="Times New Roman"/>
                      <w:b w:val="0"/>
                      <w:bCs w:val="0"/>
                      <w:color w:val="0000FF"/>
                      <w:sz w:val="21"/>
                      <w:szCs w:val="21"/>
                      <w:lang w:val="en-US" w:eastAsia="zh-CN"/>
                    </w:rPr>
                    <w:t>、变电所</w:t>
                  </w:r>
                  <w:bookmarkEnd w:id="17"/>
                </w:p>
              </w:tc>
              <w:tc>
                <w:tcPr>
                  <w:tcW w:w="2070" w:type="dxa"/>
                  <w:vAlign w:val="center"/>
                </w:tcPr>
                <w:p w14:paraId="13FF3897">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不变</w:t>
                  </w:r>
                </w:p>
              </w:tc>
              <w:tc>
                <w:tcPr>
                  <w:tcW w:w="1994" w:type="dxa"/>
                  <w:vAlign w:val="center"/>
                </w:tcPr>
                <w:p w14:paraId="6E005561">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余热发电工程、变电所</w:t>
                  </w:r>
                </w:p>
              </w:tc>
              <w:tc>
                <w:tcPr>
                  <w:tcW w:w="1220" w:type="dxa"/>
                  <w:vAlign w:val="center"/>
                </w:tcPr>
                <w:p w14:paraId="72C8B314">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依托现有</w:t>
                  </w:r>
                </w:p>
              </w:tc>
            </w:tr>
            <w:tr w14:paraId="4B721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1" w:type="dxa"/>
                  <w:vMerge w:val="restart"/>
                  <w:vAlign w:val="center"/>
                </w:tcPr>
                <w:p w14:paraId="0720EF8A">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储运工程</w:t>
                  </w:r>
                </w:p>
              </w:tc>
              <w:tc>
                <w:tcPr>
                  <w:tcW w:w="1125" w:type="dxa"/>
                  <w:vAlign w:val="center"/>
                </w:tcPr>
                <w:p w14:paraId="024BDD6C">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运输工程</w:t>
                  </w:r>
                </w:p>
              </w:tc>
              <w:tc>
                <w:tcPr>
                  <w:tcW w:w="2100" w:type="dxa"/>
                  <w:vAlign w:val="center"/>
                </w:tcPr>
                <w:p w14:paraId="144E91D7">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bookmarkStart w:id="18" w:name="OLE_LINK13"/>
                  <w:r>
                    <w:rPr>
                      <w:rFonts w:hint="eastAsia" w:cs="Times New Roman"/>
                      <w:b w:val="0"/>
                      <w:bCs w:val="0"/>
                      <w:color w:val="0000FF"/>
                      <w:sz w:val="21"/>
                      <w:szCs w:val="21"/>
                      <w:lang w:val="en-US" w:eastAsia="zh-CN"/>
                    </w:rPr>
                    <w:t>现有项目运</w:t>
                  </w:r>
                  <w:bookmarkStart w:id="19" w:name="OLE_LINK12"/>
                  <w:r>
                    <w:rPr>
                      <w:rFonts w:hint="eastAsia" w:cs="Times New Roman"/>
                      <w:b w:val="0"/>
                      <w:bCs w:val="0"/>
                      <w:color w:val="0000FF"/>
                      <w:sz w:val="21"/>
                      <w:szCs w:val="21"/>
                      <w:lang w:val="en-US" w:eastAsia="zh-CN"/>
                    </w:rPr>
                    <w:t>输主要为原辅材料及成品的运输，运输以汽车运输为主</w:t>
                  </w:r>
                  <w:bookmarkEnd w:id="18"/>
                  <w:bookmarkEnd w:id="19"/>
                </w:p>
              </w:tc>
              <w:tc>
                <w:tcPr>
                  <w:tcW w:w="2070" w:type="dxa"/>
                  <w:vAlign w:val="center"/>
                </w:tcPr>
                <w:p w14:paraId="34DCD2F7">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不变</w:t>
                  </w:r>
                </w:p>
              </w:tc>
              <w:tc>
                <w:tcPr>
                  <w:tcW w:w="1994" w:type="dxa"/>
                  <w:vAlign w:val="center"/>
                </w:tcPr>
                <w:p w14:paraId="71F8A794">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现有项目运输主要为原辅材料及成品的运输，运输以汽车运输为主</w:t>
                  </w:r>
                </w:p>
              </w:tc>
              <w:tc>
                <w:tcPr>
                  <w:tcW w:w="1220" w:type="dxa"/>
                  <w:vAlign w:val="center"/>
                </w:tcPr>
                <w:p w14:paraId="6EDC1FFC">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依托现有</w:t>
                  </w:r>
                </w:p>
              </w:tc>
            </w:tr>
            <w:tr w14:paraId="3B613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1" w:type="dxa"/>
                  <w:vMerge w:val="continue"/>
                  <w:vAlign w:val="center"/>
                </w:tcPr>
                <w:p w14:paraId="3475F540">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p>
              </w:tc>
              <w:tc>
                <w:tcPr>
                  <w:tcW w:w="1125" w:type="dxa"/>
                  <w:vMerge w:val="restart"/>
                  <w:vAlign w:val="center"/>
                </w:tcPr>
                <w:p w14:paraId="413A4262">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highlight w:val="none"/>
                      <w:lang w:val="en-US" w:eastAsia="zh-CN"/>
                    </w:rPr>
                  </w:pPr>
                  <w:r>
                    <w:rPr>
                      <w:rFonts w:hint="eastAsia" w:cs="Times New Roman"/>
                      <w:b w:val="0"/>
                      <w:bCs w:val="0"/>
                      <w:color w:val="0000FF"/>
                      <w:sz w:val="21"/>
                      <w:szCs w:val="21"/>
                      <w:highlight w:val="none"/>
                      <w:lang w:val="en-US" w:eastAsia="zh-CN"/>
                    </w:rPr>
                    <w:t>贮存工程</w:t>
                  </w:r>
                </w:p>
              </w:tc>
              <w:tc>
                <w:tcPr>
                  <w:tcW w:w="2100" w:type="dxa"/>
                  <w:vAlign w:val="center"/>
                </w:tcPr>
                <w:p w14:paraId="1DD03238">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highlight w:val="none"/>
                      <w:lang w:val="en-US" w:eastAsia="zh-CN"/>
                    </w:rPr>
                  </w:pPr>
                  <w:r>
                    <w:rPr>
                      <w:rFonts w:hint="eastAsia" w:cs="Times New Roman"/>
                      <w:b w:val="0"/>
                      <w:bCs w:val="0"/>
                      <w:color w:val="0000FF"/>
                      <w:sz w:val="21"/>
                      <w:szCs w:val="21"/>
                      <w:highlight w:val="none"/>
                      <w:lang w:val="en-US" w:eastAsia="zh-CN"/>
                    </w:rPr>
                    <w:t>原料堆棚、库房</w:t>
                  </w:r>
                </w:p>
              </w:tc>
              <w:tc>
                <w:tcPr>
                  <w:tcW w:w="2070" w:type="dxa"/>
                  <w:vAlign w:val="center"/>
                </w:tcPr>
                <w:p w14:paraId="36B32E7D">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不变</w:t>
                  </w:r>
                </w:p>
              </w:tc>
              <w:tc>
                <w:tcPr>
                  <w:tcW w:w="1994" w:type="dxa"/>
                  <w:vAlign w:val="center"/>
                </w:tcPr>
                <w:p w14:paraId="5198A50F">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highlight w:val="none"/>
                      <w:lang w:val="en-US" w:eastAsia="zh-CN"/>
                    </w:rPr>
                    <w:t>原料堆棚、库房</w:t>
                  </w:r>
                </w:p>
              </w:tc>
              <w:tc>
                <w:tcPr>
                  <w:tcW w:w="1220" w:type="dxa"/>
                  <w:vAlign w:val="center"/>
                </w:tcPr>
                <w:p w14:paraId="10EF5523">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依托现有</w:t>
                  </w:r>
                </w:p>
              </w:tc>
            </w:tr>
            <w:tr w14:paraId="427C3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1" w:type="dxa"/>
                  <w:vMerge w:val="continue"/>
                  <w:vAlign w:val="center"/>
                </w:tcPr>
                <w:p w14:paraId="4D017590">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p>
              </w:tc>
              <w:tc>
                <w:tcPr>
                  <w:tcW w:w="1125" w:type="dxa"/>
                  <w:vMerge w:val="continue"/>
                  <w:vAlign w:val="center"/>
                </w:tcPr>
                <w:p w14:paraId="561D8F4D">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highlight w:val="none"/>
                      <w:lang w:val="en-US" w:eastAsia="zh-CN"/>
                    </w:rPr>
                  </w:pPr>
                </w:p>
              </w:tc>
              <w:tc>
                <w:tcPr>
                  <w:tcW w:w="2100" w:type="dxa"/>
                  <w:vAlign w:val="center"/>
                </w:tcPr>
                <w:p w14:paraId="4E3DDA5D">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highlight w:val="none"/>
                      <w:lang w:val="en-US" w:eastAsia="zh-CN"/>
                    </w:rPr>
                  </w:pPr>
                  <w:r>
                    <w:rPr>
                      <w:rFonts w:hint="eastAsia" w:cs="Times New Roman"/>
                      <w:b w:val="0"/>
                      <w:bCs w:val="0"/>
                      <w:color w:val="0000FF"/>
                      <w:sz w:val="21"/>
                      <w:szCs w:val="21"/>
                      <w:highlight w:val="none"/>
                      <w:lang w:val="en-US" w:eastAsia="zh-CN"/>
                    </w:rPr>
                    <w:t>原煤堆棚</w:t>
                  </w:r>
                </w:p>
              </w:tc>
              <w:tc>
                <w:tcPr>
                  <w:tcW w:w="2070" w:type="dxa"/>
                  <w:vAlign w:val="center"/>
                </w:tcPr>
                <w:p w14:paraId="400E2141">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highlight w:val="yellow"/>
                      <w:lang w:val="en-US" w:eastAsia="zh-CN"/>
                    </w:rPr>
                  </w:pPr>
                  <w:r>
                    <w:rPr>
                      <w:rFonts w:hint="eastAsia" w:cs="Times New Roman"/>
                      <w:b w:val="0"/>
                      <w:bCs w:val="0"/>
                      <w:color w:val="0000FF"/>
                      <w:sz w:val="21"/>
                      <w:szCs w:val="21"/>
                      <w:lang w:val="en-US" w:eastAsia="zh-CN"/>
                    </w:rPr>
                    <w:t>替代燃料暂存库依托现有原煤堆棚进行改造，在现有原煤堆棚（堆棚尺寸：54m*15m*9m）内隔出一间用于替代燃料暂存，其余不变</w:t>
                  </w:r>
                </w:p>
              </w:tc>
              <w:tc>
                <w:tcPr>
                  <w:tcW w:w="1994" w:type="dxa"/>
                  <w:vAlign w:val="center"/>
                </w:tcPr>
                <w:p w14:paraId="7BD0FA96">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highlight w:val="yellow"/>
                      <w:lang w:val="en-US" w:eastAsia="zh-CN"/>
                    </w:rPr>
                  </w:pPr>
                  <w:r>
                    <w:rPr>
                      <w:rFonts w:hint="eastAsia" w:cs="Times New Roman"/>
                      <w:b w:val="0"/>
                      <w:bCs w:val="0"/>
                      <w:color w:val="0000FF"/>
                      <w:sz w:val="21"/>
                      <w:szCs w:val="21"/>
                      <w:lang w:val="en-US" w:eastAsia="zh-CN"/>
                    </w:rPr>
                    <w:t>替代燃料暂存库依托现有原煤堆棚进行改造，在现有原煤堆棚（堆棚尺寸：54m*15m*9m）内隔出一间用于替代燃料暂存，其余不变</w:t>
                  </w:r>
                </w:p>
              </w:tc>
              <w:tc>
                <w:tcPr>
                  <w:tcW w:w="1220" w:type="dxa"/>
                  <w:vAlign w:val="center"/>
                </w:tcPr>
                <w:p w14:paraId="451A15D3">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highlight w:val="yellow"/>
                      <w:lang w:val="en-US" w:eastAsia="zh-CN"/>
                    </w:rPr>
                  </w:pPr>
                  <w:r>
                    <w:rPr>
                      <w:rFonts w:hint="eastAsia" w:cs="Times New Roman"/>
                      <w:b w:val="0"/>
                      <w:bCs w:val="0"/>
                      <w:color w:val="0000FF"/>
                      <w:sz w:val="21"/>
                      <w:szCs w:val="21"/>
                      <w:lang w:val="en-US" w:eastAsia="zh-CN"/>
                    </w:rPr>
                    <w:t>新建</w:t>
                  </w:r>
                </w:p>
              </w:tc>
            </w:tr>
            <w:tr w14:paraId="2F3AF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1" w:type="dxa"/>
                  <w:vMerge w:val="continue"/>
                  <w:vAlign w:val="center"/>
                </w:tcPr>
                <w:p w14:paraId="6219D05E">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p>
              </w:tc>
              <w:tc>
                <w:tcPr>
                  <w:tcW w:w="1125" w:type="dxa"/>
                  <w:vAlign w:val="center"/>
                </w:tcPr>
                <w:p w14:paraId="54A6EC41">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替代燃料暂存系统</w:t>
                  </w:r>
                </w:p>
              </w:tc>
              <w:tc>
                <w:tcPr>
                  <w:tcW w:w="2100" w:type="dxa"/>
                  <w:vAlign w:val="center"/>
                </w:tcPr>
                <w:p w14:paraId="1590A42C">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2070" w:type="dxa"/>
                  <w:vAlign w:val="center"/>
                </w:tcPr>
                <w:p w14:paraId="4192E410">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替代燃料暂存库依托现有原煤堆棚进行改造，在现有原煤堆棚（堆棚尺寸：54m*15m*9m）内隔出一间用于替代燃料暂存，替代燃料直接外购，无需破碎，故未设置预处理破碎系统</w:t>
                  </w:r>
                </w:p>
              </w:tc>
              <w:tc>
                <w:tcPr>
                  <w:tcW w:w="1994" w:type="dxa"/>
                  <w:vAlign w:val="center"/>
                </w:tcPr>
                <w:p w14:paraId="00AB7C8A">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替代燃料暂存库依托现有原煤堆棚进行改造，在现有原煤堆棚（堆棚尺寸：54m*15m*9m）内隔出一间用于替代燃料暂存，替代燃料直接外购，无需破碎，故未设置预处理破碎系统</w:t>
                  </w:r>
                </w:p>
              </w:tc>
              <w:tc>
                <w:tcPr>
                  <w:tcW w:w="1220" w:type="dxa"/>
                  <w:vAlign w:val="center"/>
                </w:tcPr>
                <w:p w14:paraId="4D99E371">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新建</w:t>
                  </w:r>
                </w:p>
              </w:tc>
            </w:tr>
            <w:tr w14:paraId="1379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1" w:type="dxa"/>
                  <w:vMerge w:val="continue"/>
                  <w:vAlign w:val="center"/>
                </w:tcPr>
                <w:p w14:paraId="0FEC7BEF">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p>
              </w:tc>
              <w:tc>
                <w:tcPr>
                  <w:tcW w:w="1125" w:type="dxa"/>
                  <w:vAlign w:val="center"/>
                </w:tcPr>
                <w:p w14:paraId="6D3C4426">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计量喂料系统</w:t>
                  </w:r>
                </w:p>
              </w:tc>
              <w:tc>
                <w:tcPr>
                  <w:tcW w:w="2100" w:type="dxa"/>
                  <w:vAlign w:val="center"/>
                </w:tcPr>
                <w:p w14:paraId="13C1C656">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2070" w:type="dxa"/>
                  <w:vAlign w:val="center"/>
                </w:tcPr>
                <w:p w14:paraId="619CBAA7">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物料经过准确的计量后通过阶梯炉喂入分解炉，需确保喂料系统的计量准确性及稳定性</w:t>
                  </w:r>
                </w:p>
              </w:tc>
              <w:tc>
                <w:tcPr>
                  <w:tcW w:w="1994" w:type="dxa"/>
                  <w:vAlign w:val="center"/>
                </w:tcPr>
                <w:p w14:paraId="53219D50">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物料经过准确的计量后通过阶梯炉喂入分解炉，需确保喂料系统的计量准确性及稳定性</w:t>
                  </w:r>
                </w:p>
              </w:tc>
              <w:tc>
                <w:tcPr>
                  <w:tcW w:w="1220" w:type="dxa"/>
                  <w:vAlign w:val="center"/>
                </w:tcPr>
                <w:p w14:paraId="5A02D8F3">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新建</w:t>
                  </w:r>
                </w:p>
              </w:tc>
            </w:tr>
            <w:tr w14:paraId="5B6AB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1" w:type="dxa"/>
                  <w:vMerge w:val="restart"/>
                  <w:vAlign w:val="center"/>
                </w:tcPr>
                <w:p w14:paraId="668FF546">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bookmarkStart w:id="20" w:name="OLE_LINK17" w:colFirst="2" w:colLast="2"/>
                  <w:r>
                    <w:rPr>
                      <w:rFonts w:hint="eastAsia" w:cs="Times New Roman"/>
                      <w:b w:val="0"/>
                      <w:bCs w:val="0"/>
                      <w:color w:val="0000FF"/>
                      <w:sz w:val="21"/>
                      <w:szCs w:val="21"/>
                      <w:lang w:val="en-US" w:eastAsia="zh-CN"/>
                    </w:rPr>
                    <w:t>公用工程</w:t>
                  </w:r>
                </w:p>
              </w:tc>
              <w:tc>
                <w:tcPr>
                  <w:tcW w:w="1125" w:type="dxa"/>
                  <w:vAlign w:val="center"/>
                </w:tcPr>
                <w:p w14:paraId="662C9999">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供水</w:t>
                  </w:r>
                </w:p>
              </w:tc>
              <w:tc>
                <w:tcPr>
                  <w:tcW w:w="2100" w:type="dxa"/>
                  <w:vAlign w:val="center"/>
                </w:tcPr>
                <w:p w14:paraId="329942AB">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现有项目用水为3940t/d，采用自备水源井供水，出水量能满足工程生产、生活用水需要</w:t>
                  </w:r>
                </w:p>
              </w:tc>
              <w:tc>
                <w:tcPr>
                  <w:tcW w:w="2070" w:type="dxa"/>
                  <w:vAlign w:val="center"/>
                </w:tcPr>
                <w:p w14:paraId="02E6FF10">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不变</w:t>
                  </w:r>
                </w:p>
              </w:tc>
              <w:tc>
                <w:tcPr>
                  <w:tcW w:w="1994" w:type="dxa"/>
                  <w:vAlign w:val="center"/>
                </w:tcPr>
                <w:p w14:paraId="61EF37CF">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现有项目用水为3940t/d，采用自备水源井供水，出水量能满足工程生产、生活用水需要</w:t>
                  </w:r>
                </w:p>
              </w:tc>
              <w:tc>
                <w:tcPr>
                  <w:tcW w:w="1220" w:type="dxa"/>
                  <w:vAlign w:val="center"/>
                </w:tcPr>
                <w:p w14:paraId="7661F087">
                  <w:pPr>
                    <w:keepNext w:val="0"/>
                    <w:keepLines w:val="0"/>
                    <w:pageBreakBefore w:val="0"/>
                    <w:kinsoku/>
                    <w:wordWrap/>
                    <w:overflowPunct/>
                    <w:topLinePunct w:val="0"/>
                    <w:autoSpaceDE/>
                    <w:autoSpaceDN/>
                    <w:bidi w:val="0"/>
                    <w:snapToGrid/>
                    <w:spacing w:line="240" w:lineRule="auto"/>
                    <w:jc w:val="center"/>
                    <w:rPr>
                      <w:rFonts w:hint="eastAsia" w:eastAsia="宋体" w:cs="Times New Roman"/>
                      <w:b w:val="0"/>
                      <w:bCs w:val="0"/>
                      <w:color w:val="0000FF"/>
                      <w:sz w:val="21"/>
                      <w:szCs w:val="21"/>
                      <w:lang w:val="en-US" w:eastAsia="zh-CN"/>
                    </w:rPr>
                  </w:pPr>
                  <w:r>
                    <w:rPr>
                      <w:rFonts w:hint="eastAsia" w:cs="Times New Roman"/>
                      <w:b w:val="0"/>
                      <w:bCs w:val="0"/>
                      <w:color w:val="0000FF"/>
                      <w:sz w:val="21"/>
                      <w:szCs w:val="21"/>
                      <w:lang w:val="en-US" w:eastAsia="zh-CN"/>
                    </w:rPr>
                    <w:t>依托现有</w:t>
                  </w:r>
                </w:p>
              </w:tc>
            </w:tr>
            <w:tr w14:paraId="2CF6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1" w:type="dxa"/>
                  <w:vMerge w:val="continue"/>
                  <w:vAlign w:val="center"/>
                </w:tcPr>
                <w:p w14:paraId="4413FA59">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p>
              </w:tc>
              <w:tc>
                <w:tcPr>
                  <w:tcW w:w="1125" w:type="dxa"/>
                  <w:vAlign w:val="center"/>
                </w:tcPr>
                <w:p w14:paraId="370DFC02">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排水</w:t>
                  </w:r>
                </w:p>
              </w:tc>
              <w:tc>
                <w:tcPr>
                  <w:tcW w:w="2100" w:type="dxa"/>
                  <w:vAlign w:val="center"/>
                </w:tcPr>
                <w:p w14:paraId="189EB137">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现有项目废水经处理后通过开发区排水管网排入龙湖开发区污水处理厂</w:t>
                  </w:r>
                </w:p>
              </w:tc>
              <w:tc>
                <w:tcPr>
                  <w:tcW w:w="2070" w:type="dxa"/>
                  <w:vAlign w:val="center"/>
                </w:tcPr>
                <w:p w14:paraId="16EBC458">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不变</w:t>
                  </w:r>
                </w:p>
              </w:tc>
              <w:tc>
                <w:tcPr>
                  <w:tcW w:w="1994" w:type="dxa"/>
                  <w:vAlign w:val="center"/>
                </w:tcPr>
                <w:p w14:paraId="6BA5D19C">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现有项目废水经处理后通过开发区排水管网排入龙湖开发区污水处理厂</w:t>
                  </w:r>
                </w:p>
              </w:tc>
              <w:tc>
                <w:tcPr>
                  <w:tcW w:w="1220" w:type="dxa"/>
                  <w:vAlign w:val="center"/>
                </w:tcPr>
                <w:p w14:paraId="01BB7D12">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依托现有</w:t>
                  </w:r>
                </w:p>
              </w:tc>
            </w:tr>
            <w:tr w14:paraId="4C185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1" w:type="dxa"/>
                  <w:vMerge w:val="continue"/>
                  <w:vAlign w:val="center"/>
                </w:tcPr>
                <w:p w14:paraId="2211DE60">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bookmarkStart w:id="21" w:name="OLE_LINK10" w:colFirst="1" w:colLast="2"/>
                </w:p>
              </w:tc>
              <w:tc>
                <w:tcPr>
                  <w:tcW w:w="1125" w:type="dxa"/>
                  <w:vAlign w:val="center"/>
                </w:tcPr>
                <w:p w14:paraId="2F1C3D2E">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供电</w:t>
                  </w:r>
                </w:p>
              </w:tc>
              <w:tc>
                <w:tcPr>
                  <w:tcW w:w="2100" w:type="dxa"/>
                  <w:vAlign w:val="center"/>
                </w:tcPr>
                <w:p w14:paraId="42562799">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现有工程全厂装机容量25450KW，供电电源部分由纵楼变电所35kV单回路供电，部分由余热发电工程供电</w:t>
                  </w:r>
                </w:p>
              </w:tc>
              <w:tc>
                <w:tcPr>
                  <w:tcW w:w="2070" w:type="dxa"/>
                  <w:vAlign w:val="center"/>
                </w:tcPr>
                <w:p w14:paraId="3BE67900">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不变</w:t>
                  </w:r>
                </w:p>
              </w:tc>
              <w:tc>
                <w:tcPr>
                  <w:tcW w:w="1994" w:type="dxa"/>
                  <w:vAlign w:val="center"/>
                </w:tcPr>
                <w:p w14:paraId="0BADBF82">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现有工程全厂装机容量25450KW，供电电源部分由纵楼变电所35kV单回路供电，部分由余热发电工程供电</w:t>
                  </w:r>
                </w:p>
              </w:tc>
              <w:tc>
                <w:tcPr>
                  <w:tcW w:w="1220" w:type="dxa"/>
                  <w:vAlign w:val="center"/>
                </w:tcPr>
                <w:p w14:paraId="413A7885">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依托现有</w:t>
                  </w:r>
                </w:p>
              </w:tc>
            </w:tr>
            <w:bookmarkEnd w:id="21"/>
            <w:tr w14:paraId="61E4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1" w:type="dxa"/>
                  <w:vMerge w:val="restart"/>
                  <w:vAlign w:val="center"/>
                </w:tcPr>
                <w:p w14:paraId="4CF7BD57">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环保工程</w:t>
                  </w:r>
                </w:p>
              </w:tc>
              <w:tc>
                <w:tcPr>
                  <w:tcW w:w="1125" w:type="dxa"/>
                  <w:vAlign w:val="center"/>
                </w:tcPr>
                <w:p w14:paraId="20EC713F">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废水</w:t>
                  </w:r>
                </w:p>
              </w:tc>
              <w:tc>
                <w:tcPr>
                  <w:tcW w:w="2100" w:type="dxa"/>
                  <w:vAlign w:val="center"/>
                </w:tcPr>
                <w:p w14:paraId="16E45AB9">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现有项目废水包括循环冷却水、余热电站排水和生活污水。工艺冷却水、余热电站排水全部循环利用，不外排。生活污水采用地埋式生化处理设施进行处理</w:t>
                  </w:r>
                </w:p>
              </w:tc>
              <w:tc>
                <w:tcPr>
                  <w:tcW w:w="2070" w:type="dxa"/>
                  <w:vAlign w:val="center"/>
                </w:tcPr>
                <w:p w14:paraId="3188AB6D">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不变，本次技改项目不涉及生产废水，不新增员工，不新增生活污水</w:t>
                  </w:r>
                </w:p>
              </w:tc>
              <w:tc>
                <w:tcPr>
                  <w:tcW w:w="1994" w:type="dxa"/>
                  <w:vAlign w:val="center"/>
                </w:tcPr>
                <w:p w14:paraId="5FA31A1D">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现有废水包括循环冷却水、余热电站排水和生活污水。工艺冷却水、余热电站排水全部循环利用，不外排。生活污水采用地埋式生化处理设施进行处理，本次技改项目不涉及生产废水，不新增员工，不新增生活污水</w:t>
                  </w:r>
                </w:p>
              </w:tc>
              <w:tc>
                <w:tcPr>
                  <w:tcW w:w="1220" w:type="dxa"/>
                  <w:vAlign w:val="center"/>
                </w:tcPr>
                <w:p w14:paraId="2DBFFEEF">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依托现有</w:t>
                  </w:r>
                </w:p>
              </w:tc>
            </w:tr>
            <w:bookmarkEnd w:id="20"/>
            <w:tr w14:paraId="7433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1" w:type="dxa"/>
                  <w:vMerge w:val="continue"/>
                  <w:vAlign w:val="center"/>
                </w:tcPr>
                <w:p w14:paraId="23A29C8C">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p>
              </w:tc>
              <w:tc>
                <w:tcPr>
                  <w:tcW w:w="1125" w:type="dxa"/>
                  <w:vAlign w:val="center"/>
                </w:tcPr>
                <w:p w14:paraId="2EEF7992">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废气</w:t>
                  </w:r>
                </w:p>
                <w:p w14:paraId="5C468CE8">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（粉尘）</w:t>
                  </w:r>
                </w:p>
              </w:tc>
              <w:tc>
                <w:tcPr>
                  <w:tcW w:w="2100" w:type="dxa"/>
                  <w:vAlign w:val="center"/>
                </w:tcPr>
                <w:p w14:paraId="356818C7">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bookmarkStart w:id="22" w:name="OLE_LINK21"/>
                  <w:r>
                    <w:rPr>
                      <w:rFonts w:hint="eastAsia" w:cs="Times New Roman"/>
                      <w:b w:val="0"/>
                      <w:bCs w:val="0"/>
                      <w:color w:val="0000FF"/>
                      <w:sz w:val="21"/>
                      <w:szCs w:val="21"/>
                      <w:lang w:val="en-US" w:eastAsia="zh-CN"/>
                    </w:rPr>
                    <w:t>各产尘点设置袋式除尘器进行除尘，NOx采用SNCR非催化还原工艺进行脱硝</w:t>
                  </w:r>
                  <w:bookmarkEnd w:id="22"/>
                  <w:r>
                    <w:rPr>
                      <w:rFonts w:hint="eastAsia" w:cs="Times New Roman"/>
                      <w:b w:val="0"/>
                      <w:bCs w:val="0"/>
                      <w:color w:val="0000FF"/>
                      <w:sz w:val="21"/>
                      <w:szCs w:val="21"/>
                      <w:lang w:val="en-US" w:eastAsia="zh-CN"/>
                    </w:rPr>
                    <w:t>，共设有32套除尘器以及32根排气筒，具体编号见附件12（排污许可编码对照表）</w:t>
                  </w:r>
                </w:p>
              </w:tc>
              <w:tc>
                <w:tcPr>
                  <w:tcW w:w="2070" w:type="dxa"/>
                  <w:vAlign w:val="center"/>
                </w:tcPr>
                <w:p w14:paraId="0E6C7F46">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二氧化硫排放量相比原有项目排放量减少，本次技改项目新增二噁英等废气污染物，不新增废气污染治理设施</w:t>
                  </w:r>
                </w:p>
              </w:tc>
              <w:tc>
                <w:tcPr>
                  <w:tcW w:w="1994" w:type="dxa"/>
                  <w:vAlign w:val="center"/>
                </w:tcPr>
                <w:p w14:paraId="3D1DD46A">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各产尘点设置袋式除尘器，NOx采用SNCR非催化还原工艺进行脱硝，共设有32套除尘器以及32根排气筒，具体编号见附件12（排污许可编码对照表），二氧化硫排放量相比原有项目排放量减少，本次技改新增少量二噁英等废气污染物，不新增废气污染治理设施</w:t>
                  </w:r>
                </w:p>
              </w:tc>
              <w:tc>
                <w:tcPr>
                  <w:tcW w:w="1220" w:type="dxa"/>
                  <w:vAlign w:val="center"/>
                </w:tcPr>
                <w:p w14:paraId="5AD62023">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依托现有</w:t>
                  </w:r>
                </w:p>
              </w:tc>
            </w:tr>
            <w:tr w14:paraId="69462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1" w:type="dxa"/>
                  <w:vMerge w:val="continue"/>
                  <w:vAlign w:val="center"/>
                </w:tcPr>
                <w:p w14:paraId="58EE6BA6">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bookmarkStart w:id="23" w:name="OLE_LINK20" w:colFirst="2" w:colLast="5"/>
                </w:p>
              </w:tc>
              <w:tc>
                <w:tcPr>
                  <w:tcW w:w="1125" w:type="dxa"/>
                  <w:vAlign w:val="center"/>
                </w:tcPr>
                <w:p w14:paraId="5A7614CF">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噪声</w:t>
                  </w:r>
                </w:p>
              </w:tc>
              <w:tc>
                <w:tcPr>
                  <w:tcW w:w="2100" w:type="dxa"/>
                  <w:vAlign w:val="center"/>
                </w:tcPr>
                <w:p w14:paraId="01097885">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bookmarkStart w:id="24" w:name="OLE_LINK18"/>
                  <w:r>
                    <w:rPr>
                      <w:rFonts w:hint="eastAsia" w:cs="Times New Roman"/>
                      <w:b w:val="0"/>
                      <w:bCs w:val="0"/>
                      <w:color w:val="0000FF"/>
                      <w:sz w:val="21"/>
                      <w:szCs w:val="21"/>
                      <w:lang w:val="en-US" w:eastAsia="zh-CN"/>
                    </w:rPr>
                    <w:t>采</w:t>
                  </w:r>
                  <w:bookmarkStart w:id="25" w:name="OLE_LINK19"/>
                  <w:r>
                    <w:rPr>
                      <w:rFonts w:hint="eastAsia" w:cs="Times New Roman"/>
                      <w:b w:val="0"/>
                      <w:bCs w:val="0"/>
                      <w:color w:val="0000FF"/>
                      <w:sz w:val="21"/>
                      <w:szCs w:val="21"/>
                      <w:lang w:val="en-US" w:eastAsia="zh-CN"/>
                    </w:rPr>
                    <w:t>用消声、隔声、减振措施</w:t>
                  </w:r>
                  <w:bookmarkEnd w:id="24"/>
                  <w:bookmarkEnd w:id="25"/>
                </w:p>
              </w:tc>
              <w:tc>
                <w:tcPr>
                  <w:tcW w:w="2070" w:type="dxa"/>
                  <w:vAlign w:val="center"/>
                </w:tcPr>
                <w:p w14:paraId="494C37C9">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选用低噪声设备，合理布局高噪声设备，安装消声器、减震基座以及厂房隔声等措施</w:t>
                  </w:r>
                </w:p>
              </w:tc>
              <w:tc>
                <w:tcPr>
                  <w:tcW w:w="1994" w:type="dxa"/>
                  <w:vAlign w:val="center"/>
                </w:tcPr>
                <w:p w14:paraId="2B4810CE">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选用低噪声设备，合理布局高噪声设备，安装消声器、减震基座以及厂房隔声等措施</w:t>
                  </w:r>
                </w:p>
              </w:tc>
              <w:tc>
                <w:tcPr>
                  <w:tcW w:w="1220" w:type="dxa"/>
                  <w:vAlign w:val="center"/>
                </w:tcPr>
                <w:p w14:paraId="28959F75">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新建</w:t>
                  </w:r>
                </w:p>
              </w:tc>
            </w:tr>
            <w:bookmarkEnd w:id="23"/>
            <w:tr w14:paraId="7622F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1" w:type="dxa"/>
                  <w:vMerge w:val="continue"/>
                  <w:vAlign w:val="center"/>
                </w:tcPr>
                <w:p w14:paraId="17FB5C18">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p>
              </w:tc>
              <w:tc>
                <w:tcPr>
                  <w:tcW w:w="1125" w:type="dxa"/>
                  <w:vAlign w:val="center"/>
                </w:tcPr>
                <w:p w14:paraId="0C85E628">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固废</w:t>
                  </w:r>
                </w:p>
              </w:tc>
              <w:tc>
                <w:tcPr>
                  <w:tcW w:w="2100" w:type="dxa"/>
                  <w:vAlign w:val="center"/>
                </w:tcPr>
                <w:p w14:paraId="2802FEA7">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固体废物主要是除尘器产生的粉尘和生活垃圾；粉尘全部返回生产工艺，不外排；生活垃圾委托环卫部门定时进行垃圾清运进行集中处理；经此处理后，固废能够做到综合利用</w:t>
                  </w:r>
                </w:p>
              </w:tc>
              <w:tc>
                <w:tcPr>
                  <w:tcW w:w="2070" w:type="dxa"/>
                  <w:vAlign w:val="center"/>
                </w:tcPr>
                <w:p w14:paraId="0A4CB59E">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highlight w:val="yellow"/>
                      <w:lang w:val="en-US" w:eastAsia="zh-CN"/>
                    </w:rPr>
                  </w:pPr>
                  <w:r>
                    <w:rPr>
                      <w:rFonts w:hint="eastAsia" w:cs="Times New Roman"/>
                      <w:b w:val="0"/>
                      <w:bCs w:val="0"/>
                      <w:color w:val="0000FF"/>
                      <w:sz w:val="21"/>
                      <w:szCs w:val="21"/>
                      <w:highlight w:val="none"/>
                      <w:lang w:val="en-US" w:eastAsia="zh-CN"/>
                    </w:rPr>
                    <w:t>不变</w:t>
                  </w:r>
                </w:p>
              </w:tc>
              <w:tc>
                <w:tcPr>
                  <w:tcW w:w="1994" w:type="dxa"/>
                  <w:vAlign w:val="center"/>
                </w:tcPr>
                <w:p w14:paraId="2B488805">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highlight w:val="yellow"/>
                      <w:lang w:val="en-US" w:eastAsia="zh-CN"/>
                    </w:rPr>
                  </w:pPr>
                  <w:r>
                    <w:rPr>
                      <w:rFonts w:hint="eastAsia" w:ascii="Times New Roman" w:hAnsi="Times New Roman" w:eastAsia="宋体" w:cs="Times New Roman"/>
                      <w:b w:val="0"/>
                      <w:bCs w:val="0"/>
                      <w:color w:val="0000FF"/>
                      <w:sz w:val="21"/>
                      <w:szCs w:val="21"/>
                      <w:lang w:val="en-US" w:eastAsia="zh-CN"/>
                    </w:rPr>
                    <w:t>固体废物主要是除尘器产生的粉尘和生活垃圾；粉尘全部返回生产工艺，不外排；生活垃圾委托环卫部门定时进行垃圾清运进行集中处理；经此处理后，固废能够做到综合利用</w:t>
                  </w:r>
                </w:p>
              </w:tc>
              <w:tc>
                <w:tcPr>
                  <w:tcW w:w="1220" w:type="dxa"/>
                  <w:vAlign w:val="center"/>
                </w:tcPr>
                <w:p w14:paraId="7AC77998">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依托现有</w:t>
                  </w:r>
                </w:p>
              </w:tc>
            </w:tr>
            <w:tr w14:paraId="6C7DA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1" w:type="dxa"/>
                  <w:vMerge w:val="continue"/>
                  <w:vAlign w:val="center"/>
                </w:tcPr>
                <w:p w14:paraId="4ECE446E">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p>
              </w:tc>
              <w:tc>
                <w:tcPr>
                  <w:tcW w:w="1125" w:type="dxa"/>
                  <w:vAlign w:val="center"/>
                </w:tcPr>
                <w:p w14:paraId="1A396BF5">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土壤、地下水</w:t>
                  </w:r>
                </w:p>
              </w:tc>
              <w:tc>
                <w:tcPr>
                  <w:tcW w:w="2100" w:type="dxa"/>
                  <w:vAlign w:val="center"/>
                </w:tcPr>
                <w:p w14:paraId="6056439C">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对污水处理设施，采用钢筋砼结构，全池涂环氧树脂防腐防渗，厚度不小于5mm，确保渗透系数≤10</w:t>
                  </w:r>
                  <w:r>
                    <w:rPr>
                      <w:rFonts w:hint="eastAsia" w:cs="Times New Roman"/>
                      <w:b w:val="0"/>
                      <w:bCs w:val="0"/>
                      <w:color w:val="0000FF"/>
                      <w:sz w:val="21"/>
                      <w:szCs w:val="21"/>
                      <w:vertAlign w:val="superscript"/>
                      <w:lang w:val="en-US" w:eastAsia="zh-CN"/>
                    </w:rPr>
                    <w:t>-10</w:t>
                  </w:r>
                  <w:r>
                    <w:rPr>
                      <w:rFonts w:hint="eastAsia" w:cs="Times New Roman"/>
                      <w:b w:val="0"/>
                      <w:bCs w:val="0"/>
                      <w:color w:val="0000FF"/>
                      <w:sz w:val="21"/>
                      <w:szCs w:val="21"/>
                      <w:lang w:val="en-US" w:eastAsia="zh-CN"/>
                    </w:rPr>
                    <w:t>cm/s；项目区内外污水管道均采用耐腐蚀管材；项目区其它区域（除绿化用地之外）全部进行混凝土硬化处理</w:t>
                  </w:r>
                </w:p>
              </w:tc>
              <w:tc>
                <w:tcPr>
                  <w:tcW w:w="2070" w:type="dxa"/>
                  <w:vAlign w:val="center"/>
                </w:tcPr>
                <w:p w14:paraId="1A092074">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不变</w:t>
                  </w:r>
                </w:p>
              </w:tc>
              <w:tc>
                <w:tcPr>
                  <w:tcW w:w="1994" w:type="dxa"/>
                  <w:vAlign w:val="center"/>
                </w:tcPr>
                <w:p w14:paraId="606D25E9">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对污水处理设施，采用钢筋砼结构，全池涂环氧树脂防腐防渗，厚度不小于5mm，确保渗透系数≤10</w:t>
                  </w:r>
                  <w:r>
                    <w:rPr>
                      <w:rFonts w:hint="eastAsia" w:cs="Times New Roman"/>
                      <w:b w:val="0"/>
                      <w:bCs w:val="0"/>
                      <w:color w:val="0000FF"/>
                      <w:sz w:val="21"/>
                      <w:szCs w:val="21"/>
                      <w:vertAlign w:val="superscript"/>
                      <w:lang w:val="en-US" w:eastAsia="zh-CN"/>
                    </w:rPr>
                    <w:t>-10</w:t>
                  </w:r>
                  <w:r>
                    <w:rPr>
                      <w:rFonts w:hint="eastAsia" w:cs="Times New Roman"/>
                      <w:b w:val="0"/>
                      <w:bCs w:val="0"/>
                      <w:color w:val="0000FF"/>
                      <w:sz w:val="21"/>
                      <w:szCs w:val="21"/>
                      <w:lang w:val="en-US" w:eastAsia="zh-CN"/>
                    </w:rPr>
                    <w:t>cm/s；项目区内外污水管道均采用耐腐蚀管材；项目区其它区域（除绿化用地之外）全部进行混凝土硬化处理</w:t>
                  </w:r>
                </w:p>
              </w:tc>
              <w:tc>
                <w:tcPr>
                  <w:tcW w:w="1220" w:type="dxa"/>
                  <w:vAlign w:val="center"/>
                </w:tcPr>
                <w:p w14:paraId="65CB9ADC">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依托现有</w:t>
                  </w:r>
                </w:p>
              </w:tc>
            </w:tr>
            <w:tr w14:paraId="015E4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1" w:type="dxa"/>
                  <w:vMerge w:val="continue"/>
                  <w:vAlign w:val="center"/>
                </w:tcPr>
                <w:p w14:paraId="772A5023">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p>
              </w:tc>
              <w:tc>
                <w:tcPr>
                  <w:tcW w:w="1125" w:type="dxa"/>
                  <w:vAlign w:val="center"/>
                </w:tcPr>
                <w:p w14:paraId="07540307">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环境风险</w:t>
                  </w:r>
                </w:p>
              </w:tc>
              <w:tc>
                <w:tcPr>
                  <w:tcW w:w="2100" w:type="dxa"/>
                  <w:vAlign w:val="center"/>
                </w:tcPr>
                <w:p w14:paraId="2D62D28B">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消防设施、应急物资，编制突发环境事件应急预案、定期演练、及时修订</w:t>
                  </w:r>
                </w:p>
              </w:tc>
              <w:tc>
                <w:tcPr>
                  <w:tcW w:w="2070" w:type="dxa"/>
                  <w:vAlign w:val="center"/>
                </w:tcPr>
                <w:p w14:paraId="26B6F581">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不变</w:t>
                  </w:r>
                </w:p>
              </w:tc>
              <w:tc>
                <w:tcPr>
                  <w:tcW w:w="1994" w:type="dxa"/>
                  <w:vAlign w:val="center"/>
                </w:tcPr>
                <w:p w14:paraId="2EDF20E2">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消防设施、应急物资，编制突发环境事件应急预案、定期演练、及时修订</w:t>
                  </w:r>
                </w:p>
              </w:tc>
              <w:tc>
                <w:tcPr>
                  <w:tcW w:w="1220" w:type="dxa"/>
                  <w:vAlign w:val="center"/>
                </w:tcPr>
                <w:p w14:paraId="394A2405">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依托现有</w:t>
                  </w:r>
                </w:p>
              </w:tc>
            </w:tr>
            <w:bookmarkEnd w:id="10"/>
          </w:tbl>
          <w:p w14:paraId="6EAE6A0F">
            <w:pPr>
              <w:adjustRightInd w:val="0"/>
              <w:snapToGrid w:val="0"/>
              <w:spacing w:line="360" w:lineRule="auto"/>
              <w:ind w:firstLine="482" w:firstLineChars="200"/>
              <w:rPr>
                <w:rFonts w:hint="eastAsia" w:ascii="Times New Roman" w:hAnsi="Times New Roman" w:cs="Times New Roman"/>
                <w:b/>
                <w:bCs/>
                <w:color w:val="0000FF"/>
                <w:sz w:val="24"/>
                <w:szCs w:val="24"/>
                <w:lang w:val="en-US" w:eastAsia="zh-CN"/>
              </w:rPr>
            </w:pPr>
            <w:bookmarkStart w:id="26" w:name="OLE_LINK22"/>
            <w:r>
              <w:rPr>
                <w:rFonts w:hint="eastAsia" w:ascii="Times New Roman" w:hAnsi="Times New Roman" w:cs="Times New Roman"/>
                <w:b/>
                <w:bCs/>
                <w:color w:val="0000FF"/>
                <w:sz w:val="24"/>
                <w:szCs w:val="24"/>
                <w:lang w:val="en-US" w:eastAsia="zh-CN"/>
              </w:rPr>
              <w:t>三、本项目依托工程内容可行性分析</w:t>
            </w:r>
            <w:bookmarkEnd w:id="26"/>
            <w:bookmarkStart w:id="27" w:name="OLE_LINK25"/>
            <w:bookmarkStart w:id="28" w:name="OLE_LINK38"/>
          </w:p>
          <w:p w14:paraId="084121A4">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本项目建设依托淮北众城水泥有限责任公司原有5000t/d熟料生产线处置替代燃料。根据建设内容和依托情况可知，项目主要依托淮北众城水泥有限责任公司环保工程、水泥熟料生产线和原煤堆棚，新建一般固废计量喂料系统。</w:t>
            </w:r>
          </w:p>
          <w:bookmarkEnd w:id="27"/>
          <w:p w14:paraId="43A88196">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1、本项目位于淮北众城水泥有限责任公司现有厂区内，充分利用厂区的供水、排水、供电等完善的公用工程设施。供水系统稳定可靠，能够满足本项目新增设备和日常运营的用水需求。排水系统完善，能够有效处理生活污水，确保符合相关要求。供电系统稳定，能够满足本项目新增设备的电力需求，同时留有足够的冗余，确保生产过程的连续性和稳定性。因此，本次技术改造项目依托现有供水、排水、供电等公用工程具有可行性。</w:t>
            </w:r>
          </w:p>
          <w:p w14:paraId="2FE4A55F">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2、本项目依托淮北众城水泥有限责任公司的现有5000t/d熟料生产线处置300t/d替代燃料，废纺和木屑仅用作替代部分燃煤，不改变水泥生产量，保证了水泥生产的稳定性和连续性。同时，根据本项目重金属投加量、入窑氟（F）元素、氯（Cl）元素投加量、入窑硫（S）元素投加量计算结果，其元素投加量均满足《水泥窑协同处置固体废物环境保护技术规范》（HJ</w:t>
            </w:r>
            <w:r>
              <w:rPr>
                <w:rFonts w:hint="eastAsia" w:ascii="宋体" w:hAnsi="宋体" w:eastAsia="宋体" w:cs="宋体"/>
                <w:b w:val="0"/>
                <w:bCs w:val="0"/>
                <w:color w:val="0000FF"/>
                <w:kern w:val="2"/>
                <w:sz w:val="24"/>
                <w:szCs w:val="24"/>
                <w:lang w:val="en-US" w:eastAsia="zh-CN" w:bidi="ar-SA"/>
              </w:rPr>
              <w:t xml:space="preserve"> </w:t>
            </w:r>
            <w:r>
              <w:rPr>
                <w:rFonts w:hint="eastAsia" w:cs="Times New Roman"/>
                <w:b w:val="0"/>
                <w:bCs w:val="0"/>
                <w:color w:val="0000FF"/>
                <w:kern w:val="2"/>
                <w:sz w:val="24"/>
                <w:szCs w:val="24"/>
                <w:lang w:val="en-US" w:eastAsia="zh-CN" w:bidi="ar-SA"/>
              </w:rPr>
              <w:t>662-2013）要求。对照《水泥窑协同处置固体废物环境保护技术规范》（HJ</w:t>
            </w:r>
            <w:r>
              <w:rPr>
                <w:rFonts w:hint="eastAsia" w:ascii="宋体" w:hAnsi="宋体" w:eastAsia="宋体" w:cs="宋体"/>
                <w:b w:val="0"/>
                <w:bCs w:val="0"/>
                <w:color w:val="0000FF"/>
                <w:kern w:val="2"/>
                <w:sz w:val="24"/>
                <w:szCs w:val="24"/>
                <w:lang w:val="en-US" w:eastAsia="zh-CN" w:bidi="ar-SA"/>
              </w:rPr>
              <w:t xml:space="preserve"> </w:t>
            </w:r>
            <w:r>
              <w:rPr>
                <w:rFonts w:hint="eastAsia" w:cs="Times New Roman"/>
                <w:b w:val="0"/>
                <w:bCs w:val="0"/>
                <w:color w:val="0000FF"/>
                <w:kern w:val="2"/>
                <w:sz w:val="24"/>
                <w:szCs w:val="24"/>
                <w:lang w:val="en-US" w:eastAsia="zh-CN" w:bidi="ar-SA"/>
              </w:rPr>
              <w:t>662-2013）中“4.1水泥窑”章节内容，淮北众城水泥有限责任公司现有水泥窑可用于协同处置固体废物，具体内容见下表2-3。本次技术改造项目依托现有水泥窑具有可行性。</w:t>
            </w:r>
          </w:p>
          <w:p w14:paraId="4D52E380">
            <w:pPr>
              <w:autoSpaceDE w:val="0"/>
              <w:autoSpaceDN w:val="0"/>
              <w:adjustRightInd w:val="0"/>
              <w:jc w:val="center"/>
              <w:rPr>
                <w:rFonts w:hint="default" w:ascii="Times New Roman" w:hAnsi="Times New Roman" w:cs="Times New Roman"/>
                <w:b/>
                <w:color w:val="0000FF"/>
                <w:lang w:val="en-US" w:eastAsia="zh-CN"/>
              </w:rPr>
            </w:pPr>
            <w:r>
              <w:rPr>
                <w:rFonts w:hint="eastAsia" w:ascii="Times New Roman" w:hAnsi="Times New Roman" w:cs="Times New Roman"/>
                <w:b/>
                <w:color w:val="0000FF"/>
                <w:lang w:val="en-US" w:eastAsia="zh-CN"/>
              </w:rPr>
              <w:t>表</w:t>
            </w:r>
            <w:r>
              <w:rPr>
                <w:rFonts w:hint="eastAsia" w:cs="Times New Roman"/>
                <w:b/>
                <w:color w:val="0000FF"/>
                <w:lang w:val="en-US" w:eastAsia="zh-CN"/>
              </w:rPr>
              <w:t xml:space="preserve">2-3 </w:t>
            </w:r>
            <w:r>
              <w:rPr>
                <w:rFonts w:hint="eastAsia" w:ascii="Times New Roman" w:hAnsi="Times New Roman" w:cs="Times New Roman"/>
                <w:b/>
                <w:color w:val="0000FF"/>
                <w:lang w:val="en-US" w:eastAsia="zh-CN"/>
              </w:rPr>
              <w:t>《水泥窑协同处置固体废物环境保护技术规范》（HJ 662-2013）（摘录）</w:t>
            </w:r>
          </w:p>
          <w:tbl>
            <w:tblPr>
              <w:tblStyle w:val="2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4909"/>
              <w:gridCol w:w="2734"/>
              <w:gridCol w:w="917"/>
            </w:tblGrid>
            <w:tr w14:paraId="6A39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9" w:type="pct"/>
                  <w:vAlign w:val="center"/>
                </w:tcPr>
                <w:p w14:paraId="20ECCF06">
                  <w:pPr>
                    <w:keepNext w:val="0"/>
                    <w:keepLines w:val="0"/>
                    <w:pageBreakBefore w:val="0"/>
                    <w:kinsoku/>
                    <w:wordWrap/>
                    <w:overflowPunct/>
                    <w:topLinePunct w:val="0"/>
                    <w:autoSpaceDE/>
                    <w:autoSpaceDN/>
                    <w:bidi w:val="0"/>
                    <w:snapToGrid/>
                    <w:spacing w:line="240" w:lineRule="auto"/>
                    <w:jc w:val="center"/>
                    <w:rPr>
                      <w:rFonts w:hint="eastAsia" w:cs="Times New Roman"/>
                      <w:color w:val="0000FF"/>
                      <w:sz w:val="21"/>
                      <w:szCs w:val="21"/>
                      <w:lang w:eastAsia="zh-CN"/>
                    </w:rPr>
                  </w:pPr>
                  <w:r>
                    <w:rPr>
                      <w:rFonts w:hint="eastAsia" w:cs="Times New Roman"/>
                      <w:color w:val="0000FF"/>
                      <w:sz w:val="21"/>
                      <w:szCs w:val="21"/>
                      <w:lang w:eastAsia="zh-CN"/>
                    </w:rPr>
                    <w:t>章节</w:t>
                  </w:r>
                </w:p>
              </w:tc>
              <w:tc>
                <w:tcPr>
                  <w:tcW w:w="2666" w:type="pct"/>
                  <w:vAlign w:val="center"/>
                </w:tcPr>
                <w:p w14:paraId="1DD37258">
                  <w:pPr>
                    <w:keepNext w:val="0"/>
                    <w:keepLines w:val="0"/>
                    <w:pageBreakBefore w:val="0"/>
                    <w:kinsoku/>
                    <w:wordWrap/>
                    <w:overflowPunct/>
                    <w:topLinePunct w:val="0"/>
                    <w:autoSpaceDE/>
                    <w:autoSpaceDN/>
                    <w:bidi w:val="0"/>
                    <w:snapToGrid/>
                    <w:spacing w:line="240" w:lineRule="auto"/>
                    <w:jc w:val="center"/>
                    <w:rPr>
                      <w:rFonts w:hint="default" w:cs="Times New Roman"/>
                      <w:color w:val="0000FF"/>
                      <w:sz w:val="21"/>
                      <w:szCs w:val="21"/>
                      <w:lang w:eastAsia="zh-CN"/>
                    </w:rPr>
                  </w:pPr>
                  <w:r>
                    <w:rPr>
                      <w:rFonts w:hint="eastAsia" w:cs="Times New Roman"/>
                      <w:color w:val="0000FF"/>
                      <w:sz w:val="21"/>
                      <w:szCs w:val="21"/>
                      <w:lang w:eastAsia="zh-CN"/>
                    </w:rPr>
                    <w:t>文件要求</w:t>
                  </w:r>
                </w:p>
              </w:tc>
              <w:tc>
                <w:tcPr>
                  <w:tcW w:w="1485" w:type="pct"/>
                  <w:vAlign w:val="center"/>
                </w:tcPr>
                <w:p w14:paraId="3ADC758F">
                  <w:pPr>
                    <w:keepNext w:val="0"/>
                    <w:keepLines w:val="0"/>
                    <w:pageBreakBefore w:val="0"/>
                    <w:kinsoku/>
                    <w:wordWrap/>
                    <w:overflowPunct/>
                    <w:topLinePunct w:val="0"/>
                    <w:autoSpaceDE/>
                    <w:autoSpaceDN/>
                    <w:bidi w:val="0"/>
                    <w:snapToGrid/>
                    <w:spacing w:line="240" w:lineRule="auto"/>
                    <w:jc w:val="center"/>
                    <w:rPr>
                      <w:rFonts w:hint="default" w:cs="Times New Roman"/>
                      <w:color w:val="0000FF"/>
                      <w:sz w:val="21"/>
                      <w:szCs w:val="21"/>
                      <w:lang w:eastAsia="zh-CN"/>
                    </w:rPr>
                  </w:pPr>
                  <w:r>
                    <w:rPr>
                      <w:rFonts w:hint="eastAsia" w:cs="Times New Roman"/>
                      <w:color w:val="0000FF"/>
                      <w:sz w:val="21"/>
                      <w:szCs w:val="21"/>
                      <w:lang w:eastAsia="zh-CN"/>
                    </w:rPr>
                    <w:t>项目情况</w:t>
                  </w:r>
                </w:p>
              </w:tc>
              <w:tc>
                <w:tcPr>
                  <w:tcW w:w="498" w:type="pct"/>
                  <w:vAlign w:val="center"/>
                </w:tcPr>
                <w:p w14:paraId="3650758E">
                  <w:pPr>
                    <w:keepNext w:val="0"/>
                    <w:keepLines w:val="0"/>
                    <w:pageBreakBefore w:val="0"/>
                    <w:kinsoku/>
                    <w:wordWrap/>
                    <w:overflowPunct/>
                    <w:topLinePunct w:val="0"/>
                    <w:autoSpaceDE/>
                    <w:autoSpaceDN/>
                    <w:bidi w:val="0"/>
                    <w:snapToGrid/>
                    <w:spacing w:line="240" w:lineRule="auto"/>
                    <w:jc w:val="center"/>
                    <w:rPr>
                      <w:rFonts w:hint="default" w:cs="Times New Roman"/>
                      <w:color w:val="0000FF"/>
                      <w:sz w:val="21"/>
                      <w:szCs w:val="21"/>
                      <w:lang w:eastAsia="zh-CN"/>
                    </w:rPr>
                  </w:pPr>
                  <w:r>
                    <w:rPr>
                      <w:rFonts w:hint="eastAsia" w:cs="Times New Roman"/>
                      <w:color w:val="0000FF"/>
                      <w:sz w:val="21"/>
                      <w:szCs w:val="21"/>
                      <w:lang w:eastAsia="zh-CN"/>
                    </w:rPr>
                    <w:t>符合性</w:t>
                  </w:r>
                </w:p>
              </w:tc>
            </w:tr>
            <w:tr w14:paraId="7A14F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9" w:type="pct"/>
                  <w:vMerge w:val="restart"/>
                  <w:vAlign w:val="center"/>
                </w:tcPr>
                <w:p w14:paraId="78447E8B">
                  <w:pPr>
                    <w:keepNext w:val="0"/>
                    <w:keepLines w:val="0"/>
                    <w:pageBreakBefore w:val="0"/>
                    <w:kinsoku/>
                    <w:wordWrap/>
                    <w:overflowPunct/>
                    <w:topLinePunct w:val="0"/>
                    <w:autoSpaceDE/>
                    <w:autoSpaceDN/>
                    <w:bidi w:val="0"/>
                    <w:snapToGrid/>
                    <w:spacing w:line="240" w:lineRule="auto"/>
                    <w:jc w:val="center"/>
                    <w:rPr>
                      <w:rFonts w:hint="default" w:cs="Times New Roman"/>
                      <w:color w:val="0000FF"/>
                      <w:sz w:val="21"/>
                      <w:szCs w:val="21"/>
                      <w:lang w:val="en-US" w:eastAsia="zh-CN"/>
                    </w:rPr>
                  </w:pPr>
                  <w:r>
                    <w:rPr>
                      <w:rFonts w:hint="eastAsia" w:cs="Times New Roman"/>
                      <w:color w:val="0000FF"/>
                      <w:sz w:val="21"/>
                      <w:szCs w:val="21"/>
                      <w:lang w:val="en-US" w:eastAsia="zh-CN"/>
                    </w:rPr>
                    <w:t>4.1水泥窑</w:t>
                  </w:r>
                </w:p>
              </w:tc>
              <w:tc>
                <w:tcPr>
                  <w:tcW w:w="2666" w:type="pct"/>
                  <w:vAlign w:val="center"/>
                </w:tcPr>
                <w:p w14:paraId="47E6A773">
                  <w:pPr>
                    <w:keepNext w:val="0"/>
                    <w:keepLines w:val="0"/>
                    <w:pageBreakBefore w:val="0"/>
                    <w:kinsoku/>
                    <w:wordWrap/>
                    <w:overflowPunct/>
                    <w:topLinePunct w:val="0"/>
                    <w:autoSpaceDE/>
                    <w:autoSpaceDN/>
                    <w:bidi w:val="0"/>
                    <w:snapToGrid/>
                    <w:spacing w:line="240" w:lineRule="auto"/>
                    <w:jc w:val="both"/>
                    <w:rPr>
                      <w:rFonts w:hint="eastAsia" w:cs="Times New Roman"/>
                      <w:color w:val="0000FF"/>
                      <w:sz w:val="21"/>
                      <w:szCs w:val="21"/>
                      <w:lang w:eastAsia="zh-CN"/>
                    </w:rPr>
                  </w:pPr>
                  <w:r>
                    <w:rPr>
                      <w:rFonts w:hint="eastAsia" w:cs="Times New Roman"/>
                      <w:color w:val="0000FF"/>
                      <w:sz w:val="21"/>
                      <w:szCs w:val="21"/>
                      <w:lang w:eastAsia="zh-CN"/>
                    </w:rPr>
                    <w:t>4.1.1 满足以下条件的水泥窑可用于协同处置固体废物：</w:t>
                  </w:r>
                </w:p>
                <w:p w14:paraId="1EF40A7F">
                  <w:pPr>
                    <w:keepNext w:val="0"/>
                    <w:keepLines w:val="0"/>
                    <w:pageBreakBefore w:val="0"/>
                    <w:kinsoku/>
                    <w:wordWrap/>
                    <w:overflowPunct/>
                    <w:topLinePunct w:val="0"/>
                    <w:autoSpaceDE/>
                    <w:autoSpaceDN/>
                    <w:bidi w:val="0"/>
                    <w:snapToGrid/>
                    <w:spacing w:line="240" w:lineRule="auto"/>
                    <w:jc w:val="both"/>
                    <w:rPr>
                      <w:rFonts w:hint="eastAsia" w:cs="Times New Roman"/>
                      <w:color w:val="0000FF"/>
                      <w:sz w:val="21"/>
                      <w:szCs w:val="21"/>
                      <w:lang w:eastAsia="zh-CN"/>
                    </w:rPr>
                  </w:pPr>
                  <w:r>
                    <w:rPr>
                      <w:rFonts w:hint="eastAsia" w:cs="Times New Roman"/>
                      <w:color w:val="0000FF"/>
                      <w:sz w:val="21"/>
                      <w:szCs w:val="21"/>
                      <w:lang w:eastAsia="zh-CN"/>
                    </w:rPr>
                    <w:t>a）窑型为新型干法水泥窑。</w:t>
                  </w:r>
                </w:p>
                <w:p w14:paraId="332B44FC">
                  <w:pPr>
                    <w:keepNext w:val="0"/>
                    <w:keepLines w:val="0"/>
                    <w:pageBreakBefore w:val="0"/>
                    <w:kinsoku/>
                    <w:wordWrap/>
                    <w:overflowPunct/>
                    <w:topLinePunct w:val="0"/>
                    <w:autoSpaceDE/>
                    <w:autoSpaceDN/>
                    <w:bidi w:val="0"/>
                    <w:snapToGrid/>
                    <w:spacing w:line="240" w:lineRule="auto"/>
                    <w:jc w:val="both"/>
                    <w:rPr>
                      <w:rFonts w:hint="eastAsia" w:cs="Times New Roman"/>
                      <w:color w:val="0000FF"/>
                      <w:sz w:val="21"/>
                      <w:szCs w:val="21"/>
                      <w:lang w:eastAsia="zh-CN"/>
                    </w:rPr>
                  </w:pPr>
                  <w:r>
                    <w:rPr>
                      <w:rFonts w:hint="eastAsia" w:cs="Times New Roman"/>
                      <w:color w:val="0000FF"/>
                      <w:sz w:val="21"/>
                      <w:szCs w:val="21"/>
                      <w:lang w:eastAsia="zh-CN"/>
                    </w:rPr>
                    <w:t>b）单线设计熟料生产规模不小于2000吨/日。</w:t>
                  </w:r>
                </w:p>
                <w:p w14:paraId="6349AA16">
                  <w:pPr>
                    <w:keepNext w:val="0"/>
                    <w:keepLines w:val="0"/>
                    <w:pageBreakBefore w:val="0"/>
                    <w:kinsoku/>
                    <w:wordWrap/>
                    <w:overflowPunct/>
                    <w:topLinePunct w:val="0"/>
                    <w:autoSpaceDE/>
                    <w:autoSpaceDN/>
                    <w:bidi w:val="0"/>
                    <w:snapToGrid/>
                    <w:spacing w:line="240" w:lineRule="auto"/>
                    <w:jc w:val="both"/>
                    <w:rPr>
                      <w:rFonts w:hint="default" w:cs="Times New Roman"/>
                      <w:color w:val="0000FF"/>
                      <w:sz w:val="21"/>
                      <w:szCs w:val="21"/>
                      <w:lang w:eastAsia="zh-CN"/>
                    </w:rPr>
                  </w:pPr>
                  <w:r>
                    <w:rPr>
                      <w:rFonts w:hint="eastAsia" w:cs="Times New Roman"/>
                      <w:color w:val="0000FF"/>
                      <w:sz w:val="21"/>
                      <w:szCs w:val="21"/>
                      <w:lang w:eastAsia="zh-CN"/>
                    </w:rPr>
                    <w:t>c）对于改造利用原有设施协同处置固体废物的水泥窑，在改造之前原有设施应连续两年达到GB</w:t>
                  </w:r>
                  <w:r>
                    <w:rPr>
                      <w:rFonts w:hint="eastAsia" w:cs="Times New Roman"/>
                      <w:color w:val="0000FF"/>
                      <w:sz w:val="21"/>
                      <w:szCs w:val="21"/>
                      <w:lang w:val="en-US" w:eastAsia="zh-CN"/>
                    </w:rPr>
                    <w:t xml:space="preserve"> </w:t>
                  </w:r>
                  <w:r>
                    <w:rPr>
                      <w:rFonts w:hint="eastAsia" w:cs="Times New Roman"/>
                      <w:color w:val="0000FF"/>
                      <w:sz w:val="21"/>
                      <w:szCs w:val="21"/>
                      <w:lang w:eastAsia="zh-CN"/>
                    </w:rPr>
                    <w:t>4915的要求。</w:t>
                  </w:r>
                </w:p>
              </w:tc>
              <w:tc>
                <w:tcPr>
                  <w:tcW w:w="1485" w:type="pct"/>
                  <w:vAlign w:val="center"/>
                </w:tcPr>
                <w:p w14:paraId="59E04AB3">
                  <w:pPr>
                    <w:keepNext w:val="0"/>
                    <w:keepLines w:val="0"/>
                    <w:pageBreakBefore w:val="0"/>
                    <w:kinsoku/>
                    <w:wordWrap/>
                    <w:overflowPunct/>
                    <w:topLinePunct w:val="0"/>
                    <w:autoSpaceDE/>
                    <w:autoSpaceDN/>
                    <w:bidi w:val="0"/>
                    <w:snapToGrid/>
                    <w:spacing w:line="240" w:lineRule="auto"/>
                    <w:jc w:val="both"/>
                    <w:rPr>
                      <w:rFonts w:hint="default" w:cs="Times New Roman"/>
                      <w:color w:val="0000FF"/>
                      <w:sz w:val="21"/>
                      <w:szCs w:val="21"/>
                      <w:lang w:eastAsia="zh-CN"/>
                    </w:rPr>
                  </w:pPr>
                  <w:r>
                    <w:rPr>
                      <w:rFonts w:hint="eastAsia" w:cs="Times New Roman"/>
                      <w:color w:val="0000FF"/>
                      <w:sz w:val="21"/>
                      <w:szCs w:val="21"/>
                      <w:lang w:eastAsia="zh-CN"/>
                    </w:rPr>
                    <w:t>本项目建设依托淮北众城水泥有限责任公司原有5000t/d新型干法预分解窑水泥熟料生产线协同处置一般固废；根据建设单位提供的在线监测数据资料，水泥窑废气可达到《水泥工业大气污染物排放标准》（GB 4915-2013）相关要求</w:t>
                  </w:r>
                </w:p>
              </w:tc>
              <w:tc>
                <w:tcPr>
                  <w:tcW w:w="498" w:type="pct"/>
                  <w:vAlign w:val="center"/>
                </w:tcPr>
                <w:p w14:paraId="6C444FF4">
                  <w:pPr>
                    <w:keepNext w:val="0"/>
                    <w:keepLines w:val="0"/>
                    <w:pageBreakBefore w:val="0"/>
                    <w:kinsoku/>
                    <w:wordWrap/>
                    <w:overflowPunct/>
                    <w:topLinePunct w:val="0"/>
                    <w:autoSpaceDE/>
                    <w:autoSpaceDN/>
                    <w:bidi w:val="0"/>
                    <w:snapToGrid/>
                    <w:spacing w:line="240" w:lineRule="auto"/>
                    <w:jc w:val="center"/>
                    <w:rPr>
                      <w:rFonts w:hint="default" w:cs="Times New Roman"/>
                      <w:color w:val="0000FF"/>
                      <w:sz w:val="21"/>
                      <w:szCs w:val="21"/>
                      <w:lang w:eastAsia="zh-CN"/>
                    </w:rPr>
                  </w:pPr>
                  <w:r>
                    <w:rPr>
                      <w:rFonts w:hint="eastAsia" w:cs="Times New Roman"/>
                      <w:color w:val="0000FF"/>
                      <w:sz w:val="21"/>
                      <w:szCs w:val="21"/>
                      <w:lang w:eastAsia="zh-CN"/>
                    </w:rPr>
                    <w:t>符合</w:t>
                  </w:r>
                </w:p>
              </w:tc>
            </w:tr>
            <w:tr w14:paraId="7B7F4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9" w:type="pct"/>
                  <w:vMerge w:val="continue"/>
                  <w:vAlign w:val="center"/>
                </w:tcPr>
                <w:p w14:paraId="7305A79A">
                  <w:pPr>
                    <w:keepNext w:val="0"/>
                    <w:keepLines w:val="0"/>
                    <w:pageBreakBefore w:val="0"/>
                    <w:kinsoku/>
                    <w:wordWrap/>
                    <w:overflowPunct/>
                    <w:topLinePunct w:val="0"/>
                    <w:autoSpaceDE/>
                    <w:autoSpaceDN/>
                    <w:bidi w:val="0"/>
                    <w:snapToGrid/>
                    <w:spacing w:line="240" w:lineRule="auto"/>
                    <w:jc w:val="center"/>
                    <w:rPr>
                      <w:rFonts w:hint="default" w:cs="Times New Roman"/>
                      <w:color w:val="0000FF"/>
                      <w:sz w:val="21"/>
                      <w:szCs w:val="21"/>
                      <w:lang w:eastAsia="zh-CN"/>
                    </w:rPr>
                  </w:pPr>
                </w:p>
              </w:tc>
              <w:tc>
                <w:tcPr>
                  <w:tcW w:w="2666" w:type="pct"/>
                  <w:vAlign w:val="center"/>
                </w:tcPr>
                <w:p w14:paraId="43970008">
                  <w:pPr>
                    <w:keepNext w:val="0"/>
                    <w:keepLines w:val="0"/>
                    <w:pageBreakBefore w:val="0"/>
                    <w:kinsoku/>
                    <w:wordWrap/>
                    <w:overflowPunct/>
                    <w:topLinePunct w:val="0"/>
                    <w:autoSpaceDE/>
                    <w:autoSpaceDN/>
                    <w:bidi w:val="0"/>
                    <w:snapToGrid/>
                    <w:spacing w:line="240" w:lineRule="auto"/>
                    <w:jc w:val="both"/>
                    <w:rPr>
                      <w:rFonts w:hint="eastAsia" w:cs="Times New Roman"/>
                      <w:color w:val="0000FF"/>
                      <w:sz w:val="21"/>
                      <w:szCs w:val="21"/>
                      <w:lang w:eastAsia="zh-CN"/>
                    </w:rPr>
                  </w:pPr>
                  <w:r>
                    <w:rPr>
                      <w:rFonts w:hint="eastAsia" w:cs="Times New Roman"/>
                      <w:color w:val="0000FF"/>
                      <w:sz w:val="21"/>
                      <w:szCs w:val="21"/>
                      <w:lang w:eastAsia="zh-CN"/>
                    </w:rPr>
                    <w:t>4.1.2 用于协同处置固体废物的水泥窑应具备以下功能：</w:t>
                  </w:r>
                </w:p>
                <w:p w14:paraId="1BF0EFF9">
                  <w:pPr>
                    <w:keepNext w:val="0"/>
                    <w:keepLines w:val="0"/>
                    <w:pageBreakBefore w:val="0"/>
                    <w:kinsoku/>
                    <w:wordWrap/>
                    <w:overflowPunct/>
                    <w:topLinePunct w:val="0"/>
                    <w:autoSpaceDE/>
                    <w:autoSpaceDN/>
                    <w:bidi w:val="0"/>
                    <w:snapToGrid/>
                    <w:spacing w:line="240" w:lineRule="auto"/>
                    <w:jc w:val="both"/>
                    <w:rPr>
                      <w:rFonts w:hint="eastAsia" w:cs="Times New Roman"/>
                      <w:color w:val="0000FF"/>
                      <w:sz w:val="21"/>
                      <w:szCs w:val="21"/>
                      <w:lang w:eastAsia="zh-CN"/>
                    </w:rPr>
                  </w:pPr>
                  <w:r>
                    <w:rPr>
                      <w:rFonts w:hint="eastAsia" w:cs="Times New Roman"/>
                      <w:color w:val="0000FF"/>
                      <w:sz w:val="21"/>
                      <w:szCs w:val="21"/>
                      <w:lang w:eastAsia="zh-CN"/>
                    </w:rPr>
                    <w:t>a）采用窑磨一体机模式。</w:t>
                  </w:r>
                </w:p>
                <w:p w14:paraId="42986FF8">
                  <w:pPr>
                    <w:keepNext w:val="0"/>
                    <w:keepLines w:val="0"/>
                    <w:pageBreakBefore w:val="0"/>
                    <w:kinsoku/>
                    <w:wordWrap/>
                    <w:overflowPunct/>
                    <w:topLinePunct w:val="0"/>
                    <w:autoSpaceDE/>
                    <w:autoSpaceDN/>
                    <w:bidi w:val="0"/>
                    <w:snapToGrid/>
                    <w:spacing w:line="240" w:lineRule="auto"/>
                    <w:jc w:val="both"/>
                    <w:rPr>
                      <w:rFonts w:hint="eastAsia" w:cs="Times New Roman"/>
                      <w:color w:val="0000FF"/>
                      <w:sz w:val="21"/>
                      <w:szCs w:val="21"/>
                      <w:lang w:eastAsia="zh-CN"/>
                    </w:rPr>
                  </w:pPr>
                  <w:r>
                    <w:rPr>
                      <w:rFonts w:hint="eastAsia" w:cs="Times New Roman"/>
                      <w:color w:val="0000FF"/>
                      <w:sz w:val="21"/>
                      <w:szCs w:val="21"/>
                      <w:lang w:eastAsia="zh-CN"/>
                    </w:rPr>
                    <w:t>b）配备在线监测设备，保证运行工况的稳定：包括窑头烟气温度、压力；窑表面温度；窑尾烟气温度、压力、O</w:t>
                  </w:r>
                  <w:r>
                    <w:rPr>
                      <w:rFonts w:hint="eastAsia" w:cs="Times New Roman"/>
                      <w:color w:val="0000FF"/>
                      <w:sz w:val="21"/>
                      <w:szCs w:val="21"/>
                      <w:vertAlign w:val="subscript"/>
                      <w:lang w:eastAsia="zh-CN"/>
                    </w:rPr>
                    <w:t>2</w:t>
                  </w:r>
                  <w:r>
                    <w:rPr>
                      <w:rFonts w:hint="eastAsia" w:cs="Times New Roman"/>
                      <w:color w:val="0000FF"/>
                      <w:sz w:val="21"/>
                      <w:szCs w:val="21"/>
                      <w:lang w:eastAsia="zh-CN"/>
                    </w:rPr>
                    <w:t>浓度；分解炉或最低一级旋风筒出口烟气温度、压力、O</w:t>
                  </w:r>
                  <w:r>
                    <w:rPr>
                      <w:rFonts w:hint="eastAsia" w:cs="Times New Roman"/>
                      <w:color w:val="0000FF"/>
                      <w:sz w:val="21"/>
                      <w:szCs w:val="21"/>
                      <w:vertAlign w:val="subscript"/>
                      <w:lang w:eastAsia="zh-CN"/>
                    </w:rPr>
                    <w:t>2</w:t>
                  </w:r>
                  <w:r>
                    <w:rPr>
                      <w:rFonts w:hint="eastAsia" w:cs="Times New Roman"/>
                      <w:color w:val="0000FF"/>
                      <w:sz w:val="21"/>
                      <w:szCs w:val="21"/>
                      <w:lang w:eastAsia="zh-CN"/>
                    </w:rPr>
                    <w:t>浓度；顶级旋风筒出口烟气温度、压力、O</w:t>
                  </w:r>
                  <w:r>
                    <w:rPr>
                      <w:rFonts w:hint="eastAsia" w:cs="Times New Roman"/>
                      <w:color w:val="0000FF"/>
                      <w:sz w:val="21"/>
                      <w:szCs w:val="21"/>
                      <w:vertAlign w:val="subscript"/>
                      <w:lang w:eastAsia="zh-CN"/>
                    </w:rPr>
                    <w:t>2</w:t>
                  </w:r>
                  <w:r>
                    <w:rPr>
                      <w:rFonts w:hint="eastAsia" w:cs="Times New Roman"/>
                      <w:color w:val="0000FF"/>
                      <w:sz w:val="21"/>
                      <w:szCs w:val="21"/>
                      <w:lang w:eastAsia="zh-CN"/>
                    </w:rPr>
                    <w:t>、CO浓度。</w:t>
                  </w:r>
                </w:p>
                <w:p w14:paraId="465EF026">
                  <w:pPr>
                    <w:keepNext w:val="0"/>
                    <w:keepLines w:val="0"/>
                    <w:pageBreakBefore w:val="0"/>
                    <w:kinsoku/>
                    <w:wordWrap/>
                    <w:overflowPunct/>
                    <w:topLinePunct w:val="0"/>
                    <w:autoSpaceDE/>
                    <w:autoSpaceDN/>
                    <w:bidi w:val="0"/>
                    <w:snapToGrid/>
                    <w:spacing w:line="240" w:lineRule="auto"/>
                    <w:jc w:val="both"/>
                    <w:rPr>
                      <w:rFonts w:hint="eastAsia" w:cs="Times New Roman"/>
                      <w:color w:val="0000FF"/>
                      <w:sz w:val="21"/>
                      <w:szCs w:val="21"/>
                      <w:lang w:eastAsia="zh-CN"/>
                    </w:rPr>
                  </w:pPr>
                  <w:r>
                    <w:rPr>
                      <w:rFonts w:hint="eastAsia" w:cs="Times New Roman"/>
                      <w:color w:val="0000FF"/>
                      <w:sz w:val="21"/>
                      <w:szCs w:val="21"/>
                      <w:lang w:eastAsia="zh-CN"/>
                    </w:rPr>
                    <w:t>c）水泥窑及窑尾余热利用系统采用高效布袋除尘器作为烟气除尘设施，保证排放烟气中颗粒物浓度满足GB 30485的要求。水泥窑及窑尾余热利用系统排气筒配备粉尘、NOx、SO</w:t>
                  </w:r>
                  <w:r>
                    <w:rPr>
                      <w:rFonts w:hint="eastAsia" w:cs="Times New Roman"/>
                      <w:color w:val="0000FF"/>
                      <w:sz w:val="21"/>
                      <w:szCs w:val="21"/>
                      <w:vertAlign w:val="subscript"/>
                      <w:lang w:eastAsia="zh-CN"/>
                    </w:rPr>
                    <w:t>2</w:t>
                  </w:r>
                  <w:r>
                    <w:rPr>
                      <w:rFonts w:hint="eastAsia" w:cs="Times New Roman"/>
                      <w:color w:val="0000FF"/>
                      <w:sz w:val="21"/>
                      <w:szCs w:val="21"/>
                      <w:lang w:eastAsia="zh-CN"/>
                    </w:rPr>
                    <w:t>浓度在线监测设备，连续监测装置需满足HJ/T</w:t>
                  </w:r>
                  <w:r>
                    <w:rPr>
                      <w:rFonts w:hint="eastAsia" w:cs="Times New Roman"/>
                      <w:color w:val="0000FF"/>
                      <w:sz w:val="21"/>
                      <w:szCs w:val="21"/>
                      <w:lang w:val="en-US" w:eastAsia="zh-CN"/>
                    </w:rPr>
                    <w:t xml:space="preserve"> </w:t>
                  </w:r>
                  <w:r>
                    <w:rPr>
                      <w:rFonts w:hint="eastAsia" w:cs="Times New Roman"/>
                      <w:color w:val="0000FF"/>
                      <w:sz w:val="21"/>
                      <w:szCs w:val="21"/>
                      <w:lang w:eastAsia="zh-CN"/>
                    </w:rPr>
                    <w:t>76的要求，并与当地监控中心联网，保证污染物排放达标。</w:t>
                  </w:r>
                </w:p>
                <w:p w14:paraId="3A8AB96E">
                  <w:pPr>
                    <w:keepNext w:val="0"/>
                    <w:keepLines w:val="0"/>
                    <w:pageBreakBefore w:val="0"/>
                    <w:kinsoku/>
                    <w:wordWrap/>
                    <w:overflowPunct/>
                    <w:topLinePunct w:val="0"/>
                    <w:autoSpaceDE/>
                    <w:autoSpaceDN/>
                    <w:bidi w:val="0"/>
                    <w:snapToGrid/>
                    <w:spacing w:line="240" w:lineRule="auto"/>
                    <w:jc w:val="both"/>
                    <w:rPr>
                      <w:rFonts w:hint="eastAsia" w:cs="Times New Roman"/>
                      <w:color w:val="0000FF"/>
                      <w:sz w:val="21"/>
                      <w:szCs w:val="21"/>
                      <w:lang w:eastAsia="zh-CN"/>
                    </w:rPr>
                  </w:pPr>
                  <w:r>
                    <w:rPr>
                      <w:rFonts w:hint="eastAsia" w:cs="Times New Roman"/>
                      <w:color w:val="0000FF"/>
                      <w:sz w:val="21"/>
                      <w:szCs w:val="21"/>
                      <w:lang w:eastAsia="zh-CN"/>
                    </w:rPr>
                    <w:t>d）配备窑灰返窑装置，将除尘器等烟气处理装置收集的窑灰返回送往生料入窑系统。</w:t>
                  </w:r>
                </w:p>
              </w:tc>
              <w:tc>
                <w:tcPr>
                  <w:tcW w:w="1485" w:type="pct"/>
                  <w:vAlign w:val="center"/>
                </w:tcPr>
                <w:p w14:paraId="68C82033">
                  <w:pPr>
                    <w:keepNext w:val="0"/>
                    <w:keepLines w:val="0"/>
                    <w:pageBreakBefore w:val="0"/>
                    <w:kinsoku/>
                    <w:wordWrap/>
                    <w:overflowPunct/>
                    <w:topLinePunct w:val="0"/>
                    <w:autoSpaceDE/>
                    <w:autoSpaceDN/>
                    <w:bidi w:val="0"/>
                    <w:snapToGrid/>
                    <w:spacing w:line="240" w:lineRule="auto"/>
                    <w:jc w:val="both"/>
                    <w:rPr>
                      <w:rFonts w:hint="eastAsia" w:cs="Times New Roman"/>
                      <w:color w:val="0000FF"/>
                      <w:sz w:val="21"/>
                      <w:szCs w:val="21"/>
                      <w:lang w:eastAsia="zh-CN"/>
                    </w:rPr>
                  </w:pPr>
                  <w:r>
                    <w:rPr>
                      <w:rFonts w:hint="eastAsia" w:cs="Times New Roman"/>
                      <w:color w:val="0000FF"/>
                      <w:sz w:val="21"/>
                      <w:szCs w:val="21"/>
                      <w:lang w:eastAsia="zh-CN"/>
                    </w:rPr>
                    <w:t>本项目采用窑磨一体机；配备在线监测设备，连续监测装置满足</w:t>
                  </w:r>
                  <w:r>
                    <w:rPr>
                      <w:rFonts w:hint="eastAsia" w:cs="Times New Roman"/>
                      <w:color w:val="0000FF"/>
                      <w:sz w:val="21"/>
                      <w:szCs w:val="21"/>
                      <w:lang w:val="en-US" w:eastAsia="zh-CN"/>
                    </w:rPr>
                    <w:t>要求，</w:t>
                  </w:r>
                  <w:r>
                    <w:rPr>
                      <w:rFonts w:hint="eastAsia" w:cs="Times New Roman"/>
                      <w:color w:val="0000FF"/>
                      <w:sz w:val="21"/>
                      <w:szCs w:val="21"/>
                      <w:lang w:eastAsia="zh-CN"/>
                    </w:rPr>
                    <w:t>且与监控中心联网；水泥窑及窑尾余热利用系统采用高效布袋除尘器作为烟气除尘设施，保证排放烟气中颗粒物浓度满足《水泥窑协同处置固体废物污染控制标准》（GB 30485-2013）的要求；配备窑灰返窑装置，将除尘器等烟气处理装置收集的窑灰返回送往生料入窑系统</w:t>
                  </w:r>
                </w:p>
              </w:tc>
              <w:tc>
                <w:tcPr>
                  <w:tcW w:w="498" w:type="pct"/>
                  <w:vAlign w:val="center"/>
                </w:tcPr>
                <w:p w14:paraId="3DCA535C">
                  <w:pPr>
                    <w:keepNext w:val="0"/>
                    <w:keepLines w:val="0"/>
                    <w:pageBreakBefore w:val="0"/>
                    <w:kinsoku/>
                    <w:wordWrap/>
                    <w:overflowPunct/>
                    <w:topLinePunct w:val="0"/>
                    <w:autoSpaceDE/>
                    <w:autoSpaceDN/>
                    <w:bidi w:val="0"/>
                    <w:snapToGrid/>
                    <w:spacing w:line="240" w:lineRule="auto"/>
                    <w:jc w:val="center"/>
                    <w:rPr>
                      <w:rFonts w:hint="default" w:cs="Times New Roman"/>
                      <w:color w:val="0000FF"/>
                      <w:sz w:val="21"/>
                      <w:szCs w:val="21"/>
                      <w:lang w:eastAsia="zh-CN"/>
                    </w:rPr>
                  </w:pPr>
                  <w:r>
                    <w:rPr>
                      <w:rFonts w:hint="eastAsia" w:cs="Times New Roman"/>
                      <w:color w:val="0000FF"/>
                      <w:sz w:val="21"/>
                      <w:szCs w:val="21"/>
                      <w:lang w:eastAsia="zh-CN"/>
                    </w:rPr>
                    <w:t>符合</w:t>
                  </w:r>
                </w:p>
              </w:tc>
            </w:tr>
            <w:tr w14:paraId="59606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9" w:type="pct"/>
                  <w:vMerge w:val="continue"/>
                  <w:vAlign w:val="center"/>
                </w:tcPr>
                <w:p w14:paraId="60ED79BF">
                  <w:pPr>
                    <w:keepNext w:val="0"/>
                    <w:keepLines w:val="0"/>
                    <w:pageBreakBefore w:val="0"/>
                    <w:kinsoku/>
                    <w:wordWrap/>
                    <w:overflowPunct/>
                    <w:topLinePunct w:val="0"/>
                    <w:autoSpaceDE/>
                    <w:autoSpaceDN/>
                    <w:bidi w:val="0"/>
                    <w:snapToGrid/>
                    <w:spacing w:line="240" w:lineRule="auto"/>
                    <w:jc w:val="center"/>
                    <w:rPr>
                      <w:rFonts w:hint="default" w:cs="Times New Roman"/>
                      <w:color w:val="0000FF"/>
                      <w:sz w:val="21"/>
                      <w:szCs w:val="21"/>
                      <w:lang w:eastAsia="zh-CN"/>
                    </w:rPr>
                  </w:pPr>
                </w:p>
              </w:tc>
              <w:tc>
                <w:tcPr>
                  <w:tcW w:w="2666" w:type="pct"/>
                  <w:vAlign w:val="center"/>
                </w:tcPr>
                <w:p w14:paraId="5CC5723B">
                  <w:pPr>
                    <w:keepNext w:val="0"/>
                    <w:keepLines w:val="0"/>
                    <w:pageBreakBefore w:val="0"/>
                    <w:kinsoku/>
                    <w:wordWrap/>
                    <w:overflowPunct/>
                    <w:topLinePunct w:val="0"/>
                    <w:autoSpaceDE/>
                    <w:autoSpaceDN/>
                    <w:bidi w:val="0"/>
                    <w:snapToGrid/>
                    <w:spacing w:line="240" w:lineRule="auto"/>
                    <w:jc w:val="both"/>
                    <w:rPr>
                      <w:rFonts w:hint="eastAsia" w:cs="Times New Roman"/>
                      <w:color w:val="0000FF"/>
                      <w:sz w:val="21"/>
                      <w:szCs w:val="21"/>
                      <w:lang w:eastAsia="zh-CN"/>
                    </w:rPr>
                  </w:pPr>
                  <w:r>
                    <w:rPr>
                      <w:rFonts w:hint="eastAsia" w:cs="Times New Roman"/>
                      <w:color w:val="0000FF"/>
                      <w:sz w:val="21"/>
                      <w:szCs w:val="21"/>
                      <w:lang w:eastAsia="zh-CN"/>
                    </w:rPr>
                    <w:t>4.1.3 用于协同处置固体废物的水泥生产设施所在位置应该满足以下条件：</w:t>
                  </w:r>
                </w:p>
                <w:p w14:paraId="5DC6DA80">
                  <w:pPr>
                    <w:keepNext w:val="0"/>
                    <w:keepLines w:val="0"/>
                    <w:pageBreakBefore w:val="0"/>
                    <w:kinsoku/>
                    <w:wordWrap/>
                    <w:overflowPunct/>
                    <w:topLinePunct w:val="0"/>
                    <w:autoSpaceDE/>
                    <w:autoSpaceDN/>
                    <w:bidi w:val="0"/>
                    <w:snapToGrid/>
                    <w:spacing w:line="240" w:lineRule="auto"/>
                    <w:jc w:val="both"/>
                    <w:rPr>
                      <w:rFonts w:hint="eastAsia" w:cs="Times New Roman"/>
                      <w:color w:val="0000FF"/>
                      <w:sz w:val="21"/>
                      <w:szCs w:val="21"/>
                      <w:lang w:eastAsia="zh-CN"/>
                    </w:rPr>
                  </w:pPr>
                  <w:r>
                    <w:rPr>
                      <w:rFonts w:hint="eastAsia" w:cs="Times New Roman"/>
                      <w:color w:val="0000FF"/>
                      <w:sz w:val="21"/>
                      <w:szCs w:val="21"/>
                      <w:lang w:eastAsia="zh-CN"/>
                    </w:rPr>
                    <w:t>a）符合城市总体发展规划、城市工业发展规划要求。</w:t>
                  </w:r>
                </w:p>
                <w:p w14:paraId="03C89890">
                  <w:pPr>
                    <w:keepNext w:val="0"/>
                    <w:keepLines w:val="0"/>
                    <w:pageBreakBefore w:val="0"/>
                    <w:kinsoku/>
                    <w:wordWrap/>
                    <w:overflowPunct/>
                    <w:topLinePunct w:val="0"/>
                    <w:autoSpaceDE/>
                    <w:autoSpaceDN/>
                    <w:bidi w:val="0"/>
                    <w:snapToGrid/>
                    <w:spacing w:line="240" w:lineRule="auto"/>
                    <w:jc w:val="both"/>
                    <w:rPr>
                      <w:rFonts w:hint="eastAsia" w:cs="Times New Roman"/>
                      <w:color w:val="0000FF"/>
                      <w:sz w:val="21"/>
                      <w:szCs w:val="21"/>
                      <w:lang w:eastAsia="zh-CN"/>
                    </w:rPr>
                  </w:pPr>
                  <w:r>
                    <w:rPr>
                      <w:rFonts w:hint="eastAsia" w:cs="Times New Roman"/>
                      <w:color w:val="0000FF"/>
                      <w:sz w:val="21"/>
                      <w:szCs w:val="21"/>
                      <w:lang w:eastAsia="zh-CN"/>
                    </w:rPr>
                    <w:t>b）所在区域无洪水、潮水或内涝威胁。设施所在标高应位于重现期不小于100年一遇的洪水位之上，并建设在现有和各类规划中的水库等人工蓄水设施的淹没区和保护区之外。</w:t>
                  </w:r>
                </w:p>
                <w:p w14:paraId="20D58C72">
                  <w:pPr>
                    <w:keepNext w:val="0"/>
                    <w:keepLines w:val="0"/>
                    <w:pageBreakBefore w:val="0"/>
                    <w:kinsoku/>
                    <w:wordWrap/>
                    <w:overflowPunct/>
                    <w:topLinePunct w:val="0"/>
                    <w:autoSpaceDE/>
                    <w:autoSpaceDN/>
                    <w:bidi w:val="0"/>
                    <w:snapToGrid/>
                    <w:spacing w:line="240" w:lineRule="auto"/>
                    <w:jc w:val="both"/>
                    <w:rPr>
                      <w:rFonts w:hint="eastAsia" w:cs="Times New Roman"/>
                      <w:color w:val="0000FF"/>
                      <w:sz w:val="21"/>
                      <w:szCs w:val="21"/>
                      <w:lang w:eastAsia="zh-CN"/>
                    </w:rPr>
                  </w:pPr>
                  <w:r>
                    <w:rPr>
                      <w:rFonts w:hint="eastAsia" w:cs="Times New Roman"/>
                      <w:color w:val="0000FF"/>
                      <w:sz w:val="21"/>
                      <w:szCs w:val="21"/>
                      <w:lang w:eastAsia="zh-CN"/>
                    </w:rPr>
                    <w:t>c）协同处置危险废物的设施，经当地环境保护行政主管部门批准的环境影响评价结论确认与居民区、商业区、学校、医院等环境敏感区的距离满足环境保护的需要。</w:t>
                  </w:r>
                </w:p>
                <w:p w14:paraId="31E86365">
                  <w:pPr>
                    <w:keepNext w:val="0"/>
                    <w:keepLines w:val="0"/>
                    <w:pageBreakBefore w:val="0"/>
                    <w:kinsoku/>
                    <w:wordWrap/>
                    <w:overflowPunct/>
                    <w:topLinePunct w:val="0"/>
                    <w:autoSpaceDE/>
                    <w:autoSpaceDN/>
                    <w:bidi w:val="0"/>
                    <w:snapToGrid/>
                    <w:spacing w:line="240" w:lineRule="auto"/>
                    <w:jc w:val="both"/>
                    <w:rPr>
                      <w:rFonts w:hint="default" w:cs="Times New Roman"/>
                      <w:color w:val="0000FF"/>
                      <w:sz w:val="21"/>
                      <w:szCs w:val="21"/>
                      <w:lang w:val="en-US" w:eastAsia="zh-CN"/>
                    </w:rPr>
                  </w:pPr>
                  <w:r>
                    <w:rPr>
                      <w:rFonts w:hint="eastAsia" w:cs="Times New Roman"/>
                      <w:color w:val="0000FF"/>
                      <w:sz w:val="21"/>
                      <w:szCs w:val="21"/>
                      <w:lang w:eastAsia="zh-CN"/>
                    </w:rPr>
                    <w:t>d）协同处置危险废物的，其运输路线应不经过居民区、商业区、学校、医院等环境敏感区。</w:t>
                  </w:r>
                </w:p>
              </w:tc>
              <w:tc>
                <w:tcPr>
                  <w:tcW w:w="1485" w:type="pct"/>
                  <w:vAlign w:val="center"/>
                </w:tcPr>
                <w:p w14:paraId="420D52EF">
                  <w:pPr>
                    <w:keepNext w:val="0"/>
                    <w:keepLines w:val="0"/>
                    <w:pageBreakBefore w:val="0"/>
                    <w:kinsoku/>
                    <w:wordWrap/>
                    <w:overflowPunct/>
                    <w:topLinePunct w:val="0"/>
                    <w:autoSpaceDE/>
                    <w:autoSpaceDN/>
                    <w:bidi w:val="0"/>
                    <w:snapToGrid/>
                    <w:spacing w:line="240" w:lineRule="auto"/>
                    <w:jc w:val="both"/>
                    <w:rPr>
                      <w:rFonts w:hint="eastAsia" w:cs="Times New Roman"/>
                      <w:color w:val="0000FF"/>
                      <w:sz w:val="21"/>
                      <w:szCs w:val="21"/>
                      <w:lang w:eastAsia="zh-CN"/>
                    </w:rPr>
                  </w:pPr>
                  <w:r>
                    <w:rPr>
                      <w:rFonts w:hint="eastAsia" w:cs="Times New Roman"/>
                      <w:color w:val="0000FF"/>
                      <w:sz w:val="21"/>
                      <w:szCs w:val="21"/>
                      <w:lang w:eastAsia="zh-CN"/>
                    </w:rPr>
                    <w:t>本项目水泥生产设施所在位置符合城市总体发展规划、城市工业发展规划要求；所在区域无洪水或内涝威胁；周边无敏感点；不涉及危废的处置</w:t>
                  </w:r>
                </w:p>
              </w:tc>
              <w:tc>
                <w:tcPr>
                  <w:tcW w:w="498" w:type="pct"/>
                  <w:vAlign w:val="center"/>
                </w:tcPr>
                <w:p w14:paraId="182BF7AF">
                  <w:pPr>
                    <w:keepNext w:val="0"/>
                    <w:keepLines w:val="0"/>
                    <w:pageBreakBefore w:val="0"/>
                    <w:kinsoku/>
                    <w:wordWrap/>
                    <w:overflowPunct/>
                    <w:topLinePunct w:val="0"/>
                    <w:autoSpaceDE/>
                    <w:autoSpaceDN/>
                    <w:bidi w:val="0"/>
                    <w:snapToGrid/>
                    <w:spacing w:line="240" w:lineRule="auto"/>
                    <w:jc w:val="center"/>
                    <w:rPr>
                      <w:rFonts w:hint="default" w:cs="Times New Roman"/>
                      <w:color w:val="0000FF"/>
                      <w:sz w:val="21"/>
                      <w:szCs w:val="21"/>
                      <w:lang w:eastAsia="zh-CN"/>
                    </w:rPr>
                  </w:pPr>
                  <w:r>
                    <w:rPr>
                      <w:rFonts w:hint="eastAsia" w:cs="Times New Roman"/>
                      <w:color w:val="0000FF"/>
                      <w:sz w:val="21"/>
                      <w:szCs w:val="21"/>
                      <w:lang w:eastAsia="zh-CN"/>
                    </w:rPr>
                    <w:t>符合</w:t>
                  </w:r>
                </w:p>
              </w:tc>
            </w:tr>
          </w:tbl>
          <w:p w14:paraId="5780C931">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3、现有厂区内建有一间原煤堆棚（堆棚尺寸：54m*15m*9m），地面已做好硬化，并且防风防雨；替代燃料暂存库依托现有原煤堆棚进行改造，在现有原煤堆棚内隔出一间用于替代燃料暂存，能够满足替代燃料暂存的要求。公司计划处置废纺时不使用木屑，故二者暂存于一间房间不冲突。此房间最大暂存量350t/d，公司每天处置替代燃料300t，可满足生产要求。现有原煤堆棚储存量满足本次扩建项目需要，依托可行。</w:t>
            </w:r>
          </w:p>
          <w:p w14:paraId="65EC97EA">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4、</w:t>
            </w:r>
            <w:r>
              <w:rPr>
                <w:rFonts w:hint="default" w:cs="Times New Roman"/>
                <w:b w:val="0"/>
                <w:bCs w:val="0"/>
                <w:color w:val="0000FF"/>
                <w:kern w:val="2"/>
                <w:sz w:val="24"/>
                <w:szCs w:val="24"/>
                <w:lang w:val="en-US" w:eastAsia="zh-CN" w:bidi="ar-SA"/>
              </w:rPr>
              <w:t>本次拟处置的</w:t>
            </w:r>
            <w:r>
              <w:rPr>
                <w:rFonts w:hint="eastAsia" w:cs="Times New Roman"/>
                <w:b w:val="0"/>
                <w:bCs w:val="0"/>
                <w:color w:val="0000FF"/>
                <w:kern w:val="2"/>
                <w:sz w:val="24"/>
                <w:szCs w:val="24"/>
                <w:lang w:val="en-US" w:eastAsia="zh-CN" w:bidi="ar-SA"/>
              </w:rPr>
              <w:t>一般固废</w:t>
            </w:r>
            <w:r>
              <w:rPr>
                <w:rFonts w:hint="default" w:cs="Times New Roman"/>
                <w:b w:val="0"/>
                <w:bCs w:val="0"/>
                <w:color w:val="0000FF"/>
                <w:kern w:val="2"/>
                <w:sz w:val="24"/>
                <w:szCs w:val="24"/>
                <w:lang w:val="en-US" w:eastAsia="zh-CN" w:bidi="ar-SA"/>
              </w:rPr>
              <w:t>主要用途为替代燃料，不改变原生料配比</w:t>
            </w:r>
            <w:r>
              <w:rPr>
                <w:rFonts w:hint="eastAsia" w:cs="Times New Roman"/>
                <w:b w:val="0"/>
                <w:bCs w:val="0"/>
                <w:color w:val="0000FF"/>
                <w:kern w:val="2"/>
                <w:sz w:val="24"/>
                <w:szCs w:val="24"/>
                <w:lang w:val="en-US" w:eastAsia="zh-CN" w:bidi="ar-SA"/>
              </w:rPr>
              <w:t>和</w:t>
            </w:r>
            <w:r>
              <w:rPr>
                <w:rFonts w:hint="default" w:cs="Times New Roman"/>
                <w:b w:val="0"/>
                <w:bCs w:val="0"/>
                <w:color w:val="0000FF"/>
                <w:kern w:val="2"/>
                <w:sz w:val="24"/>
                <w:szCs w:val="24"/>
                <w:lang w:val="en-US" w:eastAsia="zh-CN" w:bidi="ar-SA"/>
              </w:rPr>
              <w:t>用量，确保了水泥熟料生产线的稳定性和产品质量。水泥熟料生产线原料主要以石灰石、石英砂岩、铁尾矿和粉煤灰按一定配比混合均匀，水泥生料主要含有CaO、SiO</w:t>
            </w:r>
            <w:r>
              <w:rPr>
                <w:rFonts w:hint="default" w:cs="Times New Roman"/>
                <w:b w:val="0"/>
                <w:bCs w:val="0"/>
                <w:color w:val="0000FF"/>
                <w:kern w:val="2"/>
                <w:sz w:val="24"/>
                <w:szCs w:val="24"/>
                <w:vertAlign w:val="subscript"/>
                <w:lang w:val="en-US" w:eastAsia="zh-CN" w:bidi="ar-SA"/>
              </w:rPr>
              <w:t>2</w:t>
            </w:r>
            <w:r>
              <w:rPr>
                <w:rFonts w:hint="default" w:cs="Times New Roman"/>
                <w:b w:val="0"/>
                <w:bCs w:val="0"/>
                <w:color w:val="0000FF"/>
                <w:kern w:val="2"/>
                <w:sz w:val="24"/>
                <w:szCs w:val="24"/>
                <w:lang w:val="en-US" w:eastAsia="zh-CN" w:bidi="ar-SA"/>
              </w:rPr>
              <w:t>、Al</w:t>
            </w:r>
            <w:r>
              <w:rPr>
                <w:rFonts w:hint="default" w:cs="Times New Roman"/>
                <w:b w:val="0"/>
                <w:bCs w:val="0"/>
                <w:color w:val="0000FF"/>
                <w:kern w:val="2"/>
                <w:sz w:val="24"/>
                <w:szCs w:val="24"/>
                <w:vertAlign w:val="subscript"/>
                <w:lang w:val="en-US" w:eastAsia="zh-CN" w:bidi="ar-SA"/>
              </w:rPr>
              <w:t>2</w:t>
            </w:r>
            <w:r>
              <w:rPr>
                <w:rFonts w:hint="default" w:cs="Times New Roman"/>
                <w:b w:val="0"/>
                <w:bCs w:val="0"/>
                <w:color w:val="0000FF"/>
                <w:kern w:val="2"/>
                <w:sz w:val="24"/>
                <w:szCs w:val="24"/>
                <w:lang w:val="en-US" w:eastAsia="zh-CN" w:bidi="ar-SA"/>
              </w:rPr>
              <w:t>O</w:t>
            </w:r>
            <w:r>
              <w:rPr>
                <w:rFonts w:hint="default" w:cs="Times New Roman"/>
                <w:b w:val="0"/>
                <w:bCs w:val="0"/>
                <w:color w:val="0000FF"/>
                <w:kern w:val="2"/>
                <w:sz w:val="24"/>
                <w:szCs w:val="24"/>
                <w:vertAlign w:val="subscript"/>
                <w:lang w:val="en-US" w:eastAsia="zh-CN" w:bidi="ar-SA"/>
              </w:rPr>
              <w:t>3</w:t>
            </w:r>
            <w:r>
              <w:rPr>
                <w:rFonts w:hint="default" w:cs="Times New Roman"/>
                <w:b w:val="0"/>
                <w:bCs w:val="0"/>
                <w:color w:val="0000FF"/>
                <w:kern w:val="2"/>
                <w:sz w:val="24"/>
                <w:szCs w:val="24"/>
                <w:lang w:val="en-US" w:eastAsia="zh-CN" w:bidi="ar-SA"/>
              </w:rPr>
              <w:t>、Fe</w:t>
            </w:r>
            <w:r>
              <w:rPr>
                <w:rFonts w:hint="default" w:cs="Times New Roman"/>
                <w:b w:val="0"/>
                <w:bCs w:val="0"/>
                <w:color w:val="0000FF"/>
                <w:kern w:val="2"/>
                <w:sz w:val="24"/>
                <w:szCs w:val="24"/>
                <w:vertAlign w:val="subscript"/>
                <w:lang w:val="en-US" w:eastAsia="zh-CN" w:bidi="ar-SA"/>
              </w:rPr>
              <w:t>2</w:t>
            </w:r>
            <w:r>
              <w:rPr>
                <w:rFonts w:hint="default" w:cs="Times New Roman"/>
                <w:b w:val="0"/>
                <w:bCs w:val="0"/>
                <w:color w:val="0000FF"/>
                <w:kern w:val="2"/>
                <w:sz w:val="24"/>
                <w:szCs w:val="24"/>
                <w:lang w:val="en-US" w:eastAsia="zh-CN" w:bidi="ar-SA"/>
              </w:rPr>
              <w:t>O</w:t>
            </w:r>
            <w:r>
              <w:rPr>
                <w:rFonts w:hint="default" w:cs="Times New Roman"/>
                <w:b w:val="0"/>
                <w:bCs w:val="0"/>
                <w:color w:val="0000FF"/>
                <w:kern w:val="2"/>
                <w:sz w:val="24"/>
                <w:szCs w:val="24"/>
                <w:vertAlign w:val="subscript"/>
                <w:lang w:val="en-US" w:eastAsia="zh-CN" w:bidi="ar-SA"/>
              </w:rPr>
              <w:t>3</w:t>
            </w:r>
            <w:r>
              <w:rPr>
                <w:rFonts w:hint="default" w:cs="Times New Roman"/>
                <w:b w:val="0"/>
                <w:bCs w:val="0"/>
                <w:color w:val="0000FF"/>
                <w:kern w:val="2"/>
                <w:sz w:val="24"/>
                <w:szCs w:val="24"/>
                <w:lang w:val="en-US" w:eastAsia="zh-CN" w:bidi="ar-SA"/>
              </w:rPr>
              <w:t>等化学成分，在高温条件下，通过固熔反应，形成硅酸三钙、硅酸二钙、铝酸三钙、铁铝酸四钙四种矿物组成的水泥熟料</w:t>
            </w:r>
            <w:r>
              <w:rPr>
                <w:rFonts w:hint="eastAsia" w:cs="Times New Roman"/>
                <w:b w:val="0"/>
                <w:bCs w:val="0"/>
                <w:color w:val="0000FF"/>
                <w:kern w:val="2"/>
                <w:sz w:val="24"/>
                <w:szCs w:val="24"/>
                <w:lang w:val="en-US" w:eastAsia="zh-CN" w:bidi="ar-SA"/>
              </w:rPr>
              <w:t>，生产流程稳定可靠</w:t>
            </w:r>
            <w:r>
              <w:rPr>
                <w:rFonts w:hint="default" w:cs="Times New Roman"/>
                <w:b w:val="0"/>
                <w:bCs w:val="0"/>
                <w:color w:val="0000FF"/>
                <w:kern w:val="2"/>
                <w:sz w:val="24"/>
                <w:szCs w:val="24"/>
                <w:lang w:val="en-US" w:eastAsia="zh-CN" w:bidi="ar-SA"/>
              </w:rPr>
              <w:t>。根据拟处置一般固废的成分可知，这些一般固废热值高、易燃烧，替代部分燃料来生产熟料是可行的。废纺和木屑作为替代燃料使用，不会影响水泥熟料的化学成分和物理性能，且能够减少燃煤的使用量，降低生产成本。</w:t>
            </w:r>
          </w:p>
          <w:p w14:paraId="3C64889A">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b/>
                <w:bCs/>
                <w:color w:val="0000FF"/>
                <w:kern w:val="2"/>
                <w:sz w:val="24"/>
                <w:szCs w:val="24"/>
                <w:lang w:val="en-US" w:eastAsia="zh-CN" w:bidi="ar-SA"/>
              </w:rPr>
            </w:pPr>
            <w:r>
              <w:rPr>
                <w:rFonts w:hint="eastAsia" w:cs="Times New Roman"/>
                <w:b w:val="0"/>
                <w:bCs w:val="0"/>
                <w:color w:val="0000FF"/>
                <w:kern w:val="2"/>
                <w:sz w:val="24"/>
                <w:szCs w:val="24"/>
                <w:lang w:val="en-US" w:eastAsia="zh-CN" w:bidi="ar-SA"/>
              </w:rPr>
              <w:t>5、本项目主要依托水泥厂现有窑尾烟气净化系统（SNCR+布袋除尘器）处理窑尾，不新增废气污染治理设施。本项目实施后，原有废气污染物排放量（如二氧化硫）减少，新增少量重金属、二噁英等废气污染物。水泥窑内物料可吸收酸性气体，固化重金属、抑制二噁英类污染物产生，废气污染物可达到《水泥工业大气污染物排放标准》（GB 4915-2013）以及《水泥窑协同处置固体废物污染控制标准》（GB 30485-2013）排放标准要求。本项目拟处置的一般固废主要为废纺和生物质（木屑），有轻微异味、干燥，不产生其他废气。本项目不涉及生产废水，也不新增生活污水。本项目依托现有的环保措施是可行的。</w:t>
            </w:r>
          </w:p>
          <w:p w14:paraId="56BAFBB6">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2" w:firstLineChars="200"/>
              <w:jc w:val="both"/>
              <w:textAlignment w:val="auto"/>
              <w:rPr>
                <w:rFonts w:hint="eastAsia" w:cs="Times New Roman"/>
                <w:b/>
                <w:bCs/>
                <w:color w:val="0000FF"/>
                <w:kern w:val="2"/>
                <w:sz w:val="24"/>
                <w:szCs w:val="24"/>
                <w:lang w:val="en-US" w:eastAsia="zh-CN" w:bidi="ar-SA"/>
              </w:rPr>
            </w:pPr>
            <w:r>
              <w:rPr>
                <w:rFonts w:hint="eastAsia" w:ascii="Times New Roman" w:hAnsi="Times New Roman" w:eastAsia="宋体" w:cs="Times New Roman"/>
                <w:b/>
                <w:bCs/>
                <w:color w:val="0000FF"/>
                <w:kern w:val="2"/>
                <w:sz w:val="24"/>
                <w:szCs w:val="24"/>
                <w:lang w:val="en-US" w:eastAsia="zh-CN" w:bidi="ar-SA"/>
              </w:rPr>
              <w:t>四、</w:t>
            </w:r>
            <w:r>
              <w:rPr>
                <w:rFonts w:hint="eastAsia" w:cs="Times New Roman"/>
                <w:b/>
                <w:bCs/>
                <w:color w:val="0000FF"/>
                <w:kern w:val="2"/>
                <w:sz w:val="24"/>
                <w:szCs w:val="24"/>
                <w:lang w:val="en-US" w:eastAsia="zh-CN" w:bidi="ar-SA"/>
              </w:rPr>
              <w:t>项目产品方案</w:t>
            </w:r>
          </w:p>
          <w:bookmarkEnd w:id="28"/>
          <w:p w14:paraId="246AABA8">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cs="Times New Roman"/>
                <w:b w:val="0"/>
                <w:bCs w:val="0"/>
                <w:color w:val="0000FF"/>
                <w:kern w:val="2"/>
                <w:sz w:val="24"/>
                <w:szCs w:val="24"/>
                <w:lang w:val="en-US" w:eastAsia="zh-CN" w:bidi="ar-SA"/>
              </w:rPr>
            </w:pPr>
            <w:r>
              <w:rPr>
                <w:rFonts w:hint="default" w:cs="Times New Roman"/>
                <w:b w:val="0"/>
                <w:bCs w:val="0"/>
                <w:color w:val="0000FF"/>
                <w:kern w:val="2"/>
                <w:sz w:val="24"/>
                <w:szCs w:val="24"/>
                <w:lang w:val="en-US" w:eastAsia="zh-CN" w:bidi="ar-SA"/>
              </w:rPr>
              <w:t>本次技改项目仅涉及</w:t>
            </w:r>
            <w:r>
              <w:rPr>
                <w:rFonts w:hint="eastAsia" w:cs="Times New Roman"/>
                <w:b w:val="0"/>
                <w:bCs w:val="0"/>
                <w:color w:val="0000FF"/>
                <w:kern w:val="2"/>
                <w:sz w:val="24"/>
                <w:szCs w:val="24"/>
                <w:lang w:val="en-US" w:eastAsia="zh-CN" w:bidi="ar-SA"/>
              </w:rPr>
              <w:t>燃料</w:t>
            </w:r>
            <w:r>
              <w:rPr>
                <w:rFonts w:hint="default" w:cs="Times New Roman"/>
                <w:b w:val="0"/>
                <w:bCs w:val="0"/>
                <w:color w:val="0000FF"/>
                <w:kern w:val="2"/>
                <w:sz w:val="24"/>
                <w:szCs w:val="24"/>
                <w:lang w:val="en-US" w:eastAsia="zh-CN" w:bidi="ar-SA"/>
              </w:rPr>
              <w:t>改变，不新增项目产能，不改变依托工程的主体工艺，利用现有车间作为替代燃料原料和成品暂存库房，新增</w:t>
            </w:r>
            <w:r>
              <w:rPr>
                <w:rFonts w:hint="eastAsia" w:cs="Times New Roman"/>
                <w:b w:val="0"/>
                <w:bCs w:val="0"/>
                <w:color w:val="0000FF"/>
                <w:kern w:val="2"/>
                <w:sz w:val="24"/>
                <w:szCs w:val="24"/>
                <w:lang w:val="en-US" w:eastAsia="zh-CN" w:bidi="ar-SA"/>
              </w:rPr>
              <w:t>计量喂料系统</w:t>
            </w:r>
            <w:r>
              <w:rPr>
                <w:rFonts w:hint="default" w:cs="Times New Roman"/>
                <w:b w:val="0"/>
                <w:bCs w:val="0"/>
                <w:color w:val="0000FF"/>
                <w:kern w:val="2"/>
                <w:sz w:val="24"/>
                <w:szCs w:val="24"/>
                <w:lang w:val="en-US" w:eastAsia="zh-CN" w:bidi="ar-SA"/>
              </w:rPr>
              <w:t>等设施，项目实施后，利用</w:t>
            </w:r>
            <w:r>
              <w:rPr>
                <w:rFonts w:hint="eastAsia" w:cs="Times New Roman"/>
                <w:b w:val="0"/>
                <w:bCs w:val="0"/>
                <w:color w:val="0000FF"/>
                <w:kern w:val="2"/>
                <w:sz w:val="24"/>
                <w:szCs w:val="24"/>
                <w:lang w:val="en-US" w:eastAsia="zh-CN" w:bidi="ar-SA"/>
              </w:rPr>
              <w:t>废纺和木屑</w:t>
            </w:r>
            <w:r>
              <w:rPr>
                <w:rFonts w:hint="default" w:cs="Times New Roman"/>
                <w:b w:val="0"/>
                <w:bCs w:val="0"/>
                <w:color w:val="0000FF"/>
                <w:kern w:val="2"/>
                <w:sz w:val="24"/>
                <w:szCs w:val="24"/>
                <w:lang w:val="en-US" w:eastAsia="zh-CN" w:bidi="ar-SA"/>
              </w:rPr>
              <w:t>作为</w:t>
            </w:r>
            <w:r>
              <w:rPr>
                <w:rFonts w:hint="eastAsia" w:cs="Times New Roman"/>
                <w:b w:val="0"/>
                <w:bCs w:val="0"/>
                <w:color w:val="0000FF"/>
                <w:kern w:val="2"/>
                <w:sz w:val="24"/>
                <w:szCs w:val="24"/>
                <w:lang w:val="en-US" w:eastAsia="zh-CN" w:bidi="ar-SA"/>
              </w:rPr>
              <w:t>淮北众城水泥有限责任公司</w:t>
            </w:r>
            <w:r>
              <w:rPr>
                <w:rFonts w:hint="default" w:cs="Times New Roman"/>
                <w:b w:val="0"/>
                <w:bCs w:val="0"/>
                <w:color w:val="0000FF"/>
                <w:kern w:val="2"/>
                <w:sz w:val="24"/>
                <w:szCs w:val="24"/>
                <w:lang w:val="en-US" w:eastAsia="zh-CN" w:bidi="ar-SA"/>
              </w:rPr>
              <w:t>现有</w:t>
            </w:r>
            <w:r>
              <w:rPr>
                <w:rFonts w:hint="eastAsia" w:cs="Times New Roman"/>
                <w:b w:val="0"/>
                <w:bCs w:val="0"/>
                <w:color w:val="0000FF"/>
                <w:kern w:val="2"/>
                <w:sz w:val="24"/>
                <w:szCs w:val="24"/>
                <w:lang w:val="en-US" w:eastAsia="zh-CN" w:bidi="ar-SA"/>
              </w:rPr>
              <w:t>5000t/d</w:t>
            </w:r>
            <w:r>
              <w:rPr>
                <w:rFonts w:hint="default" w:cs="Times New Roman"/>
                <w:b w:val="0"/>
                <w:bCs w:val="0"/>
                <w:color w:val="0000FF"/>
                <w:kern w:val="2"/>
                <w:sz w:val="24"/>
                <w:szCs w:val="24"/>
                <w:lang w:val="en-US" w:eastAsia="zh-CN" w:bidi="ar-SA"/>
              </w:rPr>
              <w:t>新型干法水泥窑的替代燃料，本项目产品方案见表</w:t>
            </w:r>
            <w:r>
              <w:rPr>
                <w:rFonts w:hint="eastAsia" w:cs="Times New Roman"/>
                <w:b w:val="0"/>
                <w:bCs w:val="0"/>
                <w:color w:val="0000FF"/>
                <w:kern w:val="2"/>
                <w:sz w:val="24"/>
                <w:szCs w:val="24"/>
                <w:lang w:val="en-US" w:eastAsia="zh-CN" w:bidi="ar-SA"/>
              </w:rPr>
              <w:t>2-4；</w:t>
            </w:r>
            <w:r>
              <w:rPr>
                <w:rFonts w:hint="default" w:cs="Times New Roman"/>
                <w:b w:val="0"/>
                <w:bCs w:val="0"/>
                <w:color w:val="0000FF"/>
                <w:kern w:val="2"/>
                <w:sz w:val="24"/>
                <w:szCs w:val="24"/>
                <w:lang w:val="en-US" w:eastAsia="zh-CN" w:bidi="ar-SA"/>
              </w:rPr>
              <w:t>技改后保持年产</w:t>
            </w:r>
            <w:r>
              <w:rPr>
                <w:rFonts w:hint="eastAsia" w:cs="Times New Roman"/>
                <w:b w:val="0"/>
                <w:bCs w:val="0"/>
                <w:color w:val="0000FF"/>
                <w:kern w:val="2"/>
                <w:sz w:val="24"/>
                <w:szCs w:val="24"/>
                <w:lang w:val="en-US" w:eastAsia="zh-CN" w:bidi="ar-SA"/>
              </w:rPr>
              <w:t>水泥熟料165万吨的生产能力</w:t>
            </w:r>
            <w:r>
              <w:rPr>
                <w:rFonts w:hint="default" w:cs="Times New Roman"/>
                <w:b w:val="0"/>
                <w:bCs w:val="0"/>
                <w:color w:val="0000FF"/>
                <w:kern w:val="2"/>
                <w:sz w:val="24"/>
                <w:szCs w:val="24"/>
                <w:lang w:val="en-US" w:eastAsia="zh-CN" w:bidi="ar-SA"/>
              </w:rPr>
              <w:t>，水泥熟料产品满足《《硅酸盐水泥熟料》（GB/T 21372-2008）标准要求</w:t>
            </w:r>
            <w:r>
              <w:rPr>
                <w:rFonts w:hint="eastAsia" w:cs="Times New Roman"/>
                <w:b w:val="0"/>
                <w:bCs w:val="0"/>
                <w:color w:val="0000FF"/>
                <w:kern w:val="2"/>
                <w:sz w:val="24"/>
                <w:szCs w:val="24"/>
                <w:lang w:val="en-US" w:eastAsia="zh-CN" w:bidi="ar-SA"/>
              </w:rPr>
              <w:t>，详见表2-5和表2-6</w:t>
            </w:r>
            <w:r>
              <w:rPr>
                <w:rFonts w:hint="default" w:cs="Times New Roman"/>
                <w:b w:val="0"/>
                <w:bCs w:val="0"/>
                <w:color w:val="0000FF"/>
                <w:kern w:val="2"/>
                <w:sz w:val="24"/>
                <w:szCs w:val="24"/>
                <w:lang w:val="en-US" w:eastAsia="zh-CN" w:bidi="ar-SA"/>
              </w:rPr>
              <w:t>，水泥熟料中重金属元素含量以及水泥熟料中可浸出重金属含量均满足《水泥窑协同处置</w:t>
            </w:r>
            <w:r>
              <w:rPr>
                <w:rFonts w:hint="eastAsia" w:cs="Times New Roman"/>
                <w:b w:val="0"/>
                <w:bCs w:val="0"/>
                <w:color w:val="0000FF"/>
                <w:kern w:val="2"/>
                <w:sz w:val="24"/>
                <w:szCs w:val="24"/>
                <w:lang w:val="en-US" w:eastAsia="zh-CN" w:bidi="ar-SA"/>
              </w:rPr>
              <w:t>固</w:t>
            </w:r>
            <w:r>
              <w:rPr>
                <w:rFonts w:hint="default" w:cs="Times New Roman"/>
                <w:b w:val="0"/>
                <w:bCs w:val="0"/>
                <w:color w:val="0000FF"/>
                <w:kern w:val="2"/>
                <w:sz w:val="24"/>
                <w:szCs w:val="24"/>
                <w:lang w:val="en-US" w:eastAsia="zh-CN" w:bidi="ar-SA"/>
              </w:rPr>
              <w:t>体废物技术规范》</w:t>
            </w:r>
            <w:r>
              <w:rPr>
                <w:rFonts w:hint="eastAsia" w:cs="Times New Roman"/>
                <w:b w:val="0"/>
                <w:bCs w:val="0"/>
                <w:color w:val="0000FF"/>
                <w:kern w:val="2"/>
                <w:sz w:val="24"/>
                <w:szCs w:val="24"/>
                <w:lang w:val="en-US" w:eastAsia="zh-CN" w:bidi="ar-SA"/>
              </w:rPr>
              <w:t>（</w:t>
            </w:r>
            <w:r>
              <w:rPr>
                <w:rFonts w:hint="default" w:cs="Times New Roman"/>
                <w:b w:val="0"/>
                <w:bCs w:val="0"/>
                <w:color w:val="0000FF"/>
                <w:kern w:val="2"/>
                <w:sz w:val="24"/>
                <w:szCs w:val="24"/>
                <w:lang w:val="en-US" w:eastAsia="zh-CN" w:bidi="ar-SA"/>
              </w:rPr>
              <w:t>GB/T 30760-2024</w:t>
            </w:r>
            <w:r>
              <w:rPr>
                <w:rFonts w:hint="eastAsia" w:cs="Times New Roman"/>
                <w:b w:val="0"/>
                <w:bCs w:val="0"/>
                <w:color w:val="0000FF"/>
                <w:kern w:val="2"/>
                <w:sz w:val="24"/>
                <w:szCs w:val="24"/>
                <w:lang w:val="en-US" w:eastAsia="zh-CN" w:bidi="ar-SA"/>
              </w:rPr>
              <w:t>）</w:t>
            </w:r>
            <w:r>
              <w:rPr>
                <w:rFonts w:hint="default" w:cs="Times New Roman"/>
                <w:b w:val="0"/>
                <w:bCs w:val="0"/>
                <w:color w:val="0000FF"/>
                <w:kern w:val="2"/>
                <w:sz w:val="24"/>
                <w:szCs w:val="24"/>
                <w:lang w:val="en-US" w:eastAsia="zh-CN" w:bidi="ar-SA"/>
              </w:rPr>
              <w:t>相应限值要求</w:t>
            </w:r>
            <w:r>
              <w:rPr>
                <w:rFonts w:hint="eastAsia" w:cs="Times New Roman"/>
                <w:b w:val="0"/>
                <w:bCs w:val="0"/>
                <w:color w:val="0000FF"/>
                <w:kern w:val="2"/>
                <w:sz w:val="24"/>
                <w:szCs w:val="24"/>
                <w:lang w:val="en-US" w:eastAsia="zh-CN" w:bidi="ar-SA"/>
              </w:rPr>
              <w:t>，详见表2-7</w:t>
            </w:r>
            <w:r>
              <w:rPr>
                <w:rFonts w:hint="default" w:cs="Times New Roman"/>
                <w:b w:val="0"/>
                <w:bCs w:val="0"/>
                <w:color w:val="0000FF"/>
                <w:kern w:val="2"/>
                <w:sz w:val="24"/>
                <w:szCs w:val="24"/>
                <w:lang w:val="en-US" w:eastAsia="zh-CN" w:bidi="ar-SA"/>
              </w:rPr>
              <w:t>。本次技改项目建成后，不会对</w:t>
            </w:r>
            <w:r>
              <w:rPr>
                <w:rFonts w:hint="eastAsia" w:cs="Times New Roman"/>
                <w:b w:val="0"/>
                <w:bCs w:val="0"/>
                <w:color w:val="0000FF"/>
                <w:kern w:val="2"/>
                <w:sz w:val="24"/>
                <w:szCs w:val="24"/>
                <w:lang w:val="en-US" w:eastAsia="zh-CN" w:bidi="ar-SA"/>
              </w:rPr>
              <w:t>淮北众城水泥有限责任公司</w:t>
            </w:r>
            <w:r>
              <w:rPr>
                <w:rFonts w:hint="default" w:cs="Times New Roman"/>
                <w:b w:val="0"/>
                <w:bCs w:val="0"/>
                <w:color w:val="0000FF"/>
                <w:kern w:val="2"/>
                <w:sz w:val="24"/>
                <w:szCs w:val="24"/>
                <w:lang w:val="en-US" w:eastAsia="zh-CN" w:bidi="ar-SA"/>
              </w:rPr>
              <w:t>产品、产能及产品质量造成影响。</w:t>
            </w:r>
          </w:p>
          <w:p w14:paraId="30EAFE98">
            <w:pPr>
              <w:autoSpaceDE w:val="0"/>
              <w:autoSpaceDN w:val="0"/>
              <w:adjustRightInd w:val="0"/>
              <w:jc w:val="center"/>
              <w:rPr>
                <w:rFonts w:hint="default" w:cs="Times New Roman"/>
                <w:b w:val="0"/>
                <w:bCs w:val="0"/>
                <w:color w:val="0000FF"/>
                <w:kern w:val="2"/>
                <w:sz w:val="24"/>
                <w:szCs w:val="24"/>
                <w:lang w:val="en-US" w:eastAsia="zh-CN" w:bidi="ar-SA"/>
              </w:rPr>
            </w:pPr>
            <w:bookmarkStart w:id="29" w:name="OLE_LINK30"/>
            <w:r>
              <w:rPr>
                <w:rFonts w:hint="eastAsia" w:ascii="Times New Roman" w:hAnsi="Times New Roman" w:cs="Times New Roman"/>
                <w:b/>
                <w:color w:val="0000FF"/>
              </w:rPr>
              <w:t>表</w:t>
            </w:r>
            <w:r>
              <w:rPr>
                <w:rFonts w:hint="eastAsia" w:cs="Times New Roman"/>
                <w:b/>
                <w:color w:val="0000FF"/>
                <w:lang w:val="en-US" w:eastAsia="zh-CN"/>
              </w:rPr>
              <w:t>2-4</w:t>
            </w:r>
            <w:r>
              <w:rPr>
                <w:rFonts w:ascii="Times New Roman" w:hAnsi="Times New Roman" w:cs="Times New Roman"/>
                <w:b/>
                <w:color w:val="0000FF"/>
              </w:rPr>
              <w:t xml:space="preserve"> </w:t>
            </w:r>
            <w:r>
              <w:rPr>
                <w:rFonts w:hint="eastAsia" w:cs="Times New Roman"/>
                <w:b/>
                <w:color w:val="0000FF"/>
                <w:lang w:eastAsia="zh-CN"/>
              </w:rPr>
              <w:t>建设项目产品方案</w:t>
            </w:r>
            <w:r>
              <w:rPr>
                <w:rFonts w:hint="eastAsia" w:ascii="Times New Roman" w:hAnsi="Times New Roman" w:cs="Times New Roman"/>
                <w:b/>
                <w:color w:val="0000FF"/>
              </w:rPr>
              <w:t>一览表</w:t>
            </w:r>
          </w:p>
          <w:bookmarkEnd w:id="29"/>
          <w:tbl>
            <w:tblPr>
              <w:tblStyle w:val="2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3"/>
              <w:gridCol w:w="1951"/>
              <w:gridCol w:w="1951"/>
              <w:gridCol w:w="1951"/>
              <w:gridCol w:w="1118"/>
              <w:gridCol w:w="844"/>
            </w:tblGrid>
            <w:tr w14:paraId="6B0EE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7" w:type="pct"/>
                  <w:vMerge w:val="restart"/>
                  <w:vAlign w:val="center"/>
                </w:tcPr>
                <w:p w14:paraId="0471103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产品名称</w:t>
                  </w:r>
                </w:p>
              </w:tc>
              <w:tc>
                <w:tcPr>
                  <w:tcW w:w="4242" w:type="pct"/>
                  <w:gridSpan w:val="5"/>
                  <w:vAlign w:val="center"/>
                </w:tcPr>
                <w:p w14:paraId="631077F3">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设计能力</w:t>
                  </w:r>
                </w:p>
              </w:tc>
            </w:tr>
            <w:tr w14:paraId="68A1F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7" w:type="pct"/>
                  <w:vMerge w:val="continue"/>
                  <w:vAlign w:val="center"/>
                </w:tcPr>
                <w:p w14:paraId="0241AA76">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val="0"/>
                      <w:color w:val="0000FF"/>
                      <w:sz w:val="21"/>
                      <w:szCs w:val="21"/>
                      <w:lang w:val="en-US" w:eastAsia="zh-CN"/>
                    </w:rPr>
                  </w:pPr>
                </w:p>
              </w:tc>
              <w:tc>
                <w:tcPr>
                  <w:tcW w:w="1059" w:type="pct"/>
                  <w:vAlign w:val="center"/>
                </w:tcPr>
                <w:p w14:paraId="7CA7ECF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技改前年产量（t/a）</w:t>
                  </w:r>
                </w:p>
              </w:tc>
              <w:tc>
                <w:tcPr>
                  <w:tcW w:w="1059" w:type="pct"/>
                  <w:vAlign w:val="center"/>
                </w:tcPr>
                <w:p w14:paraId="3FAFA43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本项目年产量（t/a）</w:t>
                  </w:r>
                </w:p>
              </w:tc>
              <w:tc>
                <w:tcPr>
                  <w:tcW w:w="1059" w:type="pct"/>
                  <w:vAlign w:val="center"/>
                </w:tcPr>
                <w:p w14:paraId="3BAF2FE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技改后年产量（t/a）</w:t>
                  </w:r>
                </w:p>
              </w:tc>
              <w:tc>
                <w:tcPr>
                  <w:tcW w:w="607" w:type="pct"/>
                  <w:vAlign w:val="center"/>
                </w:tcPr>
                <w:p w14:paraId="3ECB57C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增减量</w:t>
                  </w:r>
                </w:p>
              </w:tc>
              <w:tc>
                <w:tcPr>
                  <w:tcW w:w="457" w:type="pct"/>
                  <w:vAlign w:val="center"/>
                </w:tcPr>
                <w:p w14:paraId="10E53930">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备注</w:t>
                  </w:r>
                </w:p>
              </w:tc>
            </w:tr>
            <w:tr w14:paraId="60BCA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7" w:type="pct"/>
                  <w:vAlign w:val="center"/>
                </w:tcPr>
                <w:p w14:paraId="79AFA1A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熟料</w:t>
                  </w:r>
                </w:p>
              </w:tc>
              <w:tc>
                <w:tcPr>
                  <w:tcW w:w="1059" w:type="pct"/>
                  <w:vAlign w:val="center"/>
                </w:tcPr>
                <w:p w14:paraId="52927C2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val="0"/>
                      <w:color w:val="0000FF"/>
                      <w:sz w:val="21"/>
                      <w:szCs w:val="21"/>
                      <w:lang w:val="en-US" w:eastAsia="zh-CN"/>
                    </w:rPr>
                  </w:pPr>
                  <w:r>
                    <w:rPr>
                      <w:rFonts w:hint="eastAsia" w:cs="Times New Roman"/>
                      <w:b w:val="0"/>
                      <w:bCs w:val="0"/>
                      <w:color w:val="0000FF"/>
                      <w:sz w:val="21"/>
                      <w:szCs w:val="21"/>
                      <w:lang w:val="en-US" w:eastAsia="zh-CN"/>
                    </w:rPr>
                    <w:t>1650000</w:t>
                  </w:r>
                </w:p>
              </w:tc>
              <w:tc>
                <w:tcPr>
                  <w:tcW w:w="1059" w:type="pct"/>
                  <w:vAlign w:val="center"/>
                </w:tcPr>
                <w:p w14:paraId="082F2871">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0</w:t>
                  </w:r>
                </w:p>
              </w:tc>
              <w:tc>
                <w:tcPr>
                  <w:tcW w:w="1059" w:type="pct"/>
                  <w:vAlign w:val="center"/>
                </w:tcPr>
                <w:p w14:paraId="21BB4EF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val="0"/>
                      <w:color w:val="0000FF"/>
                      <w:sz w:val="21"/>
                      <w:szCs w:val="21"/>
                      <w:lang w:val="en-US" w:eastAsia="zh-CN"/>
                    </w:rPr>
                  </w:pPr>
                  <w:r>
                    <w:rPr>
                      <w:rFonts w:hint="eastAsia" w:cs="Times New Roman"/>
                      <w:b w:val="0"/>
                      <w:bCs w:val="0"/>
                      <w:color w:val="0000FF"/>
                      <w:sz w:val="21"/>
                      <w:szCs w:val="21"/>
                      <w:lang w:val="en-US" w:eastAsia="zh-CN"/>
                    </w:rPr>
                    <w:t>1650000</w:t>
                  </w:r>
                </w:p>
              </w:tc>
              <w:tc>
                <w:tcPr>
                  <w:tcW w:w="607" w:type="pct"/>
                  <w:vAlign w:val="center"/>
                </w:tcPr>
                <w:p w14:paraId="435E0F5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0</w:t>
                  </w:r>
                </w:p>
              </w:tc>
              <w:tc>
                <w:tcPr>
                  <w:tcW w:w="457" w:type="pct"/>
                  <w:vAlign w:val="center"/>
                </w:tcPr>
                <w:p w14:paraId="49ECD027">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一线</w:t>
                  </w:r>
                </w:p>
              </w:tc>
            </w:tr>
            <w:tr w14:paraId="32376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7" w:type="pct"/>
                  <w:vAlign w:val="center"/>
                </w:tcPr>
                <w:p w14:paraId="294D4905">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bookmarkStart w:id="30" w:name="OLE_LINK35"/>
                  <w:r>
                    <w:rPr>
                      <w:rFonts w:hint="eastAsia" w:ascii="Times New Roman" w:hAnsi="Times New Roman" w:eastAsia="宋体" w:cs="Times New Roman"/>
                      <w:b w:val="0"/>
                      <w:bCs w:val="0"/>
                      <w:color w:val="0000FF"/>
                      <w:sz w:val="21"/>
                      <w:szCs w:val="21"/>
                      <w:lang w:val="en-US" w:eastAsia="zh-CN"/>
                    </w:rPr>
                    <w:t>熟料</w:t>
                  </w:r>
                </w:p>
              </w:tc>
              <w:tc>
                <w:tcPr>
                  <w:tcW w:w="1059" w:type="pct"/>
                  <w:vAlign w:val="center"/>
                </w:tcPr>
                <w:p w14:paraId="20F20E7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val="0"/>
                      <w:color w:val="0000FF"/>
                      <w:sz w:val="21"/>
                      <w:szCs w:val="21"/>
                      <w:lang w:val="en-US" w:eastAsia="zh-CN"/>
                    </w:rPr>
                  </w:pPr>
                  <w:r>
                    <w:rPr>
                      <w:rFonts w:hint="eastAsia" w:cs="Times New Roman"/>
                      <w:b w:val="0"/>
                      <w:bCs w:val="0"/>
                      <w:color w:val="0000FF"/>
                      <w:sz w:val="21"/>
                      <w:szCs w:val="21"/>
                      <w:lang w:val="en-US" w:eastAsia="zh-CN"/>
                    </w:rPr>
                    <w:t>1485000</w:t>
                  </w:r>
                </w:p>
              </w:tc>
              <w:tc>
                <w:tcPr>
                  <w:tcW w:w="1059" w:type="pct"/>
                  <w:vAlign w:val="center"/>
                </w:tcPr>
                <w:p w14:paraId="5878545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0</w:t>
                  </w:r>
                </w:p>
              </w:tc>
              <w:tc>
                <w:tcPr>
                  <w:tcW w:w="1059" w:type="pct"/>
                  <w:vAlign w:val="center"/>
                </w:tcPr>
                <w:p w14:paraId="7B1FAA01">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val="0"/>
                      <w:color w:val="0000FF"/>
                      <w:sz w:val="21"/>
                      <w:szCs w:val="21"/>
                      <w:lang w:val="en-US" w:eastAsia="zh-CN"/>
                    </w:rPr>
                  </w:pPr>
                  <w:r>
                    <w:rPr>
                      <w:rFonts w:hint="eastAsia" w:cs="Times New Roman"/>
                      <w:b w:val="0"/>
                      <w:bCs w:val="0"/>
                      <w:color w:val="0000FF"/>
                      <w:sz w:val="21"/>
                      <w:szCs w:val="21"/>
                      <w:lang w:val="en-US" w:eastAsia="zh-CN"/>
                    </w:rPr>
                    <w:t>1485000</w:t>
                  </w:r>
                </w:p>
              </w:tc>
              <w:tc>
                <w:tcPr>
                  <w:tcW w:w="607" w:type="pct"/>
                  <w:vAlign w:val="center"/>
                </w:tcPr>
                <w:p w14:paraId="60B9B100">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0</w:t>
                  </w:r>
                </w:p>
              </w:tc>
              <w:tc>
                <w:tcPr>
                  <w:tcW w:w="457" w:type="pct"/>
                  <w:vAlign w:val="center"/>
                </w:tcPr>
                <w:p w14:paraId="4D233161">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二线</w:t>
                  </w:r>
                </w:p>
              </w:tc>
            </w:tr>
          </w:tbl>
          <w:p w14:paraId="40AD2E88">
            <w:pPr>
              <w:autoSpaceDE w:val="0"/>
              <w:autoSpaceDN w:val="0"/>
              <w:adjustRightInd w:val="0"/>
              <w:jc w:val="center"/>
              <w:rPr>
                <w:rFonts w:hint="default" w:cs="Times New Roman"/>
                <w:b w:val="0"/>
                <w:bCs w:val="0"/>
                <w:color w:val="0000FF"/>
                <w:kern w:val="2"/>
                <w:sz w:val="24"/>
                <w:szCs w:val="24"/>
                <w:lang w:val="en-US" w:eastAsia="zh-CN" w:bidi="ar-SA"/>
              </w:rPr>
            </w:pPr>
            <w:r>
              <w:rPr>
                <w:rFonts w:hint="eastAsia" w:ascii="Times New Roman" w:hAnsi="Times New Roman" w:cs="Times New Roman"/>
                <w:b/>
                <w:color w:val="0000FF"/>
              </w:rPr>
              <w:t>表</w:t>
            </w:r>
            <w:r>
              <w:rPr>
                <w:rFonts w:hint="eastAsia" w:cs="Times New Roman"/>
                <w:b/>
                <w:color w:val="0000FF"/>
                <w:lang w:val="en-US" w:eastAsia="zh-CN"/>
              </w:rPr>
              <w:t>2-5</w:t>
            </w:r>
            <w:r>
              <w:rPr>
                <w:rFonts w:ascii="Times New Roman" w:hAnsi="Times New Roman" w:cs="Times New Roman"/>
                <w:b/>
                <w:color w:val="0000FF"/>
              </w:rPr>
              <w:t xml:space="preserve"> </w:t>
            </w:r>
            <w:r>
              <w:rPr>
                <w:rFonts w:hint="eastAsia" w:cs="Times New Roman"/>
                <w:b/>
                <w:color w:val="0000FF"/>
                <w:lang w:eastAsia="zh-CN"/>
              </w:rPr>
              <w:t>硅酸盐水泥熟料的基本化学性能</w:t>
            </w:r>
            <w:r>
              <w:rPr>
                <w:rFonts w:hint="eastAsia" w:ascii="Times New Roman" w:hAnsi="Times New Roman" w:cs="Times New Roman"/>
                <w:b/>
                <w:color w:val="0000FF"/>
              </w:rPr>
              <w:t>表</w:t>
            </w:r>
          </w:p>
          <w:bookmarkEnd w:id="30"/>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811"/>
              <w:gridCol w:w="811"/>
              <w:gridCol w:w="811"/>
              <w:gridCol w:w="811"/>
              <w:gridCol w:w="2629"/>
              <w:gridCol w:w="1049"/>
              <w:gridCol w:w="1471"/>
            </w:tblGrid>
            <w:tr w14:paraId="20958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75" w:type="pct"/>
                  <w:vAlign w:val="center"/>
                </w:tcPr>
                <w:p w14:paraId="57517F70">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f-CaO（%）</w:t>
                  </w:r>
                </w:p>
              </w:tc>
              <w:tc>
                <w:tcPr>
                  <w:tcW w:w="456" w:type="pct"/>
                  <w:vAlign w:val="center"/>
                </w:tcPr>
                <w:p w14:paraId="6160D95D">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MgO</w:t>
                  </w:r>
                  <w:bookmarkStart w:id="31" w:name="OLE_LINK31"/>
                  <w:r>
                    <w:rPr>
                      <w:rFonts w:hint="eastAsia" w:cs="Times New Roman"/>
                      <w:b w:val="0"/>
                      <w:bCs w:val="0"/>
                      <w:color w:val="0000FF"/>
                      <w:sz w:val="21"/>
                      <w:szCs w:val="21"/>
                      <w:lang w:val="en-US" w:eastAsia="zh-CN"/>
                    </w:rPr>
                    <w:t>（%）</w:t>
                  </w:r>
                  <w:bookmarkEnd w:id="31"/>
                </w:p>
              </w:tc>
              <w:tc>
                <w:tcPr>
                  <w:tcW w:w="545" w:type="pct"/>
                  <w:vAlign w:val="center"/>
                </w:tcPr>
                <w:p w14:paraId="42F4F26B">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烧失量（%）</w:t>
                  </w:r>
                </w:p>
              </w:tc>
              <w:tc>
                <w:tcPr>
                  <w:tcW w:w="509" w:type="pct"/>
                  <w:vAlign w:val="center"/>
                </w:tcPr>
                <w:p w14:paraId="69F6410E">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不溶物</w:t>
                  </w:r>
                  <w:bookmarkStart w:id="32" w:name="OLE_LINK32"/>
                  <w:r>
                    <w:rPr>
                      <w:rFonts w:hint="eastAsia" w:cs="Times New Roman"/>
                      <w:b w:val="0"/>
                      <w:bCs w:val="0"/>
                      <w:color w:val="0000FF"/>
                      <w:sz w:val="21"/>
                      <w:szCs w:val="21"/>
                      <w:lang w:val="en-US" w:eastAsia="zh-CN"/>
                    </w:rPr>
                    <w:t>（%）</w:t>
                  </w:r>
                  <w:bookmarkEnd w:id="32"/>
                </w:p>
              </w:tc>
              <w:tc>
                <w:tcPr>
                  <w:tcW w:w="438" w:type="pct"/>
                  <w:vAlign w:val="center"/>
                </w:tcPr>
                <w:p w14:paraId="46A711DE">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SO</w:t>
                  </w:r>
                  <w:r>
                    <w:rPr>
                      <w:rFonts w:hint="eastAsia" w:cs="Times New Roman"/>
                      <w:b w:val="0"/>
                      <w:bCs w:val="0"/>
                      <w:color w:val="0000FF"/>
                      <w:sz w:val="21"/>
                      <w:szCs w:val="21"/>
                      <w:vertAlign w:val="subscript"/>
                      <w:lang w:val="en-US" w:eastAsia="zh-CN"/>
                    </w:rPr>
                    <w:t>3</w:t>
                  </w:r>
                  <w:r>
                    <w:rPr>
                      <w:rFonts w:hint="eastAsia" w:cs="Times New Roman"/>
                      <w:b w:val="0"/>
                      <w:bCs w:val="0"/>
                      <w:color w:val="0000FF"/>
                      <w:sz w:val="21"/>
                      <w:szCs w:val="21"/>
                      <w:lang w:val="en-US" w:eastAsia="zh-CN"/>
                    </w:rPr>
                    <w:t>（%）</w:t>
                  </w:r>
                </w:p>
              </w:tc>
              <w:tc>
                <w:tcPr>
                  <w:tcW w:w="1081" w:type="pct"/>
                  <w:vAlign w:val="center"/>
                </w:tcPr>
                <w:p w14:paraId="3430FD6C">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（3</w:t>
                  </w:r>
                  <w:bookmarkStart w:id="33" w:name="OLE_LINK33"/>
                  <w:r>
                    <w:rPr>
                      <w:rFonts w:hint="eastAsia" w:cs="Times New Roman"/>
                      <w:b w:val="0"/>
                      <w:bCs w:val="0"/>
                      <w:color w:val="0000FF"/>
                      <w:sz w:val="21"/>
                      <w:szCs w:val="21"/>
                      <w:lang w:val="en-US" w:eastAsia="zh-CN"/>
                    </w:rPr>
                    <w:t>CaO.SiO</w:t>
                  </w:r>
                  <w:r>
                    <w:rPr>
                      <w:rFonts w:hint="eastAsia" w:cs="Times New Roman"/>
                      <w:b w:val="0"/>
                      <w:bCs w:val="0"/>
                      <w:color w:val="0000FF"/>
                      <w:sz w:val="21"/>
                      <w:szCs w:val="21"/>
                      <w:vertAlign w:val="subscript"/>
                      <w:lang w:val="en-US" w:eastAsia="zh-CN"/>
                    </w:rPr>
                    <w:t>2</w:t>
                  </w:r>
                  <w:bookmarkEnd w:id="33"/>
                  <w:r>
                    <w:rPr>
                      <w:rFonts w:hint="eastAsia" w:cs="Times New Roman"/>
                      <w:b w:val="0"/>
                      <w:bCs w:val="0"/>
                      <w:color w:val="0000FF"/>
                      <w:sz w:val="21"/>
                      <w:szCs w:val="21"/>
                      <w:vertAlign w:val="baseline"/>
                      <w:lang w:val="en-US" w:eastAsia="zh-CN"/>
                    </w:rPr>
                    <w:t>+2CaO.SiO</w:t>
                  </w:r>
                  <w:r>
                    <w:rPr>
                      <w:rFonts w:hint="eastAsia" w:cs="Times New Roman"/>
                      <w:b w:val="0"/>
                      <w:bCs w:val="0"/>
                      <w:color w:val="0000FF"/>
                      <w:sz w:val="21"/>
                      <w:szCs w:val="21"/>
                      <w:vertAlign w:val="subscript"/>
                      <w:lang w:val="en-US" w:eastAsia="zh-CN"/>
                    </w:rPr>
                    <w:t>2</w:t>
                  </w:r>
                  <w:r>
                    <w:rPr>
                      <w:rFonts w:hint="eastAsia" w:cs="Times New Roman"/>
                      <w:b w:val="0"/>
                      <w:bCs w:val="0"/>
                      <w:color w:val="0000FF"/>
                      <w:sz w:val="21"/>
                      <w:szCs w:val="21"/>
                      <w:lang w:val="en-US" w:eastAsia="zh-CN"/>
                    </w:rPr>
                    <w:t>）（%）</w:t>
                  </w:r>
                </w:p>
              </w:tc>
              <w:tc>
                <w:tcPr>
                  <w:tcW w:w="627" w:type="pct"/>
                  <w:vAlign w:val="center"/>
                </w:tcPr>
                <w:p w14:paraId="3BC0A30F">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CaO.SiO</w:t>
                  </w:r>
                  <w:r>
                    <w:rPr>
                      <w:rFonts w:hint="eastAsia" w:cs="Times New Roman"/>
                      <w:b w:val="0"/>
                      <w:bCs w:val="0"/>
                      <w:color w:val="0000FF"/>
                      <w:sz w:val="21"/>
                      <w:szCs w:val="21"/>
                      <w:vertAlign w:val="subscript"/>
                      <w:lang w:val="en-US" w:eastAsia="zh-CN"/>
                    </w:rPr>
                    <w:t>2</w:t>
                  </w:r>
                  <w:r>
                    <w:rPr>
                      <w:rFonts w:hint="eastAsia" w:cs="Times New Roman"/>
                      <w:b w:val="0"/>
                      <w:bCs w:val="0"/>
                      <w:color w:val="0000FF"/>
                      <w:sz w:val="21"/>
                      <w:szCs w:val="21"/>
                      <w:vertAlign w:val="baseline"/>
                      <w:lang w:val="en-US" w:eastAsia="zh-CN"/>
                    </w:rPr>
                    <w:t>质量比</w:t>
                  </w:r>
                </w:p>
              </w:tc>
              <w:tc>
                <w:tcPr>
                  <w:tcW w:w="865" w:type="pct"/>
                  <w:vAlign w:val="center"/>
                </w:tcPr>
                <w:p w14:paraId="4DD89306">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数据来源</w:t>
                  </w:r>
                </w:p>
              </w:tc>
            </w:tr>
            <w:tr w14:paraId="5D6C0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75" w:type="pct"/>
                  <w:vAlign w:val="center"/>
                </w:tcPr>
                <w:p w14:paraId="3413B1D8">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bookmarkStart w:id="34" w:name="OLE_LINK34"/>
                  <w:r>
                    <w:rPr>
                      <w:rFonts w:hint="eastAsia" w:cs="Times New Roman"/>
                      <w:b w:val="0"/>
                      <w:bCs w:val="0"/>
                      <w:color w:val="0000FF"/>
                      <w:sz w:val="21"/>
                      <w:szCs w:val="21"/>
                      <w:lang w:val="en-US" w:eastAsia="zh-CN"/>
                    </w:rPr>
                    <w:t>≤1.5</w:t>
                  </w:r>
                  <w:bookmarkEnd w:id="34"/>
                </w:p>
              </w:tc>
              <w:tc>
                <w:tcPr>
                  <w:tcW w:w="456" w:type="pct"/>
                  <w:vAlign w:val="center"/>
                </w:tcPr>
                <w:p w14:paraId="548E0B61">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≤5.0</w:t>
                  </w:r>
                </w:p>
              </w:tc>
              <w:tc>
                <w:tcPr>
                  <w:tcW w:w="545" w:type="pct"/>
                  <w:vAlign w:val="center"/>
                </w:tcPr>
                <w:p w14:paraId="008C3B36">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≤1.5</w:t>
                  </w:r>
                </w:p>
              </w:tc>
              <w:tc>
                <w:tcPr>
                  <w:tcW w:w="509" w:type="pct"/>
                  <w:vAlign w:val="center"/>
                </w:tcPr>
                <w:p w14:paraId="7F5F159C">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≤0.75</w:t>
                  </w:r>
                </w:p>
              </w:tc>
              <w:tc>
                <w:tcPr>
                  <w:tcW w:w="438" w:type="pct"/>
                  <w:vAlign w:val="center"/>
                </w:tcPr>
                <w:p w14:paraId="1565AFB3">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≤1.5</w:t>
                  </w:r>
                </w:p>
              </w:tc>
              <w:tc>
                <w:tcPr>
                  <w:tcW w:w="1081" w:type="pct"/>
                  <w:vAlign w:val="center"/>
                </w:tcPr>
                <w:p w14:paraId="66B61313">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≥66</w:t>
                  </w:r>
                </w:p>
              </w:tc>
              <w:tc>
                <w:tcPr>
                  <w:tcW w:w="627" w:type="pct"/>
                  <w:vAlign w:val="center"/>
                </w:tcPr>
                <w:p w14:paraId="6E73E74E">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≥2</w:t>
                  </w:r>
                </w:p>
              </w:tc>
              <w:tc>
                <w:tcPr>
                  <w:tcW w:w="865" w:type="pct"/>
                  <w:vAlign w:val="center"/>
                </w:tcPr>
                <w:p w14:paraId="37D24226">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bookmarkStart w:id="35" w:name="OLE_LINK36"/>
                  <w:r>
                    <w:rPr>
                      <w:rFonts w:hint="default" w:cs="Times New Roman"/>
                      <w:b w:val="0"/>
                      <w:bCs w:val="0"/>
                      <w:color w:val="0000FF"/>
                      <w:sz w:val="21"/>
                      <w:szCs w:val="21"/>
                      <w:lang w:val="en-US" w:eastAsia="zh-CN"/>
                    </w:rPr>
                    <w:t>《硅酸盐水泥熟料》（GB/T 21372-2008）</w:t>
                  </w:r>
                  <w:bookmarkEnd w:id="35"/>
                </w:p>
              </w:tc>
            </w:tr>
          </w:tbl>
          <w:p w14:paraId="03FFF8C9">
            <w:pPr>
              <w:autoSpaceDE w:val="0"/>
              <w:autoSpaceDN w:val="0"/>
              <w:adjustRightInd w:val="0"/>
              <w:jc w:val="center"/>
              <w:rPr>
                <w:rFonts w:hint="default" w:cs="Times New Roman"/>
                <w:b w:val="0"/>
                <w:bCs w:val="0"/>
                <w:color w:val="0000FF"/>
                <w:kern w:val="2"/>
                <w:sz w:val="24"/>
                <w:szCs w:val="24"/>
                <w:lang w:val="en-US" w:eastAsia="zh-CN" w:bidi="ar-SA"/>
              </w:rPr>
            </w:pPr>
            <w:bookmarkStart w:id="36" w:name="OLE_LINK39"/>
            <w:r>
              <w:rPr>
                <w:rFonts w:hint="eastAsia" w:ascii="Times New Roman" w:hAnsi="Times New Roman" w:cs="Times New Roman"/>
                <w:b/>
                <w:color w:val="0000FF"/>
              </w:rPr>
              <w:t>表</w:t>
            </w:r>
            <w:r>
              <w:rPr>
                <w:rFonts w:hint="eastAsia" w:cs="Times New Roman"/>
                <w:b/>
                <w:color w:val="0000FF"/>
                <w:lang w:val="en-US" w:eastAsia="zh-CN"/>
              </w:rPr>
              <w:t>2-6</w:t>
            </w:r>
            <w:r>
              <w:rPr>
                <w:rFonts w:ascii="Times New Roman" w:hAnsi="Times New Roman" w:cs="Times New Roman"/>
                <w:b/>
                <w:color w:val="0000FF"/>
              </w:rPr>
              <w:t xml:space="preserve"> </w:t>
            </w:r>
            <w:r>
              <w:rPr>
                <w:rFonts w:hint="eastAsia" w:cs="Times New Roman"/>
                <w:b/>
                <w:color w:val="0000FF"/>
                <w:lang w:eastAsia="zh-CN"/>
              </w:rPr>
              <w:t>水泥熟料抗压强度</w:t>
            </w:r>
            <w:r>
              <w:rPr>
                <w:rFonts w:hint="eastAsia" w:ascii="Times New Roman" w:hAnsi="Times New Roman" w:cs="Times New Roman"/>
                <w:b/>
                <w:color w:val="0000FF"/>
              </w:rPr>
              <w:t>表</w:t>
            </w:r>
          </w:p>
          <w:bookmarkEnd w:id="36"/>
          <w:tbl>
            <w:tblPr>
              <w:tblStyle w:val="2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875"/>
              <w:gridCol w:w="1098"/>
              <w:gridCol w:w="5309"/>
            </w:tblGrid>
            <w:tr w14:paraId="773B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6" w:type="pct"/>
                  <w:vMerge w:val="restart"/>
                  <w:vAlign w:val="center"/>
                </w:tcPr>
                <w:p w14:paraId="6FE52F38">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bookmarkStart w:id="37" w:name="OLE_LINK37"/>
                  <w:r>
                    <w:rPr>
                      <w:rFonts w:hint="eastAsia" w:cs="Times New Roman"/>
                      <w:b w:val="0"/>
                      <w:bCs w:val="0"/>
                      <w:color w:val="0000FF"/>
                      <w:sz w:val="21"/>
                      <w:szCs w:val="21"/>
                      <w:lang w:val="en-US" w:eastAsia="zh-CN"/>
                    </w:rPr>
                    <w:t>类型</w:t>
                  </w:r>
                </w:p>
              </w:tc>
              <w:tc>
                <w:tcPr>
                  <w:tcW w:w="1071" w:type="pct"/>
                  <w:gridSpan w:val="2"/>
                  <w:vAlign w:val="center"/>
                </w:tcPr>
                <w:p w14:paraId="39E05E86">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抗压强度/MPa</w:t>
                  </w:r>
                </w:p>
              </w:tc>
              <w:tc>
                <w:tcPr>
                  <w:tcW w:w="2882" w:type="pct"/>
                  <w:vMerge w:val="restart"/>
                  <w:vAlign w:val="center"/>
                </w:tcPr>
                <w:p w14:paraId="0BACC0AA">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数据来源</w:t>
                  </w:r>
                </w:p>
              </w:tc>
            </w:tr>
            <w:tr w14:paraId="1E033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6" w:type="pct"/>
                  <w:vMerge w:val="continue"/>
                  <w:vAlign w:val="center"/>
                </w:tcPr>
                <w:p w14:paraId="00C7D5A1">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p>
              </w:tc>
              <w:tc>
                <w:tcPr>
                  <w:tcW w:w="475" w:type="pct"/>
                  <w:vAlign w:val="center"/>
                </w:tcPr>
                <w:p w14:paraId="02E5BCF5">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3d</w:t>
                  </w:r>
                </w:p>
              </w:tc>
              <w:tc>
                <w:tcPr>
                  <w:tcW w:w="595" w:type="pct"/>
                  <w:vAlign w:val="center"/>
                </w:tcPr>
                <w:p w14:paraId="7F5713A4">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28d</w:t>
                  </w:r>
                </w:p>
              </w:tc>
              <w:tc>
                <w:tcPr>
                  <w:tcW w:w="2882" w:type="pct"/>
                  <w:vMerge w:val="continue"/>
                  <w:vAlign w:val="center"/>
                </w:tcPr>
                <w:p w14:paraId="4758BE40">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p>
              </w:tc>
            </w:tr>
            <w:tr w14:paraId="5FD25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6" w:type="pct"/>
                  <w:vAlign w:val="center"/>
                </w:tcPr>
                <w:p w14:paraId="55725789">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通用水泥熟料</w:t>
                  </w:r>
                </w:p>
              </w:tc>
              <w:tc>
                <w:tcPr>
                  <w:tcW w:w="475" w:type="pct"/>
                  <w:vAlign w:val="center"/>
                </w:tcPr>
                <w:p w14:paraId="340CA10C">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≥26</w:t>
                  </w:r>
                </w:p>
              </w:tc>
              <w:tc>
                <w:tcPr>
                  <w:tcW w:w="595" w:type="pct"/>
                  <w:vAlign w:val="center"/>
                </w:tcPr>
                <w:p w14:paraId="5F08ACB0">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≥52.5</w:t>
                  </w:r>
                </w:p>
              </w:tc>
              <w:tc>
                <w:tcPr>
                  <w:tcW w:w="2882" w:type="pct"/>
                  <w:vAlign w:val="center"/>
                </w:tcPr>
                <w:p w14:paraId="7811D46A">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default" w:cs="Times New Roman"/>
                      <w:b w:val="0"/>
                      <w:bCs w:val="0"/>
                      <w:color w:val="0000FF"/>
                      <w:sz w:val="21"/>
                      <w:szCs w:val="21"/>
                      <w:lang w:val="en-US" w:eastAsia="zh-CN"/>
                    </w:rPr>
                    <w:t>《硅酸盐水泥熟料》（GB/T 21372-2008）</w:t>
                  </w:r>
                </w:p>
              </w:tc>
            </w:tr>
            <w:bookmarkEnd w:id="37"/>
          </w:tbl>
          <w:p w14:paraId="5AEFAFB4">
            <w:pPr>
              <w:autoSpaceDE w:val="0"/>
              <w:autoSpaceDN w:val="0"/>
              <w:adjustRightInd w:val="0"/>
              <w:jc w:val="center"/>
              <w:rPr>
                <w:rFonts w:hint="eastAsia" w:cs="Times New Roman"/>
                <w:b/>
                <w:color w:val="0000FF"/>
                <w:lang w:val="en-US" w:eastAsia="zh-CN"/>
              </w:rPr>
            </w:pPr>
            <w:bookmarkStart w:id="38" w:name="OLE_LINK50"/>
            <w:r>
              <w:rPr>
                <w:rFonts w:hint="eastAsia" w:ascii="Times New Roman" w:hAnsi="Times New Roman" w:cs="Times New Roman"/>
                <w:b/>
                <w:color w:val="0000FF"/>
                <w:lang w:val="en-US" w:eastAsia="zh-CN"/>
              </w:rPr>
              <w:t>表2-7</w:t>
            </w:r>
            <w:r>
              <w:rPr>
                <w:rFonts w:hint="eastAsia" w:cs="Times New Roman"/>
                <w:b/>
                <w:color w:val="0000FF"/>
                <w:lang w:val="en-US" w:eastAsia="zh-CN"/>
              </w:rPr>
              <w:t xml:space="preserve"> 水泥熟料中重金属含量及可浸出重金属浓度限值</w:t>
            </w:r>
          </w:p>
          <w:tbl>
            <w:tblPr>
              <w:tblStyle w:val="29"/>
              <w:tblW w:w="9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2"/>
              <w:gridCol w:w="2302"/>
              <w:gridCol w:w="2303"/>
              <w:gridCol w:w="2303"/>
            </w:tblGrid>
            <w:tr w14:paraId="5F6E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302" w:type="dxa"/>
                  <w:vAlign w:val="center"/>
                </w:tcPr>
                <w:p w14:paraId="74250472">
                  <w:pPr>
                    <w:autoSpaceDE w:val="0"/>
                    <w:autoSpaceDN w:val="0"/>
                    <w:adjustRightInd w:val="0"/>
                    <w:jc w:val="center"/>
                    <w:rPr>
                      <w:rFonts w:hint="default" w:cs="Times New Roman"/>
                      <w:b w:val="0"/>
                      <w:bCs/>
                      <w:color w:val="0000FF"/>
                      <w:vertAlign w:val="baseline"/>
                      <w:lang w:val="en-US" w:eastAsia="zh-CN"/>
                    </w:rPr>
                  </w:pPr>
                  <w:r>
                    <w:rPr>
                      <w:rFonts w:hint="eastAsia" w:cs="Times New Roman"/>
                      <w:b w:val="0"/>
                      <w:bCs/>
                      <w:color w:val="0000FF"/>
                      <w:vertAlign w:val="baseline"/>
                      <w:lang w:val="en-US" w:eastAsia="zh-CN"/>
                    </w:rPr>
                    <w:t>重金属元素</w:t>
                  </w:r>
                </w:p>
              </w:tc>
              <w:tc>
                <w:tcPr>
                  <w:tcW w:w="2302" w:type="dxa"/>
                  <w:vAlign w:val="center"/>
                </w:tcPr>
                <w:p w14:paraId="7CE71B15">
                  <w:pPr>
                    <w:autoSpaceDE w:val="0"/>
                    <w:autoSpaceDN w:val="0"/>
                    <w:adjustRightInd w:val="0"/>
                    <w:jc w:val="center"/>
                    <w:rPr>
                      <w:rFonts w:hint="default" w:cs="Times New Roman"/>
                      <w:b w:val="0"/>
                      <w:bCs/>
                      <w:color w:val="0000FF"/>
                      <w:vertAlign w:val="baseline"/>
                      <w:lang w:val="en-US" w:eastAsia="zh-CN"/>
                    </w:rPr>
                  </w:pPr>
                  <w:r>
                    <w:rPr>
                      <w:rFonts w:hint="default" w:cs="Times New Roman"/>
                      <w:b w:val="0"/>
                      <w:bCs/>
                      <w:color w:val="0000FF"/>
                      <w:vertAlign w:val="baseline"/>
                      <w:lang w:val="en-US" w:eastAsia="zh-CN"/>
                    </w:rPr>
                    <w:t>水泥熟料中重金属含量限值</w:t>
                  </w:r>
                  <w:r>
                    <w:rPr>
                      <w:rFonts w:hint="eastAsia" w:cs="Times New Roman"/>
                      <w:b w:val="0"/>
                      <w:bCs/>
                      <w:color w:val="0000FF"/>
                      <w:vertAlign w:val="baseline"/>
                      <w:lang w:val="en-US" w:eastAsia="zh-CN"/>
                    </w:rPr>
                    <w:t>（mg/kg）</w:t>
                  </w:r>
                </w:p>
              </w:tc>
              <w:tc>
                <w:tcPr>
                  <w:tcW w:w="2303" w:type="dxa"/>
                  <w:vAlign w:val="center"/>
                </w:tcPr>
                <w:p w14:paraId="62712439">
                  <w:pPr>
                    <w:autoSpaceDE w:val="0"/>
                    <w:autoSpaceDN w:val="0"/>
                    <w:adjustRightInd w:val="0"/>
                    <w:jc w:val="center"/>
                    <w:rPr>
                      <w:rFonts w:hint="default" w:cs="Times New Roman"/>
                      <w:b w:val="0"/>
                      <w:bCs/>
                      <w:color w:val="0000FF"/>
                      <w:vertAlign w:val="baseline"/>
                      <w:lang w:val="en-US" w:eastAsia="zh-CN"/>
                    </w:rPr>
                  </w:pPr>
                  <w:r>
                    <w:rPr>
                      <w:rFonts w:hint="default" w:cs="Times New Roman"/>
                      <w:b w:val="0"/>
                      <w:bCs/>
                      <w:color w:val="0000FF"/>
                      <w:vertAlign w:val="baseline"/>
                      <w:lang w:val="en-US" w:eastAsia="zh-CN"/>
                    </w:rPr>
                    <w:t>水泥熟料中可浸出重金属含量限值</w:t>
                  </w:r>
                  <w:r>
                    <w:rPr>
                      <w:rFonts w:hint="eastAsia" w:cs="Times New Roman"/>
                      <w:b w:val="0"/>
                      <w:bCs/>
                      <w:color w:val="0000FF"/>
                      <w:vertAlign w:val="baseline"/>
                      <w:lang w:val="en-US" w:eastAsia="zh-CN"/>
                    </w:rPr>
                    <w:t>（mg/L）</w:t>
                  </w:r>
                </w:p>
              </w:tc>
              <w:tc>
                <w:tcPr>
                  <w:tcW w:w="2303" w:type="dxa"/>
                  <w:vAlign w:val="center"/>
                </w:tcPr>
                <w:p w14:paraId="61B76351">
                  <w:pPr>
                    <w:autoSpaceDE w:val="0"/>
                    <w:autoSpaceDN w:val="0"/>
                    <w:adjustRightInd w:val="0"/>
                    <w:jc w:val="center"/>
                    <w:rPr>
                      <w:rFonts w:hint="default" w:cs="Times New Roman"/>
                      <w:b w:val="0"/>
                      <w:bCs/>
                      <w:color w:val="0000FF"/>
                      <w:vertAlign w:val="baseline"/>
                      <w:lang w:val="en-US" w:eastAsia="zh-CN"/>
                    </w:rPr>
                  </w:pPr>
                  <w:r>
                    <w:rPr>
                      <w:rFonts w:hint="eastAsia" w:cs="Times New Roman"/>
                      <w:b w:val="0"/>
                      <w:bCs/>
                      <w:color w:val="0000FF"/>
                      <w:vertAlign w:val="baseline"/>
                      <w:lang w:val="en-US" w:eastAsia="zh-CN"/>
                    </w:rPr>
                    <w:t>数据来源</w:t>
                  </w:r>
                </w:p>
              </w:tc>
            </w:tr>
            <w:tr w14:paraId="1F5A1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02" w:type="dxa"/>
                  <w:vAlign w:val="center"/>
                </w:tcPr>
                <w:p w14:paraId="0CFB9A45">
                  <w:pPr>
                    <w:autoSpaceDE w:val="0"/>
                    <w:autoSpaceDN w:val="0"/>
                    <w:adjustRightInd w:val="0"/>
                    <w:jc w:val="center"/>
                    <w:rPr>
                      <w:rFonts w:hint="eastAsia" w:eastAsia="宋体" w:cs="Times New Roman"/>
                      <w:b w:val="0"/>
                      <w:bCs/>
                      <w:color w:val="0000FF"/>
                      <w:vertAlign w:val="baseline"/>
                      <w:lang w:val="en-US" w:eastAsia="zh-CN"/>
                    </w:rPr>
                  </w:pPr>
                  <w:r>
                    <w:rPr>
                      <w:rFonts w:hint="eastAsia" w:cs="Times New Roman"/>
                      <w:b w:val="0"/>
                      <w:bCs/>
                      <w:color w:val="0000FF"/>
                      <w:vertAlign w:val="baseline"/>
                      <w:lang w:val="en-US" w:eastAsia="zh-CN"/>
                    </w:rPr>
                    <w:t>砷（As）</w:t>
                  </w:r>
                </w:p>
              </w:tc>
              <w:tc>
                <w:tcPr>
                  <w:tcW w:w="2302" w:type="dxa"/>
                  <w:vAlign w:val="center"/>
                </w:tcPr>
                <w:p w14:paraId="2105CF60">
                  <w:pPr>
                    <w:autoSpaceDE w:val="0"/>
                    <w:autoSpaceDN w:val="0"/>
                    <w:adjustRightInd w:val="0"/>
                    <w:jc w:val="center"/>
                    <w:rPr>
                      <w:rFonts w:hint="default" w:cs="Times New Roman"/>
                      <w:b w:val="0"/>
                      <w:bCs/>
                      <w:color w:val="0000FF"/>
                      <w:vertAlign w:val="baseline"/>
                      <w:lang w:val="en-US" w:eastAsia="zh-CN"/>
                    </w:rPr>
                  </w:pPr>
                  <w:r>
                    <w:rPr>
                      <w:rFonts w:hint="eastAsia" w:cs="Times New Roman"/>
                      <w:b w:val="0"/>
                      <w:bCs/>
                      <w:color w:val="0000FF"/>
                      <w:vertAlign w:val="baseline"/>
                      <w:lang w:val="en-US" w:eastAsia="zh-CN"/>
                    </w:rPr>
                    <w:t>40</w:t>
                  </w:r>
                </w:p>
              </w:tc>
              <w:tc>
                <w:tcPr>
                  <w:tcW w:w="2303" w:type="dxa"/>
                  <w:vAlign w:val="center"/>
                </w:tcPr>
                <w:p w14:paraId="0B85139F">
                  <w:pPr>
                    <w:autoSpaceDE w:val="0"/>
                    <w:autoSpaceDN w:val="0"/>
                    <w:adjustRightInd w:val="0"/>
                    <w:jc w:val="center"/>
                    <w:rPr>
                      <w:rFonts w:hint="default" w:cs="Times New Roman"/>
                      <w:b w:val="0"/>
                      <w:bCs/>
                      <w:color w:val="0000FF"/>
                      <w:vertAlign w:val="baseline"/>
                      <w:lang w:val="en-US" w:eastAsia="zh-CN"/>
                    </w:rPr>
                  </w:pPr>
                  <w:r>
                    <w:rPr>
                      <w:rFonts w:hint="eastAsia" w:cs="Times New Roman"/>
                      <w:b w:val="0"/>
                      <w:bCs/>
                      <w:color w:val="0000FF"/>
                      <w:vertAlign w:val="baseline"/>
                      <w:lang w:val="en-US" w:eastAsia="zh-CN"/>
                    </w:rPr>
                    <w:t>0.1</w:t>
                  </w:r>
                </w:p>
              </w:tc>
              <w:tc>
                <w:tcPr>
                  <w:tcW w:w="2303" w:type="dxa"/>
                  <w:vMerge w:val="restart"/>
                  <w:vAlign w:val="center"/>
                </w:tcPr>
                <w:p w14:paraId="29A16F53">
                  <w:pPr>
                    <w:autoSpaceDE w:val="0"/>
                    <w:autoSpaceDN w:val="0"/>
                    <w:adjustRightInd w:val="0"/>
                    <w:jc w:val="center"/>
                    <w:rPr>
                      <w:rFonts w:hint="default" w:cs="Times New Roman"/>
                      <w:b w:val="0"/>
                      <w:bCs/>
                      <w:color w:val="0000FF"/>
                      <w:vertAlign w:val="baseline"/>
                      <w:lang w:val="en-US" w:eastAsia="zh-CN"/>
                    </w:rPr>
                  </w:pPr>
                  <w:r>
                    <w:rPr>
                      <w:rFonts w:hint="default" w:cs="Times New Roman"/>
                      <w:b w:val="0"/>
                      <w:bCs/>
                      <w:color w:val="0000FF"/>
                      <w:vertAlign w:val="baseline"/>
                      <w:lang w:val="en-US" w:eastAsia="zh-CN"/>
                    </w:rPr>
                    <w:t>《水泥窑协同处置固体废物技术规范》（GB/T 30760-2024）</w:t>
                  </w:r>
                </w:p>
              </w:tc>
            </w:tr>
            <w:tr w14:paraId="1969E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02" w:type="dxa"/>
                  <w:vAlign w:val="center"/>
                </w:tcPr>
                <w:p w14:paraId="57A76EFC">
                  <w:pPr>
                    <w:autoSpaceDE w:val="0"/>
                    <w:autoSpaceDN w:val="0"/>
                    <w:adjustRightInd w:val="0"/>
                    <w:jc w:val="center"/>
                    <w:rPr>
                      <w:rFonts w:hint="default" w:cs="Times New Roman"/>
                      <w:b w:val="0"/>
                      <w:bCs/>
                      <w:color w:val="0000FF"/>
                      <w:vertAlign w:val="baseline"/>
                      <w:lang w:val="en-US" w:eastAsia="zh-CN"/>
                    </w:rPr>
                  </w:pPr>
                  <w:r>
                    <w:rPr>
                      <w:rFonts w:hint="eastAsia" w:cs="Times New Roman"/>
                      <w:b w:val="0"/>
                      <w:bCs/>
                      <w:color w:val="0000FF"/>
                      <w:vertAlign w:val="baseline"/>
                      <w:lang w:val="en-US" w:eastAsia="zh-CN"/>
                    </w:rPr>
                    <w:t>铅（Pb）</w:t>
                  </w:r>
                </w:p>
              </w:tc>
              <w:tc>
                <w:tcPr>
                  <w:tcW w:w="2302" w:type="dxa"/>
                  <w:vAlign w:val="center"/>
                </w:tcPr>
                <w:p w14:paraId="591703F5">
                  <w:pPr>
                    <w:autoSpaceDE w:val="0"/>
                    <w:autoSpaceDN w:val="0"/>
                    <w:adjustRightInd w:val="0"/>
                    <w:jc w:val="center"/>
                    <w:rPr>
                      <w:rFonts w:hint="default" w:cs="Times New Roman"/>
                      <w:b w:val="0"/>
                      <w:bCs/>
                      <w:color w:val="0000FF"/>
                      <w:vertAlign w:val="baseline"/>
                      <w:lang w:val="en-US" w:eastAsia="zh-CN"/>
                    </w:rPr>
                  </w:pPr>
                  <w:r>
                    <w:rPr>
                      <w:rFonts w:hint="eastAsia" w:cs="Times New Roman"/>
                      <w:b w:val="0"/>
                      <w:bCs/>
                      <w:color w:val="0000FF"/>
                      <w:vertAlign w:val="baseline"/>
                      <w:lang w:val="en-US" w:eastAsia="zh-CN"/>
                    </w:rPr>
                    <w:t>100</w:t>
                  </w:r>
                </w:p>
              </w:tc>
              <w:tc>
                <w:tcPr>
                  <w:tcW w:w="2303" w:type="dxa"/>
                  <w:vAlign w:val="center"/>
                </w:tcPr>
                <w:p w14:paraId="6494B21E">
                  <w:pPr>
                    <w:autoSpaceDE w:val="0"/>
                    <w:autoSpaceDN w:val="0"/>
                    <w:adjustRightInd w:val="0"/>
                    <w:jc w:val="center"/>
                    <w:rPr>
                      <w:rFonts w:hint="default" w:cs="Times New Roman"/>
                      <w:b w:val="0"/>
                      <w:bCs/>
                      <w:color w:val="0000FF"/>
                      <w:vertAlign w:val="baseline"/>
                      <w:lang w:val="en-US" w:eastAsia="zh-CN"/>
                    </w:rPr>
                  </w:pPr>
                  <w:r>
                    <w:rPr>
                      <w:rFonts w:hint="eastAsia" w:cs="Times New Roman"/>
                      <w:b w:val="0"/>
                      <w:bCs/>
                      <w:color w:val="0000FF"/>
                      <w:vertAlign w:val="baseline"/>
                      <w:lang w:val="en-US" w:eastAsia="zh-CN"/>
                    </w:rPr>
                    <w:t>0.3</w:t>
                  </w:r>
                </w:p>
              </w:tc>
              <w:tc>
                <w:tcPr>
                  <w:tcW w:w="2303" w:type="dxa"/>
                  <w:vMerge w:val="continue"/>
                  <w:vAlign w:val="center"/>
                </w:tcPr>
                <w:p w14:paraId="3F979A09">
                  <w:pPr>
                    <w:autoSpaceDE w:val="0"/>
                    <w:autoSpaceDN w:val="0"/>
                    <w:adjustRightInd w:val="0"/>
                    <w:jc w:val="center"/>
                    <w:rPr>
                      <w:rFonts w:hint="default" w:cs="Times New Roman"/>
                      <w:b w:val="0"/>
                      <w:bCs/>
                      <w:color w:val="0000FF"/>
                      <w:vertAlign w:val="baseline"/>
                      <w:lang w:val="en-US" w:eastAsia="zh-CN"/>
                    </w:rPr>
                  </w:pPr>
                </w:p>
              </w:tc>
            </w:tr>
            <w:tr w14:paraId="7DA18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02" w:type="dxa"/>
                  <w:vAlign w:val="center"/>
                </w:tcPr>
                <w:p w14:paraId="6704DBB3">
                  <w:pPr>
                    <w:autoSpaceDE w:val="0"/>
                    <w:autoSpaceDN w:val="0"/>
                    <w:adjustRightInd w:val="0"/>
                    <w:jc w:val="center"/>
                    <w:rPr>
                      <w:rFonts w:hint="default" w:cs="Times New Roman"/>
                      <w:b w:val="0"/>
                      <w:bCs/>
                      <w:color w:val="0000FF"/>
                      <w:vertAlign w:val="baseline"/>
                      <w:lang w:val="en-US" w:eastAsia="zh-CN"/>
                    </w:rPr>
                  </w:pPr>
                  <w:r>
                    <w:rPr>
                      <w:rFonts w:hint="eastAsia" w:cs="Times New Roman"/>
                      <w:b w:val="0"/>
                      <w:bCs/>
                      <w:color w:val="0000FF"/>
                      <w:vertAlign w:val="baseline"/>
                      <w:lang w:val="en-US" w:eastAsia="zh-CN"/>
                    </w:rPr>
                    <w:t>镉（Cd）</w:t>
                  </w:r>
                </w:p>
              </w:tc>
              <w:tc>
                <w:tcPr>
                  <w:tcW w:w="2302" w:type="dxa"/>
                  <w:vAlign w:val="center"/>
                </w:tcPr>
                <w:p w14:paraId="117ACA7B">
                  <w:pPr>
                    <w:autoSpaceDE w:val="0"/>
                    <w:autoSpaceDN w:val="0"/>
                    <w:adjustRightInd w:val="0"/>
                    <w:jc w:val="center"/>
                    <w:rPr>
                      <w:rFonts w:hint="default" w:cs="Times New Roman"/>
                      <w:b w:val="0"/>
                      <w:bCs/>
                      <w:color w:val="0000FF"/>
                      <w:vertAlign w:val="baseline"/>
                      <w:lang w:val="en-US" w:eastAsia="zh-CN"/>
                    </w:rPr>
                  </w:pPr>
                  <w:r>
                    <w:rPr>
                      <w:rFonts w:hint="eastAsia" w:cs="Times New Roman"/>
                      <w:b w:val="0"/>
                      <w:bCs/>
                      <w:color w:val="0000FF"/>
                      <w:vertAlign w:val="baseline"/>
                      <w:lang w:val="en-US" w:eastAsia="zh-CN"/>
                    </w:rPr>
                    <w:t>1.5</w:t>
                  </w:r>
                </w:p>
              </w:tc>
              <w:tc>
                <w:tcPr>
                  <w:tcW w:w="2303" w:type="dxa"/>
                  <w:vAlign w:val="center"/>
                </w:tcPr>
                <w:p w14:paraId="72B22C0B">
                  <w:pPr>
                    <w:autoSpaceDE w:val="0"/>
                    <w:autoSpaceDN w:val="0"/>
                    <w:adjustRightInd w:val="0"/>
                    <w:jc w:val="center"/>
                    <w:rPr>
                      <w:rFonts w:hint="default" w:cs="Times New Roman"/>
                      <w:b w:val="0"/>
                      <w:bCs/>
                      <w:color w:val="0000FF"/>
                      <w:vertAlign w:val="baseline"/>
                      <w:lang w:val="en-US" w:eastAsia="zh-CN"/>
                    </w:rPr>
                  </w:pPr>
                  <w:r>
                    <w:rPr>
                      <w:rFonts w:hint="eastAsia" w:cs="Times New Roman"/>
                      <w:b w:val="0"/>
                      <w:bCs/>
                      <w:color w:val="0000FF"/>
                      <w:vertAlign w:val="baseline"/>
                      <w:lang w:val="en-US" w:eastAsia="zh-CN"/>
                    </w:rPr>
                    <w:t>0.03</w:t>
                  </w:r>
                </w:p>
              </w:tc>
              <w:tc>
                <w:tcPr>
                  <w:tcW w:w="2303" w:type="dxa"/>
                  <w:vMerge w:val="continue"/>
                  <w:vAlign w:val="center"/>
                </w:tcPr>
                <w:p w14:paraId="26D21B57">
                  <w:pPr>
                    <w:autoSpaceDE w:val="0"/>
                    <w:autoSpaceDN w:val="0"/>
                    <w:adjustRightInd w:val="0"/>
                    <w:jc w:val="center"/>
                    <w:rPr>
                      <w:rFonts w:hint="default" w:cs="Times New Roman"/>
                      <w:b w:val="0"/>
                      <w:bCs/>
                      <w:color w:val="0000FF"/>
                      <w:vertAlign w:val="baseline"/>
                      <w:lang w:val="en-US" w:eastAsia="zh-CN"/>
                    </w:rPr>
                  </w:pPr>
                </w:p>
              </w:tc>
            </w:tr>
            <w:tr w14:paraId="58525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02" w:type="dxa"/>
                  <w:vAlign w:val="center"/>
                </w:tcPr>
                <w:p w14:paraId="322F470C">
                  <w:pPr>
                    <w:autoSpaceDE w:val="0"/>
                    <w:autoSpaceDN w:val="0"/>
                    <w:adjustRightInd w:val="0"/>
                    <w:jc w:val="center"/>
                    <w:rPr>
                      <w:rFonts w:hint="default" w:cs="Times New Roman"/>
                      <w:b w:val="0"/>
                      <w:bCs/>
                      <w:color w:val="0000FF"/>
                      <w:vertAlign w:val="baseline"/>
                      <w:lang w:val="en-US" w:eastAsia="zh-CN"/>
                    </w:rPr>
                  </w:pPr>
                  <w:r>
                    <w:rPr>
                      <w:rFonts w:hint="eastAsia" w:cs="Times New Roman"/>
                      <w:b w:val="0"/>
                      <w:bCs/>
                      <w:color w:val="0000FF"/>
                      <w:vertAlign w:val="baseline"/>
                      <w:lang w:val="en-US" w:eastAsia="zh-CN"/>
                    </w:rPr>
                    <w:t>铬（Cr）</w:t>
                  </w:r>
                </w:p>
              </w:tc>
              <w:tc>
                <w:tcPr>
                  <w:tcW w:w="2302" w:type="dxa"/>
                  <w:vAlign w:val="center"/>
                </w:tcPr>
                <w:p w14:paraId="1BB8B644">
                  <w:pPr>
                    <w:autoSpaceDE w:val="0"/>
                    <w:autoSpaceDN w:val="0"/>
                    <w:adjustRightInd w:val="0"/>
                    <w:jc w:val="center"/>
                    <w:rPr>
                      <w:rFonts w:hint="default" w:cs="Times New Roman"/>
                      <w:b w:val="0"/>
                      <w:bCs/>
                      <w:color w:val="0000FF"/>
                      <w:vertAlign w:val="baseline"/>
                      <w:lang w:val="en-US" w:eastAsia="zh-CN"/>
                    </w:rPr>
                  </w:pPr>
                  <w:r>
                    <w:rPr>
                      <w:rFonts w:hint="eastAsia" w:cs="Times New Roman"/>
                      <w:b w:val="0"/>
                      <w:bCs/>
                      <w:color w:val="0000FF"/>
                      <w:vertAlign w:val="baseline"/>
                      <w:lang w:val="en-US" w:eastAsia="zh-CN"/>
                    </w:rPr>
                    <w:t>150</w:t>
                  </w:r>
                </w:p>
              </w:tc>
              <w:tc>
                <w:tcPr>
                  <w:tcW w:w="2303" w:type="dxa"/>
                  <w:vAlign w:val="center"/>
                </w:tcPr>
                <w:p w14:paraId="2A231221">
                  <w:pPr>
                    <w:autoSpaceDE w:val="0"/>
                    <w:autoSpaceDN w:val="0"/>
                    <w:adjustRightInd w:val="0"/>
                    <w:jc w:val="center"/>
                    <w:rPr>
                      <w:rFonts w:hint="default" w:cs="Times New Roman"/>
                      <w:b w:val="0"/>
                      <w:bCs/>
                      <w:color w:val="0000FF"/>
                      <w:vertAlign w:val="baseline"/>
                      <w:lang w:val="en-US" w:eastAsia="zh-CN"/>
                    </w:rPr>
                  </w:pPr>
                  <w:r>
                    <w:rPr>
                      <w:rFonts w:hint="eastAsia" w:cs="Times New Roman"/>
                      <w:b w:val="0"/>
                      <w:bCs/>
                      <w:color w:val="0000FF"/>
                      <w:vertAlign w:val="baseline"/>
                      <w:lang w:val="en-US" w:eastAsia="zh-CN"/>
                    </w:rPr>
                    <w:t>0.2</w:t>
                  </w:r>
                </w:p>
              </w:tc>
              <w:tc>
                <w:tcPr>
                  <w:tcW w:w="2303" w:type="dxa"/>
                  <w:vMerge w:val="continue"/>
                  <w:vAlign w:val="center"/>
                </w:tcPr>
                <w:p w14:paraId="244A9789">
                  <w:pPr>
                    <w:autoSpaceDE w:val="0"/>
                    <w:autoSpaceDN w:val="0"/>
                    <w:adjustRightInd w:val="0"/>
                    <w:jc w:val="center"/>
                    <w:rPr>
                      <w:rFonts w:hint="default" w:cs="Times New Roman"/>
                      <w:b w:val="0"/>
                      <w:bCs/>
                      <w:color w:val="0000FF"/>
                      <w:vertAlign w:val="baseline"/>
                      <w:lang w:val="en-US" w:eastAsia="zh-CN"/>
                    </w:rPr>
                  </w:pPr>
                </w:p>
              </w:tc>
            </w:tr>
            <w:tr w14:paraId="350FB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02" w:type="dxa"/>
                  <w:vAlign w:val="center"/>
                </w:tcPr>
                <w:p w14:paraId="252CE064">
                  <w:pPr>
                    <w:autoSpaceDE w:val="0"/>
                    <w:autoSpaceDN w:val="0"/>
                    <w:adjustRightInd w:val="0"/>
                    <w:jc w:val="center"/>
                    <w:rPr>
                      <w:rFonts w:hint="default" w:cs="Times New Roman"/>
                      <w:b w:val="0"/>
                      <w:bCs/>
                      <w:color w:val="0000FF"/>
                      <w:vertAlign w:val="baseline"/>
                      <w:lang w:val="en-US" w:eastAsia="zh-CN"/>
                    </w:rPr>
                  </w:pPr>
                  <w:r>
                    <w:rPr>
                      <w:rFonts w:hint="eastAsia" w:cs="Times New Roman"/>
                      <w:b w:val="0"/>
                      <w:bCs/>
                      <w:color w:val="0000FF"/>
                      <w:vertAlign w:val="baseline"/>
                      <w:lang w:val="en-US" w:eastAsia="zh-CN"/>
                    </w:rPr>
                    <w:t>铜（Cu）</w:t>
                  </w:r>
                </w:p>
              </w:tc>
              <w:tc>
                <w:tcPr>
                  <w:tcW w:w="2302" w:type="dxa"/>
                  <w:vAlign w:val="center"/>
                </w:tcPr>
                <w:p w14:paraId="6EDDE36C">
                  <w:pPr>
                    <w:autoSpaceDE w:val="0"/>
                    <w:autoSpaceDN w:val="0"/>
                    <w:adjustRightInd w:val="0"/>
                    <w:jc w:val="center"/>
                    <w:rPr>
                      <w:rFonts w:hint="default" w:cs="Times New Roman"/>
                      <w:b w:val="0"/>
                      <w:bCs/>
                      <w:color w:val="0000FF"/>
                      <w:vertAlign w:val="baseline"/>
                      <w:lang w:val="en-US" w:eastAsia="zh-CN"/>
                    </w:rPr>
                  </w:pPr>
                  <w:r>
                    <w:rPr>
                      <w:rFonts w:hint="eastAsia" w:cs="Times New Roman"/>
                      <w:b w:val="0"/>
                      <w:bCs/>
                      <w:color w:val="0000FF"/>
                      <w:vertAlign w:val="baseline"/>
                      <w:lang w:val="en-US" w:eastAsia="zh-CN"/>
                    </w:rPr>
                    <w:t>100</w:t>
                  </w:r>
                </w:p>
              </w:tc>
              <w:tc>
                <w:tcPr>
                  <w:tcW w:w="2303" w:type="dxa"/>
                  <w:vAlign w:val="center"/>
                </w:tcPr>
                <w:p w14:paraId="13AC9329">
                  <w:pPr>
                    <w:autoSpaceDE w:val="0"/>
                    <w:autoSpaceDN w:val="0"/>
                    <w:adjustRightInd w:val="0"/>
                    <w:jc w:val="center"/>
                    <w:rPr>
                      <w:rFonts w:hint="default" w:cs="Times New Roman"/>
                      <w:b w:val="0"/>
                      <w:bCs/>
                      <w:color w:val="0000FF"/>
                      <w:vertAlign w:val="baseline"/>
                      <w:lang w:val="en-US" w:eastAsia="zh-CN"/>
                    </w:rPr>
                  </w:pPr>
                  <w:r>
                    <w:rPr>
                      <w:rFonts w:hint="eastAsia" w:cs="Times New Roman"/>
                      <w:b w:val="0"/>
                      <w:bCs/>
                      <w:color w:val="0000FF"/>
                      <w:vertAlign w:val="baseline"/>
                      <w:lang w:val="en-US" w:eastAsia="zh-CN"/>
                    </w:rPr>
                    <w:t>1.0</w:t>
                  </w:r>
                </w:p>
              </w:tc>
              <w:tc>
                <w:tcPr>
                  <w:tcW w:w="2303" w:type="dxa"/>
                  <w:vMerge w:val="continue"/>
                  <w:vAlign w:val="center"/>
                </w:tcPr>
                <w:p w14:paraId="1DBE7006">
                  <w:pPr>
                    <w:autoSpaceDE w:val="0"/>
                    <w:autoSpaceDN w:val="0"/>
                    <w:adjustRightInd w:val="0"/>
                    <w:jc w:val="center"/>
                    <w:rPr>
                      <w:rFonts w:hint="default" w:cs="Times New Roman"/>
                      <w:b w:val="0"/>
                      <w:bCs/>
                      <w:color w:val="0000FF"/>
                      <w:vertAlign w:val="baseline"/>
                      <w:lang w:val="en-US" w:eastAsia="zh-CN"/>
                    </w:rPr>
                  </w:pPr>
                </w:p>
              </w:tc>
            </w:tr>
            <w:tr w14:paraId="66B7F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02" w:type="dxa"/>
                  <w:vAlign w:val="center"/>
                </w:tcPr>
                <w:p w14:paraId="26B3E707">
                  <w:pPr>
                    <w:autoSpaceDE w:val="0"/>
                    <w:autoSpaceDN w:val="0"/>
                    <w:adjustRightInd w:val="0"/>
                    <w:jc w:val="center"/>
                    <w:rPr>
                      <w:rFonts w:hint="default" w:cs="Times New Roman"/>
                      <w:b w:val="0"/>
                      <w:bCs/>
                      <w:color w:val="0000FF"/>
                      <w:vertAlign w:val="baseline"/>
                      <w:lang w:val="en-US" w:eastAsia="zh-CN"/>
                    </w:rPr>
                  </w:pPr>
                  <w:r>
                    <w:rPr>
                      <w:rFonts w:hint="eastAsia" w:cs="Times New Roman"/>
                      <w:b w:val="0"/>
                      <w:bCs/>
                      <w:color w:val="0000FF"/>
                      <w:vertAlign w:val="baseline"/>
                      <w:lang w:val="en-US" w:eastAsia="zh-CN"/>
                    </w:rPr>
                    <w:t>镍（Ni）</w:t>
                  </w:r>
                </w:p>
              </w:tc>
              <w:tc>
                <w:tcPr>
                  <w:tcW w:w="2302" w:type="dxa"/>
                  <w:vAlign w:val="center"/>
                </w:tcPr>
                <w:p w14:paraId="15C58953">
                  <w:pPr>
                    <w:autoSpaceDE w:val="0"/>
                    <w:autoSpaceDN w:val="0"/>
                    <w:adjustRightInd w:val="0"/>
                    <w:jc w:val="center"/>
                    <w:rPr>
                      <w:rFonts w:hint="default" w:cs="Times New Roman"/>
                      <w:b w:val="0"/>
                      <w:bCs/>
                      <w:color w:val="0000FF"/>
                      <w:vertAlign w:val="baseline"/>
                      <w:lang w:val="en-US" w:eastAsia="zh-CN"/>
                    </w:rPr>
                  </w:pPr>
                  <w:r>
                    <w:rPr>
                      <w:rFonts w:hint="eastAsia" w:cs="Times New Roman"/>
                      <w:b w:val="0"/>
                      <w:bCs/>
                      <w:color w:val="0000FF"/>
                      <w:vertAlign w:val="baseline"/>
                      <w:lang w:val="en-US" w:eastAsia="zh-CN"/>
                    </w:rPr>
                    <w:t>100</w:t>
                  </w:r>
                </w:p>
              </w:tc>
              <w:tc>
                <w:tcPr>
                  <w:tcW w:w="2303" w:type="dxa"/>
                  <w:vAlign w:val="center"/>
                </w:tcPr>
                <w:p w14:paraId="4D5AFDD0">
                  <w:pPr>
                    <w:autoSpaceDE w:val="0"/>
                    <w:autoSpaceDN w:val="0"/>
                    <w:adjustRightInd w:val="0"/>
                    <w:jc w:val="center"/>
                    <w:rPr>
                      <w:rFonts w:hint="default" w:cs="Times New Roman"/>
                      <w:b w:val="0"/>
                      <w:bCs/>
                      <w:color w:val="0000FF"/>
                      <w:vertAlign w:val="baseline"/>
                      <w:lang w:val="en-US" w:eastAsia="zh-CN"/>
                    </w:rPr>
                  </w:pPr>
                  <w:r>
                    <w:rPr>
                      <w:rFonts w:hint="eastAsia" w:cs="Times New Roman"/>
                      <w:b w:val="0"/>
                      <w:bCs/>
                      <w:color w:val="0000FF"/>
                      <w:vertAlign w:val="baseline"/>
                      <w:lang w:val="en-US" w:eastAsia="zh-CN"/>
                    </w:rPr>
                    <w:t>0.2</w:t>
                  </w:r>
                </w:p>
              </w:tc>
              <w:tc>
                <w:tcPr>
                  <w:tcW w:w="2303" w:type="dxa"/>
                  <w:vMerge w:val="continue"/>
                  <w:vAlign w:val="center"/>
                </w:tcPr>
                <w:p w14:paraId="22CFACB0">
                  <w:pPr>
                    <w:autoSpaceDE w:val="0"/>
                    <w:autoSpaceDN w:val="0"/>
                    <w:adjustRightInd w:val="0"/>
                    <w:jc w:val="center"/>
                    <w:rPr>
                      <w:rFonts w:hint="default" w:cs="Times New Roman"/>
                      <w:b w:val="0"/>
                      <w:bCs/>
                      <w:color w:val="0000FF"/>
                      <w:vertAlign w:val="baseline"/>
                      <w:lang w:val="en-US" w:eastAsia="zh-CN"/>
                    </w:rPr>
                  </w:pPr>
                </w:p>
              </w:tc>
            </w:tr>
            <w:tr w14:paraId="292FD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02" w:type="dxa"/>
                  <w:vAlign w:val="center"/>
                </w:tcPr>
                <w:p w14:paraId="3B004ACF">
                  <w:pPr>
                    <w:autoSpaceDE w:val="0"/>
                    <w:autoSpaceDN w:val="0"/>
                    <w:adjustRightInd w:val="0"/>
                    <w:jc w:val="center"/>
                    <w:rPr>
                      <w:rFonts w:hint="default" w:cs="Times New Roman"/>
                      <w:b w:val="0"/>
                      <w:bCs/>
                      <w:color w:val="0000FF"/>
                      <w:vertAlign w:val="baseline"/>
                      <w:lang w:val="en-US" w:eastAsia="zh-CN"/>
                    </w:rPr>
                  </w:pPr>
                  <w:r>
                    <w:rPr>
                      <w:rFonts w:hint="eastAsia" w:cs="Times New Roman"/>
                      <w:b w:val="0"/>
                      <w:bCs/>
                      <w:color w:val="0000FF"/>
                      <w:vertAlign w:val="baseline"/>
                      <w:lang w:val="en-US" w:eastAsia="zh-CN"/>
                    </w:rPr>
                    <w:t>锌（Zn）</w:t>
                  </w:r>
                </w:p>
              </w:tc>
              <w:tc>
                <w:tcPr>
                  <w:tcW w:w="2302" w:type="dxa"/>
                  <w:vAlign w:val="center"/>
                </w:tcPr>
                <w:p w14:paraId="6E1FAF96">
                  <w:pPr>
                    <w:autoSpaceDE w:val="0"/>
                    <w:autoSpaceDN w:val="0"/>
                    <w:adjustRightInd w:val="0"/>
                    <w:jc w:val="center"/>
                    <w:rPr>
                      <w:rFonts w:hint="default" w:cs="Times New Roman"/>
                      <w:b w:val="0"/>
                      <w:bCs/>
                      <w:color w:val="0000FF"/>
                      <w:vertAlign w:val="baseline"/>
                      <w:lang w:val="en-US" w:eastAsia="zh-CN"/>
                    </w:rPr>
                  </w:pPr>
                  <w:r>
                    <w:rPr>
                      <w:rFonts w:hint="eastAsia" w:cs="Times New Roman"/>
                      <w:b w:val="0"/>
                      <w:bCs/>
                      <w:color w:val="0000FF"/>
                      <w:vertAlign w:val="baseline"/>
                      <w:lang w:val="en-US" w:eastAsia="zh-CN"/>
                    </w:rPr>
                    <w:t>500</w:t>
                  </w:r>
                </w:p>
              </w:tc>
              <w:tc>
                <w:tcPr>
                  <w:tcW w:w="2303" w:type="dxa"/>
                  <w:vAlign w:val="center"/>
                </w:tcPr>
                <w:p w14:paraId="088B7C60">
                  <w:pPr>
                    <w:autoSpaceDE w:val="0"/>
                    <w:autoSpaceDN w:val="0"/>
                    <w:adjustRightInd w:val="0"/>
                    <w:jc w:val="center"/>
                    <w:rPr>
                      <w:rFonts w:hint="default" w:cs="Times New Roman"/>
                      <w:b w:val="0"/>
                      <w:bCs/>
                      <w:color w:val="0000FF"/>
                      <w:vertAlign w:val="baseline"/>
                      <w:lang w:val="en-US" w:eastAsia="zh-CN"/>
                    </w:rPr>
                  </w:pPr>
                  <w:r>
                    <w:rPr>
                      <w:rFonts w:hint="eastAsia" w:cs="Times New Roman"/>
                      <w:b w:val="0"/>
                      <w:bCs/>
                      <w:color w:val="0000FF"/>
                      <w:vertAlign w:val="baseline"/>
                      <w:lang w:val="en-US" w:eastAsia="zh-CN"/>
                    </w:rPr>
                    <w:t>1.0</w:t>
                  </w:r>
                </w:p>
              </w:tc>
              <w:tc>
                <w:tcPr>
                  <w:tcW w:w="2303" w:type="dxa"/>
                  <w:vMerge w:val="continue"/>
                  <w:vAlign w:val="center"/>
                </w:tcPr>
                <w:p w14:paraId="3BCD9192">
                  <w:pPr>
                    <w:autoSpaceDE w:val="0"/>
                    <w:autoSpaceDN w:val="0"/>
                    <w:adjustRightInd w:val="0"/>
                    <w:jc w:val="center"/>
                    <w:rPr>
                      <w:rFonts w:hint="default" w:cs="Times New Roman"/>
                      <w:b w:val="0"/>
                      <w:bCs/>
                      <w:color w:val="0000FF"/>
                      <w:vertAlign w:val="baseline"/>
                      <w:lang w:val="en-US" w:eastAsia="zh-CN"/>
                    </w:rPr>
                  </w:pPr>
                </w:p>
              </w:tc>
            </w:tr>
            <w:tr w14:paraId="6835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02" w:type="dxa"/>
                  <w:vAlign w:val="center"/>
                </w:tcPr>
                <w:p w14:paraId="41DE38AC">
                  <w:pPr>
                    <w:autoSpaceDE w:val="0"/>
                    <w:autoSpaceDN w:val="0"/>
                    <w:adjustRightInd w:val="0"/>
                    <w:jc w:val="center"/>
                    <w:rPr>
                      <w:rFonts w:hint="default" w:cs="Times New Roman"/>
                      <w:b w:val="0"/>
                      <w:bCs/>
                      <w:color w:val="0000FF"/>
                      <w:vertAlign w:val="baseline"/>
                      <w:lang w:val="en-US" w:eastAsia="zh-CN"/>
                    </w:rPr>
                  </w:pPr>
                  <w:r>
                    <w:rPr>
                      <w:rFonts w:hint="eastAsia" w:cs="Times New Roman"/>
                      <w:b w:val="0"/>
                      <w:bCs/>
                      <w:color w:val="0000FF"/>
                      <w:vertAlign w:val="baseline"/>
                      <w:lang w:val="en-US" w:eastAsia="zh-CN"/>
                    </w:rPr>
                    <w:t>锰（Mn）</w:t>
                  </w:r>
                </w:p>
              </w:tc>
              <w:tc>
                <w:tcPr>
                  <w:tcW w:w="2302" w:type="dxa"/>
                  <w:vAlign w:val="center"/>
                </w:tcPr>
                <w:p w14:paraId="06AB2C2B">
                  <w:pPr>
                    <w:autoSpaceDE w:val="0"/>
                    <w:autoSpaceDN w:val="0"/>
                    <w:adjustRightInd w:val="0"/>
                    <w:jc w:val="center"/>
                    <w:rPr>
                      <w:rFonts w:hint="default" w:cs="Times New Roman"/>
                      <w:b w:val="0"/>
                      <w:bCs/>
                      <w:color w:val="0000FF"/>
                      <w:vertAlign w:val="baseline"/>
                      <w:lang w:val="en-US" w:eastAsia="zh-CN"/>
                    </w:rPr>
                  </w:pPr>
                  <w:r>
                    <w:rPr>
                      <w:rFonts w:hint="eastAsia" w:cs="Times New Roman"/>
                      <w:b w:val="0"/>
                      <w:bCs/>
                      <w:color w:val="0000FF"/>
                      <w:vertAlign w:val="baseline"/>
                      <w:lang w:val="en-US" w:eastAsia="zh-CN"/>
                    </w:rPr>
                    <w:t>600</w:t>
                  </w:r>
                </w:p>
              </w:tc>
              <w:tc>
                <w:tcPr>
                  <w:tcW w:w="2303" w:type="dxa"/>
                  <w:vAlign w:val="center"/>
                </w:tcPr>
                <w:p w14:paraId="1463052B">
                  <w:pPr>
                    <w:autoSpaceDE w:val="0"/>
                    <w:autoSpaceDN w:val="0"/>
                    <w:adjustRightInd w:val="0"/>
                    <w:jc w:val="center"/>
                    <w:rPr>
                      <w:rFonts w:hint="default" w:cs="Times New Roman"/>
                      <w:b w:val="0"/>
                      <w:bCs/>
                      <w:color w:val="0000FF"/>
                      <w:vertAlign w:val="baseline"/>
                      <w:lang w:val="en-US" w:eastAsia="zh-CN"/>
                    </w:rPr>
                  </w:pPr>
                  <w:r>
                    <w:rPr>
                      <w:rFonts w:hint="eastAsia" w:cs="Times New Roman"/>
                      <w:b w:val="0"/>
                      <w:bCs/>
                      <w:color w:val="0000FF"/>
                      <w:vertAlign w:val="baseline"/>
                      <w:lang w:val="en-US" w:eastAsia="zh-CN"/>
                    </w:rPr>
                    <w:t>1.0</w:t>
                  </w:r>
                </w:p>
              </w:tc>
              <w:tc>
                <w:tcPr>
                  <w:tcW w:w="2303" w:type="dxa"/>
                  <w:vMerge w:val="continue"/>
                  <w:vAlign w:val="center"/>
                </w:tcPr>
                <w:p w14:paraId="03EB6257">
                  <w:pPr>
                    <w:autoSpaceDE w:val="0"/>
                    <w:autoSpaceDN w:val="0"/>
                    <w:adjustRightInd w:val="0"/>
                    <w:jc w:val="center"/>
                    <w:rPr>
                      <w:rFonts w:hint="default" w:cs="Times New Roman"/>
                      <w:b w:val="0"/>
                      <w:bCs/>
                      <w:color w:val="0000FF"/>
                      <w:vertAlign w:val="baseline"/>
                      <w:lang w:val="en-US" w:eastAsia="zh-CN"/>
                    </w:rPr>
                  </w:pPr>
                </w:p>
              </w:tc>
            </w:tr>
          </w:tbl>
          <w:p w14:paraId="0888DA10">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2" w:firstLineChars="200"/>
              <w:jc w:val="both"/>
              <w:textAlignment w:val="auto"/>
              <w:rPr>
                <w:rFonts w:hint="eastAsia" w:cs="Times New Roman"/>
                <w:b/>
                <w:bCs/>
                <w:color w:val="0000FF"/>
                <w:kern w:val="2"/>
                <w:sz w:val="24"/>
                <w:szCs w:val="24"/>
                <w:lang w:val="en-US" w:eastAsia="zh-CN" w:bidi="ar-SA"/>
              </w:rPr>
            </w:pPr>
            <w:r>
              <w:rPr>
                <w:rFonts w:hint="eastAsia" w:ascii="Times New Roman" w:hAnsi="Times New Roman" w:eastAsia="宋体" w:cs="Times New Roman"/>
                <w:b/>
                <w:bCs/>
                <w:color w:val="0000FF"/>
                <w:kern w:val="2"/>
                <w:sz w:val="24"/>
                <w:szCs w:val="24"/>
                <w:lang w:val="en-US" w:eastAsia="zh-CN" w:bidi="ar-SA"/>
              </w:rPr>
              <w:t>五、</w:t>
            </w:r>
            <w:r>
              <w:rPr>
                <w:rFonts w:hint="eastAsia" w:cs="Times New Roman"/>
                <w:b/>
                <w:bCs/>
                <w:color w:val="0000FF"/>
                <w:kern w:val="2"/>
                <w:sz w:val="24"/>
                <w:szCs w:val="24"/>
                <w:lang w:val="en-US" w:eastAsia="zh-CN" w:bidi="ar-SA"/>
              </w:rPr>
              <w:t>本项目原辅材料用量及能耗</w:t>
            </w:r>
          </w:p>
          <w:p w14:paraId="0E3D4309">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0000FF"/>
                <w:kern w:val="2"/>
                <w:sz w:val="24"/>
                <w:szCs w:val="24"/>
                <w:lang w:val="en-US" w:eastAsia="zh-CN" w:bidi="ar-SA"/>
              </w:rPr>
            </w:pPr>
            <w:bookmarkStart w:id="39" w:name="OLE_LINK63"/>
            <w:r>
              <w:rPr>
                <w:rFonts w:hint="eastAsia" w:cs="Times New Roman"/>
                <w:b w:val="0"/>
                <w:bCs w:val="0"/>
                <w:color w:val="0000FF"/>
                <w:kern w:val="2"/>
                <w:sz w:val="24"/>
                <w:szCs w:val="24"/>
                <w:lang w:val="en-US" w:eastAsia="zh-CN" w:bidi="ar-SA"/>
              </w:rPr>
              <w:t>1、原辅材料基本情况</w:t>
            </w:r>
          </w:p>
          <w:p w14:paraId="1F433DEF">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0000FF"/>
                <w:kern w:val="2"/>
                <w:sz w:val="24"/>
                <w:szCs w:val="24"/>
                <w:lang w:val="en-US" w:eastAsia="zh-CN" w:bidi="ar-SA"/>
              </w:rPr>
            </w:pPr>
            <w:r>
              <w:rPr>
                <w:rFonts w:hint="eastAsia" w:ascii="Times New Roman" w:hAnsi="Times New Roman" w:eastAsia="宋体" w:cs="Times New Roman"/>
                <w:b w:val="0"/>
                <w:bCs w:val="0"/>
                <w:color w:val="0000FF"/>
                <w:kern w:val="2"/>
                <w:sz w:val="24"/>
                <w:szCs w:val="24"/>
                <w:lang w:val="en-US" w:eastAsia="zh-CN" w:bidi="ar-SA"/>
              </w:rPr>
              <w:t>本项目原辅材料用量情况见下表</w:t>
            </w:r>
            <w:r>
              <w:rPr>
                <w:rFonts w:hint="eastAsia" w:cs="Times New Roman"/>
                <w:b w:val="0"/>
                <w:bCs w:val="0"/>
                <w:color w:val="0000FF"/>
                <w:kern w:val="2"/>
                <w:sz w:val="24"/>
                <w:szCs w:val="24"/>
                <w:lang w:val="en-US" w:eastAsia="zh-CN" w:bidi="ar-SA"/>
              </w:rPr>
              <w:t>2-8</w:t>
            </w:r>
            <w:r>
              <w:rPr>
                <w:rFonts w:hint="eastAsia" w:ascii="Times New Roman" w:hAnsi="Times New Roman" w:eastAsia="宋体" w:cs="Times New Roman"/>
                <w:b w:val="0"/>
                <w:bCs w:val="0"/>
                <w:color w:val="0000FF"/>
                <w:kern w:val="2"/>
                <w:sz w:val="24"/>
                <w:szCs w:val="24"/>
                <w:lang w:val="en-US" w:eastAsia="zh-CN" w:bidi="ar-SA"/>
              </w:rPr>
              <w:t>。根据原环评资料，本项目选用的原料化学成分</w:t>
            </w:r>
            <w:r>
              <w:rPr>
                <w:rFonts w:hint="eastAsia" w:cs="Times New Roman"/>
                <w:b w:val="0"/>
                <w:bCs w:val="0"/>
                <w:color w:val="0000FF"/>
                <w:kern w:val="2"/>
                <w:sz w:val="24"/>
                <w:szCs w:val="24"/>
                <w:lang w:val="en-US" w:eastAsia="zh-CN" w:bidi="ar-SA"/>
              </w:rPr>
              <w:t>及配比情况</w:t>
            </w:r>
            <w:r>
              <w:rPr>
                <w:rFonts w:hint="eastAsia" w:ascii="Times New Roman" w:hAnsi="Times New Roman" w:eastAsia="宋体" w:cs="Times New Roman"/>
                <w:b w:val="0"/>
                <w:bCs w:val="0"/>
                <w:color w:val="0000FF"/>
                <w:kern w:val="2"/>
                <w:sz w:val="24"/>
                <w:szCs w:val="24"/>
                <w:lang w:val="en-US" w:eastAsia="zh-CN" w:bidi="ar-SA"/>
              </w:rPr>
              <w:t>见表</w:t>
            </w:r>
            <w:r>
              <w:rPr>
                <w:rFonts w:hint="eastAsia" w:cs="Times New Roman"/>
                <w:b w:val="0"/>
                <w:bCs w:val="0"/>
                <w:color w:val="0000FF"/>
                <w:kern w:val="2"/>
                <w:sz w:val="24"/>
                <w:szCs w:val="24"/>
                <w:lang w:val="en-US" w:eastAsia="zh-CN" w:bidi="ar-SA"/>
              </w:rPr>
              <w:t>2-9和2-10</w:t>
            </w:r>
            <w:r>
              <w:rPr>
                <w:rFonts w:hint="eastAsia" w:ascii="Times New Roman" w:hAnsi="Times New Roman" w:eastAsia="宋体" w:cs="Times New Roman"/>
                <w:b w:val="0"/>
                <w:bCs w:val="0"/>
                <w:color w:val="0000FF"/>
                <w:kern w:val="2"/>
                <w:sz w:val="24"/>
                <w:szCs w:val="24"/>
                <w:lang w:val="en-US" w:eastAsia="zh-CN" w:bidi="ar-SA"/>
              </w:rPr>
              <w:t>，</w:t>
            </w:r>
            <w:r>
              <w:rPr>
                <w:rFonts w:hint="eastAsia" w:cs="Times New Roman"/>
                <w:b w:val="0"/>
                <w:bCs w:val="0"/>
                <w:color w:val="0000FF"/>
                <w:kern w:val="2"/>
                <w:sz w:val="24"/>
                <w:szCs w:val="24"/>
                <w:lang w:val="en-US" w:eastAsia="zh-CN" w:bidi="ar-SA"/>
              </w:rPr>
              <w:t>污泥重金属成分分析</w:t>
            </w:r>
            <w:r>
              <w:rPr>
                <w:rFonts w:hint="eastAsia" w:ascii="Times New Roman" w:hAnsi="Times New Roman" w:eastAsia="宋体" w:cs="Times New Roman"/>
                <w:b w:val="0"/>
                <w:bCs w:val="0"/>
                <w:color w:val="0000FF"/>
                <w:kern w:val="2"/>
                <w:sz w:val="24"/>
                <w:szCs w:val="24"/>
                <w:lang w:val="en-US" w:eastAsia="zh-CN" w:bidi="ar-SA"/>
              </w:rPr>
              <w:t>见表</w:t>
            </w:r>
            <w:r>
              <w:rPr>
                <w:rFonts w:hint="eastAsia" w:cs="Times New Roman"/>
                <w:b w:val="0"/>
                <w:bCs w:val="0"/>
                <w:color w:val="0000FF"/>
                <w:kern w:val="2"/>
                <w:sz w:val="24"/>
                <w:szCs w:val="24"/>
                <w:lang w:val="en-US" w:eastAsia="zh-CN" w:bidi="ar-SA"/>
              </w:rPr>
              <w:t>2-11，熟料化学成分见表2-12</w:t>
            </w:r>
            <w:r>
              <w:rPr>
                <w:rFonts w:hint="eastAsia" w:ascii="Times New Roman" w:hAnsi="Times New Roman" w:eastAsia="宋体" w:cs="Times New Roman"/>
                <w:b w:val="0"/>
                <w:bCs w:val="0"/>
                <w:color w:val="0000FF"/>
                <w:kern w:val="2"/>
                <w:sz w:val="24"/>
                <w:szCs w:val="24"/>
                <w:lang w:val="en-US" w:eastAsia="zh-CN" w:bidi="ar-SA"/>
              </w:rPr>
              <w:t>。</w:t>
            </w:r>
          </w:p>
          <w:bookmarkEnd w:id="39"/>
          <w:p w14:paraId="2A38C7A3">
            <w:pPr>
              <w:autoSpaceDE w:val="0"/>
              <w:autoSpaceDN w:val="0"/>
              <w:adjustRightInd w:val="0"/>
              <w:jc w:val="center"/>
              <w:rPr>
                <w:rFonts w:hint="eastAsia" w:cs="Times New Roman"/>
                <w:b/>
                <w:bCs/>
                <w:color w:val="0000FF"/>
                <w:kern w:val="2"/>
                <w:sz w:val="24"/>
                <w:szCs w:val="24"/>
                <w:lang w:val="en-US" w:eastAsia="zh-CN" w:bidi="ar-SA"/>
              </w:rPr>
            </w:pPr>
            <w:bookmarkStart w:id="40" w:name="OLE_LINK57"/>
            <w:r>
              <w:rPr>
                <w:rFonts w:hint="eastAsia" w:ascii="Times New Roman" w:hAnsi="Times New Roman" w:cs="Times New Roman"/>
                <w:b/>
                <w:color w:val="0000FF"/>
              </w:rPr>
              <w:t>表</w:t>
            </w:r>
            <w:r>
              <w:rPr>
                <w:rFonts w:hint="eastAsia" w:cs="Times New Roman"/>
                <w:b/>
                <w:color w:val="0000FF"/>
                <w:lang w:val="en-US" w:eastAsia="zh-CN"/>
              </w:rPr>
              <w:t>2-8</w:t>
            </w:r>
            <w:r>
              <w:rPr>
                <w:rFonts w:ascii="Times New Roman" w:hAnsi="Times New Roman" w:cs="Times New Roman"/>
                <w:b/>
                <w:color w:val="0000FF"/>
              </w:rPr>
              <w:t xml:space="preserve"> 主要原辅材料及能源消耗情况一览表</w:t>
            </w:r>
          </w:p>
          <w:bookmarkEnd w:id="40"/>
          <w:tbl>
            <w:tblPr>
              <w:tblStyle w:val="2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
              <w:gridCol w:w="1180"/>
              <w:gridCol w:w="466"/>
              <w:gridCol w:w="1125"/>
              <w:gridCol w:w="1095"/>
              <w:gridCol w:w="1110"/>
              <w:gridCol w:w="1080"/>
              <w:gridCol w:w="915"/>
              <w:gridCol w:w="1738"/>
            </w:tblGrid>
            <w:tr w14:paraId="5AA5F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9" w:type="pct"/>
                  <w:vAlign w:val="center"/>
                </w:tcPr>
                <w:p w14:paraId="3A6E93BC">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bookmarkStart w:id="41" w:name="OLE_LINK55" w:colFirst="1" w:colLast="1"/>
                  <w:bookmarkStart w:id="42" w:name="OLE_LINK56"/>
                  <w:r>
                    <w:rPr>
                      <w:rFonts w:hint="eastAsia" w:cs="Times New Roman"/>
                      <w:b w:val="0"/>
                      <w:bCs w:val="0"/>
                      <w:color w:val="0000FF"/>
                      <w:sz w:val="21"/>
                      <w:szCs w:val="21"/>
                      <w:lang w:val="en-US" w:eastAsia="zh-CN"/>
                    </w:rPr>
                    <w:t>类别</w:t>
                  </w:r>
                </w:p>
              </w:tc>
              <w:tc>
                <w:tcPr>
                  <w:tcW w:w="641" w:type="pct"/>
                  <w:vAlign w:val="center"/>
                </w:tcPr>
                <w:p w14:paraId="09AA8551">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名称</w:t>
                  </w:r>
                </w:p>
              </w:tc>
              <w:tc>
                <w:tcPr>
                  <w:tcW w:w="253" w:type="pct"/>
                  <w:vAlign w:val="center"/>
                </w:tcPr>
                <w:p w14:paraId="505E2A73">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单位</w:t>
                  </w:r>
                </w:p>
              </w:tc>
              <w:tc>
                <w:tcPr>
                  <w:tcW w:w="611" w:type="pct"/>
                  <w:vAlign w:val="center"/>
                </w:tcPr>
                <w:p w14:paraId="5304319C">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现有工程</w:t>
                  </w:r>
                </w:p>
                <w:p w14:paraId="4A6B43AA">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（湿基）</w:t>
                  </w:r>
                </w:p>
              </w:tc>
              <w:tc>
                <w:tcPr>
                  <w:tcW w:w="595" w:type="pct"/>
                  <w:vAlign w:val="center"/>
                </w:tcPr>
                <w:p w14:paraId="50911584">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现有工程</w:t>
                  </w:r>
                </w:p>
                <w:p w14:paraId="17C15CCA">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（干基）</w:t>
                  </w:r>
                </w:p>
              </w:tc>
              <w:tc>
                <w:tcPr>
                  <w:tcW w:w="603" w:type="pct"/>
                  <w:vAlign w:val="center"/>
                </w:tcPr>
                <w:p w14:paraId="7952FDB8">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技改项目</w:t>
                  </w:r>
                </w:p>
                <w:p w14:paraId="5880DBCE">
                  <w:pPr>
                    <w:keepNext w:val="0"/>
                    <w:keepLines w:val="0"/>
                    <w:pageBreakBefore w:val="0"/>
                    <w:kinsoku/>
                    <w:wordWrap/>
                    <w:overflowPunct/>
                    <w:topLinePunct w:val="0"/>
                    <w:autoSpaceDE/>
                    <w:autoSpaceDN/>
                    <w:bidi w:val="0"/>
                    <w:snapToGrid/>
                    <w:spacing w:line="240" w:lineRule="auto"/>
                    <w:jc w:val="center"/>
                    <w:rPr>
                      <w:rFonts w:hint="eastAsia" w:eastAsia="宋体" w:cs="Times New Roman"/>
                      <w:b w:val="0"/>
                      <w:bCs w:val="0"/>
                      <w:color w:val="0000FF"/>
                      <w:sz w:val="21"/>
                      <w:szCs w:val="21"/>
                      <w:lang w:val="en-US" w:eastAsia="zh-CN"/>
                    </w:rPr>
                  </w:pPr>
                  <w:r>
                    <w:rPr>
                      <w:rFonts w:hint="eastAsia" w:cs="Times New Roman"/>
                      <w:b w:val="0"/>
                      <w:bCs w:val="0"/>
                      <w:color w:val="0000FF"/>
                      <w:sz w:val="21"/>
                      <w:szCs w:val="21"/>
                      <w:lang w:val="en-US" w:eastAsia="zh-CN"/>
                    </w:rPr>
                    <w:t>（湿基）</w:t>
                  </w:r>
                </w:p>
              </w:tc>
              <w:tc>
                <w:tcPr>
                  <w:tcW w:w="587" w:type="pct"/>
                  <w:vAlign w:val="center"/>
                </w:tcPr>
                <w:p w14:paraId="2563970A">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技改项目</w:t>
                  </w:r>
                </w:p>
                <w:p w14:paraId="0810752B">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（干基）</w:t>
                  </w:r>
                </w:p>
              </w:tc>
              <w:tc>
                <w:tcPr>
                  <w:tcW w:w="497" w:type="pct"/>
                  <w:vAlign w:val="center"/>
                </w:tcPr>
                <w:p w14:paraId="6F4F3B38">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技改后变化量</w:t>
                  </w:r>
                </w:p>
              </w:tc>
              <w:tc>
                <w:tcPr>
                  <w:tcW w:w="938" w:type="pct"/>
                  <w:vAlign w:val="center"/>
                </w:tcPr>
                <w:p w14:paraId="123F47A6">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来源及运输方式</w:t>
                  </w:r>
                </w:p>
              </w:tc>
            </w:tr>
            <w:bookmarkEnd w:id="41"/>
            <w:tr w14:paraId="4DE3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9" w:type="pct"/>
                  <w:vMerge w:val="restart"/>
                  <w:vAlign w:val="center"/>
                </w:tcPr>
                <w:p w14:paraId="5390E72D">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原料</w:t>
                  </w:r>
                </w:p>
              </w:tc>
              <w:tc>
                <w:tcPr>
                  <w:tcW w:w="641" w:type="pct"/>
                  <w:vAlign w:val="center"/>
                </w:tcPr>
                <w:p w14:paraId="15EE3EB1">
                  <w:pPr>
                    <w:adjustRightInd w:val="0"/>
                    <w:snapToGrid w:val="0"/>
                    <w:jc w:val="center"/>
                    <w:rPr>
                      <w:rFonts w:hint="default" w:cs="Times New Roman"/>
                      <w:b w:val="0"/>
                      <w:bCs w:val="0"/>
                      <w:color w:val="0000FF"/>
                      <w:sz w:val="21"/>
                      <w:szCs w:val="21"/>
                      <w:highlight w:val="none"/>
                      <w:lang w:val="en-US" w:eastAsia="zh-CN"/>
                    </w:rPr>
                  </w:pPr>
                  <w:r>
                    <w:rPr>
                      <w:rFonts w:ascii="Times New Roman" w:hAnsi="Times New Roman" w:cs="Times New Roman"/>
                      <w:color w:val="0000FF"/>
                      <w:sz w:val="21"/>
                      <w:szCs w:val="21"/>
                      <w:highlight w:val="none"/>
                    </w:rPr>
                    <w:t>石灰石</w:t>
                  </w:r>
                </w:p>
              </w:tc>
              <w:tc>
                <w:tcPr>
                  <w:tcW w:w="253" w:type="pct"/>
                  <w:vAlign w:val="center"/>
                </w:tcPr>
                <w:p w14:paraId="5C15FA32">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bookmarkStart w:id="43" w:name="OLE_LINK53"/>
                  <w:r>
                    <w:rPr>
                      <w:rFonts w:hint="eastAsia" w:cs="Times New Roman"/>
                      <w:b w:val="0"/>
                      <w:bCs w:val="0"/>
                      <w:color w:val="0000FF"/>
                      <w:sz w:val="21"/>
                      <w:szCs w:val="21"/>
                      <w:lang w:val="en-US" w:eastAsia="zh-CN"/>
                    </w:rPr>
                    <w:t>t/a</w:t>
                  </w:r>
                  <w:bookmarkEnd w:id="43"/>
                </w:p>
              </w:tc>
              <w:tc>
                <w:tcPr>
                  <w:tcW w:w="611" w:type="pct"/>
                  <w:vAlign w:val="center"/>
                </w:tcPr>
                <w:p w14:paraId="01D2C452">
                  <w:pPr>
                    <w:jc w:val="center"/>
                    <w:rPr>
                      <w:rFonts w:hint="default" w:cs="Times New Roman"/>
                      <w:b w:val="0"/>
                      <w:bCs w:val="0"/>
                      <w:color w:val="0000FF"/>
                      <w:sz w:val="21"/>
                      <w:szCs w:val="21"/>
                      <w:highlight w:val="none"/>
                      <w:lang w:val="en-US" w:eastAsia="zh-CN"/>
                    </w:rPr>
                  </w:pPr>
                  <w:r>
                    <w:rPr>
                      <w:rFonts w:ascii="Times New Roman" w:hAnsi="Times New Roman" w:cs="Times New Roman"/>
                      <w:color w:val="0000FF"/>
                      <w:sz w:val="21"/>
                      <w:szCs w:val="21"/>
                      <w:highlight w:val="none"/>
                    </w:rPr>
                    <w:t>2114805</w:t>
                  </w:r>
                </w:p>
              </w:tc>
              <w:tc>
                <w:tcPr>
                  <w:tcW w:w="595" w:type="pct"/>
                  <w:vAlign w:val="center"/>
                </w:tcPr>
                <w:p w14:paraId="6DE320CB">
                  <w:pPr>
                    <w:jc w:val="center"/>
                    <w:rPr>
                      <w:rFonts w:hint="eastAsia" w:cs="Times New Roman"/>
                      <w:b w:val="0"/>
                      <w:bCs w:val="0"/>
                      <w:color w:val="0000FF"/>
                      <w:sz w:val="21"/>
                      <w:szCs w:val="21"/>
                      <w:highlight w:val="none"/>
                      <w:lang w:val="en-US" w:eastAsia="zh-CN"/>
                    </w:rPr>
                  </w:pPr>
                  <w:r>
                    <w:rPr>
                      <w:rFonts w:ascii="Times New Roman" w:hAnsi="Times New Roman" w:cs="Times New Roman"/>
                      <w:color w:val="0000FF"/>
                      <w:sz w:val="21"/>
                      <w:szCs w:val="21"/>
                      <w:highlight w:val="none"/>
                    </w:rPr>
                    <w:t>2072565</w:t>
                  </w:r>
                </w:p>
              </w:tc>
              <w:tc>
                <w:tcPr>
                  <w:tcW w:w="603" w:type="pct"/>
                  <w:vAlign w:val="center"/>
                </w:tcPr>
                <w:p w14:paraId="30A1728C">
                  <w:pPr>
                    <w:jc w:val="center"/>
                    <w:rPr>
                      <w:rFonts w:hint="default" w:cs="Times New Roman"/>
                      <w:b w:val="0"/>
                      <w:bCs w:val="0"/>
                      <w:color w:val="0000FF"/>
                      <w:sz w:val="21"/>
                      <w:szCs w:val="21"/>
                      <w:highlight w:val="none"/>
                      <w:lang w:val="en-US" w:eastAsia="zh-CN"/>
                    </w:rPr>
                  </w:pPr>
                  <w:r>
                    <w:rPr>
                      <w:rFonts w:ascii="Times New Roman" w:hAnsi="Times New Roman" w:cs="Times New Roman"/>
                      <w:color w:val="0000FF"/>
                      <w:sz w:val="21"/>
                      <w:szCs w:val="21"/>
                      <w:highlight w:val="none"/>
                    </w:rPr>
                    <w:t>2114805</w:t>
                  </w:r>
                </w:p>
              </w:tc>
              <w:tc>
                <w:tcPr>
                  <w:tcW w:w="587" w:type="pct"/>
                  <w:vAlign w:val="center"/>
                </w:tcPr>
                <w:p w14:paraId="1F080AB2">
                  <w:pPr>
                    <w:jc w:val="center"/>
                    <w:rPr>
                      <w:rFonts w:hint="eastAsia" w:cs="Times New Roman"/>
                      <w:b w:val="0"/>
                      <w:bCs w:val="0"/>
                      <w:color w:val="0000FF"/>
                      <w:sz w:val="21"/>
                      <w:szCs w:val="21"/>
                      <w:highlight w:val="none"/>
                      <w:lang w:val="en-US" w:eastAsia="zh-CN"/>
                    </w:rPr>
                  </w:pPr>
                  <w:r>
                    <w:rPr>
                      <w:rFonts w:ascii="Times New Roman" w:hAnsi="Times New Roman" w:cs="Times New Roman"/>
                      <w:color w:val="0000FF"/>
                      <w:sz w:val="21"/>
                      <w:szCs w:val="21"/>
                      <w:highlight w:val="none"/>
                    </w:rPr>
                    <w:t>2072565</w:t>
                  </w:r>
                </w:p>
              </w:tc>
              <w:tc>
                <w:tcPr>
                  <w:tcW w:w="497" w:type="pct"/>
                  <w:vAlign w:val="center"/>
                </w:tcPr>
                <w:p w14:paraId="1D5D0058">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0</w:t>
                  </w:r>
                </w:p>
              </w:tc>
              <w:tc>
                <w:tcPr>
                  <w:tcW w:w="938" w:type="pct"/>
                  <w:vAlign w:val="center"/>
                </w:tcPr>
                <w:p w14:paraId="12570478">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淮北市，汽运</w:t>
                  </w:r>
                </w:p>
              </w:tc>
            </w:tr>
            <w:tr w14:paraId="5115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9" w:type="pct"/>
                  <w:vMerge w:val="continue"/>
                  <w:vAlign w:val="center"/>
                </w:tcPr>
                <w:p w14:paraId="72B40DD2">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p>
              </w:tc>
              <w:tc>
                <w:tcPr>
                  <w:tcW w:w="641" w:type="pct"/>
                  <w:vAlign w:val="center"/>
                </w:tcPr>
                <w:p w14:paraId="5CD290B8">
                  <w:pPr>
                    <w:adjustRightInd w:val="0"/>
                    <w:snapToGrid w:val="0"/>
                    <w:jc w:val="center"/>
                    <w:rPr>
                      <w:rFonts w:hint="eastAsia" w:eastAsia="宋体" w:cs="Times New Roman"/>
                      <w:b w:val="0"/>
                      <w:bCs w:val="0"/>
                      <w:color w:val="0000FF"/>
                      <w:sz w:val="21"/>
                      <w:szCs w:val="21"/>
                      <w:highlight w:val="none"/>
                      <w:lang w:val="en-US" w:eastAsia="zh-CN"/>
                    </w:rPr>
                  </w:pPr>
                  <w:r>
                    <w:rPr>
                      <w:rFonts w:hint="eastAsia" w:cs="Times New Roman"/>
                      <w:color w:val="0000FF"/>
                      <w:sz w:val="21"/>
                      <w:szCs w:val="21"/>
                      <w:highlight w:val="none"/>
                      <w:lang w:eastAsia="zh-CN"/>
                    </w:rPr>
                    <w:t>粉煤灰</w:t>
                  </w:r>
                </w:p>
              </w:tc>
              <w:tc>
                <w:tcPr>
                  <w:tcW w:w="253" w:type="pct"/>
                  <w:vAlign w:val="center"/>
                </w:tcPr>
                <w:p w14:paraId="401C6372">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t/a</w:t>
                  </w:r>
                </w:p>
              </w:tc>
              <w:tc>
                <w:tcPr>
                  <w:tcW w:w="611" w:type="pct"/>
                  <w:vAlign w:val="center"/>
                </w:tcPr>
                <w:p w14:paraId="3EE3203C">
                  <w:pPr>
                    <w:jc w:val="center"/>
                    <w:rPr>
                      <w:rFonts w:hint="default" w:cs="Times New Roman"/>
                      <w:b w:val="0"/>
                      <w:bCs w:val="0"/>
                      <w:color w:val="0000FF"/>
                      <w:sz w:val="21"/>
                      <w:szCs w:val="21"/>
                      <w:highlight w:val="none"/>
                      <w:lang w:val="en-US" w:eastAsia="zh-CN"/>
                    </w:rPr>
                  </w:pPr>
                  <w:r>
                    <w:rPr>
                      <w:rFonts w:ascii="Times New Roman" w:hAnsi="Times New Roman" w:cs="Times New Roman"/>
                      <w:color w:val="0000FF"/>
                      <w:sz w:val="21"/>
                      <w:szCs w:val="21"/>
                      <w:highlight w:val="none"/>
                    </w:rPr>
                    <w:t>170280</w:t>
                  </w:r>
                </w:p>
              </w:tc>
              <w:tc>
                <w:tcPr>
                  <w:tcW w:w="595" w:type="pct"/>
                  <w:vAlign w:val="center"/>
                </w:tcPr>
                <w:p w14:paraId="2AC7D620">
                  <w:pPr>
                    <w:jc w:val="center"/>
                    <w:rPr>
                      <w:rFonts w:hint="eastAsia" w:cs="Times New Roman"/>
                      <w:b w:val="0"/>
                      <w:bCs w:val="0"/>
                      <w:color w:val="0000FF"/>
                      <w:sz w:val="21"/>
                      <w:szCs w:val="21"/>
                      <w:highlight w:val="none"/>
                      <w:lang w:val="en-US" w:eastAsia="zh-CN"/>
                    </w:rPr>
                  </w:pPr>
                  <w:r>
                    <w:rPr>
                      <w:rFonts w:ascii="Times New Roman" w:hAnsi="Times New Roman" w:cs="Times New Roman"/>
                      <w:color w:val="0000FF"/>
                      <w:sz w:val="21"/>
                      <w:szCs w:val="21"/>
                      <w:highlight w:val="none"/>
                    </w:rPr>
                    <w:t>161865</w:t>
                  </w:r>
                </w:p>
              </w:tc>
              <w:tc>
                <w:tcPr>
                  <w:tcW w:w="603" w:type="pct"/>
                  <w:vAlign w:val="center"/>
                </w:tcPr>
                <w:p w14:paraId="7BB051D0">
                  <w:pPr>
                    <w:jc w:val="center"/>
                    <w:rPr>
                      <w:rFonts w:hint="default" w:cs="Times New Roman"/>
                      <w:b w:val="0"/>
                      <w:bCs w:val="0"/>
                      <w:color w:val="0000FF"/>
                      <w:sz w:val="21"/>
                      <w:szCs w:val="21"/>
                      <w:highlight w:val="none"/>
                      <w:lang w:val="en-US" w:eastAsia="zh-CN"/>
                    </w:rPr>
                  </w:pPr>
                  <w:r>
                    <w:rPr>
                      <w:rFonts w:ascii="Times New Roman" w:hAnsi="Times New Roman" w:cs="Times New Roman"/>
                      <w:color w:val="0000FF"/>
                      <w:sz w:val="21"/>
                      <w:szCs w:val="21"/>
                      <w:highlight w:val="none"/>
                    </w:rPr>
                    <w:t>170280</w:t>
                  </w:r>
                </w:p>
              </w:tc>
              <w:tc>
                <w:tcPr>
                  <w:tcW w:w="587" w:type="pct"/>
                  <w:vAlign w:val="center"/>
                </w:tcPr>
                <w:p w14:paraId="48836F7C">
                  <w:pPr>
                    <w:jc w:val="center"/>
                    <w:rPr>
                      <w:rFonts w:hint="eastAsia" w:cs="Times New Roman"/>
                      <w:b w:val="0"/>
                      <w:bCs w:val="0"/>
                      <w:color w:val="0000FF"/>
                      <w:sz w:val="21"/>
                      <w:szCs w:val="21"/>
                      <w:highlight w:val="none"/>
                      <w:lang w:val="en-US" w:eastAsia="zh-CN"/>
                    </w:rPr>
                  </w:pPr>
                  <w:r>
                    <w:rPr>
                      <w:rFonts w:ascii="Times New Roman" w:hAnsi="Times New Roman" w:cs="Times New Roman"/>
                      <w:color w:val="0000FF"/>
                      <w:sz w:val="21"/>
                      <w:szCs w:val="21"/>
                      <w:highlight w:val="none"/>
                    </w:rPr>
                    <w:t>161865</w:t>
                  </w:r>
                </w:p>
              </w:tc>
              <w:tc>
                <w:tcPr>
                  <w:tcW w:w="497" w:type="pct"/>
                  <w:vAlign w:val="center"/>
                </w:tcPr>
                <w:p w14:paraId="78A9D1CE">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0</w:t>
                  </w:r>
                </w:p>
              </w:tc>
              <w:tc>
                <w:tcPr>
                  <w:tcW w:w="938" w:type="pct"/>
                  <w:vAlign w:val="center"/>
                </w:tcPr>
                <w:p w14:paraId="1D06AD2F">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枣庄市，汽运</w:t>
                  </w:r>
                </w:p>
              </w:tc>
            </w:tr>
            <w:tr w14:paraId="20B5B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9" w:type="pct"/>
                  <w:vMerge w:val="continue"/>
                  <w:vAlign w:val="center"/>
                </w:tcPr>
                <w:p w14:paraId="7EA67A34">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p>
              </w:tc>
              <w:tc>
                <w:tcPr>
                  <w:tcW w:w="641" w:type="pct"/>
                  <w:vAlign w:val="center"/>
                </w:tcPr>
                <w:p w14:paraId="25E26A37">
                  <w:pPr>
                    <w:adjustRightInd w:val="0"/>
                    <w:snapToGrid w:val="0"/>
                    <w:jc w:val="center"/>
                    <w:rPr>
                      <w:rFonts w:hint="eastAsia" w:eastAsia="宋体" w:cs="Times New Roman"/>
                      <w:b w:val="0"/>
                      <w:bCs w:val="0"/>
                      <w:color w:val="0000FF"/>
                      <w:sz w:val="21"/>
                      <w:szCs w:val="21"/>
                      <w:highlight w:val="none"/>
                      <w:lang w:val="en-US" w:eastAsia="zh-CN"/>
                    </w:rPr>
                  </w:pPr>
                  <w:r>
                    <w:rPr>
                      <w:rFonts w:hint="eastAsia" w:cs="Times New Roman"/>
                      <w:color w:val="0000FF"/>
                      <w:sz w:val="21"/>
                      <w:szCs w:val="21"/>
                      <w:highlight w:val="none"/>
                      <w:lang w:eastAsia="zh-CN"/>
                    </w:rPr>
                    <w:t>铁尾矿</w:t>
                  </w:r>
                </w:p>
              </w:tc>
              <w:tc>
                <w:tcPr>
                  <w:tcW w:w="253" w:type="pct"/>
                  <w:vAlign w:val="center"/>
                </w:tcPr>
                <w:p w14:paraId="473399B2">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t/a</w:t>
                  </w:r>
                </w:p>
              </w:tc>
              <w:tc>
                <w:tcPr>
                  <w:tcW w:w="611" w:type="pct"/>
                  <w:vAlign w:val="center"/>
                </w:tcPr>
                <w:p w14:paraId="47AE1004">
                  <w:pPr>
                    <w:jc w:val="center"/>
                    <w:rPr>
                      <w:rFonts w:hint="default" w:cs="Times New Roman"/>
                      <w:b w:val="0"/>
                      <w:bCs w:val="0"/>
                      <w:color w:val="0000FF"/>
                      <w:sz w:val="21"/>
                      <w:szCs w:val="21"/>
                      <w:highlight w:val="none"/>
                      <w:lang w:val="en-US" w:eastAsia="zh-CN"/>
                    </w:rPr>
                  </w:pPr>
                  <w:r>
                    <w:rPr>
                      <w:rFonts w:ascii="Times New Roman" w:hAnsi="Times New Roman" w:cs="Times New Roman"/>
                      <w:color w:val="0000FF"/>
                      <w:sz w:val="21"/>
                      <w:szCs w:val="21"/>
                      <w:highlight w:val="none"/>
                    </w:rPr>
                    <w:t>98340</w:t>
                  </w:r>
                </w:p>
              </w:tc>
              <w:tc>
                <w:tcPr>
                  <w:tcW w:w="595" w:type="pct"/>
                  <w:vAlign w:val="center"/>
                </w:tcPr>
                <w:p w14:paraId="2A15EE75">
                  <w:pPr>
                    <w:jc w:val="center"/>
                    <w:rPr>
                      <w:rFonts w:hint="eastAsia" w:cs="Times New Roman"/>
                      <w:b w:val="0"/>
                      <w:bCs w:val="0"/>
                      <w:color w:val="0000FF"/>
                      <w:sz w:val="21"/>
                      <w:szCs w:val="21"/>
                      <w:highlight w:val="none"/>
                      <w:lang w:val="en-US" w:eastAsia="zh-CN"/>
                    </w:rPr>
                  </w:pPr>
                  <w:r>
                    <w:rPr>
                      <w:rFonts w:ascii="Times New Roman" w:hAnsi="Times New Roman" w:cs="Times New Roman"/>
                      <w:color w:val="0000FF"/>
                      <w:sz w:val="21"/>
                      <w:szCs w:val="21"/>
                      <w:highlight w:val="none"/>
                    </w:rPr>
                    <w:t>90420</w:t>
                  </w:r>
                </w:p>
              </w:tc>
              <w:tc>
                <w:tcPr>
                  <w:tcW w:w="603" w:type="pct"/>
                  <w:vAlign w:val="center"/>
                </w:tcPr>
                <w:p w14:paraId="3047BB22">
                  <w:pPr>
                    <w:jc w:val="center"/>
                    <w:rPr>
                      <w:rFonts w:hint="default" w:cs="Times New Roman"/>
                      <w:b w:val="0"/>
                      <w:bCs w:val="0"/>
                      <w:color w:val="0000FF"/>
                      <w:sz w:val="21"/>
                      <w:szCs w:val="21"/>
                      <w:highlight w:val="none"/>
                      <w:lang w:val="en-US" w:eastAsia="zh-CN"/>
                    </w:rPr>
                  </w:pPr>
                  <w:r>
                    <w:rPr>
                      <w:rFonts w:ascii="Times New Roman" w:hAnsi="Times New Roman" w:cs="Times New Roman"/>
                      <w:color w:val="0000FF"/>
                      <w:sz w:val="21"/>
                      <w:szCs w:val="21"/>
                      <w:highlight w:val="none"/>
                    </w:rPr>
                    <w:t>98340</w:t>
                  </w:r>
                </w:p>
              </w:tc>
              <w:tc>
                <w:tcPr>
                  <w:tcW w:w="587" w:type="pct"/>
                  <w:vAlign w:val="center"/>
                </w:tcPr>
                <w:p w14:paraId="71FFB39F">
                  <w:pPr>
                    <w:jc w:val="center"/>
                    <w:rPr>
                      <w:rFonts w:hint="eastAsia" w:cs="Times New Roman"/>
                      <w:b w:val="0"/>
                      <w:bCs w:val="0"/>
                      <w:color w:val="0000FF"/>
                      <w:sz w:val="21"/>
                      <w:szCs w:val="21"/>
                      <w:highlight w:val="none"/>
                      <w:lang w:val="en-US" w:eastAsia="zh-CN"/>
                    </w:rPr>
                  </w:pPr>
                  <w:r>
                    <w:rPr>
                      <w:rFonts w:ascii="Times New Roman" w:hAnsi="Times New Roman" w:cs="Times New Roman"/>
                      <w:color w:val="0000FF"/>
                      <w:sz w:val="21"/>
                      <w:szCs w:val="21"/>
                      <w:highlight w:val="none"/>
                    </w:rPr>
                    <w:t>90420</w:t>
                  </w:r>
                </w:p>
              </w:tc>
              <w:tc>
                <w:tcPr>
                  <w:tcW w:w="497" w:type="pct"/>
                  <w:vAlign w:val="center"/>
                </w:tcPr>
                <w:p w14:paraId="7531FA3C">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0</w:t>
                  </w:r>
                </w:p>
              </w:tc>
              <w:tc>
                <w:tcPr>
                  <w:tcW w:w="938" w:type="pct"/>
                  <w:vAlign w:val="center"/>
                </w:tcPr>
                <w:p w14:paraId="5C7ABE10">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凤阳县，汽运</w:t>
                  </w:r>
                </w:p>
              </w:tc>
            </w:tr>
            <w:tr w14:paraId="79765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9" w:type="pct"/>
                  <w:vMerge w:val="continue"/>
                  <w:vAlign w:val="center"/>
                </w:tcPr>
                <w:p w14:paraId="7354A9CC">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p>
              </w:tc>
              <w:tc>
                <w:tcPr>
                  <w:tcW w:w="641" w:type="pct"/>
                  <w:vAlign w:val="center"/>
                </w:tcPr>
                <w:p w14:paraId="657E108B">
                  <w:pPr>
                    <w:adjustRightInd w:val="0"/>
                    <w:snapToGrid w:val="0"/>
                    <w:jc w:val="center"/>
                    <w:rPr>
                      <w:rFonts w:hint="eastAsia" w:eastAsia="宋体" w:cs="Times New Roman"/>
                      <w:b w:val="0"/>
                      <w:bCs w:val="0"/>
                      <w:color w:val="0000FF"/>
                      <w:sz w:val="21"/>
                      <w:szCs w:val="21"/>
                      <w:highlight w:val="none"/>
                      <w:lang w:val="en-US" w:eastAsia="zh-CN"/>
                    </w:rPr>
                  </w:pPr>
                  <w:r>
                    <w:rPr>
                      <w:rFonts w:hint="eastAsia" w:cs="Times New Roman"/>
                      <w:color w:val="0000FF"/>
                      <w:sz w:val="21"/>
                      <w:szCs w:val="21"/>
                      <w:highlight w:val="none"/>
                      <w:lang w:eastAsia="zh-CN"/>
                    </w:rPr>
                    <w:t>石英砂岩</w:t>
                  </w:r>
                </w:p>
              </w:tc>
              <w:tc>
                <w:tcPr>
                  <w:tcW w:w="253" w:type="pct"/>
                  <w:vAlign w:val="center"/>
                </w:tcPr>
                <w:p w14:paraId="27A38E3D">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t/a</w:t>
                  </w:r>
                </w:p>
              </w:tc>
              <w:tc>
                <w:tcPr>
                  <w:tcW w:w="611" w:type="pct"/>
                  <w:vAlign w:val="center"/>
                </w:tcPr>
                <w:p w14:paraId="28953D41">
                  <w:pPr>
                    <w:jc w:val="center"/>
                    <w:rPr>
                      <w:rFonts w:hint="default" w:cs="Times New Roman"/>
                      <w:b w:val="0"/>
                      <w:bCs w:val="0"/>
                      <w:color w:val="0000FF"/>
                      <w:sz w:val="21"/>
                      <w:szCs w:val="21"/>
                      <w:highlight w:val="none"/>
                      <w:lang w:val="en-US" w:eastAsia="zh-CN"/>
                    </w:rPr>
                  </w:pPr>
                  <w:r>
                    <w:rPr>
                      <w:rFonts w:ascii="Times New Roman" w:hAnsi="Times New Roman" w:cs="Times New Roman"/>
                      <w:color w:val="0000FF"/>
                      <w:sz w:val="21"/>
                      <w:szCs w:val="21"/>
                      <w:highlight w:val="none"/>
                    </w:rPr>
                    <w:t>158730</w:t>
                  </w:r>
                </w:p>
              </w:tc>
              <w:tc>
                <w:tcPr>
                  <w:tcW w:w="595" w:type="pct"/>
                  <w:vAlign w:val="center"/>
                </w:tcPr>
                <w:p w14:paraId="74446889">
                  <w:pPr>
                    <w:jc w:val="center"/>
                    <w:rPr>
                      <w:rFonts w:hint="eastAsia" w:cs="Times New Roman"/>
                      <w:b w:val="0"/>
                      <w:bCs w:val="0"/>
                      <w:color w:val="0000FF"/>
                      <w:sz w:val="21"/>
                      <w:szCs w:val="21"/>
                      <w:highlight w:val="none"/>
                      <w:lang w:val="en-US" w:eastAsia="zh-CN"/>
                    </w:rPr>
                  </w:pPr>
                  <w:r>
                    <w:rPr>
                      <w:rFonts w:ascii="Times New Roman" w:hAnsi="Times New Roman" w:cs="Times New Roman"/>
                      <w:color w:val="0000FF"/>
                      <w:sz w:val="21"/>
                      <w:szCs w:val="21"/>
                      <w:highlight w:val="none"/>
                    </w:rPr>
                    <w:t>146025</w:t>
                  </w:r>
                </w:p>
              </w:tc>
              <w:tc>
                <w:tcPr>
                  <w:tcW w:w="603" w:type="pct"/>
                  <w:vAlign w:val="center"/>
                </w:tcPr>
                <w:p w14:paraId="2BF756DD">
                  <w:pPr>
                    <w:jc w:val="center"/>
                    <w:rPr>
                      <w:rFonts w:hint="default" w:cs="Times New Roman"/>
                      <w:b w:val="0"/>
                      <w:bCs w:val="0"/>
                      <w:color w:val="0000FF"/>
                      <w:sz w:val="21"/>
                      <w:szCs w:val="21"/>
                      <w:highlight w:val="none"/>
                      <w:lang w:val="en-US" w:eastAsia="zh-CN"/>
                    </w:rPr>
                  </w:pPr>
                  <w:r>
                    <w:rPr>
                      <w:rFonts w:ascii="Times New Roman" w:hAnsi="Times New Roman" w:cs="Times New Roman"/>
                      <w:color w:val="0000FF"/>
                      <w:sz w:val="21"/>
                      <w:szCs w:val="21"/>
                      <w:highlight w:val="none"/>
                    </w:rPr>
                    <w:t>158730</w:t>
                  </w:r>
                </w:p>
              </w:tc>
              <w:tc>
                <w:tcPr>
                  <w:tcW w:w="587" w:type="pct"/>
                  <w:vAlign w:val="center"/>
                </w:tcPr>
                <w:p w14:paraId="6A6380C4">
                  <w:pPr>
                    <w:jc w:val="center"/>
                    <w:rPr>
                      <w:rFonts w:hint="eastAsia" w:cs="Times New Roman"/>
                      <w:b w:val="0"/>
                      <w:bCs w:val="0"/>
                      <w:color w:val="0000FF"/>
                      <w:sz w:val="21"/>
                      <w:szCs w:val="21"/>
                      <w:highlight w:val="none"/>
                      <w:lang w:val="en-US" w:eastAsia="zh-CN"/>
                    </w:rPr>
                  </w:pPr>
                  <w:r>
                    <w:rPr>
                      <w:rFonts w:ascii="Times New Roman" w:hAnsi="Times New Roman" w:cs="Times New Roman"/>
                      <w:color w:val="0000FF"/>
                      <w:sz w:val="21"/>
                      <w:szCs w:val="21"/>
                      <w:highlight w:val="none"/>
                    </w:rPr>
                    <w:t>146025</w:t>
                  </w:r>
                </w:p>
              </w:tc>
              <w:tc>
                <w:tcPr>
                  <w:tcW w:w="497" w:type="pct"/>
                  <w:vAlign w:val="center"/>
                </w:tcPr>
                <w:p w14:paraId="11589098">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0</w:t>
                  </w:r>
                </w:p>
              </w:tc>
              <w:tc>
                <w:tcPr>
                  <w:tcW w:w="938" w:type="pct"/>
                  <w:vAlign w:val="center"/>
                </w:tcPr>
                <w:p w14:paraId="29E906E2">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淮北市，汽运</w:t>
                  </w:r>
                </w:p>
              </w:tc>
            </w:tr>
            <w:tr w14:paraId="5140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9" w:type="pct"/>
                  <w:vMerge w:val="continue"/>
                  <w:vAlign w:val="center"/>
                </w:tcPr>
                <w:p w14:paraId="35B906D2">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p>
              </w:tc>
              <w:tc>
                <w:tcPr>
                  <w:tcW w:w="641" w:type="pct"/>
                  <w:vAlign w:val="center"/>
                </w:tcPr>
                <w:p w14:paraId="32FBB689">
                  <w:pPr>
                    <w:adjustRightInd w:val="0"/>
                    <w:snapToGrid w:val="0"/>
                    <w:jc w:val="center"/>
                    <w:rPr>
                      <w:rFonts w:ascii="Times New Roman" w:hAnsi="Times New Roman" w:cs="Times New Roman"/>
                      <w:color w:val="0000FF"/>
                      <w:sz w:val="21"/>
                      <w:szCs w:val="21"/>
                      <w:highlight w:val="none"/>
                    </w:rPr>
                  </w:pPr>
                  <w:r>
                    <w:rPr>
                      <w:rFonts w:hint="eastAsia" w:ascii="Times New Roman" w:hAnsi="Times New Roman" w:cs="Times New Roman"/>
                      <w:color w:val="0000FF"/>
                      <w:sz w:val="21"/>
                      <w:szCs w:val="21"/>
                      <w:highlight w:val="none"/>
                    </w:rPr>
                    <w:t>60%含水率污泥</w:t>
                  </w:r>
                </w:p>
              </w:tc>
              <w:tc>
                <w:tcPr>
                  <w:tcW w:w="253" w:type="pct"/>
                  <w:vAlign w:val="center"/>
                </w:tcPr>
                <w:p w14:paraId="581E365C">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t/a</w:t>
                  </w:r>
                </w:p>
              </w:tc>
              <w:tc>
                <w:tcPr>
                  <w:tcW w:w="611" w:type="pct"/>
                  <w:vAlign w:val="center"/>
                </w:tcPr>
                <w:p w14:paraId="266A435F">
                  <w:pPr>
                    <w:jc w:val="center"/>
                    <w:rPr>
                      <w:rFonts w:ascii="Times New Roman" w:hAnsi="Times New Roman" w:cs="Times New Roman"/>
                      <w:color w:val="0000FF"/>
                      <w:sz w:val="21"/>
                      <w:szCs w:val="21"/>
                      <w:highlight w:val="none"/>
                    </w:rPr>
                  </w:pPr>
                  <w:r>
                    <w:rPr>
                      <w:rFonts w:ascii="Times New Roman" w:hAnsi="Times New Roman" w:cs="Times New Roman"/>
                      <w:color w:val="0000FF"/>
                      <w:sz w:val="21"/>
                      <w:szCs w:val="21"/>
                      <w:highlight w:val="none"/>
                    </w:rPr>
                    <w:t>42900</w:t>
                  </w:r>
                </w:p>
              </w:tc>
              <w:tc>
                <w:tcPr>
                  <w:tcW w:w="595" w:type="pct"/>
                  <w:vAlign w:val="center"/>
                </w:tcPr>
                <w:p w14:paraId="6D919D0D">
                  <w:pPr>
                    <w:jc w:val="center"/>
                    <w:rPr>
                      <w:rFonts w:hint="eastAsia" w:cs="Times New Roman"/>
                      <w:b w:val="0"/>
                      <w:bCs w:val="0"/>
                      <w:color w:val="0000FF"/>
                      <w:sz w:val="21"/>
                      <w:szCs w:val="21"/>
                      <w:highlight w:val="none"/>
                      <w:lang w:val="en-US" w:eastAsia="zh-CN"/>
                    </w:rPr>
                  </w:pPr>
                  <w:r>
                    <w:rPr>
                      <w:rFonts w:ascii="Times New Roman" w:hAnsi="Times New Roman" w:cs="Times New Roman"/>
                      <w:color w:val="0000FF"/>
                      <w:sz w:val="21"/>
                      <w:szCs w:val="21"/>
                      <w:highlight w:val="none"/>
                    </w:rPr>
                    <w:t>17160</w:t>
                  </w:r>
                </w:p>
              </w:tc>
              <w:tc>
                <w:tcPr>
                  <w:tcW w:w="603" w:type="pct"/>
                  <w:vAlign w:val="center"/>
                </w:tcPr>
                <w:p w14:paraId="4C0C8461">
                  <w:pPr>
                    <w:jc w:val="center"/>
                    <w:rPr>
                      <w:rFonts w:hint="eastAsia" w:cs="Times New Roman"/>
                      <w:b w:val="0"/>
                      <w:bCs w:val="0"/>
                      <w:color w:val="0000FF"/>
                      <w:sz w:val="21"/>
                      <w:szCs w:val="21"/>
                      <w:highlight w:val="none"/>
                      <w:lang w:val="en-US" w:eastAsia="zh-CN"/>
                    </w:rPr>
                  </w:pPr>
                  <w:r>
                    <w:rPr>
                      <w:rFonts w:ascii="Times New Roman" w:hAnsi="Times New Roman" w:cs="Times New Roman"/>
                      <w:color w:val="0000FF"/>
                      <w:sz w:val="21"/>
                      <w:szCs w:val="21"/>
                      <w:highlight w:val="none"/>
                    </w:rPr>
                    <w:t>42900</w:t>
                  </w:r>
                </w:p>
              </w:tc>
              <w:tc>
                <w:tcPr>
                  <w:tcW w:w="587" w:type="pct"/>
                  <w:vAlign w:val="center"/>
                </w:tcPr>
                <w:p w14:paraId="3BA75F19">
                  <w:pPr>
                    <w:jc w:val="center"/>
                    <w:rPr>
                      <w:rFonts w:hint="eastAsia" w:cs="Times New Roman"/>
                      <w:b w:val="0"/>
                      <w:bCs w:val="0"/>
                      <w:color w:val="0000FF"/>
                      <w:sz w:val="21"/>
                      <w:szCs w:val="21"/>
                      <w:highlight w:val="none"/>
                      <w:lang w:val="en-US" w:eastAsia="zh-CN"/>
                    </w:rPr>
                  </w:pPr>
                  <w:r>
                    <w:rPr>
                      <w:rFonts w:ascii="Times New Roman" w:hAnsi="Times New Roman" w:cs="Times New Roman"/>
                      <w:color w:val="0000FF"/>
                      <w:sz w:val="21"/>
                      <w:szCs w:val="21"/>
                      <w:highlight w:val="none"/>
                    </w:rPr>
                    <w:t>17160</w:t>
                  </w:r>
                </w:p>
              </w:tc>
              <w:tc>
                <w:tcPr>
                  <w:tcW w:w="497" w:type="pct"/>
                  <w:vAlign w:val="center"/>
                </w:tcPr>
                <w:p w14:paraId="001BAEB2">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0</w:t>
                  </w:r>
                </w:p>
              </w:tc>
              <w:tc>
                <w:tcPr>
                  <w:tcW w:w="938" w:type="pct"/>
                  <w:vAlign w:val="center"/>
                </w:tcPr>
                <w:p w14:paraId="51F9D7B1">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淮北市，汽运</w:t>
                  </w:r>
                </w:p>
              </w:tc>
            </w:tr>
            <w:tr w14:paraId="5CA6D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9" w:type="pct"/>
                  <w:vMerge w:val="continue"/>
                  <w:vAlign w:val="center"/>
                </w:tcPr>
                <w:p w14:paraId="59D3AC1A">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p>
              </w:tc>
              <w:tc>
                <w:tcPr>
                  <w:tcW w:w="641" w:type="pct"/>
                  <w:vAlign w:val="center"/>
                </w:tcPr>
                <w:p w14:paraId="1191081A">
                  <w:pPr>
                    <w:adjustRightInd w:val="0"/>
                    <w:snapToGrid w:val="0"/>
                    <w:jc w:val="center"/>
                    <w:rPr>
                      <w:rFonts w:ascii="Times New Roman" w:hAnsi="Times New Roman" w:cs="Times New Roman"/>
                      <w:color w:val="0000FF"/>
                      <w:sz w:val="21"/>
                      <w:szCs w:val="21"/>
                      <w:highlight w:val="none"/>
                    </w:rPr>
                  </w:pPr>
                  <w:r>
                    <w:rPr>
                      <w:rFonts w:hint="eastAsia" w:ascii="Times New Roman" w:hAnsi="Times New Roman" w:cs="Times New Roman"/>
                      <w:color w:val="0000FF"/>
                      <w:sz w:val="21"/>
                      <w:szCs w:val="21"/>
                      <w:highlight w:val="none"/>
                    </w:rPr>
                    <w:t>80%含水率污泥</w:t>
                  </w:r>
                </w:p>
              </w:tc>
              <w:tc>
                <w:tcPr>
                  <w:tcW w:w="253" w:type="pct"/>
                  <w:vAlign w:val="center"/>
                </w:tcPr>
                <w:p w14:paraId="2C2A77DC">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t/a</w:t>
                  </w:r>
                </w:p>
              </w:tc>
              <w:tc>
                <w:tcPr>
                  <w:tcW w:w="611" w:type="pct"/>
                  <w:vAlign w:val="center"/>
                </w:tcPr>
                <w:p w14:paraId="5B8A1BE8">
                  <w:pPr>
                    <w:jc w:val="center"/>
                    <w:rPr>
                      <w:rFonts w:ascii="Times New Roman" w:hAnsi="Times New Roman" w:cs="Times New Roman"/>
                      <w:color w:val="0000FF"/>
                      <w:sz w:val="21"/>
                      <w:szCs w:val="21"/>
                      <w:highlight w:val="none"/>
                    </w:rPr>
                  </w:pPr>
                  <w:r>
                    <w:rPr>
                      <w:rFonts w:ascii="Times New Roman" w:hAnsi="Times New Roman" w:cs="Times New Roman"/>
                      <w:color w:val="0000FF"/>
                      <w:sz w:val="21"/>
                      <w:szCs w:val="21"/>
                      <w:highlight w:val="none"/>
                    </w:rPr>
                    <w:t>23100</w:t>
                  </w:r>
                </w:p>
              </w:tc>
              <w:tc>
                <w:tcPr>
                  <w:tcW w:w="595" w:type="pct"/>
                  <w:vAlign w:val="center"/>
                </w:tcPr>
                <w:p w14:paraId="47380725">
                  <w:pPr>
                    <w:jc w:val="center"/>
                    <w:rPr>
                      <w:rFonts w:hint="eastAsia" w:cs="Times New Roman"/>
                      <w:b w:val="0"/>
                      <w:bCs w:val="0"/>
                      <w:color w:val="0000FF"/>
                      <w:sz w:val="21"/>
                      <w:szCs w:val="21"/>
                      <w:highlight w:val="none"/>
                      <w:lang w:val="en-US" w:eastAsia="zh-CN"/>
                    </w:rPr>
                  </w:pPr>
                  <w:r>
                    <w:rPr>
                      <w:rFonts w:ascii="Times New Roman" w:hAnsi="Times New Roman" w:cs="Times New Roman"/>
                      <w:color w:val="0000FF"/>
                      <w:sz w:val="21"/>
                      <w:szCs w:val="21"/>
                      <w:highlight w:val="none"/>
                    </w:rPr>
                    <w:t>4620</w:t>
                  </w:r>
                </w:p>
              </w:tc>
              <w:tc>
                <w:tcPr>
                  <w:tcW w:w="603" w:type="pct"/>
                  <w:vAlign w:val="center"/>
                </w:tcPr>
                <w:p w14:paraId="1812B425">
                  <w:pPr>
                    <w:jc w:val="center"/>
                    <w:rPr>
                      <w:rFonts w:hint="eastAsia" w:cs="Times New Roman"/>
                      <w:b w:val="0"/>
                      <w:bCs w:val="0"/>
                      <w:color w:val="0000FF"/>
                      <w:sz w:val="21"/>
                      <w:szCs w:val="21"/>
                      <w:highlight w:val="none"/>
                      <w:lang w:val="en-US" w:eastAsia="zh-CN"/>
                    </w:rPr>
                  </w:pPr>
                  <w:r>
                    <w:rPr>
                      <w:rFonts w:ascii="Times New Roman" w:hAnsi="Times New Roman" w:cs="Times New Roman"/>
                      <w:color w:val="0000FF"/>
                      <w:sz w:val="21"/>
                      <w:szCs w:val="21"/>
                      <w:highlight w:val="none"/>
                    </w:rPr>
                    <w:t>23100</w:t>
                  </w:r>
                </w:p>
              </w:tc>
              <w:tc>
                <w:tcPr>
                  <w:tcW w:w="587" w:type="pct"/>
                  <w:vAlign w:val="center"/>
                </w:tcPr>
                <w:p w14:paraId="2B2B061A">
                  <w:pPr>
                    <w:jc w:val="center"/>
                    <w:rPr>
                      <w:rFonts w:hint="eastAsia" w:cs="Times New Roman"/>
                      <w:b w:val="0"/>
                      <w:bCs w:val="0"/>
                      <w:color w:val="0000FF"/>
                      <w:sz w:val="21"/>
                      <w:szCs w:val="21"/>
                      <w:highlight w:val="none"/>
                      <w:lang w:val="en-US" w:eastAsia="zh-CN"/>
                    </w:rPr>
                  </w:pPr>
                  <w:r>
                    <w:rPr>
                      <w:rFonts w:ascii="Times New Roman" w:hAnsi="Times New Roman" w:cs="Times New Roman"/>
                      <w:color w:val="0000FF"/>
                      <w:sz w:val="21"/>
                      <w:szCs w:val="21"/>
                      <w:highlight w:val="none"/>
                    </w:rPr>
                    <w:t>4620</w:t>
                  </w:r>
                </w:p>
              </w:tc>
              <w:tc>
                <w:tcPr>
                  <w:tcW w:w="497" w:type="pct"/>
                  <w:vAlign w:val="center"/>
                </w:tcPr>
                <w:p w14:paraId="3ABAB83C">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0</w:t>
                  </w:r>
                </w:p>
              </w:tc>
              <w:tc>
                <w:tcPr>
                  <w:tcW w:w="938" w:type="pct"/>
                  <w:vAlign w:val="center"/>
                </w:tcPr>
                <w:p w14:paraId="2C64606E">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淮北市，汽运</w:t>
                  </w:r>
                </w:p>
              </w:tc>
            </w:tr>
            <w:tr w14:paraId="3E44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9" w:type="pct"/>
                  <w:vMerge w:val="restart"/>
                  <w:vAlign w:val="center"/>
                </w:tcPr>
                <w:p w14:paraId="06211835">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燃料</w:t>
                  </w:r>
                </w:p>
              </w:tc>
              <w:tc>
                <w:tcPr>
                  <w:tcW w:w="641" w:type="pct"/>
                  <w:vAlign w:val="center"/>
                </w:tcPr>
                <w:p w14:paraId="14A9367C">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原煤</w:t>
                  </w:r>
                </w:p>
              </w:tc>
              <w:tc>
                <w:tcPr>
                  <w:tcW w:w="253" w:type="pct"/>
                  <w:vAlign w:val="center"/>
                </w:tcPr>
                <w:p w14:paraId="4AB1F7FE">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t/a</w:t>
                  </w:r>
                </w:p>
              </w:tc>
              <w:tc>
                <w:tcPr>
                  <w:tcW w:w="611" w:type="pct"/>
                  <w:vAlign w:val="center"/>
                </w:tcPr>
                <w:p w14:paraId="237D01F2">
                  <w:pPr>
                    <w:keepNext w:val="0"/>
                    <w:keepLines w:val="0"/>
                    <w:pageBreakBefore w:val="0"/>
                    <w:kinsoku/>
                    <w:wordWrap/>
                    <w:overflowPunct/>
                    <w:topLinePunct w:val="0"/>
                    <w:autoSpaceDE/>
                    <w:autoSpaceDN/>
                    <w:bidi w:val="0"/>
                    <w:snapToGrid/>
                    <w:spacing w:line="240" w:lineRule="auto"/>
                    <w:jc w:val="center"/>
                    <w:rPr>
                      <w:rFonts w:hint="default" w:eastAsia="宋体" w:cs="Times New Roman"/>
                      <w:b w:val="0"/>
                      <w:bCs w:val="0"/>
                      <w:color w:val="0000FF"/>
                      <w:sz w:val="21"/>
                      <w:szCs w:val="21"/>
                      <w:highlight w:val="none"/>
                      <w:lang w:val="en-US" w:eastAsia="zh-CN"/>
                    </w:rPr>
                  </w:pPr>
                  <w:r>
                    <w:rPr>
                      <w:rFonts w:hint="eastAsia" w:cs="Times New Roman"/>
                      <w:color w:val="0000FF"/>
                      <w:sz w:val="21"/>
                      <w:szCs w:val="21"/>
                      <w:highlight w:val="none"/>
                      <w:lang w:val="en-US" w:eastAsia="zh-CN"/>
                    </w:rPr>
                    <w:t>242385</w:t>
                  </w:r>
                </w:p>
              </w:tc>
              <w:tc>
                <w:tcPr>
                  <w:tcW w:w="595" w:type="pct"/>
                  <w:vAlign w:val="center"/>
                </w:tcPr>
                <w:p w14:paraId="4D8F4B68">
                  <w:pPr>
                    <w:keepNext w:val="0"/>
                    <w:keepLines w:val="0"/>
                    <w:pageBreakBefore w:val="0"/>
                    <w:kinsoku/>
                    <w:wordWrap/>
                    <w:overflowPunct/>
                    <w:topLinePunct w:val="0"/>
                    <w:autoSpaceDE/>
                    <w:autoSpaceDN/>
                    <w:bidi w:val="0"/>
                    <w:snapToGrid/>
                    <w:spacing w:line="240" w:lineRule="auto"/>
                    <w:jc w:val="center"/>
                    <w:rPr>
                      <w:rFonts w:hint="default" w:eastAsia="宋体" w:cs="Times New Roman"/>
                      <w:b w:val="0"/>
                      <w:bCs w:val="0"/>
                      <w:color w:val="0000FF"/>
                      <w:sz w:val="21"/>
                      <w:szCs w:val="21"/>
                      <w:highlight w:val="none"/>
                      <w:lang w:val="en-US" w:eastAsia="zh-CN"/>
                    </w:rPr>
                  </w:pPr>
                  <w:r>
                    <w:rPr>
                      <w:rFonts w:hint="eastAsia" w:cs="Times New Roman"/>
                      <w:color w:val="0000FF"/>
                      <w:sz w:val="21"/>
                      <w:szCs w:val="21"/>
                      <w:highlight w:val="none"/>
                      <w:lang w:val="en-US" w:eastAsia="zh-CN"/>
                    </w:rPr>
                    <w:t>237600</w:t>
                  </w:r>
                </w:p>
              </w:tc>
              <w:tc>
                <w:tcPr>
                  <w:tcW w:w="603" w:type="pct"/>
                  <w:vAlign w:val="center"/>
                </w:tcPr>
                <w:p w14:paraId="1787466D">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highlight w:val="none"/>
                      <w:lang w:val="en-US" w:eastAsia="zh-CN"/>
                    </w:rPr>
                  </w:pPr>
                  <w:r>
                    <w:rPr>
                      <w:rFonts w:hint="eastAsia" w:cs="Times New Roman"/>
                      <w:b w:val="0"/>
                      <w:bCs w:val="0"/>
                      <w:color w:val="0000FF"/>
                      <w:sz w:val="21"/>
                      <w:szCs w:val="21"/>
                      <w:highlight w:val="none"/>
                      <w:lang w:val="en-US" w:eastAsia="zh-CN"/>
                    </w:rPr>
                    <w:t>197485</w:t>
                  </w:r>
                </w:p>
              </w:tc>
              <w:tc>
                <w:tcPr>
                  <w:tcW w:w="587" w:type="pct"/>
                  <w:vAlign w:val="center"/>
                </w:tcPr>
                <w:p w14:paraId="0AE088DA">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highlight w:val="none"/>
                      <w:lang w:val="en-US" w:eastAsia="zh-CN"/>
                    </w:rPr>
                  </w:pPr>
                  <w:r>
                    <w:rPr>
                      <w:rFonts w:hint="eastAsia" w:cs="Times New Roman"/>
                      <w:b w:val="0"/>
                      <w:bCs w:val="0"/>
                      <w:color w:val="0000FF"/>
                      <w:sz w:val="21"/>
                      <w:szCs w:val="21"/>
                      <w:highlight w:val="none"/>
                      <w:lang w:val="en-US" w:eastAsia="zh-CN"/>
                    </w:rPr>
                    <w:t>192700</w:t>
                  </w:r>
                </w:p>
              </w:tc>
              <w:tc>
                <w:tcPr>
                  <w:tcW w:w="497" w:type="pct"/>
                  <w:vAlign w:val="center"/>
                </w:tcPr>
                <w:p w14:paraId="67DA2810">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-44900</w:t>
                  </w:r>
                </w:p>
              </w:tc>
              <w:tc>
                <w:tcPr>
                  <w:tcW w:w="938" w:type="pct"/>
                  <w:vAlign w:val="center"/>
                </w:tcPr>
                <w:p w14:paraId="233ACFE5">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淮北矿业，汽运</w:t>
                  </w:r>
                </w:p>
              </w:tc>
            </w:tr>
            <w:tr w14:paraId="3B34F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69" w:type="pct"/>
                  <w:vMerge w:val="continue"/>
                  <w:vAlign w:val="center"/>
                </w:tcPr>
                <w:p w14:paraId="0BD41B98">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p>
              </w:tc>
              <w:tc>
                <w:tcPr>
                  <w:tcW w:w="641" w:type="pct"/>
                  <w:vAlign w:val="center"/>
                </w:tcPr>
                <w:p w14:paraId="3B3EE07B">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废纺</w:t>
                  </w:r>
                </w:p>
              </w:tc>
              <w:tc>
                <w:tcPr>
                  <w:tcW w:w="253" w:type="pct"/>
                  <w:vAlign w:val="center"/>
                </w:tcPr>
                <w:p w14:paraId="2E913905">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t/a</w:t>
                  </w:r>
                </w:p>
              </w:tc>
              <w:tc>
                <w:tcPr>
                  <w:tcW w:w="611" w:type="pct"/>
                  <w:vAlign w:val="center"/>
                </w:tcPr>
                <w:p w14:paraId="1B7FBCE1">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0</w:t>
                  </w:r>
                </w:p>
              </w:tc>
              <w:tc>
                <w:tcPr>
                  <w:tcW w:w="595" w:type="pct"/>
                  <w:vAlign w:val="center"/>
                </w:tcPr>
                <w:p w14:paraId="0E1ACC1A">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0</w:t>
                  </w:r>
                </w:p>
              </w:tc>
              <w:tc>
                <w:tcPr>
                  <w:tcW w:w="603" w:type="pct"/>
                  <w:vAlign w:val="center"/>
                </w:tcPr>
                <w:p w14:paraId="448C4E50">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70303.712</w:t>
                  </w:r>
                </w:p>
              </w:tc>
              <w:tc>
                <w:tcPr>
                  <w:tcW w:w="587" w:type="pct"/>
                  <w:vAlign w:val="center"/>
                </w:tcPr>
                <w:p w14:paraId="2EBB6BE8">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50000</w:t>
                  </w:r>
                </w:p>
              </w:tc>
              <w:tc>
                <w:tcPr>
                  <w:tcW w:w="497" w:type="pct"/>
                  <w:vAlign w:val="center"/>
                </w:tcPr>
                <w:p w14:paraId="348C68DC">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+50000</w:t>
                  </w:r>
                </w:p>
              </w:tc>
              <w:tc>
                <w:tcPr>
                  <w:tcW w:w="938" w:type="pct"/>
                  <w:vAlign w:val="center"/>
                </w:tcPr>
                <w:p w14:paraId="6E01965B">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周边城市，汽运</w:t>
                  </w:r>
                </w:p>
              </w:tc>
            </w:tr>
            <w:tr w14:paraId="7E15E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9" w:type="pct"/>
                  <w:vMerge w:val="continue"/>
                  <w:vAlign w:val="center"/>
                </w:tcPr>
                <w:p w14:paraId="269C5DB6">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p>
              </w:tc>
              <w:tc>
                <w:tcPr>
                  <w:tcW w:w="641" w:type="pct"/>
                  <w:vAlign w:val="center"/>
                </w:tcPr>
                <w:p w14:paraId="7ED3FC72">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木屑</w:t>
                  </w:r>
                </w:p>
              </w:tc>
              <w:tc>
                <w:tcPr>
                  <w:tcW w:w="253" w:type="pct"/>
                  <w:vAlign w:val="center"/>
                </w:tcPr>
                <w:p w14:paraId="22161691">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t/a</w:t>
                  </w:r>
                </w:p>
              </w:tc>
              <w:tc>
                <w:tcPr>
                  <w:tcW w:w="611" w:type="pct"/>
                  <w:vAlign w:val="center"/>
                </w:tcPr>
                <w:p w14:paraId="30B6A6BE">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0</w:t>
                  </w:r>
                </w:p>
              </w:tc>
              <w:tc>
                <w:tcPr>
                  <w:tcW w:w="595" w:type="pct"/>
                  <w:vAlign w:val="center"/>
                </w:tcPr>
                <w:p w14:paraId="017D5027">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0</w:t>
                  </w:r>
                </w:p>
              </w:tc>
              <w:tc>
                <w:tcPr>
                  <w:tcW w:w="603" w:type="pct"/>
                  <w:vAlign w:val="center"/>
                </w:tcPr>
                <w:p w14:paraId="2A65426D">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76569.678</w:t>
                  </w:r>
                </w:p>
              </w:tc>
              <w:tc>
                <w:tcPr>
                  <w:tcW w:w="587" w:type="pct"/>
                  <w:vAlign w:val="center"/>
                </w:tcPr>
                <w:p w14:paraId="1552D0FF">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50000</w:t>
                  </w:r>
                </w:p>
              </w:tc>
              <w:tc>
                <w:tcPr>
                  <w:tcW w:w="497" w:type="pct"/>
                  <w:vAlign w:val="center"/>
                </w:tcPr>
                <w:p w14:paraId="22F7C860">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+50000</w:t>
                  </w:r>
                </w:p>
              </w:tc>
              <w:tc>
                <w:tcPr>
                  <w:tcW w:w="938" w:type="pct"/>
                  <w:vAlign w:val="center"/>
                </w:tcPr>
                <w:p w14:paraId="62A8319F">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周边城市，汽运</w:t>
                  </w:r>
                </w:p>
              </w:tc>
            </w:tr>
            <w:tr w14:paraId="17850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9"/>
                  <w:vAlign w:val="center"/>
                </w:tcPr>
                <w:p w14:paraId="7589761D">
                  <w:pPr>
                    <w:keepNext w:val="0"/>
                    <w:keepLines w:val="0"/>
                    <w:pageBreakBefore w:val="0"/>
                    <w:kinsoku/>
                    <w:wordWrap/>
                    <w:overflowPunct/>
                    <w:topLinePunct w:val="0"/>
                    <w:autoSpaceDE/>
                    <w:autoSpaceDN/>
                    <w:bidi w:val="0"/>
                    <w:snapToGrid/>
                    <w:spacing w:line="240" w:lineRule="auto"/>
                    <w:jc w:val="both"/>
                    <w:rPr>
                      <w:rFonts w:hint="eastAsia"/>
                      <w:color w:val="0000FF"/>
                    </w:rPr>
                  </w:pPr>
                  <w:bookmarkStart w:id="44" w:name="OLE_LINK54" w:colFirst="0" w:colLast="6"/>
                  <w:bookmarkStart w:id="45" w:name="OLE_LINK59"/>
                  <w:r>
                    <w:rPr>
                      <w:rFonts w:hint="eastAsia"/>
                      <w:color w:val="0000FF"/>
                    </w:rPr>
                    <w:t>注：原料中60%含水率污泥以及80%含水率污泥均属于淮北海创环境工程有限责任公司淮北市利用水泥窑协同处置一般固废二期项目</w:t>
                  </w:r>
                  <w:r>
                    <w:rPr>
                      <w:rFonts w:hint="eastAsia"/>
                      <w:color w:val="0000FF"/>
                      <w:lang w:eastAsia="zh-CN"/>
                    </w:rPr>
                    <w:t>，依托淮北众城水泥有限责任公司5000t/d新型干法熟料生产线</w:t>
                  </w:r>
                </w:p>
              </w:tc>
            </w:tr>
            <w:bookmarkEnd w:id="42"/>
            <w:bookmarkEnd w:id="44"/>
          </w:tbl>
          <w:p w14:paraId="353ED7D8">
            <w:pPr>
              <w:autoSpaceDE w:val="0"/>
              <w:autoSpaceDN w:val="0"/>
              <w:adjustRightInd w:val="0"/>
              <w:jc w:val="center"/>
              <w:rPr>
                <w:rFonts w:hint="eastAsia" w:ascii="Times New Roman" w:hAnsi="Times New Roman" w:eastAsia="宋体" w:cs="Times New Roman"/>
                <w:b/>
                <w:bCs/>
                <w:color w:val="0000FF"/>
                <w:sz w:val="21"/>
                <w:szCs w:val="21"/>
                <w:highlight w:val="yellow"/>
                <w:lang w:val="en-US" w:eastAsia="zh-CN"/>
              </w:rPr>
            </w:pPr>
            <w:r>
              <w:rPr>
                <w:rFonts w:hint="eastAsia" w:ascii="Times New Roman" w:hAnsi="Times New Roman" w:cs="Times New Roman"/>
                <w:b/>
                <w:color w:val="0000FF"/>
              </w:rPr>
              <w:t>表</w:t>
            </w:r>
            <w:r>
              <w:rPr>
                <w:rFonts w:hint="eastAsia" w:cs="Times New Roman"/>
                <w:b/>
                <w:color w:val="0000FF"/>
                <w:lang w:val="en-US" w:eastAsia="zh-CN"/>
              </w:rPr>
              <w:t>2-9</w:t>
            </w:r>
            <w:r>
              <w:rPr>
                <w:rFonts w:ascii="Times New Roman" w:hAnsi="Times New Roman" w:cs="Times New Roman"/>
                <w:b/>
                <w:color w:val="0000FF"/>
              </w:rPr>
              <w:t xml:space="preserve"> </w:t>
            </w:r>
            <w:r>
              <w:rPr>
                <w:rFonts w:hint="eastAsia" w:ascii="Times New Roman" w:hAnsi="Times New Roman" w:cs="Times New Roman"/>
                <w:b/>
                <w:color w:val="0000FF"/>
                <w:lang w:eastAsia="zh-CN"/>
              </w:rPr>
              <w:t>原料化学成分</w:t>
            </w:r>
            <w:r>
              <w:rPr>
                <w:rFonts w:ascii="Times New Roman" w:hAnsi="Times New Roman" w:cs="Times New Roman"/>
                <w:b/>
                <w:color w:val="0000FF"/>
              </w:rPr>
              <w:t>一览表</w:t>
            </w:r>
          </w:p>
          <w:bookmarkEnd w:id="45"/>
          <w:tbl>
            <w:tblPr>
              <w:tblStyle w:val="28"/>
              <w:tblW w:w="4997"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57" w:type="dxa"/>
                <w:bottom w:w="0" w:type="dxa"/>
                <w:right w:w="57" w:type="dxa"/>
              </w:tblCellMar>
            </w:tblPr>
            <w:tblGrid>
              <w:gridCol w:w="1180"/>
              <w:gridCol w:w="727"/>
              <w:gridCol w:w="728"/>
              <w:gridCol w:w="850"/>
              <w:gridCol w:w="850"/>
              <w:gridCol w:w="728"/>
              <w:gridCol w:w="728"/>
              <w:gridCol w:w="649"/>
              <w:gridCol w:w="763"/>
              <w:gridCol w:w="605"/>
              <w:gridCol w:w="728"/>
              <w:gridCol w:w="673"/>
            </w:tblGrid>
            <w:tr w14:paraId="143E160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641" w:type="pct"/>
                  <w:noWrap w:val="0"/>
                  <w:vAlign w:val="center"/>
                </w:tcPr>
                <w:p w14:paraId="71ABF4FC">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p>
              </w:tc>
              <w:tc>
                <w:tcPr>
                  <w:tcW w:w="395" w:type="pct"/>
                  <w:noWrap w:val="0"/>
                  <w:vAlign w:val="center"/>
                </w:tcPr>
                <w:p w14:paraId="3C56ACD3">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L.O.I</w:t>
                  </w:r>
                </w:p>
              </w:tc>
              <w:tc>
                <w:tcPr>
                  <w:tcW w:w="395" w:type="pct"/>
                  <w:noWrap w:val="0"/>
                  <w:vAlign w:val="center"/>
                </w:tcPr>
                <w:p w14:paraId="7CCECD5B">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SiO</w:t>
                  </w:r>
                  <w:r>
                    <w:rPr>
                      <w:rFonts w:hint="eastAsia" w:ascii="Times New Roman" w:hAnsi="Times New Roman" w:eastAsia="宋体" w:cs="Times New Roman"/>
                      <w:b w:val="0"/>
                      <w:bCs w:val="0"/>
                      <w:color w:val="0000FF"/>
                      <w:sz w:val="21"/>
                      <w:szCs w:val="21"/>
                      <w:vertAlign w:val="subscript"/>
                      <w:lang w:val="en-US" w:eastAsia="zh-CN"/>
                    </w:rPr>
                    <w:t>2</w:t>
                  </w:r>
                </w:p>
              </w:tc>
              <w:tc>
                <w:tcPr>
                  <w:tcW w:w="461" w:type="pct"/>
                  <w:noWrap w:val="0"/>
                  <w:vAlign w:val="center"/>
                </w:tcPr>
                <w:p w14:paraId="35496C68">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Al</w:t>
                  </w:r>
                  <w:r>
                    <w:rPr>
                      <w:rFonts w:hint="eastAsia" w:ascii="Times New Roman" w:hAnsi="Times New Roman" w:eastAsia="宋体" w:cs="Times New Roman"/>
                      <w:b w:val="0"/>
                      <w:bCs w:val="0"/>
                      <w:color w:val="0000FF"/>
                      <w:sz w:val="21"/>
                      <w:szCs w:val="21"/>
                      <w:vertAlign w:val="subscript"/>
                      <w:lang w:val="en-US" w:eastAsia="zh-CN"/>
                    </w:rPr>
                    <w:t>2</w:t>
                  </w:r>
                  <w:r>
                    <w:rPr>
                      <w:rFonts w:hint="eastAsia" w:ascii="Times New Roman" w:hAnsi="Times New Roman" w:eastAsia="宋体" w:cs="Times New Roman"/>
                      <w:b w:val="0"/>
                      <w:bCs w:val="0"/>
                      <w:color w:val="0000FF"/>
                      <w:sz w:val="21"/>
                      <w:szCs w:val="21"/>
                      <w:lang w:val="en-US" w:eastAsia="zh-CN"/>
                    </w:rPr>
                    <w:t>O</w:t>
                  </w:r>
                  <w:r>
                    <w:rPr>
                      <w:rFonts w:hint="eastAsia" w:ascii="Times New Roman" w:hAnsi="Times New Roman" w:eastAsia="宋体" w:cs="Times New Roman"/>
                      <w:b w:val="0"/>
                      <w:bCs w:val="0"/>
                      <w:color w:val="0000FF"/>
                      <w:sz w:val="21"/>
                      <w:szCs w:val="21"/>
                      <w:vertAlign w:val="subscript"/>
                      <w:lang w:val="en-US" w:eastAsia="zh-CN"/>
                    </w:rPr>
                    <w:t>3</w:t>
                  </w:r>
                </w:p>
              </w:tc>
              <w:tc>
                <w:tcPr>
                  <w:tcW w:w="461" w:type="pct"/>
                  <w:noWrap w:val="0"/>
                  <w:vAlign w:val="center"/>
                </w:tcPr>
                <w:p w14:paraId="0D95236E">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Fe</w:t>
                  </w:r>
                  <w:bookmarkStart w:id="46" w:name="OLE_LINK58"/>
                  <w:r>
                    <w:rPr>
                      <w:rFonts w:hint="eastAsia" w:ascii="Times New Roman" w:hAnsi="Times New Roman" w:eastAsia="宋体" w:cs="Times New Roman"/>
                      <w:b w:val="0"/>
                      <w:bCs w:val="0"/>
                      <w:color w:val="0000FF"/>
                      <w:sz w:val="21"/>
                      <w:szCs w:val="21"/>
                      <w:vertAlign w:val="subscript"/>
                      <w:lang w:val="en-US" w:eastAsia="zh-CN"/>
                    </w:rPr>
                    <w:t>2</w:t>
                  </w:r>
                  <w:bookmarkEnd w:id="46"/>
                  <w:r>
                    <w:rPr>
                      <w:rFonts w:hint="eastAsia" w:ascii="Times New Roman" w:hAnsi="Times New Roman" w:eastAsia="宋体" w:cs="Times New Roman"/>
                      <w:b w:val="0"/>
                      <w:bCs w:val="0"/>
                      <w:color w:val="0000FF"/>
                      <w:sz w:val="21"/>
                      <w:szCs w:val="21"/>
                      <w:lang w:val="en-US" w:eastAsia="zh-CN"/>
                    </w:rPr>
                    <w:t>O</w:t>
                  </w:r>
                  <w:r>
                    <w:rPr>
                      <w:rFonts w:hint="eastAsia" w:ascii="Times New Roman" w:hAnsi="Times New Roman" w:eastAsia="宋体" w:cs="Times New Roman"/>
                      <w:b w:val="0"/>
                      <w:bCs w:val="0"/>
                      <w:color w:val="0000FF"/>
                      <w:sz w:val="21"/>
                      <w:szCs w:val="21"/>
                      <w:vertAlign w:val="subscript"/>
                      <w:lang w:val="en-US" w:eastAsia="zh-CN"/>
                    </w:rPr>
                    <w:t>3</w:t>
                  </w:r>
                </w:p>
              </w:tc>
              <w:tc>
                <w:tcPr>
                  <w:tcW w:w="395" w:type="pct"/>
                  <w:noWrap w:val="0"/>
                  <w:vAlign w:val="center"/>
                </w:tcPr>
                <w:p w14:paraId="6F6FB69A">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CaO</w:t>
                  </w:r>
                </w:p>
              </w:tc>
              <w:tc>
                <w:tcPr>
                  <w:tcW w:w="395" w:type="pct"/>
                  <w:noWrap w:val="0"/>
                  <w:vAlign w:val="center"/>
                </w:tcPr>
                <w:p w14:paraId="6DE84F86">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MgO</w:t>
                  </w:r>
                </w:p>
              </w:tc>
              <w:tc>
                <w:tcPr>
                  <w:tcW w:w="352" w:type="pct"/>
                  <w:noWrap w:val="0"/>
                  <w:vAlign w:val="top"/>
                </w:tcPr>
                <w:p w14:paraId="28CAD9E6">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K</w:t>
                  </w:r>
                  <w:r>
                    <w:rPr>
                      <w:rFonts w:hint="eastAsia" w:ascii="Times New Roman" w:hAnsi="Times New Roman" w:eastAsia="宋体" w:cs="Times New Roman"/>
                      <w:b w:val="0"/>
                      <w:bCs w:val="0"/>
                      <w:color w:val="0000FF"/>
                      <w:sz w:val="21"/>
                      <w:szCs w:val="21"/>
                      <w:vertAlign w:val="subscript"/>
                      <w:lang w:val="en-US" w:eastAsia="zh-CN"/>
                    </w:rPr>
                    <w:t>2</w:t>
                  </w:r>
                  <w:r>
                    <w:rPr>
                      <w:rFonts w:hint="eastAsia" w:ascii="Times New Roman" w:hAnsi="Times New Roman" w:eastAsia="宋体" w:cs="Times New Roman"/>
                      <w:b w:val="0"/>
                      <w:bCs w:val="0"/>
                      <w:color w:val="0000FF"/>
                      <w:sz w:val="21"/>
                      <w:szCs w:val="21"/>
                      <w:lang w:val="en-US" w:eastAsia="zh-CN"/>
                    </w:rPr>
                    <w:t>O</w:t>
                  </w:r>
                </w:p>
              </w:tc>
              <w:tc>
                <w:tcPr>
                  <w:tcW w:w="414" w:type="pct"/>
                  <w:noWrap w:val="0"/>
                  <w:vAlign w:val="top"/>
                </w:tcPr>
                <w:p w14:paraId="26735EB3">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Na</w:t>
                  </w:r>
                  <w:r>
                    <w:rPr>
                      <w:rFonts w:hint="eastAsia" w:ascii="Times New Roman" w:hAnsi="Times New Roman" w:eastAsia="宋体" w:cs="Times New Roman"/>
                      <w:b w:val="0"/>
                      <w:bCs w:val="0"/>
                      <w:color w:val="0000FF"/>
                      <w:sz w:val="21"/>
                      <w:szCs w:val="21"/>
                      <w:vertAlign w:val="subscript"/>
                      <w:lang w:val="en-US" w:eastAsia="zh-CN"/>
                    </w:rPr>
                    <w:t>2</w:t>
                  </w:r>
                  <w:r>
                    <w:rPr>
                      <w:rFonts w:hint="eastAsia" w:ascii="Times New Roman" w:hAnsi="Times New Roman" w:eastAsia="宋体" w:cs="Times New Roman"/>
                      <w:b w:val="0"/>
                      <w:bCs w:val="0"/>
                      <w:color w:val="0000FF"/>
                      <w:sz w:val="21"/>
                      <w:szCs w:val="21"/>
                      <w:lang w:val="en-US" w:eastAsia="zh-CN"/>
                    </w:rPr>
                    <w:t>O</w:t>
                  </w:r>
                </w:p>
              </w:tc>
              <w:tc>
                <w:tcPr>
                  <w:tcW w:w="328" w:type="pct"/>
                  <w:noWrap w:val="0"/>
                  <w:vAlign w:val="top"/>
                </w:tcPr>
                <w:p w14:paraId="443A97EB">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SO</w:t>
                  </w:r>
                  <w:r>
                    <w:rPr>
                      <w:rFonts w:hint="eastAsia" w:ascii="Times New Roman" w:hAnsi="Times New Roman" w:eastAsia="宋体" w:cs="Times New Roman"/>
                      <w:b w:val="0"/>
                      <w:bCs w:val="0"/>
                      <w:color w:val="0000FF"/>
                      <w:sz w:val="21"/>
                      <w:szCs w:val="21"/>
                      <w:vertAlign w:val="subscript"/>
                      <w:lang w:val="en-US" w:eastAsia="zh-CN"/>
                    </w:rPr>
                    <w:t>3</w:t>
                  </w:r>
                </w:p>
              </w:tc>
              <w:tc>
                <w:tcPr>
                  <w:tcW w:w="395" w:type="pct"/>
                  <w:noWrap w:val="0"/>
                  <w:vAlign w:val="top"/>
                </w:tcPr>
                <w:p w14:paraId="796B2D0A">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Cl</w:t>
                  </w:r>
                  <w:r>
                    <w:rPr>
                      <w:rFonts w:hint="eastAsia" w:ascii="Times New Roman" w:hAnsi="Times New Roman" w:eastAsia="宋体" w:cs="Times New Roman"/>
                      <w:b w:val="0"/>
                      <w:bCs w:val="0"/>
                      <w:color w:val="0000FF"/>
                      <w:sz w:val="21"/>
                      <w:szCs w:val="21"/>
                      <w:vertAlign w:val="superscript"/>
                      <w:lang w:val="en-US" w:eastAsia="zh-CN"/>
                    </w:rPr>
                    <w:t>-</w:t>
                  </w:r>
                </w:p>
              </w:tc>
              <w:tc>
                <w:tcPr>
                  <w:tcW w:w="365" w:type="pct"/>
                  <w:noWrap w:val="0"/>
                  <w:vAlign w:val="center"/>
                </w:tcPr>
                <w:p w14:paraId="1A6D823B">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Total</w:t>
                  </w:r>
                </w:p>
              </w:tc>
            </w:tr>
            <w:tr w14:paraId="6E99A74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641" w:type="pct"/>
                  <w:noWrap w:val="0"/>
                  <w:vAlign w:val="center"/>
                </w:tcPr>
                <w:p w14:paraId="16EB0D54">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石灰石</w:t>
                  </w:r>
                </w:p>
              </w:tc>
              <w:tc>
                <w:tcPr>
                  <w:tcW w:w="395" w:type="pct"/>
                  <w:noWrap w:val="0"/>
                  <w:vAlign w:val="top"/>
                </w:tcPr>
                <w:p w14:paraId="0C742AFF">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41.50</w:t>
                  </w:r>
                </w:p>
              </w:tc>
              <w:tc>
                <w:tcPr>
                  <w:tcW w:w="395" w:type="pct"/>
                  <w:noWrap w:val="0"/>
                  <w:vAlign w:val="top"/>
                </w:tcPr>
                <w:p w14:paraId="6C31889F">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2.10</w:t>
                  </w:r>
                </w:p>
              </w:tc>
              <w:tc>
                <w:tcPr>
                  <w:tcW w:w="461" w:type="pct"/>
                  <w:noWrap w:val="0"/>
                  <w:vAlign w:val="top"/>
                </w:tcPr>
                <w:p w14:paraId="0A9370E5">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1.78</w:t>
                  </w:r>
                </w:p>
              </w:tc>
              <w:tc>
                <w:tcPr>
                  <w:tcW w:w="461" w:type="pct"/>
                  <w:noWrap w:val="0"/>
                  <w:vAlign w:val="top"/>
                </w:tcPr>
                <w:p w14:paraId="39F194D4">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0.67</w:t>
                  </w:r>
                </w:p>
              </w:tc>
              <w:tc>
                <w:tcPr>
                  <w:tcW w:w="395" w:type="pct"/>
                  <w:noWrap w:val="0"/>
                  <w:vAlign w:val="top"/>
                </w:tcPr>
                <w:p w14:paraId="48357125">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51.42</w:t>
                  </w:r>
                </w:p>
              </w:tc>
              <w:tc>
                <w:tcPr>
                  <w:tcW w:w="395" w:type="pct"/>
                  <w:noWrap w:val="0"/>
                  <w:vAlign w:val="top"/>
                </w:tcPr>
                <w:p w14:paraId="75C06A18">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2.205</w:t>
                  </w:r>
                </w:p>
              </w:tc>
              <w:tc>
                <w:tcPr>
                  <w:tcW w:w="352" w:type="pct"/>
                  <w:noWrap w:val="0"/>
                  <w:vAlign w:val="top"/>
                </w:tcPr>
                <w:p w14:paraId="38619C03">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0.20</w:t>
                  </w:r>
                </w:p>
              </w:tc>
              <w:tc>
                <w:tcPr>
                  <w:tcW w:w="414" w:type="pct"/>
                  <w:noWrap w:val="0"/>
                  <w:vAlign w:val="top"/>
                </w:tcPr>
                <w:p w14:paraId="553D6DA5">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0.06</w:t>
                  </w:r>
                </w:p>
              </w:tc>
              <w:tc>
                <w:tcPr>
                  <w:tcW w:w="328" w:type="pct"/>
                  <w:noWrap w:val="0"/>
                  <w:vAlign w:val="top"/>
                </w:tcPr>
                <w:p w14:paraId="5B14AC7A">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0.15</w:t>
                  </w:r>
                </w:p>
              </w:tc>
              <w:tc>
                <w:tcPr>
                  <w:tcW w:w="395" w:type="pct"/>
                  <w:noWrap w:val="0"/>
                  <w:vAlign w:val="top"/>
                </w:tcPr>
                <w:p w14:paraId="09839990">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0.005</w:t>
                  </w:r>
                </w:p>
              </w:tc>
              <w:tc>
                <w:tcPr>
                  <w:tcW w:w="365" w:type="pct"/>
                  <w:noWrap w:val="0"/>
                  <w:vAlign w:val="top"/>
                </w:tcPr>
                <w:p w14:paraId="5C8190D5">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100</w:t>
                  </w:r>
                </w:p>
              </w:tc>
            </w:tr>
            <w:tr w14:paraId="5963B6D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641" w:type="pct"/>
                  <w:noWrap w:val="0"/>
                  <w:vAlign w:val="center"/>
                </w:tcPr>
                <w:p w14:paraId="71A2A2BB">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石英砂岩</w:t>
                  </w:r>
                </w:p>
              </w:tc>
              <w:tc>
                <w:tcPr>
                  <w:tcW w:w="395" w:type="pct"/>
                  <w:noWrap w:val="0"/>
                  <w:vAlign w:val="center"/>
                </w:tcPr>
                <w:p w14:paraId="59328C2F">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1.50</w:t>
                  </w:r>
                </w:p>
              </w:tc>
              <w:tc>
                <w:tcPr>
                  <w:tcW w:w="395" w:type="pct"/>
                  <w:noWrap w:val="0"/>
                  <w:vAlign w:val="center"/>
                </w:tcPr>
                <w:p w14:paraId="2020D6AF">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93.76</w:t>
                  </w:r>
                </w:p>
              </w:tc>
              <w:tc>
                <w:tcPr>
                  <w:tcW w:w="461" w:type="pct"/>
                  <w:noWrap w:val="0"/>
                  <w:vAlign w:val="center"/>
                </w:tcPr>
                <w:p w14:paraId="087E7BAA">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2.31</w:t>
                  </w:r>
                </w:p>
              </w:tc>
              <w:tc>
                <w:tcPr>
                  <w:tcW w:w="461" w:type="pct"/>
                  <w:noWrap w:val="0"/>
                  <w:vAlign w:val="center"/>
                </w:tcPr>
                <w:p w14:paraId="4BB7B8DD">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0.40</w:t>
                  </w:r>
                </w:p>
              </w:tc>
              <w:tc>
                <w:tcPr>
                  <w:tcW w:w="395" w:type="pct"/>
                  <w:noWrap w:val="0"/>
                  <w:vAlign w:val="center"/>
                </w:tcPr>
                <w:p w14:paraId="43B92654">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0.00</w:t>
                  </w:r>
                </w:p>
              </w:tc>
              <w:tc>
                <w:tcPr>
                  <w:tcW w:w="395" w:type="pct"/>
                  <w:noWrap w:val="0"/>
                  <w:vAlign w:val="center"/>
                </w:tcPr>
                <w:p w14:paraId="072D1066">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0.43</w:t>
                  </w:r>
                </w:p>
              </w:tc>
              <w:tc>
                <w:tcPr>
                  <w:tcW w:w="352" w:type="pct"/>
                  <w:noWrap w:val="0"/>
                  <w:vAlign w:val="center"/>
                </w:tcPr>
                <w:p w14:paraId="682F9D1C">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1.00</w:t>
                  </w:r>
                </w:p>
              </w:tc>
              <w:tc>
                <w:tcPr>
                  <w:tcW w:w="414" w:type="pct"/>
                  <w:noWrap w:val="0"/>
                  <w:vAlign w:val="center"/>
                </w:tcPr>
                <w:p w14:paraId="4B326D36">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0.60</w:t>
                  </w:r>
                </w:p>
              </w:tc>
              <w:tc>
                <w:tcPr>
                  <w:tcW w:w="328" w:type="pct"/>
                  <w:noWrap w:val="0"/>
                  <w:vAlign w:val="center"/>
                </w:tcPr>
                <w:p w14:paraId="7D6DEE07">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0.00</w:t>
                  </w:r>
                </w:p>
              </w:tc>
              <w:tc>
                <w:tcPr>
                  <w:tcW w:w="395" w:type="pct"/>
                  <w:noWrap w:val="0"/>
                  <w:vAlign w:val="center"/>
                </w:tcPr>
                <w:p w14:paraId="7FF1682D">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0.000</w:t>
                  </w:r>
                </w:p>
              </w:tc>
              <w:tc>
                <w:tcPr>
                  <w:tcW w:w="365" w:type="pct"/>
                  <w:noWrap w:val="0"/>
                  <w:vAlign w:val="center"/>
                </w:tcPr>
                <w:p w14:paraId="2637C739">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100</w:t>
                  </w:r>
                </w:p>
              </w:tc>
            </w:tr>
            <w:tr w14:paraId="4340B9E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641" w:type="pct"/>
                  <w:noWrap w:val="0"/>
                  <w:vAlign w:val="center"/>
                </w:tcPr>
                <w:p w14:paraId="506BE2A3">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铁尾矿</w:t>
                  </w:r>
                </w:p>
              </w:tc>
              <w:tc>
                <w:tcPr>
                  <w:tcW w:w="395" w:type="pct"/>
                  <w:noWrap w:val="0"/>
                  <w:vAlign w:val="top"/>
                </w:tcPr>
                <w:p w14:paraId="19EC773E">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8.50</w:t>
                  </w:r>
                </w:p>
              </w:tc>
              <w:tc>
                <w:tcPr>
                  <w:tcW w:w="395" w:type="pct"/>
                  <w:noWrap w:val="0"/>
                  <w:vAlign w:val="top"/>
                </w:tcPr>
                <w:p w14:paraId="600F28FA">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58.23</w:t>
                  </w:r>
                </w:p>
              </w:tc>
              <w:tc>
                <w:tcPr>
                  <w:tcW w:w="461" w:type="pct"/>
                  <w:noWrap w:val="0"/>
                  <w:vAlign w:val="top"/>
                </w:tcPr>
                <w:p w14:paraId="2798184A">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4.81</w:t>
                  </w:r>
                </w:p>
              </w:tc>
              <w:tc>
                <w:tcPr>
                  <w:tcW w:w="461" w:type="pct"/>
                  <w:noWrap w:val="0"/>
                  <w:vAlign w:val="top"/>
                </w:tcPr>
                <w:p w14:paraId="7C1211ED">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20.00</w:t>
                  </w:r>
                </w:p>
              </w:tc>
              <w:tc>
                <w:tcPr>
                  <w:tcW w:w="395" w:type="pct"/>
                  <w:noWrap w:val="0"/>
                  <w:vAlign w:val="top"/>
                </w:tcPr>
                <w:p w14:paraId="121C306E">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4.27</w:t>
                  </w:r>
                </w:p>
              </w:tc>
              <w:tc>
                <w:tcPr>
                  <w:tcW w:w="395" w:type="pct"/>
                  <w:noWrap w:val="0"/>
                  <w:vAlign w:val="top"/>
                </w:tcPr>
                <w:p w14:paraId="210543E4">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4.19</w:t>
                  </w:r>
                </w:p>
              </w:tc>
              <w:tc>
                <w:tcPr>
                  <w:tcW w:w="352" w:type="pct"/>
                  <w:noWrap w:val="0"/>
                  <w:vAlign w:val="top"/>
                </w:tcPr>
                <w:p w14:paraId="3330D4C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414" w:type="pct"/>
                  <w:noWrap w:val="0"/>
                  <w:vAlign w:val="top"/>
                </w:tcPr>
                <w:p w14:paraId="382B2001">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328" w:type="pct"/>
                  <w:noWrap w:val="0"/>
                  <w:vAlign w:val="top"/>
                </w:tcPr>
                <w:p w14:paraId="6B59232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395" w:type="pct"/>
                  <w:noWrap w:val="0"/>
                  <w:vAlign w:val="top"/>
                </w:tcPr>
                <w:p w14:paraId="4F655A7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365" w:type="pct"/>
                  <w:noWrap w:val="0"/>
                  <w:vAlign w:val="top"/>
                </w:tcPr>
                <w:p w14:paraId="7C156CE1">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100</w:t>
                  </w:r>
                </w:p>
              </w:tc>
            </w:tr>
            <w:tr w14:paraId="541A68A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641" w:type="pct"/>
                  <w:noWrap w:val="0"/>
                  <w:vAlign w:val="center"/>
                </w:tcPr>
                <w:p w14:paraId="0381C012">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粉煤灰</w:t>
                  </w:r>
                </w:p>
              </w:tc>
              <w:tc>
                <w:tcPr>
                  <w:tcW w:w="395" w:type="pct"/>
                  <w:noWrap w:val="0"/>
                  <w:vAlign w:val="top"/>
                </w:tcPr>
                <w:p w14:paraId="0B5BCF7D">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3.80</w:t>
                  </w:r>
                </w:p>
              </w:tc>
              <w:tc>
                <w:tcPr>
                  <w:tcW w:w="395" w:type="pct"/>
                  <w:noWrap w:val="0"/>
                  <w:vAlign w:val="top"/>
                </w:tcPr>
                <w:p w14:paraId="37E8EC4B">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56.24</w:t>
                  </w:r>
                </w:p>
              </w:tc>
              <w:tc>
                <w:tcPr>
                  <w:tcW w:w="461" w:type="pct"/>
                  <w:noWrap w:val="0"/>
                  <w:vAlign w:val="top"/>
                </w:tcPr>
                <w:p w14:paraId="7DF56025">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29.67</w:t>
                  </w:r>
                </w:p>
              </w:tc>
              <w:tc>
                <w:tcPr>
                  <w:tcW w:w="461" w:type="pct"/>
                  <w:noWrap w:val="0"/>
                  <w:vAlign w:val="top"/>
                </w:tcPr>
                <w:p w14:paraId="0BC4068B">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5.54</w:t>
                  </w:r>
                </w:p>
              </w:tc>
              <w:tc>
                <w:tcPr>
                  <w:tcW w:w="395" w:type="pct"/>
                  <w:noWrap w:val="0"/>
                  <w:vAlign w:val="top"/>
                </w:tcPr>
                <w:p w14:paraId="06A6BB32">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2.71</w:t>
                  </w:r>
                </w:p>
              </w:tc>
              <w:tc>
                <w:tcPr>
                  <w:tcW w:w="395" w:type="pct"/>
                  <w:noWrap w:val="0"/>
                  <w:vAlign w:val="top"/>
                </w:tcPr>
                <w:p w14:paraId="380D4774">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1.04</w:t>
                  </w:r>
                </w:p>
              </w:tc>
              <w:tc>
                <w:tcPr>
                  <w:tcW w:w="352" w:type="pct"/>
                  <w:noWrap w:val="0"/>
                  <w:vAlign w:val="top"/>
                </w:tcPr>
                <w:p w14:paraId="52D310EF">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0.80</w:t>
                  </w:r>
                </w:p>
              </w:tc>
              <w:tc>
                <w:tcPr>
                  <w:tcW w:w="414" w:type="pct"/>
                  <w:noWrap w:val="0"/>
                  <w:vAlign w:val="top"/>
                </w:tcPr>
                <w:p w14:paraId="7832DF31">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0.20</w:t>
                  </w:r>
                </w:p>
              </w:tc>
              <w:tc>
                <w:tcPr>
                  <w:tcW w:w="328" w:type="pct"/>
                  <w:noWrap w:val="0"/>
                  <w:vAlign w:val="top"/>
                </w:tcPr>
                <w:p w14:paraId="0290D00A">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0.00</w:t>
                  </w:r>
                </w:p>
              </w:tc>
              <w:tc>
                <w:tcPr>
                  <w:tcW w:w="395" w:type="pct"/>
                  <w:noWrap w:val="0"/>
                  <w:vAlign w:val="top"/>
                </w:tcPr>
                <w:p w14:paraId="066647A7">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0.000</w:t>
                  </w:r>
                </w:p>
              </w:tc>
              <w:tc>
                <w:tcPr>
                  <w:tcW w:w="365" w:type="pct"/>
                  <w:noWrap w:val="0"/>
                  <w:vAlign w:val="top"/>
                </w:tcPr>
                <w:p w14:paraId="6E0C5C36">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100</w:t>
                  </w:r>
                </w:p>
              </w:tc>
            </w:tr>
          </w:tbl>
          <w:p w14:paraId="20D45029">
            <w:pPr>
              <w:autoSpaceDE w:val="0"/>
              <w:autoSpaceDN w:val="0"/>
              <w:adjustRightInd w:val="0"/>
              <w:jc w:val="center"/>
              <w:rPr>
                <w:rFonts w:hint="eastAsia" w:ascii="Times New Roman" w:hAnsi="Times New Roman" w:cs="Times New Roman"/>
                <w:b/>
                <w:color w:val="0000FF"/>
              </w:rPr>
            </w:pPr>
            <w:bookmarkStart w:id="47" w:name="OLE_LINK60"/>
            <w:r>
              <w:rPr>
                <w:rFonts w:hint="eastAsia" w:ascii="Times New Roman" w:hAnsi="Times New Roman" w:cs="Times New Roman"/>
                <w:b/>
                <w:color w:val="0000FF"/>
              </w:rPr>
              <w:t>表</w:t>
            </w:r>
            <w:r>
              <w:rPr>
                <w:rFonts w:hint="eastAsia" w:cs="Times New Roman"/>
                <w:b/>
                <w:color w:val="0000FF"/>
                <w:lang w:val="en-US" w:eastAsia="zh-CN"/>
              </w:rPr>
              <w:t xml:space="preserve">2-10 </w:t>
            </w:r>
            <w:r>
              <w:rPr>
                <w:rFonts w:hint="eastAsia" w:ascii="Times New Roman" w:hAnsi="Times New Roman" w:cs="Times New Roman"/>
                <w:b/>
                <w:color w:val="0000FF"/>
              </w:rPr>
              <w:t>原料配比情况表</w:t>
            </w:r>
          </w:p>
          <w:tbl>
            <w:tblPr>
              <w:tblStyle w:val="28"/>
              <w:tblW w:w="5000"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1129"/>
              <w:gridCol w:w="1410"/>
              <w:gridCol w:w="1130"/>
              <w:gridCol w:w="1130"/>
              <w:gridCol w:w="2204"/>
              <w:gridCol w:w="2212"/>
            </w:tblGrid>
            <w:tr w14:paraId="270F14F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5000" w:type="pct"/>
                  <w:gridSpan w:val="6"/>
                  <w:noWrap w:val="0"/>
                  <w:vAlign w:val="center"/>
                </w:tcPr>
                <w:p w14:paraId="196D7E64">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原料配比</w:t>
                  </w:r>
                  <w:r>
                    <w:rPr>
                      <w:rFonts w:hint="eastAsia" w:cs="Times New Roman"/>
                      <w:b w:val="0"/>
                      <w:bCs w:val="0"/>
                      <w:color w:val="0000FF"/>
                      <w:sz w:val="21"/>
                      <w:szCs w:val="21"/>
                      <w:lang w:val="en-US" w:eastAsia="zh-CN"/>
                    </w:rPr>
                    <w:t>（%）</w:t>
                  </w:r>
                </w:p>
              </w:tc>
            </w:tr>
            <w:tr w14:paraId="50B2154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613" w:type="pct"/>
                  <w:noWrap w:val="0"/>
                  <w:vAlign w:val="center"/>
                </w:tcPr>
                <w:p w14:paraId="51F9E102">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石灰石</w:t>
                  </w:r>
                </w:p>
              </w:tc>
              <w:tc>
                <w:tcPr>
                  <w:tcW w:w="765" w:type="pct"/>
                  <w:noWrap w:val="0"/>
                  <w:vAlign w:val="center"/>
                </w:tcPr>
                <w:p w14:paraId="72B6C68D">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石英砂岩</w:t>
                  </w:r>
                </w:p>
              </w:tc>
              <w:tc>
                <w:tcPr>
                  <w:tcW w:w="613" w:type="pct"/>
                  <w:noWrap w:val="0"/>
                  <w:vAlign w:val="center"/>
                </w:tcPr>
                <w:p w14:paraId="719F2886">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粉煤灰</w:t>
                  </w:r>
                </w:p>
              </w:tc>
              <w:tc>
                <w:tcPr>
                  <w:tcW w:w="613" w:type="pct"/>
                  <w:noWrap w:val="0"/>
                  <w:vAlign w:val="center"/>
                </w:tcPr>
                <w:p w14:paraId="4D67256A">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铁尾矿</w:t>
                  </w:r>
                </w:p>
              </w:tc>
              <w:tc>
                <w:tcPr>
                  <w:tcW w:w="1196" w:type="pct"/>
                  <w:noWrap w:val="0"/>
                  <w:vAlign w:val="center"/>
                </w:tcPr>
                <w:p w14:paraId="049B77F0">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cs="Times New Roman"/>
                      <w:color w:val="0000FF"/>
                      <w:sz w:val="21"/>
                      <w:szCs w:val="21"/>
                      <w:highlight w:val="none"/>
                    </w:rPr>
                    <w:t>60%含水率污泥</w:t>
                  </w:r>
                </w:p>
              </w:tc>
              <w:tc>
                <w:tcPr>
                  <w:tcW w:w="1198" w:type="pct"/>
                  <w:noWrap w:val="0"/>
                  <w:vAlign w:val="center"/>
                </w:tcPr>
                <w:p w14:paraId="2946BCE8">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cs="Times New Roman"/>
                      <w:color w:val="0000FF"/>
                      <w:sz w:val="21"/>
                      <w:szCs w:val="21"/>
                      <w:highlight w:val="none"/>
                    </w:rPr>
                    <w:t>80%含水率污泥</w:t>
                  </w:r>
                </w:p>
              </w:tc>
            </w:tr>
            <w:tr w14:paraId="5D755B4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51" w:hRule="atLeast"/>
                <w:jc w:val="center"/>
              </w:trPr>
              <w:tc>
                <w:tcPr>
                  <w:tcW w:w="613" w:type="pct"/>
                  <w:noWrap w:val="0"/>
                  <w:vAlign w:val="center"/>
                </w:tcPr>
                <w:p w14:paraId="254322A8">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83.1</w:t>
                  </w:r>
                  <w:r>
                    <w:rPr>
                      <w:rFonts w:hint="eastAsia" w:cs="Times New Roman"/>
                      <w:b w:val="0"/>
                      <w:bCs w:val="0"/>
                      <w:color w:val="0000FF"/>
                      <w:sz w:val="21"/>
                      <w:szCs w:val="21"/>
                      <w:lang w:val="en-US" w:eastAsia="zh-CN"/>
                    </w:rPr>
                    <w:t>4</w:t>
                  </w:r>
                </w:p>
              </w:tc>
              <w:tc>
                <w:tcPr>
                  <w:tcW w:w="765" w:type="pct"/>
                  <w:noWrap w:val="0"/>
                  <w:vAlign w:val="center"/>
                </w:tcPr>
                <w:p w14:paraId="75F8476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val="0"/>
                      <w:color w:val="0000FF"/>
                      <w:sz w:val="21"/>
                      <w:szCs w:val="21"/>
                      <w:lang w:val="en-US" w:eastAsia="zh-CN"/>
                    </w:rPr>
                  </w:pPr>
                  <w:r>
                    <w:rPr>
                      <w:rFonts w:hint="eastAsia" w:cs="Times New Roman"/>
                      <w:b w:val="0"/>
                      <w:bCs w:val="0"/>
                      <w:color w:val="0000FF"/>
                      <w:sz w:val="21"/>
                      <w:szCs w:val="21"/>
                      <w:lang w:val="en-US" w:eastAsia="zh-CN"/>
                    </w:rPr>
                    <w:t>5.85</w:t>
                  </w:r>
                </w:p>
              </w:tc>
              <w:tc>
                <w:tcPr>
                  <w:tcW w:w="613" w:type="pct"/>
                  <w:noWrap w:val="0"/>
                  <w:vAlign w:val="center"/>
                </w:tcPr>
                <w:p w14:paraId="4E94389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val="0"/>
                      <w:color w:val="0000FF"/>
                      <w:sz w:val="21"/>
                      <w:szCs w:val="21"/>
                      <w:lang w:val="en-US" w:eastAsia="zh-CN"/>
                    </w:rPr>
                  </w:pPr>
                  <w:r>
                    <w:rPr>
                      <w:rFonts w:hint="eastAsia" w:cs="Times New Roman"/>
                      <w:b w:val="0"/>
                      <w:bCs w:val="0"/>
                      <w:color w:val="0000FF"/>
                      <w:sz w:val="21"/>
                      <w:szCs w:val="21"/>
                      <w:lang w:val="en-US" w:eastAsia="zh-CN"/>
                    </w:rPr>
                    <w:t>6.49</w:t>
                  </w:r>
                </w:p>
              </w:tc>
              <w:tc>
                <w:tcPr>
                  <w:tcW w:w="613" w:type="pct"/>
                  <w:noWrap w:val="0"/>
                  <w:vAlign w:val="center"/>
                </w:tcPr>
                <w:p w14:paraId="6826727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val="0"/>
                      <w:color w:val="0000FF"/>
                      <w:sz w:val="21"/>
                      <w:szCs w:val="21"/>
                      <w:lang w:val="en-US" w:eastAsia="zh-CN"/>
                    </w:rPr>
                  </w:pPr>
                  <w:r>
                    <w:rPr>
                      <w:rFonts w:hint="eastAsia" w:cs="Times New Roman"/>
                      <w:b w:val="0"/>
                      <w:bCs w:val="0"/>
                      <w:color w:val="0000FF"/>
                      <w:sz w:val="21"/>
                      <w:szCs w:val="21"/>
                      <w:lang w:val="en-US" w:eastAsia="zh-CN"/>
                    </w:rPr>
                    <w:t>3.62</w:t>
                  </w:r>
                </w:p>
              </w:tc>
              <w:tc>
                <w:tcPr>
                  <w:tcW w:w="1196" w:type="pct"/>
                  <w:noWrap w:val="0"/>
                  <w:vAlign w:val="center"/>
                </w:tcPr>
                <w:p w14:paraId="02E3C70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val="0"/>
                      <w:color w:val="0000FF"/>
                      <w:sz w:val="21"/>
                      <w:szCs w:val="21"/>
                      <w:lang w:val="en-US" w:eastAsia="zh-CN"/>
                    </w:rPr>
                  </w:pPr>
                  <w:r>
                    <w:rPr>
                      <w:rFonts w:hint="eastAsia" w:cs="Times New Roman"/>
                      <w:b w:val="0"/>
                      <w:bCs w:val="0"/>
                      <w:color w:val="0000FF"/>
                      <w:sz w:val="21"/>
                      <w:szCs w:val="21"/>
                      <w:lang w:val="en-US" w:eastAsia="zh-CN"/>
                    </w:rPr>
                    <w:t>0.68</w:t>
                  </w:r>
                </w:p>
              </w:tc>
              <w:tc>
                <w:tcPr>
                  <w:tcW w:w="1198" w:type="pct"/>
                  <w:noWrap w:val="0"/>
                  <w:vAlign w:val="center"/>
                </w:tcPr>
                <w:p w14:paraId="77D2590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val="0"/>
                      <w:color w:val="0000FF"/>
                      <w:sz w:val="21"/>
                      <w:szCs w:val="21"/>
                      <w:lang w:val="en-US" w:eastAsia="zh-CN"/>
                    </w:rPr>
                  </w:pPr>
                  <w:r>
                    <w:rPr>
                      <w:rFonts w:hint="eastAsia" w:cs="Times New Roman"/>
                      <w:b w:val="0"/>
                      <w:bCs w:val="0"/>
                      <w:color w:val="0000FF"/>
                      <w:sz w:val="21"/>
                      <w:szCs w:val="21"/>
                      <w:lang w:val="en-US" w:eastAsia="zh-CN"/>
                    </w:rPr>
                    <w:t>0.22</w:t>
                  </w:r>
                </w:p>
              </w:tc>
            </w:tr>
          </w:tbl>
          <w:p w14:paraId="03916697">
            <w:pPr>
              <w:autoSpaceDE w:val="0"/>
              <w:autoSpaceDN w:val="0"/>
              <w:adjustRightInd w:val="0"/>
              <w:jc w:val="center"/>
              <w:rPr>
                <w:rFonts w:hint="eastAsia" w:ascii="Times New Roman" w:hAnsi="Times New Roman" w:eastAsia="宋体" w:cs="Times New Roman"/>
                <w:b/>
                <w:bCs/>
                <w:color w:val="0000FF"/>
                <w:sz w:val="21"/>
                <w:szCs w:val="21"/>
                <w:highlight w:val="yellow"/>
                <w:lang w:val="en-US" w:eastAsia="zh-CN"/>
              </w:rPr>
            </w:pPr>
            <w:r>
              <w:rPr>
                <w:rFonts w:hint="eastAsia" w:ascii="Times New Roman" w:hAnsi="Times New Roman" w:cs="Times New Roman"/>
                <w:b/>
                <w:color w:val="0000FF"/>
              </w:rPr>
              <w:t>表</w:t>
            </w:r>
            <w:r>
              <w:rPr>
                <w:rFonts w:hint="eastAsia" w:cs="Times New Roman"/>
                <w:b/>
                <w:color w:val="0000FF"/>
                <w:lang w:val="en-US" w:eastAsia="zh-CN"/>
              </w:rPr>
              <w:t>2-11</w:t>
            </w:r>
            <w:r>
              <w:rPr>
                <w:rFonts w:ascii="Times New Roman" w:hAnsi="Times New Roman" w:cs="Times New Roman"/>
                <w:b/>
                <w:color w:val="0000FF"/>
              </w:rPr>
              <w:t xml:space="preserve"> </w:t>
            </w:r>
            <w:r>
              <w:rPr>
                <w:rFonts w:hint="eastAsia" w:cs="Times New Roman"/>
                <w:b/>
                <w:color w:val="0000FF"/>
                <w:lang w:eastAsia="zh-CN"/>
              </w:rPr>
              <w:t>污泥重金属成分分析一览表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1562"/>
              <w:gridCol w:w="3235"/>
              <w:gridCol w:w="3235"/>
            </w:tblGrid>
            <w:tr w14:paraId="24C6E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7" w:type="pct"/>
                  <w:noWrap w:val="0"/>
                  <w:vAlign w:val="center"/>
                </w:tcPr>
                <w:p w14:paraId="6078A236">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bookmarkStart w:id="48" w:name="_Hlk83261946"/>
                  <w:r>
                    <w:rPr>
                      <w:rFonts w:hint="eastAsia" w:ascii="Times New Roman" w:hAnsi="Times New Roman" w:eastAsia="宋体" w:cs="Times New Roman"/>
                      <w:b w:val="0"/>
                      <w:bCs w:val="0"/>
                      <w:color w:val="0000FF"/>
                      <w:sz w:val="21"/>
                      <w:szCs w:val="21"/>
                      <w:lang w:val="en-US" w:eastAsia="zh-CN"/>
                    </w:rPr>
                    <w:t>序号</w:t>
                  </w:r>
                </w:p>
              </w:tc>
              <w:tc>
                <w:tcPr>
                  <w:tcW w:w="848" w:type="pct"/>
                  <w:noWrap w:val="0"/>
                  <w:vAlign w:val="center"/>
                </w:tcPr>
                <w:p w14:paraId="3C71F072">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项目</w:t>
                  </w:r>
                </w:p>
              </w:tc>
              <w:tc>
                <w:tcPr>
                  <w:tcW w:w="1756" w:type="pct"/>
                  <w:noWrap w:val="0"/>
                  <w:vAlign w:val="center"/>
                </w:tcPr>
                <w:p w14:paraId="0C683996">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污泥1（mg/kg）</w:t>
                  </w:r>
                </w:p>
              </w:tc>
              <w:tc>
                <w:tcPr>
                  <w:tcW w:w="1756" w:type="pct"/>
                  <w:noWrap w:val="0"/>
                  <w:vAlign w:val="center"/>
                </w:tcPr>
                <w:p w14:paraId="246627FC">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污泥2（mg/kg）</w:t>
                  </w:r>
                </w:p>
              </w:tc>
            </w:tr>
            <w:tr w14:paraId="6756B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7" w:type="pct"/>
                  <w:noWrap w:val="0"/>
                  <w:vAlign w:val="center"/>
                </w:tcPr>
                <w:p w14:paraId="38E0C485">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1</w:t>
                  </w:r>
                </w:p>
              </w:tc>
              <w:tc>
                <w:tcPr>
                  <w:tcW w:w="848" w:type="pct"/>
                  <w:noWrap w:val="0"/>
                  <w:vAlign w:val="center"/>
                </w:tcPr>
                <w:p w14:paraId="10395101">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Hg</w:t>
                  </w:r>
                </w:p>
              </w:tc>
              <w:tc>
                <w:tcPr>
                  <w:tcW w:w="1756" w:type="pct"/>
                  <w:noWrap w:val="0"/>
                  <w:vAlign w:val="center"/>
                </w:tcPr>
                <w:p w14:paraId="67523706">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0.094</w:t>
                  </w:r>
                </w:p>
              </w:tc>
              <w:tc>
                <w:tcPr>
                  <w:tcW w:w="1756" w:type="pct"/>
                  <w:noWrap w:val="0"/>
                  <w:vAlign w:val="center"/>
                </w:tcPr>
                <w:p w14:paraId="74F019BE">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0.1</w:t>
                  </w:r>
                </w:p>
              </w:tc>
            </w:tr>
            <w:tr w14:paraId="02ECA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7" w:type="pct"/>
                  <w:noWrap w:val="0"/>
                  <w:vAlign w:val="center"/>
                </w:tcPr>
                <w:p w14:paraId="111B409E">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2</w:t>
                  </w:r>
                </w:p>
              </w:tc>
              <w:tc>
                <w:tcPr>
                  <w:tcW w:w="848" w:type="pct"/>
                  <w:noWrap w:val="0"/>
                  <w:vAlign w:val="center"/>
                </w:tcPr>
                <w:p w14:paraId="0939E582">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Tl</w:t>
                  </w:r>
                </w:p>
              </w:tc>
              <w:tc>
                <w:tcPr>
                  <w:tcW w:w="1756" w:type="pct"/>
                  <w:noWrap w:val="0"/>
                  <w:vAlign w:val="center"/>
                </w:tcPr>
                <w:p w14:paraId="15D0970F">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ND</w:t>
                  </w:r>
                </w:p>
              </w:tc>
              <w:tc>
                <w:tcPr>
                  <w:tcW w:w="1756" w:type="pct"/>
                  <w:noWrap w:val="0"/>
                  <w:vAlign w:val="center"/>
                </w:tcPr>
                <w:p w14:paraId="5BFE5A93">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ND</w:t>
                  </w:r>
                </w:p>
              </w:tc>
            </w:tr>
            <w:tr w14:paraId="5C8EC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7" w:type="pct"/>
                  <w:noWrap w:val="0"/>
                  <w:vAlign w:val="center"/>
                </w:tcPr>
                <w:p w14:paraId="0E733406">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3</w:t>
                  </w:r>
                </w:p>
              </w:tc>
              <w:tc>
                <w:tcPr>
                  <w:tcW w:w="848" w:type="pct"/>
                  <w:noWrap w:val="0"/>
                  <w:vAlign w:val="center"/>
                </w:tcPr>
                <w:p w14:paraId="2E3473DA">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Cd</w:t>
                  </w:r>
                </w:p>
              </w:tc>
              <w:tc>
                <w:tcPr>
                  <w:tcW w:w="1756" w:type="pct"/>
                  <w:noWrap w:val="0"/>
                  <w:vAlign w:val="center"/>
                </w:tcPr>
                <w:p w14:paraId="289AADD5">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0.373</w:t>
                  </w:r>
                </w:p>
              </w:tc>
              <w:tc>
                <w:tcPr>
                  <w:tcW w:w="1756" w:type="pct"/>
                  <w:noWrap w:val="0"/>
                  <w:vAlign w:val="center"/>
                </w:tcPr>
                <w:p w14:paraId="07EE0A3A">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ND</w:t>
                  </w:r>
                </w:p>
              </w:tc>
            </w:tr>
            <w:tr w14:paraId="32CB6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7" w:type="pct"/>
                  <w:noWrap w:val="0"/>
                  <w:vAlign w:val="center"/>
                </w:tcPr>
                <w:p w14:paraId="58C522B1">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4</w:t>
                  </w:r>
                </w:p>
              </w:tc>
              <w:tc>
                <w:tcPr>
                  <w:tcW w:w="848" w:type="pct"/>
                  <w:noWrap w:val="0"/>
                  <w:vAlign w:val="center"/>
                </w:tcPr>
                <w:p w14:paraId="318BD2C4">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Pb</w:t>
                  </w:r>
                </w:p>
              </w:tc>
              <w:tc>
                <w:tcPr>
                  <w:tcW w:w="1756" w:type="pct"/>
                  <w:noWrap w:val="0"/>
                  <w:vAlign w:val="center"/>
                </w:tcPr>
                <w:p w14:paraId="7319F204">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30.1</w:t>
                  </w:r>
                </w:p>
              </w:tc>
              <w:tc>
                <w:tcPr>
                  <w:tcW w:w="1756" w:type="pct"/>
                  <w:noWrap w:val="0"/>
                  <w:vAlign w:val="center"/>
                </w:tcPr>
                <w:p w14:paraId="191AA3A9">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15.3</w:t>
                  </w:r>
                </w:p>
              </w:tc>
            </w:tr>
            <w:tr w14:paraId="154A0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7" w:type="pct"/>
                  <w:noWrap w:val="0"/>
                  <w:vAlign w:val="center"/>
                </w:tcPr>
                <w:p w14:paraId="70248DCF">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5</w:t>
                  </w:r>
                </w:p>
              </w:tc>
              <w:tc>
                <w:tcPr>
                  <w:tcW w:w="848" w:type="pct"/>
                  <w:noWrap w:val="0"/>
                  <w:vAlign w:val="center"/>
                </w:tcPr>
                <w:p w14:paraId="3DA8AE3A">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As</w:t>
                  </w:r>
                </w:p>
              </w:tc>
              <w:tc>
                <w:tcPr>
                  <w:tcW w:w="1756" w:type="pct"/>
                  <w:noWrap w:val="0"/>
                  <w:vAlign w:val="center"/>
                </w:tcPr>
                <w:p w14:paraId="632E4068">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11.1</w:t>
                  </w:r>
                </w:p>
              </w:tc>
              <w:tc>
                <w:tcPr>
                  <w:tcW w:w="1756" w:type="pct"/>
                  <w:noWrap w:val="0"/>
                  <w:vAlign w:val="center"/>
                </w:tcPr>
                <w:p w14:paraId="281F1005">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0.1</w:t>
                  </w:r>
                </w:p>
              </w:tc>
            </w:tr>
            <w:tr w14:paraId="68F45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7" w:type="pct"/>
                  <w:noWrap w:val="0"/>
                  <w:vAlign w:val="center"/>
                </w:tcPr>
                <w:p w14:paraId="7E536F22">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6</w:t>
                  </w:r>
                </w:p>
              </w:tc>
              <w:tc>
                <w:tcPr>
                  <w:tcW w:w="848" w:type="pct"/>
                  <w:noWrap w:val="0"/>
                  <w:vAlign w:val="center"/>
                </w:tcPr>
                <w:p w14:paraId="400CBD58">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Be</w:t>
                  </w:r>
                </w:p>
              </w:tc>
              <w:tc>
                <w:tcPr>
                  <w:tcW w:w="1756" w:type="pct"/>
                  <w:noWrap w:val="0"/>
                  <w:vAlign w:val="center"/>
                </w:tcPr>
                <w:p w14:paraId="12B86AB2">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0.691</w:t>
                  </w:r>
                </w:p>
              </w:tc>
              <w:tc>
                <w:tcPr>
                  <w:tcW w:w="1756" w:type="pct"/>
                  <w:noWrap w:val="0"/>
                  <w:vAlign w:val="center"/>
                </w:tcPr>
                <w:p w14:paraId="232963F0">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0.558</w:t>
                  </w:r>
                </w:p>
              </w:tc>
            </w:tr>
            <w:tr w14:paraId="60665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7" w:type="pct"/>
                  <w:noWrap w:val="0"/>
                  <w:vAlign w:val="center"/>
                </w:tcPr>
                <w:p w14:paraId="68302119">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7</w:t>
                  </w:r>
                </w:p>
              </w:tc>
              <w:tc>
                <w:tcPr>
                  <w:tcW w:w="848" w:type="pct"/>
                  <w:noWrap w:val="0"/>
                  <w:vAlign w:val="center"/>
                </w:tcPr>
                <w:p w14:paraId="3CCF2BD2">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Sn</w:t>
                  </w:r>
                </w:p>
              </w:tc>
              <w:tc>
                <w:tcPr>
                  <w:tcW w:w="1756" w:type="pct"/>
                  <w:noWrap w:val="0"/>
                  <w:vAlign w:val="center"/>
                </w:tcPr>
                <w:p w14:paraId="3D32C9E8">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2.45</w:t>
                  </w:r>
                </w:p>
              </w:tc>
              <w:tc>
                <w:tcPr>
                  <w:tcW w:w="1756" w:type="pct"/>
                  <w:noWrap w:val="0"/>
                  <w:vAlign w:val="center"/>
                </w:tcPr>
                <w:p w14:paraId="6CC344B8">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2.56</w:t>
                  </w:r>
                </w:p>
              </w:tc>
            </w:tr>
            <w:tr w14:paraId="4D9AA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7" w:type="pct"/>
                  <w:noWrap w:val="0"/>
                  <w:vAlign w:val="center"/>
                </w:tcPr>
                <w:p w14:paraId="49068CB0">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8</w:t>
                  </w:r>
                </w:p>
              </w:tc>
              <w:tc>
                <w:tcPr>
                  <w:tcW w:w="848" w:type="pct"/>
                  <w:noWrap w:val="0"/>
                  <w:vAlign w:val="center"/>
                </w:tcPr>
                <w:p w14:paraId="28C69770">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Sb</w:t>
                  </w:r>
                </w:p>
              </w:tc>
              <w:tc>
                <w:tcPr>
                  <w:tcW w:w="1756" w:type="pct"/>
                  <w:noWrap w:val="0"/>
                  <w:vAlign w:val="center"/>
                </w:tcPr>
                <w:p w14:paraId="3451288F">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1.32</w:t>
                  </w:r>
                </w:p>
              </w:tc>
              <w:tc>
                <w:tcPr>
                  <w:tcW w:w="1756" w:type="pct"/>
                  <w:noWrap w:val="0"/>
                  <w:vAlign w:val="center"/>
                </w:tcPr>
                <w:p w14:paraId="3FE2280B">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1.43</w:t>
                  </w:r>
                </w:p>
              </w:tc>
            </w:tr>
            <w:tr w14:paraId="2E094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7" w:type="pct"/>
                  <w:noWrap w:val="0"/>
                  <w:vAlign w:val="center"/>
                </w:tcPr>
                <w:p w14:paraId="490A1F79">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9</w:t>
                  </w:r>
                </w:p>
              </w:tc>
              <w:tc>
                <w:tcPr>
                  <w:tcW w:w="848" w:type="pct"/>
                  <w:noWrap w:val="0"/>
                  <w:vAlign w:val="center"/>
                </w:tcPr>
                <w:p w14:paraId="064AF821">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Cu</w:t>
                  </w:r>
                </w:p>
              </w:tc>
              <w:tc>
                <w:tcPr>
                  <w:tcW w:w="1756" w:type="pct"/>
                  <w:noWrap w:val="0"/>
                  <w:vAlign w:val="center"/>
                </w:tcPr>
                <w:p w14:paraId="4441615F">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35</w:t>
                  </w:r>
                </w:p>
              </w:tc>
              <w:tc>
                <w:tcPr>
                  <w:tcW w:w="1756" w:type="pct"/>
                  <w:noWrap w:val="0"/>
                  <w:vAlign w:val="center"/>
                </w:tcPr>
                <w:p w14:paraId="3138D2CB">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53.9</w:t>
                  </w:r>
                </w:p>
              </w:tc>
            </w:tr>
            <w:tr w14:paraId="7E46F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7" w:type="pct"/>
                  <w:noWrap w:val="0"/>
                  <w:vAlign w:val="center"/>
                </w:tcPr>
                <w:p w14:paraId="404A06E8">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10</w:t>
                  </w:r>
                </w:p>
              </w:tc>
              <w:tc>
                <w:tcPr>
                  <w:tcW w:w="848" w:type="pct"/>
                  <w:noWrap w:val="0"/>
                  <w:vAlign w:val="center"/>
                </w:tcPr>
                <w:p w14:paraId="3D96C81F">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Co</w:t>
                  </w:r>
                </w:p>
              </w:tc>
              <w:tc>
                <w:tcPr>
                  <w:tcW w:w="1756" w:type="pct"/>
                  <w:noWrap w:val="0"/>
                  <w:vAlign w:val="center"/>
                </w:tcPr>
                <w:p w14:paraId="7128F907">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ND</w:t>
                  </w:r>
                </w:p>
              </w:tc>
              <w:tc>
                <w:tcPr>
                  <w:tcW w:w="1756" w:type="pct"/>
                  <w:noWrap w:val="0"/>
                  <w:vAlign w:val="center"/>
                </w:tcPr>
                <w:p w14:paraId="248D628C">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ND</w:t>
                  </w:r>
                </w:p>
              </w:tc>
            </w:tr>
            <w:tr w14:paraId="07695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7" w:type="pct"/>
                  <w:noWrap w:val="0"/>
                  <w:vAlign w:val="center"/>
                </w:tcPr>
                <w:p w14:paraId="487E367D">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11</w:t>
                  </w:r>
                </w:p>
              </w:tc>
              <w:tc>
                <w:tcPr>
                  <w:tcW w:w="848" w:type="pct"/>
                  <w:noWrap w:val="0"/>
                  <w:vAlign w:val="center"/>
                </w:tcPr>
                <w:p w14:paraId="713CFFFF">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Mn</w:t>
                  </w:r>
                </w:p>
              </w:tc>
              <w:tc>
                <w:tcPr>
                  <w:tcW w:w="1756" w:type="pct"/>
                  <w:noWrap w:val="0"/>
                  <w:vAlign w:val="center"/>
                </w:tcPr>
                <w:p w14:paraId="26301BF4">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476</w:t>
                  </w:r>
                </w:p>
              </w:tc>
              <w:tc>
                <w:tcPr>
                  <w:tcW w:w="1756" w:type="pct"/>
                  <w:noWrap w:val="0"/>
                  <w:vAlign w:val="center"/>
                </w:tcPr>
                <w:p w14:paraId="34C205E2">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487</w:t>
                  </w:r>
                </w:p>
              </w:tc>
            </w:tr>
            <w:tr w14:paraId="3F6D2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7" w:type="pct"/>
                  <w:noWrap w:val="0"/>
                  <w:vAlign w:val="center"/>
                </w:tcPr>
                <w:p w14:paraId="659B6D97">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12</w:t>
                  </w:r>
                </w:p>
              </w:tc>
              <w:tc>
                <w:tcPr>
                  <w:tcW w:w="848" w:type="pct"/>
                  <w:noWrap w:val="0"/>
                  <w:vAlign w:val="center"/>
                </w:tcPr>
                <w:p w14:paraId="771066BB">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Ni</w:t>
                  </w:r>
                </w:p>
              </w:tc>
              <w:tc>
                <w:tcPr>
                  <w:tcW w:w="1756" w:type="pct"/>
                  <w:noWrap w:val="0"/>
                  <w:vAlign w:val="center"/>
                </w:tcPr>
                <w:p w14:paraId="24069312">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27</w:t>
                  </w:r>
                </w:p>
              </w:tc>
              <w:tc>
                <w:tcPr>
                  <w:tcW w:w="1756" w:type="pct"/>
                  <w:noWrap w:val="0"/>
                  <w:vAlign w:val="center"/>
                </w:tcPr>
                <w:p w14:paraId="0380BA63">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51.3</w:t>
                  </w:r>
                </w:p>
              </w:tc>
            </w:tr>
            <w:tr w14:paraId="3C7CD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7" w:type="pct"/>
                  <w:noWrap w:val="0"/>
                  <w:vAlign w:val="center"/>
                </w:tcPr>
                <w:p w14:paraId="175E0ECD">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13</w:t>
                  </w:r>
                </w:p>
              </w:tc>
              <w:tc>
                <w:tcPr>
                  <w:tcW w:w="848" w:type="pct"/>
                  <w:noWrap w:val="0"/>
                  <w:vAlign w:val="center"/>
                </w:tcPr>
                <w:p w14:paraId="5CEB4DAC">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V</w:t>
                  </w:r>
                </w:p>
              </w:tc>
              <w:tc>
                <w:tcPr>
                  <w:tcW w:w="1756" w:type="pct"/>
                  <w:noWrap w:val="0"/>
                  <w:vAlign w:val="center"/>
                </w:tcPr>
                <w:p w14:paraId="08A58E2A">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30.2</w:t>
                  </w:r>
                </w:p>
              </w:tc>
              <w:tc>
                <w:tcPr>
                  <w:tcW w:w="1756" w:type="pct"/>
                  <w:noWrap w:val="0"/>
                  <w:vAlign w:val="center"/>
                </w:tcPr>
                <w:p w14:paraId="66846CBA">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27.6</w:t>
                  </w:r>
                </w:p>
              </w:tc>
            </w:tr>
            <w:tr w14:paraId="2D3B9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7" w:type="pct"/>
                  <w:noWrap w:val="0"/>
                  <w:vAlign w:val="center"/>
                </w:tcPr>
                <w:p w14:paraId="1F5429E1">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14</w:t>
                  </w:r>
                </w:p>
              </w:tc>
              <w:tc>
                <w:tcPr>
                  <w:tcW w:w="848" w:type="pct"/>
                  <w:noWrap w:val="0"/>
                  <w:vAlign w:val="center"/>
                </w:tcPr>
                <w:p w14:paraId="43DCA686">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Cr</w:t>
                  </w:r>
                </w:p>
              </w:tc>
              <w:tc>
                <w:tcPr>
                  <w:tcW w:w="1756" w:type="pct"/>
                  <w:noWrap w:val="0"/>
                  <w:vAlign w:val="center"/>
                </w:tcPr>
                <w:p w14:paraId="339F335C">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81</w:t>
                  </w:r>
                </w:p>
              </w:tc>
              <w:tc>
                <w:tcPr>
                  <w:tcW w:w="1756" w:type="pct"/>
                  <w:noWrap w:val="0"/>
                  <w:vAlign w:val="center"/>
                </w:tcPr>
                <w:p w14:paraId="69E4342F">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12.9</w:t>
                  </w:r>
                </w:p>
              </w:tc>
            </w:tr>
            <w:tr w14:paraId="0DB07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7" w:type="pct"/>
                  <w:noWrap w:val="0"/>
                  <w:vAlign w:val="center"/>
                </w:tcPr>
                <w:p w14:paraId="77FC1509">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15</w:t>
                  </w:r>
                </w:p>
              </w:tc>
              <w:tc>
                <w:tcPr>
                  <w:tcW w:w="848" w:type="pct"/>
                  <w:noWrap w:val="0"/>
                  <w:vAlign w:val="center"/>
                </w:tcPr>
                <w:p w14:paraId="0B7A846C">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含水率</w:t>
                  </w:r>
                </w:p>
              </w:tc>
              <w:tc>
                <w:tcPr>
                  <w:tcW w:w="1756" w:type="pct"/>
                  <w:noWrap w:val="0"/>
                  <w:vAlign w:val="center"/>
                </w:tcPr>
                <w:p w14:paraId="4EED6CE0">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73.6</w:t>
                  </w:r>
                </w:p>
              </w:tc>
              <w:tc>
                <w:tcPr>
                  <w:tcW w:w="1756" w:type="pct"/>
                  <w:noWrap w:val="0"/>
                  <w:vAlign w:val="center"/>
                </w:tcPr>
                <w:p w14:paraId="6637E41F">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54.1</w:t>
                  </w:r>
                </w:p>
              </w:tc>
            </w:tr>
            <w:bookmarkEnd w:id="47"/>
            <w:bookmarkEnd w:id="48"/>
          </w:tbl>
          <w:p w14:paraId="2A8B0675">
            <w:pPr>
              <w:autoSpaceDE w:val="0"/>
              <w:autoSpaceDN w:val="0"/>
              <w:adjustRightInd w:val="0"/>
              <w:jc w:val="center"/>
              <w:rPr>
                <w:rFonts w:hint="eastAsia" w:eastAsia="宋体" w:cs="Times New Roman"/>
                <w:b/>
                <w:bCs/>
                <w:color w:val="0000FF"/>
                <w:kern w:val="2"/>
                <w:sz w:val="24"/>
                <w:szCs w:val="24"/>
                <w:lang w:val="en-US" w:eastAsia="zh-CN" w:bidi="ar-SA"/>
              </w:rPr>
            </w:pPr>
            <w:bookmarkStart w:id="49" w:name="OLE_LINK65"/>
            <w:r>
              <w:rPr>
                <w:rFonts w:hint="eastAsia" w:ascii="Times New Roman" w:hAnsi="Times New Roman" w:cs="Times New Roman"/>
                <w:b/>
                <w:color w:val="0000FF"/>
              </w:rPr>
              <w:t>表</w:t>
            </w:r>
            <w:bookmarkStart w:id="50" w:name="OLE_LINK62"/>
            <w:bookmarkStart w:id="51" w:name="OLE_LINK61"/>
            <w:r>
              <w:rPr>
                <w:rFonts w:hint="eastAsia" w:cs="Times New Roman"/>
                <w:b/>
                <w:color w:val="0000FF"/>
                <w:lang w:val="en-US" w:eastAsia="zh-CN"/>
              </w:rPr>
              <w:t>2-12</w:t>
            </w:r>
            <w:r>
              <w:rPr>
                <w:rFonts w:ascii="Times New Roman" w:hAnsi="Times New Roman" w:cs="Times New Roman"/>
                <w:b/>
                <w:color w:val="0000FF"/>
              </w:rPr>
              <w:t xml:space="preserve"> </w:t>
            </w:r>
            <w:bookmarkEnd w:id="50"/>
            <w:r>
              <w:rPr>
                <w:rFonts w:hint="eastAsia" w:ascii="Times New Roman" w:hAnsi="Times New Roman" w:cs="Times New Roman"/>
                <w:b/>
                <w:color w:val="0000FF"/>
                <w:lang w:eastAsia="zh-CN"/>
              </w:rPr>
              <w:t>熟料化学成分</w:t>
            </w:r>
            <w:r>
              <w:rPr>
                <w:rFonts w:ascii="Times New Roman" w:hAnsi="Times New Roman" w:cs="Times New Roman"/>
                <w:b/>
                <w:color w:val="0000FF"/>
              </w:rPr>
              <w:t>一览表</w:t>
            </w:r>
            <w:bookmarkEnd w:id="51"/>
            <w:r>
              <w:rPr>
                <w:rFonts w:hint="eastAsia" w:ascii="Times New Roman" w:hAnsi="Times New Roman" w:cs="Times New Roman"/>
                <w:b/>
                <w:color w:val="0000FF"/>
                <w:lang w:eastAsia="zh-CN"/>
              </w:rPr>
              <w:t>（</w:t>
            </w:r>
            <w:r>
              <w:rPr>
                <w:rFonts w:hint="eastAsia" w:ascii="Times New Roman" w:hAnsi="Times New Roman" w:cs="Times New Roman"/>
                <w:b/>
                <w:color w:val="0000FF"/>
                <w:lang w:val="en-US" w:eastAsia="zh-CN"/>
              </w:rPr>
              <w:t>%</w:t>
            </w:r>
            <w:r>
              <w:rPr>
                <w:rFonts w:hint="eastAsia" w:ascii="Times New Roman" w:hAnsi="Times New Roman" w:cs="Times New Roman"/>
                <w:b/>
                <w:color w:val="0000FF"/>
                <w:lang w:eastAsia="zh-CN"/>
              </w:rPr>
              <w:t>）</w:t>
            </w:r>
          </w:p>
          <w:bookmarkEnd w:id="49"/>
          <w:tbl>
            <w:tblPr>
              <w:tblStyle w:val="28"/>
              <w:tblW w:w="4997"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28" w:type="dxa"/>
                <w:bottom w:w="0" w:type="dxa"/>
                <w:right w:w="28" w:type="dxa"/>
              </w:tblCellMar>
            </w:tblPr>
            <w:tblGrid>
              <w:gridCol w:w="789"/>
              <w:gridCol w:w="818"/>
              <w:gridCol w:w="971"/>
              <w:gridCol w:w="971"/>
              <w:gridCol w:w="818"/>
              <w:gridCol w:w="772"/>
              <w:gridCol w:w="818"/>
              <w:gridCol w:w="863"/>
              <w:gridCol w:w="819"/>
              <w:gridCol w:w="819"/>
              <w:gridCol w:w="751"/>
            </w:tblGrid>
            <w:tr w14:paraId="0AC4DFB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428" w:type="pct"/>
                  <w:noWrap w:val="0"/>
                  <w:vAlign w:val="center"/>
                </w:tcPr>
                <w:p w14:paraId="1F76A6D7">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L.O.I</w:t>
                  </w:r>
                </w:p>
              </w:tc>
              <w:tc>
                <w:tcPr>
                  <w:tcW w:w="444" w:type="pct"/>
                  <w:noWrap w:val="0"/>
                  <w:vAlign w:val="center"/>
                </w:tcPr>
                <w:p w14:paraId="7A1AE432">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SiO</w:t>
                  </w:r>
                  <w:r>
                    <w:rPr>
                      <w:rFonts w:hint="eastAsia" w:ascii="Times New Roman" w:hAnsi="Times New Roman" w:eastAsia="宋体" w:cs="Times New Roman"/>
                      <w:b w:val="0"/>
                      <w:bCs w:val="0"/>
                      <w:color w:val="0000FF"/>
                      <w:sz w:val="21"/>
                      <w:szCs w:val="21"/>
                      <w:vertAlign w:val="subscript"/>
                      <w:lang w:val="en-US" w:eastAsia="zh-CN"/>
                    </w:rPr>
                    <w:t>2</w:t>
                  </w:r>
                </w:p>
              </w:tc>
              <w:tc>
                <w:tcPr>
                  <w:tcW w:w="527" w:type="pct"/>
                  <w:noWrap w:val="0"/>
                  <w:vAlign w:val="center"/>
                </w:tcPr>
                <w:p w14:paraId="10040320">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Al</w:t>
                  </w:r>
                  <w:r>
                    <w:rPr>
                      <w:rFonts w:hint="eastAsia" w:ascii="Times New Roman" w:hAnsi="Times New Roman" w:eastAsia="宋体" w:cs="Times New Roman"/>
                      <w:b w:val="0"/>
                      <w:bCs w:val="0"/>
                      <w:color w:val="0000FF"/>
                      <w:sz w:val="21"/>
                      <w:szCs w:val="21"/>
                      <w:vertAlign w:val="subscript"/>
                      <w:lang w:val="en-US" w:eastAsia="zh-CN"/>
                    </w:rPr>
                    <w:t>2</w:t>
                  </w:r>
                  <w:r>
                    <w:rPr>
                      <w:rFonts w:hint="eastAsia" w:ascii="Times New Roman" w:hAnsi="Times New Roman" w:eastAsia="宋体" w:cs="Times New Roman"/>
                      <w:b w:val="0"/>
                      <w:bCs w:val="0"/>
                      <w:color w:val="0000FF"/>
                      <w:sz w:val="21"/>
                      <w:szCs w:val="21"/>
                      <w:lang w:val="en-US" w:eastAsia="zh-CN"/>
                    </w:rPr>
                    <w:t>O</w:t>
                  </w:r>
                  <w:r>
                    <w:rPr>
                      <w:rFonts w:hint="eastAsia" w:ascii="Times New Roman" w:hAnsi="Times New Roman" w:eastAsia="宋体" w:cs="Times New Roman"/>
                      <w:b w:val="0"/>
                      <w:bCs w:val="0"/>
                      <w:color w:val="0000FF"/>
                      <w:sz w:val="21"/>
                      <w:szCs w:val="21"/>
                      <w:vertAlign w:val="subscript"/>
                      <w:lang w:val="en-US" w:eastAsia="zh-CN"/>
                    </w:rPr>
                    <w:t>3</w:t>
                  </w:r>
                </w:p>
              </w:tc>
              <w:tc>
                <w:tcPr>
                  <w:tcW w:w="527" w:type="pct"/>
                  <w:noWrap w:val="0"/>
                  <w:vAlign w:val="center"/>
                </w:tcPr>
                <w:p w14:paraId="6E65CB5E">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Fe</w:t>
                  </w:r>
                  <w:r>
                    <w:rPr>
                      <w:rFonts w:hint="eastAsia" w:ascii="Times New Roman" w:hAnsi="Times New Roman" w:eastAsia="宋体" w:cs="Times New Roman"/>
                      <w:b w:val="0"/>
                      <w:bCs w:val="0"/>
                      <w:color w:val="0000FF"/>
                      <w:sz w:val="21"/>
                      <w:szCs w:val="21"/>
                      <w:vertAlign w:val="subscript"/>
                      <w:lang w:val="en-US" w:eastAsia="zh-CN"/>
                    </w:rPr>
                    <w:t>2</w:t>
                  </w:r>
                  <w:r>
                    <w:rPr>
                      <w:rFonts w:hint="eastAsia" w:ascii="Times New Roman" w:hAnsi="Times New Roman" w:eastAsia="宋体" w:cs="Times New Roman"/>
                      <w:b w:val="0"/>
                      <w:bCs w:val="0"/>
                      <w:color w:val="0000FF"/>
                      <w:sz w:val="21"/>
                      <w:szCs w:val="21"/>
                      <w:lang w:val="en-US" w:eastAsia="zh-CN"/>
                    </w:rPr>
                    <w:t>O</w:t>
                  </w:r>
                  <w:r>
                    <w:rPr>
                      <w:rFonts w:hint="eastAsia" w:ascii="Times New Roman" w:hAnsi="Times New Roman" w:eastAsia="宋体" w:cs="Times New Roman"/>
                      <w:b w:val="0"/>
                      <w:bCs w:val="0"/>
                      <w:color w:val="0000FF"/>
                      <w:sz w:val="21"/>
                      <w:szCs w:val="21"/>
                      <w:vertAlign w:val="subscript"/>
                      <w:lang w:val="en-US" w:eastAsia="zh-CN"/>
                    </w:rPr>
                    <w:t>3</w:t>
                  </w:r>
                </w:p>
              </w:tc>
              <w:tc>
                <w:tcPr>
                  <w:tcW w:w="444" w:type="pct"/>
                  <w:noWrap w:val="0"/>
                  <w:vAlign w:val="center"/>
                </w:tcPr>
                <w:p w14:paraId="2168CA07">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CaO</w:t>
                  </w:r>
                </w:p>
              </w:tc>
              <w:tc>
                <w:tcPr>
                  <w:tcW w:w="419" w:type="pct"/>
                  <w:noWrap w:val="0"/>
                  <w:vAlign w:val="center"/>
                </w:tcPr>
                <w:p w14:paraId="42A04E53">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MgO</w:t>
                  </w:r>
                </w:p>
              </w:tc>
              <w:tc>
                <w:tcPr>
                  <w:tcW w:w="444" w:type="pct"/>
                  <w:noWrap w:val="0"/>
                  <w:vAlign w:val="center"/>
                </w:tcPr>
                <w:p w14:paraId="787BCFEA">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K</w:t>
                  </w:r>
                  <w:r>
                    <w:rPr>
                      <w:rFonts w:hint="eastAsia" w:ascii="Times New Roman" w:hAnsi="Times New Roman" w:eastAsia="宋体" w:cs="Times New Roman"/>
                      <w:b w:val="0"/>
                      <w:bCs w:val="0"/>
                      <w:color w:val="0000FF"/>
                      <w:sz w:val="21"/>
                      <w:szCs w:val="21"/>
                      <w:vertAlign w:val="subscript"/>
                      <w:lang w:val="en-US" w:eastAsia="zh-CN"/>
                    </w:rPr>
                    <w:t>2</w:t>
                  </w:r>
                  <w:r>
                    <w:rPr>
                      <w:rFonts w:hint="eastAsia" w:ascii="Times New Roman" w:hAnsi="Times New Roman" w:eastAsia="宋体" w:cs="Times New Roman"/>
                      <w:b w:val="0"/>
                      <w:bCs w:val="0"/>
                      <w:color w:val="0000FF"/>
                      <w:sz w:val="21"/>
                      <w:szCs w:val="21"/>
                      <w:lang w:val="en-US" w:eastAsia="zh-CN"/>
                    </w:rPr>
                    <w:t>O</w:t>
                  </w:r>
                </w:p>
              </w:tc>
              <w:tc>
                <w:tcPr>
                  <w:tcW w:w="468" w:type="pct"/>
                  <w:noWrap w:val="0"/>
                  <w:vAlign w:val="center"/>
                </w:tcPr>
                <w:p w14:paraId="3549B7E1">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Na</w:t>
                  </w:r>
                  <w:r>
                    <w:rPr>
                      <w:rFonts w:hint="eastAsia" w:ascii="Times New Roman" w:hAnsi="Times New Roman" w:eastAsia="宋体" w:cs="Times New Roman"/>
                      <w:b w:val="0"/>
                      <w:bCs w:val="0"/>
                      <w:color w:val="0000FF"/>
                      <w:sz w:val="21"/>
                      <w:szCs w:val="21"/>
                      <w:vertAlign w:val="subscript"/>
                      <w:lang w:val="en-US" w:eastAsia="zh-CN"/>
                    </w:rPr>
                    <w:t>2</w:t>
                  </w:r>
                  <w:r>
                    <w:rPr>
                      <w:rFonts w:hint="eastAsia" w:ascii="Times New Roman" w:hAnsi="Times New Roman" w:eastAsia="宋体" w:cs="Times New Roman"/>
                      <w:b w:val="0"/>
                      <w:bCs w:val="0"/>
                      <w:color w:val="0000FF"/>
                      <w:sz w:val="21"/>
                      <w:szCs w:val="21"/>
                      <w:lang w:val="en-US" w:eastAsia="zh-CN"/>
                    </w:rPr>
                    <w:t>O</w:t>
                  </w:r>
                </w:p>
              </w:tc>
              <w:tc>
                <w:tcPr>
                  <w:tcW w:w="444" w:type="pct"/>
                  <w:noWrap w:val="0"/>
                  <w:vAlign w:val="center"/>
                </w:tcPr>
                <w:p w14:paraId="70B3764C">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SO</w:t>
                  </w:r>
                  <w:r>
                    <w:rPr>
                      <w:rFonts w:hint="eastAsia" w:ascii="Times New Roman" w:hAnsi="Times New Roman" w:eastAsia="宋体" w:cs="Times New Roman"/>
                      <w:b w:val="0"/>
                      <w:bCs w:val="0"/>
                      <w:color w:val="0000FF"/>
                      <w:sz w:val="21"/>
                      <w:szCs w:val="21"/>
                      <w:vertAlign w:val="subscript"/>
                      <w:lang w:val="en-US" w:eastAsia="zh-CN"/>
                    </w:rPr>
                    <w:t>3</w:t>
                  </w:r>
                </w:p>
              </w:tc>
              <w:tc>
                <w:tcPr>
                  <w:tcW w:w="444" w:type="pct"/>
                  <w:noWrap w:val="0"/>
                  <w:vAlign w:val="center"/>
                </w:tcPr>
                <w:p w14:paraId="329039C8">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Cl</w:t>
                  </w:r>
                  <w:r>
                    <w:rPr>
                      <w:rFonts w:hint="eastAsia" w:ascii="Times New Roman" w:hAnsi="Times New Roman" w:eastAsia="宋体" w:cs="Times New Roman"/>
                      <w:b w:val="0"/>
                      <w:bCs w:val="0"/>
                      <w:color w:val="0000FF"/>
                      <w:sz w:val="21"/>
                      <w:szCs w:val="21"/>
                      <w:vertAlign w:val="superscript"/>
                      <w:lang w:val="en-US" w:eastAsia="zh-CN"/>
                    </w:rPr>
                    <w:t>-</w:t>
                  </w:r>
                </w:p>
              </w:tc>
              <w:tc>
                <w:tcPr>
                  <w:tcW w:w="407" w:type="pct"/>
                  <w:noWrap w:val="0"/>
                  <w:vAlign w:val="center"/>
                </w:tcPr>
                <w:p w14:paraId="20C58F3F">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Total</w:t>
                  </w:r>
                </w:p>
              </w:tc>
            </w:tr>
            <w:tr w14:paraId="06E2B4F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428" w:type="pct"/>
                  <w:noWrap w:val="0"/>
                  <w:vAlign w:val="center"/>
                </w:tcPr>
                <w:p w14:paraId="0C80DE81">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0</w:t>
                  </w:r>
                </w:p>
              </w:tc>
              <w:tc>
                <w:tcPr>
                  <w:tcW w:w="444" w:type="pct"/>
                  <w:noWrap w:val="0"/>
                  <w:vAlign w:val="center"/>
                </w:tcPr>
                <w:p w14:paraId="553C1791">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22.20</w:t>
                  </w:r>
                </w:p>
              </w:tc>
              <w:tc>
                <w:tcPr>
                  <w:tcW w:w="527" w:type="pct"/>
                  <w:noWrap w:val="0"/>
                  <w:vAlign w:val="center"/>
                </w:tcPr>
                <w:p w14:paraId="20BC8A12">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5.10</w:t>
                  </w:r>
                </w:p>
              </w:tc>
              <w:tc>
                <w:tcPr>
                  <w:tcW w:w="527" w:type="pct"/>
                  <w:noWrap w:val="0"/>
                  <w:vAlign w:val="center"/>
                </w:tcPr>
                <w:p w14:paraId="7F09689A">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3.18</w:t>
                  </w:r>
                </w:p>
              </w:tc>
              <w:tc>
                <w:tcPr>
                  <w:tcW w:w="444" w:type="pct"/>
                  <w:noWrap w:val="0"/>
                  <w:vAlign w:val="center"/>
                </w:tcPr>
                <w:p w14:paraId="2F04C759">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65.35</w:t>
                  </w:r>
                </w:p>
              </w:tc>
              <w:tc>
                <w:tcPr>
                  <w:tcW w:w="419" w:type="pct"/>
                  <w:noWrap w:val="0"/>
                  <w:vAlign w:val="center"/>
                </w:tcPr>
                <w:p w14:paraId="328B9B25">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3.21</w:t>
                  </w:r>
                </w:p>
              </w:tc>
              <w:tc>
                <w:tcPr>
                  <w:tcW w:w="444" w:type="pct"/>
                  <w:noWrap w:val="0"/>
                  <w:vAlign w:val="center"/>
                </w:tcPr>
                <w:p w14:paraId="28BB4A2E">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0.434</w:t>
                  </w:r>
                </w:p>
              </w:tc>
              <w:tc>
                <w:tcPr>
                  <w:tcW w:w="468" w:type="pct"/>
                  <w:noWrap w:val="0"/>
                  <w:vAlign w:val="center"/>
                </w:tcPr>
                <w:p w14:paraId="082DB1E8">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0.16</w:t>
                  </w:r>
                </w:p>
              </w:tc>
              <w:tc>
                <w:tcPr>
                  <w:tcW w:w="444" w:type="pct"/>
                  <w:noWrap w:val="0"/>
                  <w:vAlign w:val="center"/>
                </w:tcPr>
                <w:p w14:paraId="11FCA0A1">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0.314</w:t>
                  </w:r>
                </w:p>
              </w:tc>
              <w:tc>
                <w:tcPr>
                  <w:tcW w:w="444" w:type="pct"/>
                  <w:noWrap w:val="0"/>
                  <w:vAlign w:val="center"/>
                </w:tcPr>
                <w:p w14:paraId="153285CB">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0.006</w:t>
                  </w:r>
                </w:p>
              </w:tc>
              <w:tc>
                <w:tcPr>
                  <w:tcW w:w="407" w:type="pct"/>
                  <w:noWrap w:val="0"/>
                  <w:vAlign w:val="center"/>
                </w:tcPr>
                <w:p w14:paraId="2E3E5A25">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100</w:t>
                  </w:r>
                </w:p>
              </w:tc>
            </w:tr>
          </w:tbl>
          <w:p w14:paraId="74CE8EF4">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2、原辅材料运输方式</w:t>
            </w:r>
          </w:p>
          <w:p w14:paraId="5F9B0264">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（1）厂外运输</w:t>
            </w:r>
          </w:p>
          <w:p w14:paraId="5872472F">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本项目所用原辅材料交由第三方有资质的单位进行运输，由专用运输车辆采取密闭措施后运输进厂。市内主要通过国、省道经外环路或东山路至水泥厂前道路进厂，省外主要通过高速公路。</w:t>
            </w:r>
          </w:p>
          <w:p w14:paraId="751A017E">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（2）厂内运输</w:t>
            </w:r>
          </w:p>
          <w:p w14:paraId="3609267E">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原辅材料进厂后，通过现有汽车衡对进原辅材料运输车进行计量称重；装卸作业区远离水泥厂办公和生活区域；原煤堆棚、替代燃料堆棚等密闭设置。所有原辅材料均需经过进厂检测，不符合要求、不明性质的不接收。原辅材料卸料、转运作业区设置车辆作业指示标牌和安全警示标志。</w:t>
            </w:r>
          </w:p>
          <w:p w14:paraId="0395C319">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0000FF"/>
                <w:kern w:val="2"/>
                <w:sz w:val="24"/>
                <w:szCs w:val="24"/>
                <w:lang w:val="en-US" w:eastAsia="zh-CN" w:bidi="ar-SA"/>
              </w:rPr>
            </w:pPr>
            <w:r>
              <w:rPr>
                <w:rFonts w:hint="eastAsia" w:ascii="Times New Roman" w:hAnsi="Times New Roman" w:eastAsia="宋体" w:cs="Times New Roman"/>
                <w:b w:val="0"/>
                <w:bCs w:val="0"/>
                <w:color w:val="0000FF"/>
                <w:kern w:val="2"/>
                <w:sz w:val="24"/>
                <w:szCs w:val="24"/>
                <w:lang w:val="en-US" w:eastAsia="zh-CN" w:bidi="ar-SA"/>
              </w:rPr>
              <w:t>3、</w:t>
            </w:r>
            <w:r>
              <w:rPr>
                <w:rFonts w:hint="eastAsia" w:cs="Times New Roman"/>
                <w:b w:val="0"/>
                <w:bCs w:val="0"/>
                <w:color w:val="0000FF"/>
                <w:kern w:val="2"/>
                <w:sz w:val="24"/>
                <w:szCs w:val="24"/>
                <w:lang w:val="en-US" w:eastAsia="zh-CN" w:bidi="ar-SA"/>
              </w:rPr>
              <w:t>原辅材料来料成分控制措施</w:t>
            </w:r>
          </w:p>
          <w:p w14:paraId="67A6D5AD">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default" w:cs="Times New Roman"/>
                <w:b w:val="0"/>
                <w:bCs w:val="0"/>
                <w:color w:val="0000FF"/>
                <w:kern w:val="2"/>
                <w:sz w:val="24"/>
                <w:szCs w:val="24"/>
                <w:lang w:val="en-US" w:eastAsia="zh-CN" w:bidi="ar-SA"/>
              </w:rPr>
              <w:t>水泥生产是一个复杂的工艺过程，涉及到多种原料的配比和严格的质量控制。来料成分的控制是确保水泥产品质量稳定的关键环节。</w:t>
            </w:r>
          </w:p>
          <w:p w14:paraId="56EC5A3D">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default" w:ascii="Times New Roman" w:hAnsi="Times New Roman" w:eastAsia="宋体" w:cs="Times New Roman"/>
                <w:b w:val="0"/>
                <w:bCs w:val="0"/>
                <w:color w:val="0000FF"/>
                <w:kern w:val="2"/>
                <w:sz w:val="24"/>
                <w:szCs w:val="24"/>
                <w:lang w:val="en-US" w:eastAsia="zh-CN" w:bidi="ar-SA"/>
              </w:rPr>
              <w:t>（1）</w:t>
            </w:r>
            <w:r>
              <w:rPr>
                <w:rFonts w:hint="default" w:cs="Times New Roman"/>
                <w:b w:val="0"/>
                <w:bCs w:val="0"/>
                <w:color w:val="0000FF"/>
                <w:kern w:val="2"/>
                <w:sz w:val="24"/>
                <w:szCs w:val="24"/>
                <w:lang w:val="en-US" w:eastAsia="zh-CN" w:bidi="ar-SA"/>
              </w:rPr>
              <w:t>原料的选择和储存</w:t>
            </w:r>
          </w:p>
          <w:p w14:paraId="0005A6D7">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①</w:t>
            </w:r>
            <w:r>
              <w:rPr>
                <w:rFonts w:hint="default" w:cs="Times New Roman"/>
                <w:b w:val="0"/>
                <w:bCs w:val="0"/>
                <w:color w:val="0000FF"/>
                <w:kern w:val="2"/>
                <w:sz w:val="24"/>
                <w:szCs w:val="24"/>
                <w:lang w:val="en-US" w:eastAsia="zh-CN" w:bidi="ar-SA"/>
              </w:rPr>
              <w:t>选择优质原料：水泥生产主要原料包括石灰石、硅铝质原料、铁质原料和燃料。选择成分稳定、品位高的原料是保证水泥质量的基础。例如，应选择CaO含量高的石灰石，以减少生产过程中的波动。</w:t>
            </w:r>
          </w:p>
          <w:p w14:paraId="559C7DF3">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②</w:t>
            </w:r>
            <w:r>
              <w:rPr>
                <w:rFonts w:hint="default" w:cs="Times New Roman"/>
                <w:b w:val="0"/>
                <w:bCs w:val="0"/>
                <w:color w:val="0000FF"/>
                <w:kern w:val="2"/>
                <w:sz w:val="24"/>
                <w:szCs w:val="24"/>
                <w:lang w:val="en-US" w:eastAsia="zh-CN" w:bidi="ar-SA"/>
              </w:rPr>
              <w:t>封闭储存设施：为了减少环境污染和原料成分的变化，</w:t>
            </w:r>
            <w:r>
              <w:rPr>
                <w:rFonts w:hint="eastAsia" w:cs="Times New Roman"/>
                <w:b w:val="0"/>
                <w:bCs w:val="0"/>
                <w:color w:val="0000FF"/>
                <w:kern w:val="2"/>
                <w:sz w:val="24"/>
                <w:szCs w:val="24"/>
                <w:lang w:val="en-US" w:eastAsia="zh-CN" w:bidi="ar-SA"/>
              </w:rPr>
              <w:t>本项目</w:t>
            </w:r>
            <w:r>
              <w:rPr>
                <w:rFonts w:hint="default" w:cs="Times New Roman"/>
                <w:b w:val="0"/>
                <w:bCs w:val="0"/>
                <w:color w:val="0000FF"/>
                <w:kern w:val="2"/>
                <w:sz w:val="24"/>
                <w:szCs w:val="24"/>
                <w:lang w:val="en-US" w:eastAsia="zh-CN" w:bidi="ar-SA"/>
              </w:rPr>
              <w:t>原料堆存采用带屋盖的</w:t>
            </w:r>
            <w:r>
              <w:rPr>
                <w:rFonts w:hint="eastAsia" w:cs="Times New Roman"/>
                <w:b w:val="0"/>
                <w:bCs w:val="0"/>
                <w:color w:val="0000FF"/>
                <w:kern w:val="2"/>
                <w:sz w:val="24"/>
                <w:szCs w:val="24"/>
                <w:lang w:val="en-US" w:eastAsia="zh-CN" w:bidi="ar-SA"/>
              </w:rPr>
              <w:t>圆形</w:t>
            </w:r>
            <w:r>
              <w:rPr>
                <w:rFonts w:hint="default" w:cs="Times New Roman"/>
                <w:b w:val="0"/>
                <w:bCs w:val="0"/>
                <w:color w:val="0000FF"/>
                <w:kern w:val="2"/>
                <w:sz w:val="24"/>
                <w:szCs w:val="24"/>
                <w:lang w:val="en-US" w:eastAsia="zh-CN" w:bidi="ar-SA"/>
              </w:rPr>
              <w:t>石灰石预均化堆场，防止雨水淋湿和粉尘飞扬。煤等燃料也储存在封闭</w:t>
            </w:r>
            <w:r>
              <w:rPr>
                <w:rFonts w:hint="eastAsia" w:cs="Times New Roman"/>
                <w:b w:val="0"/>
                <w:bCs w:val="0"/>
                <w:color w:val="0000FF"/>
                <w:kern w:val="2"/>
                <w:sz w:val="24"/>
                <w:szCs w:val="24"/>
                <w:lang w:val="en-US" w:eastAsia="zh-CN" w:bidi="ar-SA"/>
              </w:rPr>
              <w:t>堆棚</w:t>
            </w:r>
            <w:r>
              <w:rPr>
                <w:rFonts w:hint="default" w:cs="Times New Roman"/>
                <w:b w:val="0"/>
                <w:bCs w:val="0"/>
                <w:color w:val="0000FF"/>
                <w:kern w:val="2"/>
                <w:sz w:val="24"/>
                <w:szCs w:val="24"/>
                <w:lang w:val="en-US" w:eastAsia="zh-CN" w:bidi="ar-SA"/>
              </w:rPr>
              <w:t>中，避免受潮和自燃。</w:t>
            </w:r>
          </w:p>
          <w:p w14:paraId="18E837B6">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default" w:ascii="Times New Roman" w:hAnsi="Times New Roman" w:eastAsia="宋体" w:cs="Times New Roman"/>
                <w:b w:val="0"/>
                <w:bCs w:val="0"/>
                <w:color w:val="0000FF"/>
                <w:kern w:val="2"/>
                <w:sz w:val="24"/>
                <w:szCs w:val="24"/>
                <w:lang w:val="en-US" w:eastAsia="zh-CN" w:bidi="ar-SA"/>
              </w:rPr>
              <w:t>（2）</w:t>
            </w:r>
            <w:r>
              <w:rPr>
                <w:rFonts w:hint="default" w:cs="Times New Roman"/>
                <w:b w:val="0"/>
                <w:bCs w:val="0"/>
                <w:color w:val="0000FF"/>
                <w:kern w:val="2"/>
                <w:sz w:val="24"/>
                <w:szCs w:val="24"/>
                <w:lang w:val="en-US" w:eastAsia="zh-CN" w:bidi="ar-SA"/>
              </w:rPr>
              <w:t>原料的配比控制</w:t>
            </w:r>
          </w:p>
          <w:p w14:paraId="4738BB57">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①</w:t>
            </w:r>
            <w:r>
              <w:rPr>
                <w:rFonts w:hint="default" w:cs="Times New Roman"/>
                <w:b w:val="0"/>
                <w:bCs w:val="0"/>
                <w:color w:val="0000FF"/>
                <w:kern w:val="2"/>
                <w:sz w:val="24"/>
                <w:szCs w:val="24"/>
                <w:lang w:val="en-US" w:eastAsia="zh-CN" w:bidi="ar-SA"/>
              </w:rPr>
              <w:t>精确配料：根据不同原料的化学成分和物理性能，通过试验确定经济合理的配料方案。石灰石、</w:t>
            </w:r>
            <w:r>
              <w:rPr>
                <w:rFonts w:hint="eastAsia" w:cs="Times New Roman"/>
                <w:b w:val="0"/>
                <w:bCs w:val="0"/>
                <w:color w:val="0000FF"/>
                <w:kern w:val="2"/>
                <w:sz w:val="24"/>
                <w:szCs w:val="24"/>
                <w:lang w:val="en-US" w:eastAsia="zh-CN" w:bidi="ar-SA"/>
              </w:rPr>
              <w:t>铁尾矿等</w:t>
            </w:r>
            <w:r>
              <w:rPr>
                <w:rFonts w:hint="default" w:cs="Times New Roman"/>
                <w:b w:val="0"/>
                <w:bCs w:val="0"/>
                <w:color w:val="0000FF"/>
                <w:kern w:val="2"/>
                <w:sz w:val="24"/>
                <w:szCs w:val="24"/>
                <w:lang w:val="en-US" w:eastAsia="zh-CN" w:bidi="ar-SA"/>
              </w:rPr>
              <w:t>的配比应根据熟料的化学组成和强度要求进行调整。</w:t>
            </w:r>
          </w:p>
          <w:p w14:paraId="1B3060DF">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②</w:t>
            </w:r>
            <w:r>
              <w:rPr>
                <w:rFonts w:hint="default" w:cs="Times New Roman"/>
                <w:b w:val="0"/>
                <w:bCs w:val="0"/>
                <w:color w:val="0000FF"/>
                <w:kern w:val="2"/>
                <w:sz w:val="24"/>
                <w:szCs w:val="24"/>
                <w:lang w:val="en-US" w:eastAsia="zh-CN" w:bidi="ar-SA"/>
              </w:rPr>
              <w:t>自动化控制：采用先进的自动化配料系统，确保各种原料按预定比例准确下料。定期校准计量设备，保证配料的精度。</w:t>
            </w:r>
          </w:p>
          <w:p w14:paraId="6ECF2985">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default" w:ascii="Times New Roman" w:hAnsi="Times New Roman" w:eastAsia="宋体" w:cs="Times New Roman"/>
                <w:b w:val="0"/>
                <w:bCs w:val="0"/>
                <w:color w:val="0000FF"/>
                <w:kern w:val="2"/>
                <w:sz w:val="24"/>
                <w:szCs w:val="24"/>
                <w:lang w:val="en-US" w:eastAsia="zh-CN" w:bidi="ar-SA"/>
              </w:rPr>
              <w:t>（3）</w:t>
            </w:r>
            <w:r>
              <w:rPr>
                <w:rFonts w:hint="default" w:cs="Times New Roman"/>
                <w:b w:val="0"/>
                <w:bCs w:val="0"/>
                <w:color w:val="0000FF"/>
                <w:kern w:val="2"/>
                <w:sz w:val="24"/>
                <w:szCs w:val="24"/>
                <w:lang w:val="en-US" w:eastAsia="zh-CN" w:bidi="ar-SA"/>
              </w:rPr>
              <w:t>原料的均化和预处理</w:t>
            </w:r>
          </w:p>
          <w:p w14:paraId="19640782">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①</w:t>
            </w:r>
            <w:r>
              <w:rPr>
                <w:rFonts w:hint="default" w:cs="Times New Roman"/>
                <w:b w:val="0"/>
                <w:bCs w:val="0"/>
                <w:color w:val="0000FF"/>
                <w:kern w:val="2"/>
                <w:sz w:val="24"/>
                <w:szCs w:val="24"/>
                <w:lang w:val="en-US" w:eastAsia="zh-CN" w:bidi="ar-SA"/>
              </w:rPr>
              <w:t>原料均化：为了保证原料成分的均匀性，采用均化库对原料进行均化处理。石灰石均化库可以通过堆取料机的合理操作，使不同品位的石灰石混合均匀。</w:t>
            </w:r>
          </w:p>
          <w:p w14:paraId="1FC88566">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②</w:t>
            </w:r>
            <w:r>
              <w:rPr>
                <w:rFonts w:hint="default" w:cs="Times New Roman"/>
                <w:b w:val="0"/>
                <w:bCs w:val="0"/>
                <w:color w:val="0000FF"/>
                <w:kern w:val="2"/>
                <w:sz w:val="24"/>
                <w:szCs w:val="24"/>
                <w:lang w:val="en-US" w:eastAsia="zh-CN" w:bidi="ar-SA"/>
              </w:rPr>
              <w:t>原料预处理：对原料进行破碎、筛分等预处理，确保原料颗粒大小符合工艺要求</w:t>
            </w:r>
            <w:r>
              <w:rPr>
                <w:rFonts w:hint="eastAsia" w:cs="Times New Roman"/>
                <w:b w:val="0"/>
                <w:bCs w:val="0"/>
                <w:color w:val="0000FF"/>
                <w:kern w:val="2"/>
                <w:sz w:val="24"/>
                <w:szCs w:val="24"/>
                <w:lang w:val="en-US" w:eastAsia="zh-CN" w:bidi="ar-SA"/>
              </w:rPr>
              <w:t>。</w:t>
            </w:r>
            <w:r>
              <w:rPr>
                <w:rFonts w:hint="default" w:cs="Times New Roman"/>
                <w:b w:val="0"/>
                <w:bCs w:val="0"/>
                <w:color w:val="0000FF"/>
                <w:kern w:val="2"/>
                <w:sz w:val="24"/>
                <w:szCs w:val="24"/>
                <w:lang w:val="en-US" w:eastAsia="zh-CN" w:bidi="ar-SA"/>
              </w:rPr>
              <w:t>石灰石破碎后粒度应控制在一定范围内，以减少粉磨过程的能耗。</w:t>
            </w:r>
          </w:p>
          <w:p w14:paraId="544EBEF1">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default" w:ascii="Times New Roman" w:hAnsi="Times New Roman" w:eastAsia="宋体" w:cs="Times New Roman"/>
                <w:b w:val="0"/>
                <w:bCs w:val="0"/>
                <w:color w:val="0000FF"/>
                <w:kern w:val="2"/>
                <w:sz w:val="24"/>
                <w:szCs w:val="24"/>
                <w:lang w:val="en-US" w:eastAsia="zh-CN" w:bidi="ar-SA"/>
              </w:rPr>
              <w:t>（4）</w:t>
            </w:r>
            <w:r>
              <w:rPr>
                <w:rFonts w:hint="default" w:cs="Times New Roman"/>
                <w:b w:val="0"/>
                <w:bCs w:val="0"/>
                <w:color w:val="0000FF"/>
                <w:kern w:val="2"/>
                <w:sz w:val="24"/>
                <w:szCs w:val="24"/>
                <w:lang w:val="en-US" w:eastAsia="zh-CN" w:bidi="ar-SA"/>
              </w:rPr>
              <w:t>质量检测和监控</w:t>
            </w:r>
          </w:p>
          <w:p w14:paraId="62022FC5">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①</w:t>
            </w:r>
            <w:r>
              <w:rPr>
                <w:rFonts w:hint="default" w:cs="Times New Roman"/>
                <w:b w:val="0"/>
                <w:bCs w:val="0"/>
                <w:color w:val="0000FF"/>
                <w:kern w:val="2"/>
                <w:sz w:val="24"/>
                <w:szCs w:val="24"/>
                <w:lang w:val="en-US" w:eastAsia="zh-CN" w:bidi="ar-SA"/>
              </w:rPr>
              <w:t>实时监测：建立在线监测系统，实时监测原料的成分和物理性能。安装</w:t>
            </w:r>
            <w:r>
              <w:rPr>
                <w:rFonts w:hint="eastAsia" w:cs="Times New Roman"/>
                <w:b w:val="0"/>
                <w:bCs w:val="0"/>
                <w:color w:val="0000FF"/>
                <w:kern w:val="2"/>
                <w:sz w:val="24"/>
                <w:szCs w:val="24"/>
                <w:lang w:val="en-US" w:eastAsia="zh-CN" w:bidi="ar-SA"/>
              </w:rPr>
              <w:t>专业</w:t>
            </w:r>
            <w:r>
              <w:rPr>
                <w:rFonts w:hint="default" w:cs="Times New Roman"/>
                <w:b w:val="0"/>
                <w:bCs w:val="0"/>
                <w:color w:val="0000FF"/>
                <w:kern w:val="2"/>
                <w:sz w:val="24"/>
                <w:szCs w:val="24"/>
                <w:lang w:val="en-US" w:eastAsia="zh-CN" w:bidi="ar-SA"/>
              </w:rPr>
              <w:t>设备，快速检测原料的化学成分。</w:t>
            </w:r>
          </w:p>
          <w:p w14:paraId="64F86DDC">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②</w:t>
            </w:r>
            <w:r>
              <w:rPr>
                <w:rFonts w:hint="default" w:cs="Times New Roman"/>
                <w:b w:val="0"/>
                <w:bCs w:val="0"/>
                <w:color w:val="0000FF"/>
                <w:kern w:val="2"/>
                <w:sz w:val="24"/>
                <w:szCs w:val="24"/>
                <w:lang w:val="en-US" w:eastAsia="zh-CN" w:bidi="ar-SA"/>
              </w:rPr>
              <w:t>定期检测：对原料进行定期抽样检测，包括化学全分析、粒度分析、水分测定等。根据检测结果及时调整配料方案和生产工艺。</w:t>
            </w:r>
          </w:p>
          <w:p w14:paraId="1D2130F0">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default" w:ascii="Times New Roman" w:hAnsi="Times New Roman" w:eastAsia="宋体" w:cs="Times New Roman"/>
                <w:b w:val="0"/>
                <w:bCs w:val="0"/>
                <w:color w:val="0000FF"/>
                <w:kern w:val="2"/>
                <w:sz w:val="24"/>
                <w:szCs w:val="24"/>
                <w:lang w:val="en-US" w:eastAsia="zh-CN" w:bidi="ar-SA"/>
              </w:rPr>
              <w:t>（5）</w:t>
            </w:r>
            <w:r>
              <w:rPr>
                <w:rFonts w:hint="default" w:cs="Times New Roman"/>
                <w:b w:val="0"/>
                <w:bCs w:val="0"/>
                <w:color w:val="0000FF"/>
                <w:kern w:val="2"/>
                <w:sz w:val="24"/>
                <w:szCs w:val="24"/>
                <w:lang w:val="en-US" w:eastAsia="zh-CN" w:bidi="ar-SA"/>
              </w:rPr>
              <w:t>人员培训和管理</w:t>
            </w:r>
          </w:p>
          <w:p w14:paraId="45C17CF9">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①</w:t>
            </w:r>
            <w:r>
              <w:rPr>
                <w:rFonts w:hint="default" w:cs="Times New Roman"/>
                <w:b w:val="0"/>
                <w:bCs w:val="0"/>
                <w:color w:val="0000FF"/>
                <w:kern w:val="2"/>
                <w:sz w:val="24"/>
                <w:szCs w:val="24"/>
                <w:lang w:val="en-US" w:eastAsia="zh-CN" w:bidi="ar-SA"/>
              </w:rPr>
              <w:t>加强培训：对操作人员进行系统的培训，</w:t>
            </w:r>
            <w:r>
              <w:rPr>
                <w:rFonts w:hint="eastAsia" w:cs="Times New Roman"/>
                <w:b w:val="0"/>
                <w:bCs w:val="0"/>
                <w:color w:val="0000FF"/>
                <w:kern w:val="2"/>
                <w:sz w:val="24"/>
                <w:szCs w:val="24"/>
                <w:lang w:val="en-US" w:eastAsia="zh-CN" w:bidi="ar-SA"/>
              </w:rPr>
              <w:t>要求</w:t>
            </w:r>
            <w:r>
              <w:rPr>
                <w:rFonts w:hint="default" w:cs="Times New Roman"/>
                <w:b w:val="0"/>
                <w:bCs w:val="0"/>
                <w:color w:val="0000FF"/>
                <w:kern w:val="2"/>
                <w:sz w:val="24"/>
                <w:szCs w:val="24"/>
                <w:lang w:val="en-US" w:eastAsia="zh-CN" w:bidi="ar-SA"/>
              </w:rPr>
              <w:t>操作人员正确使用和维护计量设备</w:t>
            </w:r>
            <w:r>
              <w:rPr>
                <w:rFonts w:hint="eastAsia" w:cs="Times New Roman"/>
                <w:b w:val="0"/>
                <w:bCs w:val="0"/>
                <w:color w:val="0000FF"/>
                <w:kern w:val="2"/>
                <w:sz w:val="24"/>
                <w:szCs w:val="24"/>
                <w:lang w:val="en-US" w:eastAsia="zh-CN" w:bidi="ar-SA"/>
              </w:rPr>
              <w:t>，</w:t>
            </w:r>
            <w:r>
              <w:rPr>
                <w:rFonts w:hint="default" w:cs="Times New Roman"/>
                <w:b w:val="0"/>
                <w:bCs w:val="0"/>
                <w:color w:val="0000FF"/>
                <w:kern w:val="2"/>
                <w:sz w:val="24"/>
                <w:szCs w:val="24"/>
                <w:lang w:val="en-US" w:eastAsia="zh-CN" w:bidi="ar-SA"/>
              </w:rPr>
              <w:t>使其掌握原料成分控制的重要性和操作技能</w:t>
            </w:r>
            <w:r>
              <w:rPr>
                <w:rFonts w:hint="eastAsia" w:cs="Times New Roman"/>
                <w:b w:val="0"/>
                <w:bCs w:val="0"/>
                <w:color w:val="0000FF"/>
                <w:kern w:val="2"/>
                <w:sz w:val="24"/>
                <w:szCs w:val="24"/>
                <w:lang w:val="en-US" w:eastAsia="zh-CN" w:bidi="ar-SA"/>
              </w:rPr>
              <w:t>。</w:t>
            </w:r>
          </w:p>
          <w:p w14:paraId="013D6D38">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②</w:t>
            </w:r>
            <w:r>
              <w:rPr>
                <w:rFonts w:hint="default" w:cs="Times New Roman"/>
                <w:b w:val="0"/>
                <w:bCs w:val="0"/>
                <w:color w:val="0000FF"/>
                <w:kern w:val="2"/>
                <w:sz w:val="24"/>
                <w:szCs w:val="24"/>
                <w:lang w:val="en-US" w:eastAsia="zh-CN" w:bidi="ar-SA"/>
              </w:rPr>
              <w:t>完善管理制度：制定和完善原料管理制度，包括原料采购、储存、使用等环节的管理规定。明确各环节的责任人和操作规程，确保制度的有效执行。</w:t>
            </w:r>
          </w:p>
          <w:p w14:paraId="40D23CEC">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default" w:cs="Times New Roman"/>
                <w:b w:val="0"/>
                <w:bCs w:val="0"/>
                <w:color w:val="0000FF"/>
                <w:kern w:val="2"/>
                <w:sz w:val="24"/>
                <w:szCs w:val="24"/>
                <w:lang w:val="en-US" w:eastAsia="zh-CN" w:bidi="ar-SA"/>
              </w:rPr>
              <w:t>通过以上措施的综合应用，可以有效控制和稳定来料成分，保证水泥产品的质量稳定和生产过程的顺利进行。同时，还能减少环境污染和能源消耗，提高企业的经济效益和社会效益。</w:t>
            </w:r>
          </w:p>
          <w:p w14:paraId="25F781C3">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2" w:firstLineChars="200"/>
              <w:jc w:val="both"/>
              <w:textAlignment w:val="auto"/>
              <w:rPr>
                <w:rFonts w:hint="eastAsia" w:cs="Times New Roman"/>
                <w:b/>
                <w:bCs/>
                <w:color w:val="0000FF"/>
                <w:kern w:val="2"/>
                <w:sz w:val="24"/>
                <w:szCs w:val="24"/>
                <w:lang w:val="en-US" w:eastAsia="zh-CN" w:bidi="ar-SA"/>
              </w:rPr>
            </w:pPr>
            <w:r>
              <w:rPr>
                <w:rFonts w:hint="eastAsia" w:cs="Times New Roman"/>
                <w:b/>
                <w:bCs/>
                <w:color w:val="0000FF"/>
                <w:kern w:val="2"/>
                <w:sz w:val="24"/>
                <w:szCs w:val="24"/>
                <w:lang w:val="en-US" w:eastAsia="zh-CN" w:bidi="ar-SA"/>
              </w:rPr>
              <w:t>六</w:t>
            </w:r>
            <w:r>
              <w:rPr>
                <w:rFonts w:hint="eastAsia" w:ascii="Times New Roman" w:hAnsi="Times New Roman" w:eastAsia="宋体" w:cs="Times New Roman"/>
                <w:b/>
                <w:bCs/>
                <w:color w:val="0000FF"/>
                <w:kern w:val="2"/>
                <w:sz w:val="24"/>
                <w:szCs w:val="24"/>
                <w:lang w:val="en-US" w:eastAsia="zh-CN" w:bidi="ar-SA"/>
              </w:rPr>
              <w:t>、</w:t>
            </w:r>
            <w:r>
              <w:rPr>
                <w:rFonts w:hint="eastAsia" w:cs="Times New Roman"/>
                <w:b/>
                <w:bCs/>
                <w:color w:val="0000FF"/>
                <w:kern w:val="2"/>
                <w:sz w:val="24"/>
                <w:szCs w:val="24"/>
                <w:lang w:val="en-US" w:eastAsia="zh-CN" w:bidi="ar-SA"/>
              </w:rPr>
              <w:t>替代燃料情况</w:t>
            </w:r>
          </w:p>
          <w:bookmarkEnd w:id="38"/>
          <w:p w14:paraId="29DFCB19">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1、替代燃料基本情况</w:t>
            </w:r>
          </w:p>
          <w:p w14:paraId="2A0F9E4F">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根据公司生产情况，公司年生产330天，本项目替代燃料情况见下表。</w:t>
            </w:r>
          </w:p>
          <w:p w14:paraId="0DFD6F0E">
            <w:pPr>
              <w:autoSpaceDE w:val="0"/>
              <w:autoSpaceDN w:val="0"/>
              <w:adjustRightInd w:val="0"/>
              <w:jc w:val="center"/>
              <w:rPr>
                <w:rFonts w:hint="default" w:cs="Times New Roman"/>
                <w:b w:val="0"/>
                <w:bCs w:val="0"/>
                <w:color w:val="0000FF"/>
                <w:kern w:val="2"/>
                <w:sz w:val="24"/>
                <w:szCs w:val="24"/>
                <w:lang w:val="en-US" w:eastAsia="zh-CN" w:bidi="ar-SA"/>
              </w:rPr>
            </w:pPr>
            <w:bookmarkStart w:id="52" w:name="OLE_LINK41"/>
            <w:bookmarkStart w:id="53" w:name="OLE_LINK42"/>
            <w:r>
              <w:rPr>
                <w:rFonts w:hint="eastAsia" w:ascii="Times New Roman" w:hAnsi="Times New Roman" w:cs="Times New Roman"/>
                <w:b/>
                <w:color w:val="0000FF"/>
              </w:rPr>
              <w:t>表</w:t>
            </w:r>
            <w:r>
              <w:rPr>
                <w:rFonts w:hint="eastAsia" w:cs="Times New Roman"/>
                <w:b/>
                <w:color w:val="0000FF"/>
                <w:lang w:val="en-US" w:eastAsia="zh-CN"/>
              </w:rPr>
              <w:t>2-13</w:t>
            </w:r>
            <w:r>
              <w:rPr>
                <w:rFonts w:ascii="Times New Roman" w:hAnsi="Times New Roman" w:cs="Times New Roman"/>
                <w:b/>
                <w:color w:val="0000FF"/>
              </w:rPr>
              <w:t xml:space="preserve"> </w:t>
            </w:r>
            <w:r>
              <w:rPr>
                <w:rFonts w:hint="eastAsia" w:cs="Times New Roman"/>
                <w:b/>
                <w:color w:val="0000FF"/>
                <w:lang w:eastAsia="zh-CN"/>
              </w:rPr>
              <w:t>燃料使用量一览</w:t>
            </w:r>
            <w:r>
              <w:rPr>
                <w:rFonts w:hint="eastAsia" w:ascii="Times New Roman" w:hAnsi="Times New Roman" w:cs="Times New Roman"/>
                <w:b/>
                <w:color w:val="0000FF"/>
              </w:rPr>
              <w:t>表</w:t>
            </w:r>
            <w:bookmarkEnd w:id="52"/>
          </w:p>
          <w:bookmarkEnd w:id="53"/>
          <w:tbl>
            <w:tblPr>
              <w:tblStyle w:val="2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
              <w:gridCol w:w="1079"/>
              <w:gridCol w:w="1549"/>
              <w:gridCol w:w="2403"/>
              <w:gridCol w:w="1230"/>
              <w:gridCol w:w="1261"/>
              <w:gridCol w:w="1234"/>
            </w:tblGrid>
            <w:tr w14:paraId="1AE4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Align w:val="center"/>
                </w:tcPr>
                <w:p w14:paraId="72DBA8E1">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序号</w:t>
                  </w:r>
                </w:p>
              </w:tc>
              <w:tc>
                <w:tcPr>
                  <w:tcW w:w="586" w:type="pct"/>
                  <w:vAlign w:val="center"/>
                </w:tcPr>
                <w:p w14:paraId="312C457D">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燃料名称</w:t>
                  </w:r>
                </w:p>
              </w:tc>
              <w:tc>
                <w:tcPr>
                  <w:tcW w:w="841" w:type="pct"/>
                  <w:vAlign w:val="center"/>
                </w:tcPr>
                <w:p w14:paraId="5568664B">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一般固废代码</w:t>
                  </w:r>
                </w:p>
              </w:tc>
              <w:tc>
                <w:tcPr>
                  <w:tcW w:w="1305" w:type="pct"/>
                  <w:vAlign w:val="center"/>
                </w:tcPr>
                <w:p w14:paraId="59602E72">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热值QNel，ad（kcal/kg）</w:t>
                  </w:r>
                </w:p>
              </w:tc>
              <w:tc>
                <w:tcPr>
                  <w:tcW w:w="668" w:type="pct"/>
                  <w:vAlign w:val="center"/>
                </w:tcPr>
                <w:p w14:paraId="507F257B">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技改前总用量（t/a）</w:t>
                  </w:r>
                </w:p>
              </w:tc>
              <w:tc>
                <w:tcPr>
                  <w:tcW w:w="685" w:type="pct"/>
                  <w:vAlign w:val="center"/>
                </w:tcPr>
                <w:p w14:paraId="3FF2D4EE">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本项目总用量（t/a）</w:t>
                  </w:r>
                </w:p>
              </w:tc>
              <w:tc>
                <w:tcPr>
                  <w:tcW w:w="670" w:type="pct"/>
                  <w:vAlign w:val="center"/>
                </w:tcPr>
                <w:p w14:paraId="786849B1">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技改后总用量（t/a）</w:t>
                  </w:r>
                </w:p>
              </w:tc>
            </w:tr>
            <w:tr w14:paraId="6F47C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Align w:val="center"/>
                </w:tcPr>
                <w:p w14:paraId="0FD969A2">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1</w:t>
                  </w:r>
                </w:p>
              </w:tc>
              <w:tc>
                <w:tcPr>
                  <w:tcW w:w="586" w:type="pct"/>
                  <w:vAlign w:val="center"/>
                </w:tcPr>
                <w:p w14:paraId="2C203312">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废纺</w:t>
                  </w:r>
                </w:p>
              </w:tc>
              <w:tc>
                <w:tcPr>
                  <w:tcW w:w="841" w:type="pct"/>
                  <w:vAlign w:val="center"/>
                </w:tcPr>
                <w:p w14:paraId="246E251E">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170-001-01</w:t>
                  </w:r>
                </w:p>
              </w:tc>
              <w:tc>
                <w:tcPr>
                  <w:tcW w:w="1305" w:type="pct"/>
                  <w:vAlign w:val="center"/>
                </w:tcPr>
                <w:p w14:paraId="4EFE02FD">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3356</w:t>
                  </w:r>
                </w:p>
              </w:tc>
              <w:tc>
                <w:tcPr>
                  <w:tcW w:w="668" w:type="pct"/>
                  <w:vAlign w:val="center"/>
                </w:tcPr>
                <w:p w14:paraId="1F630B68">
                  <w:pPr>
                    <w:keepNext w:val="0"/>
                    <w:keepLines w:val="0"/>
                    <w:pageBreakBefore w:val="0"/>
                    <w:kinsoku/>
                    <w:wordWrap/>
                    <w:overflowPunct/>
                    <w:topLinePunct w:val="0"/>
                    <w:autoSpaceDE/>
                    <w:autoSpaceDN/>
                    <w:bidi w:val="0"/>
                    <w:snapToGrid/>
                    <w:spacing w:line="240" w:lineRule="auto"/>
                    <w:jc w:val="center"/>
                    <w:rPr>
                      <w:rFonts w:hint="default" w:eastAsia="宋体" w:cs="Times New Roman"/>
                      <w:b w:val="0"/>
                      <w:bCs w:val="0"/>
                      <w:color w:val="0000FF"/>
                      <w:sz w:val="21"/>
                      <w:szCs w:val="21"/>
                      <w:lang w:val="en-US" w:eastAsia="zh-CN"/>
                    </w:rPr>
                  </w:pPr>
                  <w:r>
                    <w:rPr>
                      <w:rFonts w:hint="eastAsia" w:cs="Times New Roman"/>
                      <w:b w:val="0"/>
                      <w:bCs w:val="0"/>
                      <w:color w:val="0000FF"/>
                      <w:sz w:val="21"/>
                      <w:szCs w:val="21"/>
                      <w:lang w:val="en-US" w:eastAsia="zh-CN"/>
                    </w:rPr>
                    <w:t>0</w:t>
                  </w:r>
                </w:p>
              </w:tc>
              <w:tc>
                <w:tcPr>
                  <w:tcW w:w="685" w:type="pct"/>
                  <w:vAlign w:val="center"/>
                </w:tcPr>
                <w:p w14:paraId="06C74889">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50000</w:t>
                  </w:r>
                </w:p>
              </w:tc>
              <w:tc>
                <w:tcPr>
                  <w:tcW w:w="670" w:type="pct"/>
                  <w:vAlign w:val="center"/>
                </w:tcPr>
                <w:p w14:paraId="7679F93F">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50000</w:t>
                  </w:r>
                </w:p>
              </w:tc>
            </w:tr>
            <w:tr w14:paraId="44BFF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Align w:val="center"/>
                </w:tcPr>
                <w:p w14:paraId="2284C818">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2</w:t>
                  </w:r>
                </w:p>
              </w:tc>
              <w:tc>
                <w:tcPr>
                  <w:tcW w:w="586" w:type="pct"/>
                  <w:vAlign w:val="center"/>
                </w:tcPr>
                <w:p w14:paraId="4BAA84D5">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生物质（木屑）</w:t>
                  </w:r>
                </w:p>
              </w:tc>
              <w:tc>
                <w:tcPr>
                  <w:tcW w:w="841" w:type="pct"/>
                  <w:vAlign w:val="center"/>
                </w:tcPr>
                <w:p w14:paraId="3330BFE0">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1305" w:type="pct"/>
                  <w:vAlign w:val="center"/>
                </w:tcPr>
                <w:p w14:paraId="76261101">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1896</w:t>
                  </w:r>
                </w:p>
              </w:tc>
              <w:tc>
                <w:tcPr>
                  <w:tcW w:w="668" w:type="pct"/>
                  <w:vAlign w:val="center"/>
                </w:tcPr>
                <w:p w14:paraId="232F0D75">
                  <w:pPr>
                    <w:keepNext w:val="0"/>
                    <w:keepLines w:val="0"/>
                    <w:pageBreakBefore w:val="0"/>
                    <w:kinsoku/>
                    <w:wordWrap/>
                    <w:overflowPunct/>
                    <w:topLinePunct w:val="0"/>
                    <w:autoSpaceDE/>
                    <w:autoSpaceDN/>
                    <w:bidi w:val="0"/>
                    <w:snapToGrid/>
                    <w:spacing w:line="240" w:lineRule="auto"/>
                    <w:jc w:val="center"/>
                    <w:rPr>
                      <w:rFonts w:hint="default" w:eastAsia="宋体" w:cs="Times New Roman"/>
                      <w:b w:val="0"/>
                      <w:bCs w:val="0"/>
                      <w:color w:val="0000FF"/>
                      <w:sz w:val="21"/>
                      <w:szCs w:val="21"/>
                      <w:lang w:val="en-US" w:eastAsia="zh-CN"/>
                    </w:rPr>
                  </w:pPr>
                  <w:r>
                    <w:rPr>
                      <w:rFonts w:hint="eastAsia" w:cs="Times New Roman"/>
                      <w:b w:val="0"/>
                      <w:bCs w:val="0"/>
                      <w:color w:val="0000FF"/>
                      <w:sz w:val="21"/>
                      <w:szCs w:val="21"/>
                      <w:lang w:val="en-US" w:eastAsia="zh-CN"/>
                    </w:rPr>
                    <w:t>0</w:t>
                  </w:r>
                </w:p>
              </w:tc>
              <w:tc>
                <w:tcPr>
                  <w:tcW w:w="685" w:type="pct"/>
                  <w:vAlign w:val="center"/>
                </w:tcPr>
                <w:p w14:paraId="6BFCAE63">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50000</w:t>
                  </w:r>
                </w:p>
              </w:tc>
              <w:tc>
                <w:tcPr>
                  <w:tcW w:w="670" w:type="pct"/>
                  <w:vAlign w:val="center"/>
                </w:tcPr>
                <w:p w14:paraId="25BDB46F">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50000</w:t>
                  </w:r>
                </w:p>
              </w:tc>
            </w:tr>
            <w:tr w14:paraId="1F1E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3" w:type="pct"/>
                  <w:vAlign w:val="center"/>
                </w:tcPr>
                <w:p w14:paraId="5D31DC6F">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3</w:t>
                  </w:r>
                </w:p>
              </w:tc>
              <w:tc>
                <w:tcPr>
                  <w:tcW w:w="586" w:type="pct"/>
                  <w:vAlign w:val="center"/>
                </w:tcPr>
                <w:p w14:paraId="326E40B6">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原煤</w:t>
                  </w:r>
                </w:p>
              </w:tc>
              <w:tc>
                <w:tcPr>
                  <w:tcW w:w="841" w:type="pct"/>
                  <w:vAlign w:val="center"/>
                </w:tcPr>
                <w:p w14:paraId="2C3F813F">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1305" w:type="pct"/>
                  <w:vAlign w:val="center"/>
                </w:tcPr>
                <w:p w14:paraId="3E47413B">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5184</w:t>
                  </w:r>
                </w:p>
              </w:tc>
              <w:tc>
                <w:tcPr>
                  <w:tcW w:w="668" w:type="pct"/>
                  <w:vAlign w:val="center"/>
                </w:tcPr>
                <w:p w14:paraId="7F2258B5">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237600</w:t>
                  </w:r>
                </w:p>
              </w:tc>
              <w:tc>
                <w:tcPr>
                  <w:tcW w:w="685" w:type="pct"/>
                  <w:vAlign w:val="center"/>
                </w:tcPr>
                <w:p w14:paraId="30D183C4">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0</w:t>
                  </w:r>
                </w:p>
              </w:tc>
              <w:tc>
                <w:tcPr>
                  <w:tcW w:w="670" w:type="pct"/>
                  <w:vAlign w:val="center"/>
                </w:tcPr>
                <w:p w14:paraId="0FA1530C">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192700</w:t>
                  </w:r>
                </w:p>
              </w:tc>
            </w:tr>
          </w:tbl>
          <w:p w14:paraId="570C70B0">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本次技改项目废纺和木屑主要来源为外购，所用废纺和木屑需经检测认定为一般固废。替代燃料成分详见淮北众城水泥有限责任公司委托安徽省建筑材料科学技术研究所有限公司出具的检验报告，报告编号为NO.2024-01-F553，各项指标见下表2-14、表2-15，具体内容见附件20。所用原煤成分分析由</w:t>
            </w:r>
            <w:bookmarkStart w:id="54" w:name="OLE_LINK238"/>
            <w:r>
              <w:rPr>
                <w:rFonts w:hint="eastAsia" w:cs="Times New Roman"/>
                <w:b w:val="0"/>
                <w:bCs w:val="0"/>
                <w:color w:val="0000FF"/>
                <w:kern w:val="2"/>
                <w:sz w:val="24"/>
                <w:szCs w:val="24"/>
                <w:lang w:val="en-US" w:eastAsia="zh-CN" w:bidi="ar-SA"/>
              </w:rPr>
              <w:t>淮北众城水泥有限责任公司</w:t>
            </w:r>
            <w:bookmarkEnd w:id="54"/>
            <w:r>
              <w:rPr>
                <w:rFonts w:hint="eastAsia" w:cs="Times New Roman"/>
                <w:b w:val="0"/>
                <w:bCs w:val="0"/>
                <w:color w:val="0000FF"/>
                <w:kern w:val="2"/>
                <w:sz w:val="24"/>
                <w:szCs w:val="24"/>
                <w:lang w:val="en-US" w:eastAsia="zh-CN" w:bidi="ar-SA"/>
              </w:rPr>
              <w:t>提供，数据来源为淮北众城水泥有限责任公司实验室提供，各项指标见下表2-16，具体内容见附件17。</w:t>
            </w:r>
          </w:p>
          <w:p w14:paraId="3CAC2E3B">
            <w:pPr>
              <w:autoSpaceDE w:val="0"/>
              <w:autoSpaceDN w:val="0"/>
              <w:adjustRightInd w:val="0"/>
              <w:jc w:val="center"/>
              <w:rPr>
                <w:rFonts w:hint="eastAsia" w:cs="Times New Roman"/>
                <w:b/>
                <w:color w:val="0000FF"/>
                <w:lang w:eastAsia="zh-CN"/>
              </w:rPr>
            </w:pPr>
            <w:bookmarkStart w:id="55" w:name="OLE_LINK44"/>
            <w:r>
              <w:rPr>
                <w:rFonts w:hint="eastAsia" w:ascii="Times New Roman" w:hAnsi="Times New Roman" w:cs="Times New Roman"/>
                <w:b/>
                <w:color w:val="0000FF"/>
              </w:rPr>
              <w:t>表</w:t>
            </w:r>
            <w:r>
              <w:rPr>
                <w:rFonts w:hint="eastAsia" w:cs="Times New Roman"/>
                <w:b/>
                <w:color w:val="0000FF"/>
                <w:lang w:val="en-US" w:eastAsia="zh-CN"/>
              </w:rPr>
              <w:t>2-14</w:t>
            </w:r>
            <w:r>
              <w:rPr>
                <w:rFonts w:ascii="Times New Roman" w:hAnsi="Times New Roman" w:cs="Times New Roman"/>
                <w:b/>
                <w:color w:val="0000FF"/>
              </w:rPr>
              <w:t xml:space="preserve"> </w:t>
            </w:r>
            <w:r>
              <w:rPr>
                <w:rFonts w:hint="eastAsia" w:cs="Times New Roman"/>
                <w:b/>
                <w:color w:val="0000FF"/>
                <w:lang w:eastAsia="zh-CN"/>
              </w:rPr>
              <w:t>本项目所用废纺成分特征表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9"/>
              <w:gridCol w:w="1151"/>
              <w:gridCol w:w="1151"/>
              <w:gridCol w:w="1151"/>
              <w:gridCol w:w="1151"/>
              <w:gridCol w:w="2651"/>
            </w:tblGrid>
            <w:tr w14:paraId="7C13C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059" w:type="pct"/>
                  <w:vAlign w:val="center"/>
                </w:tcPr>
                <w:p w14:paraId="177FDDB0">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检验项目</w:t>
                  </w:r>
                </w:p>
              </w:tc>
              <w:tc>
                <w:tcPr>
                  <w:tcW w:w="625" w:type="pct"/>
                  <w:vAlign w:val="center"/>
                </w:tcPr>
                <w:p w14:paraId="7D9AF8C7">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计量单位</w:t>
                  </w:r>
                </w:p>
              </w:tc>
              <w:tc>
                <w:tcPr>
                  <w:tcW w:w="625" w:type="pct"/>
                  <w:vAlign w:val="center"/>
                </w:tcPr>
                <w:p w14:paraId="06A39C86">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标准要求</w:t>
                  </w:r>
                </w:p>
              </w:tc>
              <w:tc>
                <w:tcPr>
                  <w:tcW w:w="625" w:type="pct"/>
                  <w:vAlign w:val="center"/>
                </w:tcPr>
                <w:p w14:paraId="556524A7">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检验结果</w:t>
                  </w:r>
                </w:p>
              </w:tc>
              <w:tc>
                <w:tcPr>
                  <w:tcW w:w="625" w:type="pct"/>
                  <w:vAlign w:val="center"/>
                </w:tcPr>
                <w:p w14:paraId="46CEE69A">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单项结论</w:t>
                  </w:r>
                </w:p>
              </w:tc>
              <w:tc>
                <w:tcPr>
                  <w:tcW w:w="1437" w:type="pct"/>
                  <w:vAlign w:val="center"/>
                </w:tcPr>
                <w:p w14:paraId="43CE3BF6">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检验依据</w:t>
                  </w:r>
                </w:p>
              </w:tc>
            </w:tr>
            <w:tr w14:paraId="73E8D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9" w:type="pct"/>
                  <w:vAlign w:val="center"/>
                </w:tcPr>
                <w:p w14:paraId="58DA89B3">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镉（Cd）</w:t>
                  </w:r>
                </w:p>
              </w:tc>
              <w:tc>
                <w:tcPr>
                  <w:tcW w:w="625" w:type="pct"/>
                  <w:vAlign w:val="center"/>
                </w:tcPr>
                <w:p w14:paraId="7D34F2B3">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default" w:ascii="Times New Roman" w:hAnsi="Times New Roman" w:eastAsia="宋体" w:cs="Times New Roman"/>
                      <w:b w:val="0"/>
                      <w:bCs w:val="0"/>
                      <w:color w:val="0000FF"/>
                      <w:sz w:val="21"/>
                      <w:szCs w:val="21"/>
                      <w:lang w:val="en-US" w:eastAsia="zh-CN"/>
                    </w:rPr>
                    <w:t>μg/L</w:t>
                  </w:r>
                </w:p>
              </w:tc>
              <w:tc>
                <w:tcPr>
                  <w:tcW w:w="625" w:type="pct"/>
                  <w:vAlign w:val="center"/>
                </w:tcPr>
                <w:p w14:paraId="18919227">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5" w:type="pct"/>
                  <w:vAlign w:val="center"/>
                </w:tcPr>
                <w:p w14:paraId="7848B26A">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1.80</w:t>
                  </w:r>
                </w:p>
              </w:tc>
              <w:tc>
                <w:tcPr>
                  <w:tcW w:w="625" w:type="pct"/>
                  <w:vAlign w:val="center"/>
                </w:tcPr>
                <w:p w14:paraId="7C8198F7">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1437" w:type="pct"/>
                  <w:vMerge w:val="restart"/>
                  <w:vAlign w:val="center"/>
                </w:tcPr>
                <w:p w14:paraId="6069ABAE">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GB 5085.3-2007</w:t>
                  </w:r>
                </w:p>
              </w:tc>
            </w:tr>
            <w:tr w14:paraId="3F57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9" w:type="pct"/>
                  <w:vAlign w:val="center"/>
                </w:tcPr>
                <w:p w14:paraId="10D285EF">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镍（Ni）</w:t>
                  </w:r>
                </w:p>
              </w:tc>
              <w:tc>
                <w:tcPr>
                  <w:tcW w:w="625" w:type="pct"/>
                  <w:vAlign w:val="center"/>
                </w:tcPr>
                <w:p w14:paraId="6A210DAB">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default" w:ascii="Times New Roman" w:hAnsi="Times New Roman" w:eastAsia="宋体" w:cs="Times New Roman"/>
                      <w:b w:val="0"/>
                      <w:bCs w:val="0"/>
                      <w:color w:val="0000FF"/>
                      <w:sz w:val="21"/>
                      <w:szCs w:val="21"/>
                      <w:lang w:val="en-US" w:eastAsia="zh-CN"/>
                    </w:rPr>
                    <w:t>μg/L</w:t>
                  </w:r>
                </w:p>
              </w:tc>
              <w:tc>
                <w:tcPr>
                  <w:tcW w:w="625" w:type="pct"/>
                  <w:vAlign w:val="center"/>
                </w:tcPr>
                <w:p w14:paraId="1578E17A">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5" w:type="pct"/>
                  <w:vAlign w:val="center"/>
                </w:tcPr>
                <w:p w14:paraId="7DA4BE58">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41.36</w:t>
                  </w:r>
                </w:p>
              </w:tc>
              <w:tc>
                <w:tcPr>
                  <w:tcW w:w="625" w:type="pct"/>
                  <w:vAlign w:val="center"/>
                </w:tcPr>
                <w:p w14:paraId="38045360">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1437" w:type="pct"/>
                  <w:vMerge w:val="continue"/>
                  <w:vAlign w:val="center"/>
                </w:tcPr>
                <w:p w14:paraId="089C97C1">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p>
              </w:tc>
            </w:tr>
            <w:tr w14:paraId="46E6A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9" w:type="pct"/>
                  <w:vAlign w:val="center"/>
                </w:tcPr>
                <w:p w14:paraId="30EAB16B">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铅（Pb）</w:t>
                  </w:r>
                </w:p>
              </w:tc>
              <w:tc>
                <w:tcPr>
                  <w:tcW w:w="625" w:type="pct"/>
                  <w:vAlign w:val="center"/>
                </w:tcPr>
                <w:p w14:paraId="35E1173D">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default" w:ascii="Times New Roman" w:hAnsi="Times New Roman" w:eastAsia="宋体" w:cs="Times New Roman"/>
                      <w:b w:val="0"/>
                      <w:bCs w:val="0"/>
                      <w:color w:val="0000FF"/>
                      <w:sz w:val="21"/>
                      <w:szCs w:val="21"/>
                      <w:lang w:val="en-US" w:eastAsia="zh-CN"/>
                    </w:rPr>
                    <w:t>μg/L</w:t>
                  </w:r>
                </w:p>
              </w:tc>
              <w:tc>
                <w:tcPr>
                  <w:tcW w:w="625" w:type="pct"/>
                  <w:vAlign w:val="center"/>
                </w:tcPr>
                <w:p w14:paraId="6BB10DB4">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5" w:type="pct"/>
                  <w:vAlign w:val="center"/>
                </w:tcPr>
                <w:p w14:paraId="43C66C6F">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110.8</w:t>
                  </w:r>
                </w:p>
              </w:tc>
              <w:tc>
                <w:tcPr>
                  <w:tcW w:w="625" w:type="pct"/>
                  <w:vAlign w:val="center"/>
                </w:tcPr>
                <w:p w14:paraId="30BA5BF0">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1437" w:type="pct"/>
                  <w:vMerge w:val="continue"/>
                  <w:vAlign w:val="center"/>
                </w:tcPr>
                <w:p w14:paraId="7198C3F2">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p>
              </w:tc>
            </w:tr>
            <w:tr w14:paraId="02AE7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9" w:type="pct"/>
                  <w:vAlign w:val="center"/>
                </w:tcPr>
                <w:p w14:paraId="115E3BF6">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铬（Cr）</w:t>
                  </w:r>
                </w:p>
              </w:tc>
              <w:tc>
                <w:tcPr>
                  <w:tcW w:w="625" w:type="pct"/>
                  <w:vAlign w:val="center"/>
                </w:tcPr>
                <w:p w14:paraId="7D338DA2">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default" w:ascii="Times New Roman" w:hAnsi="Times New Roman" w:eastAsia="宋体" w:cs="Times New Roman"/>
                      <w:b w:val="0"/>
                      <w:bCs w:val="0"/>
                      <w:color w:val="0000FF"/>
                      <w:sz w:val="21"/>
                      <w:szCs w:val="21"/>
                      <w:lang w:val="en-US" w:eastAsia="zh-CN"/>
                    </w:rPr>
                    <w:t>μg/L</w:t>
                  </w:r>
                </w:p>
              </w:tc>
              <w:tc>
                <w:tcPr>
                  <w:tcW w:w="625" w:type="pct"/>
                  <w:vAlign w:val="center"/>
                </w:tcPr>
                <w:p w14:paraId="2D91EEA2">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5" w:type="pct"/>
                  <w:vAlign w:val="center"/>
                </w:tcPr>
                <w:p w14:paraId="0F26E977">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92.54</w:t>
                  </w:r>
                </w:p>
              </w:tc>
              <w:tc>
                <w:tcPr>
                  <w:tcW w:w="625" w:type="pct"/>
                  <w:vAlign w:val="center"/>
                </w:tcPr>
                <w:p w14:paraId="5983A0EF">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1437" w:type="pct"/>
                  <w:vMerge w:val="continue"/>
                  <w:vAlign w:val="center"/>
                </w:tcPr>
                <w:p w14:paraId="49D9C83A">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p>
              </w:tc>
            </w:tr>
            <w:tr w14:paraId="4DFC1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9" w:type="pct"/>
                  <w:vAlign w:val="center"/>
                </w:tcPr>
                <w:p w14:paraId="639DA3D8">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铜（Cu）</w:t>
                  </w:r>
                </w:p>
              </w:tc>
              <w:tc>
                <w:tcPr>
                  <w:tcW w:w="625" w:type="pct"/>
                  <w:vAlign w:val="center"/>
                </w:tcPr>
                <w:p w14:paraId="5D716AFC">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default" w:ascii="Times New Roman" w:hAnsi="Times New Roman" w:eastAsia="宋体" w:cs="Times New Roman"/>
                      <w:b w:val="0"/>
                      <w:bCs w:val="0"/>
                      <w:color w:val="0000FF"/>
                      <w:sz w:val="21"/>
                      <w:szCs w:val="21"/>
                      <w:lang w:val="en-US" w:eastAsia="zh-CN"/>
                    </w:rPr>
                    <w:t>μg/L</w:t>
                  </w:r>
                </w:p>
              </w:tc>
              <w:tc>
                <w:tcPr>
                  <w:tcW w:w="625" w:type="pct"/>
                  <w:vAlign w:val="center"/>
                </w:tcPr>
                <w:p w14:paraId="0BAE663C">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5" w:type="pct"/>
                  <w:vAlign w:val="center"/>
                </w:tcPr>
                <w:p w14:paraId="36D581AB">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86.32</w:t>
                  </w:r>
                </w:p>
              </w:tc>
              <w:tc>
                <w:tcPr>
                  <w:tcW w:w="625" w:type="pct"/>
                  <w:vAlign w:val="center"/>
                </w:tcPr>
                <w:p w14:paraId="21EEC6EB">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1437" w:type="pct"/>
                  <w:vMerge w:val="continue"/>
                  <w:vAlign w:val="center"/>
                </w:tcPr>
                <w:p w14:paraId="6EB8120E">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p>
              </w:tc>
            </w:tr>
            <w:tr w14:paraId="4D026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9" w:type="pct"/>
                  <w:vAlign w:val="center"/>
                </w:tcPr>
                <w:p w14:paraId="36F644F7">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砷（As）</w:t>
                  </w:r>
                </w:p>
              </w:tc>
              <w:tc>
                <w:tcPr>
                  <w:tcW w:w="625" w:type="pct"/>
                  <w:vAlign w:val="center"/>
                </w:tcPr>
                <w:p w14:paraId="6F1B2164">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default" w:ascii="Times New Roman" w:hAnsi="Times New Roman" w:eastAsia="宋体" w:cs="Times New Roman"/>
                      <w:b w:val="0"/>
                      <w:bCs w:val="0"/>
                      <w:color w:val="0000FF"/>
                      <w:sz w:val="21"/>
                      <w:szCs w:val="21"/>
                      <w:lang w:val="en-US" w:eastAsia="zh-CN"/>
                    </w:rPr>
                    <w:t>μg/L</w:t>
                  </w:r>
                </w:p>
              </w:tc>
              <w:tc>
                <w:tcPr>
                  <w:tcW w:w="625" w:type="pct"/>
                  <w:vAlign w:val="center"/>
                </w:tcPr>
                <w:p w14:paraId="422FAED9">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5" w:type="pct"/>
                  <w:vAlign w:val="center"/>
                </w:tcPr>
                <w:p w14:paraId="3B0FFC30">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28.395</w:t>
                  </w:r>
                </w:p>
              </w:tc>
              <w:tc>
                <w:tcPr>
                  <w:tcW w:w="625" w:type="pct"/>
                  <w:vAlign w:val="center"/>
                </w:tcPr>
                <w:p w14:paraId="448C04B2">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1437" w:type="pct"/>
                  <w:vMerge w:val="continue"/>
                  <w:vAlign w:val="center"/>
                </w:tcPr>
                <w:p w14:paraId="2CE9A3BE">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p>
              </w:tc>
            </w:tr>
            <w:tr w14:paraId="6761B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9" w:type="pct"/>
                  <w:vAlign w:val="center"/>
                </w:tcPr>
                <w:p w14:paraId="51CB1F81">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锌（Zn）</w:t>
                  </w:r>
                </w:p>
              </w:tc>
              <w:tc>
                <w:tcPr>
                  <w:tcW w:w="625" w:type="pct"/>
                  <w:vAlign w:val="center"/>
                </w:tcPr>
                <w:p w14:paraId="4A51BEBC">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mg/kg</w:t>
                  </w:r>
                </w:p>
              </w:tc>
              <w:tc>
                <w:tcPr>
                  <w:tcW w:w="625" w:type="pct"/>
                  <w:vAlign w:val="center"/>
                </w:tcPr>
                <w:p w14:paraId="6DDC0121">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5" w:type="pct"/>
                  <w:vAlign w:val="center"/>
                </w:tcPr>
                <w:p w14:paraId="1A4B6CA6">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345.8</w:t>
                  </w:r>
                </w:p>
              </w:tc>
              <w:tc>
                <w:tcPr>
                  <w:tcW w:w="625" w:type="pct"/>
                  <w:vAlign w:val="center"/>
                </w:tcPr>
                <w:p w14:paraId="53F82171">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1437" w:type="pct"/>
                  <w:vMerge w:val="restart"/>
                  <w:vAlign w:val="center"/>
                </w:tcPr>
                <w:p w14:paraId="23DB571B">
                  <w:pPr>
                    <w:keepNext w:val="0"/>
                    <w:keepLines w:val="0"/>
                    <w:pageBreakBefore w:val="0"/>
                    <w:kinsoku/>
                    <w:wordWrap/>
                    <w:overflowPunct/>
                    <w:topLinePunct w:val="0"/>
                    <w:autoSpaceDE/>
                    <w:autoSpaceDN/>
                    <w:bidi w:val="0"/>
                    <w:snapToGrid/>
                    <w:spacing w:line="240" w:lineRule="auto"/>
                    <w:jc w:val="center"/>
                    <w:rPr>
                      <w:rFonts w:hint="default" w:eastAsia="宋体" w:cs="Times New Roman"/>
                      <w:b w:val="0"/>
                      <w:bCs w:val="0"/>
                      <w:color w:val="0000FF"/>
                      <w:sz w:val="21"/>
                      <w:szCs w:val="21"/>
                      <w:lang w:val="en-US" w:eastAsia="zh-CN"/>
                    </w:rPr>
                  </w:pPr>
                  <w:r>
                    <w:rPr>
                      <w:rFonts w:hint="eastAsia" w:cs="Times New Roman"/>
                      <w:b w:val="0"/>
                      <w:bCs w:val="0"/>
                      <w:color w:val="0000FF"/>
                      <w:sz w:val="21"/>
                      <w:szCs w:val="21"/>
                      <w:lang w:val="en-US" w:eastAsia="zh-CN"/>
                    </w:rPr>
                    <w:t>GB/T 30760-2014附录B</w:t>
                  </w:r>
                </w:p>
              </w:tc>
            </w:tr>
            <w:tr w14:paraId="40E33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9" w:type="pct"/>
                  <w:vAlign w:val="center"/>
                </w:tcPr>
                <w:p w14:paraId="053BE68B">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锰（Mn）</w:t>
                  </w:r>
                </w:p>
              </w:tc>
              <w:tc>
                <w:tcPr>
                  <w:tcW w:w="625" w:type="pct"/>
                  <w:vAlign w:val="center"/>
                </w:tcPr>
                <w:p w14:paraId="768D5076">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mg/kg</w:t>
                  </w:r>
                </w:p>
              </w:tc>
              <w:tc>
                <w:tcPr>
                  <w:tcW w:w="625" w:type="pct"/>
                  <w:vAlign w:val="center"/>
                </w:tcPr>
                <w:p w14:paraId="0F6ACB18">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5" w:type="pct"/>
                  <w:vAlign w:val="center"/>
                </w:tcPr>
                <w:p w14:paraId="754B86DD">
                  <w:pPr>
                    <w:keepNext w:val="0"/>
                    <w:keepLines w:val="0"/>
                    <w:pageBreakBefore w:val="0"/>
                    <w:kinsoku/>
                    <w:wordWrap/>
                    <w:overflowPunct/>
                    <w:topLinePunct w:val="0"/>
                    <w:autoSpaceDE/>
                    <w:autoSpaceDN/>
                    <w:bidi w:val="0"/>
                    <w:snapToGrid/>
                    <w:spacing w:line="240" w:lineRule="auto"/>
                    <w:jc w:val="center"/>
                    <w:rPr>
                      <w:rFonts w:hint="eastAsia" w:eastAsia="宋体" w:cs="Times New Roman"/>
                      <w:b w:val="0"/>
                      <w:bCs w:val="0"/>
                      <w:color w:val="0000FF"/>
                      <w:sz w:val="21"/>
                      <w:szCs w:val="21"/>
                      <w:lang w:val="en-US" w:eastAsia="zh-CN"/>
                    </w:rPr>
                  </w:pPr>
                  <w:r>
                    <w:rPr>
                      <w:rFonts w:hint="eastAsia" w:cs="Times New Roman"/>
                      <w:b w:val="0"/>
                      <w:bCs w:val="0"/>
                      <w:color w:val="0000FF"/>
                      <w:sz w:val="21"/>
                      <w:szCs w:val="21"/>
                      <w:lang w:val="en-US" w:eastAsia="zh-CN"/>
                    </w:rPr>
                    <w:t>未检出</w:t>
                  </w:r>
                </w:p>
              </w:tc>
              <w:tc>
                <w:tcPr>
                  <w:tcW w:w="625" w:type="pct"/>
                  <w:vAlign w:val="center"/>
                </w:tcPr>
                <w:p w14:paraId="2B10BF8F">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1437" w:type="pct"/>
                  <w:vMerge w:val="continue"/>
                  <w:vAlign w:val="center"/>
                </w:tcPr>
                <w:p w14:paraId="012B99F1">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p>
              </w:tc>
            </w:tr>
            <w:tr w14:paraId="27258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9" w:type="pct"/>
                  <w:vAlign w:val="center"/>
                </w:tcPr>
                <w:p w14:paraId="16B1DAB1">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氟离子</w:t>
                  </w:r>
                </w:p>
              </w:tc>
              <w:tc>
                <w:tcPr>
                  <w:tcW w:w="625" w:type="pct"/>
                  <w:vAlign w:val="center"/>
                </w:tcPr>
                <w:p w14:paraId="7DCA2AF8">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5" w:type="pct"/>
                  <w:vAlign w:val="center"/>
                </w:tcPr>
                <w:p w14:paraId="4B5743C6">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5" w:type="pct"/>
                  <w:vAlign w:val="center"/>
                </w:tcPr>
                <w:p w14:paraId="5CCF8128">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0.08</w:t>
                  </w:r>
                </w:p>
              </w:tc>
              <w:tc>
                <w:tcPr>
                  <w:tcW w:w="625" w:type="pct"/>
                  <w:vAlign w:val="center"/>
                </w:tcPr>
                <w:p w14:paraId="66E52286">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1437" w:type="pct"/>
                  <w:vMerge w:val="restart"/>
                  <w:vAlign w:val="center"/>
                </w:tcPr>
                <w:p w14:paraId="51A7A687">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GB/T 176-2017</w:t>
                  </w:r>
                </w:p>
              </w:tc>
            </w:tr>
            <w:tr w14:paraId="6D116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9" w:type="pct"/>
                  <w:vAlign w:val="center"/>
                </w:tcPr>
                <w:p w14:paraId="4054895F">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氯离子</w:t>
                  </w:r>
                </w:p>
              </w:tc>
              <w:tc>
                <w:tcPr>
                  <w:tcW w:w="625" w:type="pct"/>
                  <w:vAlign w:val="center"/>
                </w:tcPr>
                <w:p w14:paraId="5FD9EC43">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5" w:type="pct"/>
                  <w:vAlign w:val="center"/>
                </w:tcPr>
                <w:p w14:paraId="7B10575A">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5" w:type="pct"/>
                  <w:vAlign w:val="center"/>
                </w:tcPr>
                <w:p w14:paraId="1E66E95E">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2.455</w:t>
                  </w:r>
                </w:p>
              </w:tc>
              <w:tc>
                <w:tcPr>
                  <w:tcW w:w="625" w:type="pct"/>
                  <w:vAlign w:val="center"/>
                </w:tcPr>
                <w:p w14:paraId="2ED9D1F6">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1437" w:type="pct"/>
                  <w:vMerge w:val="continue"/>
                  <w:vAlign w:val="center"/>
                </w:tcPr>
                <w:p w14:paraId="20269307">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p>
              </w:tc>
            </w:tr>
            <w:tr w14:paraId="00913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9" w:type="pct"/>
                  <w:vAlign w:val="center"/>
                </w:tcPr>
                <w:p w14:paraId="240A313F">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全水分M</w:t>
                  </w:r>
                  <w:r>
                    <w:rPr>
                      <w:rFonts w:hint="eastAsia" w:cs="Times New Roman"/>
                      <w:b w:val="0"/>
                      <w:bCs w:val="0"/>
                      <w:color w:val="0000FF"/>
                      <w:sz w:val="21"/>
                      <w:szCs w:val="21"/>
                      <w:vertAlign w:val="subscript"/>
                      <w:lang w:val="en-US" w:eastAsia="zh-CN"/>
                    </w:rPr>
                    <w:t>t</w:t>
                  </w:r>
                </w:p>
              </w:tc>
              <w:tc>
                <w:tcPr>
                  <w:tcW w:w="625" w:type="pct"/>
                  <w:vAlign w:val="center"/>
                </w:tcPr>
                <w:p w14:paraId="33D457E1">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5" w:type="pct"/>
                  <w:vAlign w:val="center"/>
                </w:tcPr>
                <w:p w14:paraId="25D0D74D">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5" w:type="pct"/>
                  <w:vAlign w:val="center"/>
                </w:tcPr>
                <w:p w14:paraId="37FD1817">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28.88</w:t>
                  </w:r>
                </w:p>
              </w:tc>
              <w:tc>
                <w:tcPr>
                  <w:tcW w:w="625" w:type="pct"/>
                  <w:vAlign w:val="center"/>
                </w:tcPr>
                <w:p w14:paraId="7878C98D">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1437" w:type="pct"/>
                  <w:vMerge w:val="restart"/>
                  <w:vAlign w:val="center"/>
                </w:tcPr>
                <w:p w14:paraId="0A373DDC">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GB/T 35170-2017</w:t>
                  </w:r>
                </w:p>
              </w:tc>
            </w:tr>
            <w:tr w14:paraId="209B9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9" w:type="pct"/>
                  <w:vMerge w:val="restart"/>
                  <w:vAlign w:val="center"/>
                </w:tcPr>
                <w:p w14:paraId="754F4A15">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收到基发热量Q</w:t>
                  </w:r>
                  <w:r>
                    <w:rPr>
                      <w:rFonts w:hint="eastAsia" w:cs="Times New Roman"/>
                      <w:b w:val="0"/>
                      <w:bCs w:val="0"/>
                      <w:color w:val="0000FF"/>
                      <w:sz w:val="21"/>
                      <w:szCs w:val="21"/>
                      <w:vertAlign w:val="subscript"/>
                      <w:lang w:val="en-US" w:eastAsia="zh-CN"/>
                    </w:rPr>
                    <w:t>ar</w:t>
                  </w:r>
                </w:p>
              </w:tc>
              <w:tc>
                <w:tcPr>
                  <w:tcW w:w="625" w:type="pct"/>
                  <w:vAlign w:val="center"/>
                </w:tcPr>
                <w:p w14:paraId="0ECC0E7F">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J</w:t>
                  </w:r>
                </w:p>
              </w:tc>
              <w:tc>
                <w:tcPr>
                  <w:tcW w:w="625" w:type="pct"/>
                  <w:vAlign w:val="center"/>
                </w:tcPr>
                <w:p w14:paraId="74938776">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5" w:type="pct"/>
                  <w:vAlign w:val="center"/>
                </w:tcPr>
                <w:p w14:paraId="4A59C916">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14049</w:t>
                  </w:r>
                </w:p>
              </w:tc>
              <w:tc>
                <w:tcPr>
                  <w:tcW w:w="625" w:type="pct"/>
                  <w:vAlign w:val="center"/>
                </w:tcPr>
                <w:p w14:paraId="6A0874F6">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1437" w:type="pct"/>
                  <w:vMerge w:val="continue"/>
                  <w:vAlign w:val="center"/>
                </w:tcPr>
                <w:p w14:paraId="278899AE">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p>
              </w:tc>
            </w:tr>
            <w:tr w14:paraId="7F072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9" w:type="pct"/>
                  <w:vMerge w:val="continue"/>
                  <w:vAlign w:val="center"/>
                </w:tcPr>
                <w:p w14:paraId="39EAB14D">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p>
              </w:tc>
              <w:tc>
                <w:tcPr>
                  <w:tcW w:w="625" w:type="pct"/>
                  <w:vAlign w:val="center"/>
                </w:tcPr>
                <w:p w14:paraId="745DE008">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cal</w:t>
                  </w:r>
                </w:p>
              </w:tc>
              <w:tc>
                <w:tcPr>
                  <w:tcW w:w="625" w:type="pct"/>
                  <w:vAlign w:val="center"/>
                </w:tcPr>
                <w:p w14:paraId="32A41662">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5" w:type="pct"/>
                  <w:vAlign w:val="center"/>
                </w:tcPr>
                <w:p w14:paraId="7359F9AA">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3356</w:t>
                  </w:r>
                </w:p>
              </w:tc>
              <w:tc>
                <w:tcPr>
                  <w:tcW w:w="625" w:type="pct"/>
                  <w:vAlign w:val="center"/>
                </w:tcPr>
                <w:p w14:paraId="6FD67A0F">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1437" w:type="pct"/>
                  <w:vMerge w:val="continue"/>
                  <w:vAlign w:val="center"/>
                </w:tcPr>
                <w:p w14:paraId="07940716">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p>
              </w:tc>
            </w:tr>
            <w:tr w14:paraId="6C814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9" w:type="pct"/>
                  <w:vAlign w:val="center"/>
                </w:tcPr>
                <w:p w14:paraId="6C57B780">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备注</w:t>
                  </w:r>
                </w:p>
              </w:tc>
              <w:tc>
                <w:tcPr>
                  <w:tcW w:w="3940" w:type="pct"/>
                  <w:gridSpan w:val="5"/>
                  <w:vAlign w:val="center"/>
                </w:tcPr>
                <w:p w14:paraId="7C0C4E5F">
                  <w:pPr>
                    <w:keepNext w:val="0"/>
                    <w:keepLines w:val="0"/>
                    <w:pageBreakBefore w:val="0"/>
                    <w:kinsoku/>
                    <w:wordWrap/>
                    <w:overflowPunct/>
                    <w:topLinePunct w:val="0"/>
                    <w:autoSpaceDE/>
                    <w:autoSpaceDN/>
                    <w:bidi w:val="0"/>
                    <w:snapToGrid/>
                    <w:spacing w:line="240" w:lineRule="auto"/>
                    <w:jc w:val="both"/>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测试方法检出限：Mn：20mg/kg。</w:t>
                  </w:r>
                </w:p>
              </w:tc>
            </w:tr>
            <w:bookmarkEnd w:id="55"/>
          </w:tbl>
          <w:p w14:paraId="74C53554">
            <w:pPr>
              <w:autoSpaceDE w:val="0"/>
              <w:autoSpaceDN w:val="0"/>
              <w:adjustRightInd w:val="0"/>
              <w:jc w:val="center"/>
              <w:rPr>
                <w:rFonts w:hint="default" w:cs="Times New Roman"/>
                <w:b w:val="0"/>
                <w:bCs w:val="0"/>
                <w:color w:val="0000FF"/>
                <w:kern w:val="2"/>
                <w:sz w:val="24"/>
                <w:szCs w:val="24"/>
                <w:lang w:val="en-US" w:eastAsia="zh-CN" w:bidi="ar-SA"/>
              </w:rPr>
            </w:pPr>
            <w:bookmarkStart w:id="56" w:name="OLE_LINK47"/>
            <w:r>
              <w:rPr>
                <w:rFonts w:hint="eastAsia" w:ascii="Times New Roman" w:hAnsi="Times New Roman" w:cs="Times New Roman"/>
                <w:b/>
                <w:color w:val="0000FF"/>
              </w:rPr>
              <w:t>表</w:t>
            </w:r>
            <w:r>
              <w:rPr>
                <w:rFonts w:hint="eastAsia" w:cs="Times New Roman"/>
                <w:b/>
                <w:color w:val="0000FF"/>
                <w:lang w:val="en-US" w:eastAsia="zh-CN"/>
              </w:rPr>
              <w:t>2-15</w:t>
            </w:r>
            <w:r>
              <w:rPr>
                <w:rFonts w:ascii="Times New Roman" w:hAnsi="Times New Roman" w:cs="Times New Roman"/>
                <w:b/>
                <w:color w:val="0000FF"/>
              </w:rPr>
              <w:t xml:space="preserve"> </w:t>
            </w:r>
            <w:r>
              <w:rPr>
                <w:rFonts w:hint="eastAsia" w:cs="Times New Roman"/>
                <w:b/>
                <w:color w:val="0000FF"/>
                <w:lang w:eastAsia="zh-CN"/>
              </w:rPr>
              <w:t>本项目所用木屑成分特征表</w:t>
            </w:r>
          </w:p>
          <w:bookmarkEnd w:id="56"/>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1155"/>
              <w:gridCol w:w="1139"/>
              <w:gridCol w:w="1157"/>
              <w:gridCol w:w="1172"/>
              <w:gridCol w:w="2636"/>
            </w:tblGrid>
            <w:tr w14:paraId="713AF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059" w:type="pct"/>
                  <w:vAlign w:val="center"/>
                </w:tcPr>
                <w:p w14:paraId="67CCCFF1">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bookmarkStart w:id="57" w:name="OLE_LINK51"/>
                  <w:r>
                    <w:rPr>
                      <w:rFonts w:hint="eastAsia" w:cs="Times New Roman"/>
                      <w:b w:val="0"/>
                      <w:bCs w:val="0"/>
                      <w:color w:val="0000FF"/>
                      <w:sz w:val="21"/>
                      <w:szCs w:val="21"/>
                      <w:lang w:val="en-US" w:eastAsia="zh-CN"/>
                    </w:rPr>
                    <w:t>检验项目</w:t>
                  </w:r>
                </w:p>
              </w:tc>
              <w:tc>
                <w:tcPr>
                  <w:tcW w:w="627" w:type="pct"/>
                  <w:vAlign w:val="center"/>
                </w:tcPr>
                <w:p w14:paraId="3D8A9769">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计量单位</w:t>
                  </w:r>
                </w:p>
              </w:tc>
              <w:tc>
                <w:tcPr>
                  <w:tcW w:w="618" w:type="pct"/>
                  <w:vAlign w:val="center"/>
                </w:tcPr>
                <w:p w14:paraId="42653069">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标准要求</w:t>
                  </w:r>
                </w:p>
              </w:tc>
              <w:tc>
                <w:tcPr>
                  <w:tcW w:w="628" w:type="pct"/>
                  <w:vAlign w:val="center"/>
                </w:tcPr>
                <w:p w14:paraId="156B6215">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检验结果</w:t>
                  </w:r>
                </w:p>
              </w:tc>
              <w:tc>
                <w:tcPr>
                  <w:tcW w:w="636" w:type="pct"/>
                  <w:vAlign w:val="center"/>
                </w:tcPr>
                <w:p w14:paraId="12836226">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单项结论</w:t>
                  </w:r>
                </w:p>
              </w:tc>
              <w:tc>
                <w:tcPr>
                  <w:tcW w:w="1430" w:type="pct"/>
                  <w:vAlign w:val="center"/>
                </w:tcPr>
                <w:p w14:paraId="2AFA779C">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检验依据</w:t>
                  </w:r>
                </w:p>
              </w:tc>
            </w:tr>
            <w:tr w14:paraId="691EB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9" w:type="pct"/>
                  <w:vAlign w:val="center"/>
                </w:tcPr>
                <w:p w14:paraId="4B200982">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镉（Cd）</w:t>
                  </w:r>
                </w:p>
              </w:tc>
              <w:tc>
                <w:tcPr>
                  <w:tcW w:w="627" w:type="pct"/>
                  <w:vAlign w:val="center"/>
                </w:tcPr>
                <w:p w14:paraId="0887B088">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default" w:ascii="Times New Roman" w:hAnsi="Times New Roman" w:eastAsia="宋体" w:cs="Times New Roman"/>
                      <w:b w:val="0"/>
                      <w:bCs w:val="0"/>
                      <w:color w:val="0000FF"/>
                      <w:sz w:val="21"/>
                      <w:szCs w:val="21"/>
                      <w:lang w:val="en-US" w:eastAsia="zh-CN"/>
                    </w:rPr>
                    <w:t>μg/L</w:t>
                  </w:r>
                </w:p>
              </w:tc>
              <w:tc>
                <w:tcPr>
                  <w:tcW w:w="618" w:type="pct"/>
                  <w:vAlign w:val="center"/>
                </w:tcPr>
                <w:p w14:paraId="706D12AB">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8" w:type="pct"/>
                  <w:vAlign w:val="center"/>
                </w:tcPr>
                <w:p w14:paraId="23ACF109">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2.20</w:t>
                  </w:r>
                </w:p>
              </w:tc>
              <w:tc>
                <w:tcPr>
                  <w:tcW w:w="636" w:type="pct"/>
                  <w:vAlign w:val="center"/>
                </w:tcPr>
                <w:p w14:paraId="1DB73812">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1430" w:type="pct"/>
                  <w:vMerge w:val="restart"/>
                  <w:vAlign w:val="center"/>
                </w:tcPr>
                <w:p w14:paraId="258CA00D">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GB 5085.3-2007</w:t>
                  </w:r>
                </w:p>
              </w:tc>
            </w:tr>
            <w:tr w14:paraId="26AF1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9" w:type="pct"/>
                  <w:vAlign w:val="center"/>
                </w:tcPr>
                <w:p w14:paraId="43A02A2D">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镍（Ni）</w:t>
                  </w:r>
                </w:p>
              </w:tc>
              <w:tc>
                <w:tcPr>
                  <w:tcW w:w="627" w:type="pct"/>
                  <w:vAlign w:val="center"/>
                </w:tcPr>
                <w:p w14:paraId="005205BD">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default" w:ascii="Times New Roman" w:hAnsi="Times New Roman" w:eastAsia="宋体" w:cs="Times New Roman"/>
                      <w:b w:val="0"/>
                      <w:bCs w:val="0"/>
                      <w:color w:val="0000FF"/>
                      <w:sz w:val="21"/>
                      <w:szCs w:val="21"/>
                      <w:lang w:val="en-US" w:eastAsia="zh-CN"/>
                    </w:rPr>
                    <w:t>μg/L</w:t>
                  </w:r>
                </w:p>
              </w:tc>
              <w:tc>
                <w:tcPr>
                  <w:tcW w:w="618" w:type="pct"/>
                  <w:vAlign w:val="center"/>
                </w:tcPr>
                <w:p w14:paraId="58BD13C3">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8" w:type="pct"/>
                  <w:vAlign w:val="center"/>
                </w:tcPr>
                <w:p w14:paraId="1D3E4770">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174.4</w:t>
                  </w:r>
                </w:p>
              </w:tc>
              <w:tc>
                <w:tcPr>
                  <w:tcW w:w="636" w:type="pct"/>
                  <w:vAlign w:val="center"/>
                </w:tcPr>
                <w:p w14:paraId="30B3853E">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1430" w:type="pct"/>
                  <w:vMerge w:val="continue"/>
                  <w:vAlign w:val="center"/>
                </w:tcPr>
                <w:p w14:paraId="75262A62">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p>
              </w:tc>
            </w:tr>
            <w:tr w14:paraId="0A7F6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9" w:type="pct"/>
                  <w:vAlign w:val="center"/>
                </w:tcPr>
                <w:p w14:paraId="42E5AC42">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铅（Pb）</w:t>
                  </w:r>
                </w:p>
              </w:tc>
              <w:tc>
                <w:tcPr>
                  <w:tcW w:w="627" w:type="pct"/>
                  <w:vAlign w:val="center"/>
                </w:tcPr>
                <w:p w14:paraId="7FBAAC21">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default" w:ascii="Times New Roman" w:hAnsi="Times New Roman" w:eastAsia="宋体" w:cs="Times New Roman"/>
                      <w:b w:val="0"/>
                      <w:bCs w:val="0"/>
                      <w:color w:val="0000FF"/>
                      <w:sz w:val="21"/>
                      <w:szCs w:val="21"/>
                      <w:lang w:val="en-US" w:eastAsia="zh-CN"/>
                    </w:rPr>
                    <w:t>μg/L</w:t>
                  </w:r>
                </w:p>
              </w:tc>
              <w:tc>
                <w:tcPr>
                  <w:tcW w:w="618" w:type="pct"/>
                  <w:vAlign w:val="center"/>
                </w:tcPr>
                <w:p w14:paraId="7B40625A">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8" w:type="pct"/>
                  <w:vAlign w:val="center"/>
                </w:tcPr>
                <w:p w14:paraId="37E5B630">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103.4</w:t>
                  </w:r>
                </w:p>
              </w:tc>
              <w:tc>
                <w:tcPr>
                  <w:tcW w:w="636" w:type="pct"/>
                  <w:vAlign w:val="center"/>
                </w:tcPr>
                <w:p w14:paraId="4DA8137F">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1430" w:type="pct"/>
                  <w:vMerge w:val="continue"/>
                  <w:vAlign w:val="center"/>
                </w:tcPr>
                <w:p w14:paraId="7FA31592">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p>
              </w:tc>
            </w:tr>
            <w:tr w14:paraId="2301F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9" w:type="pct"/>
                  <w:vAlign w:val="center"/>
                </w:tcPr>
                <w:p w14:paraId="2BF11914">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铬（Cr）</w:t>
                  </w:r>
                </w:p>
              </w:tc>
              <w:tc>
                <w:tcPr>
                  <w:tcW w:w="627" w:type="pct"/>
                  <w:vAlign w:val="center"/>
                </w:tcPr>
                <w:p w14:paraId="23B09CBB">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default" w:ascii="Times New Roman" w:hAnsi="Times New Roman" w:eastAsia="宋体" w:cs="Times New Roman"/>
                      <w:b w:val="0"/>
                      <w:bCs w:val="0"/>
                      <w:color w:val="0000FF"/>
                      <w:sz w:val="21"/>
                      <w:szCs w:val="21"/>
                      <w:lang w:val="en-US" w:eastAsia="zh-CN"/>
                    </w:rPr>
                    <w:t>μg/L</w:t>
                  </w:r>
                </w:p>
              </w:tc>
              <w:tc>
                <w:tcPr>
                  <w:tcW w:w="618" w:type="pct"/>
                  <w:vAlign w:val="center"/>
                </w:tcPr>
                <w:p w14:paraId="7F378938">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8" w:type="pct"/>
                  <w:vAlign w:val="center"/>
                </w:tcPr>
                <w:p w14:paraId="347F5FE3">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250.5</w:t>
                  </w:r>
                </w:p>
              </w:tc>
              <w:tc>
                <w:tcPr>
                  <w:tcW w:w="636" w:type="pct"/>
                  <w:vAlign w:val="center"/>
                </w:tcPr>
                <w:p w14:paraId="66D3316C">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1430" w:type="pct"/>
                  <w:vMerge w:val="continue"/>
                  <w:vAlign w:val="center"/>
                </w:tcPr>
                <w:p w14:paraId="74EAE7D5">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p>
              </w:tc>
            </w:tr>
            <w:tr w14:paraId="5B8D1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9" w:type="pct"/>
                  <w:vAlign w:val="center"/>
                </w:tcPr>
                <w:p w14:paraId="27A67FAD">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铜（Cu）</w:t>
                  </w:r>
                </w:p>
              </w:tc>
              <w:tc>
                <w:tcPr>
                  <w:tcW w:w="627" w:type="pct"/>
                  <w:vAlign w:val="center"/>
                </w:tcPr>
                <w:p w14:paraId="023D92A3">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default" w:ascii="Times New Roman" w:hAnsi="Times New Roman" w:eastAsia="宋体" w:cs="Times New Roman"/>
                      <w:b w:val="0"/>
                      <w:bCs w:val="0"/>
                      <w:color w:val="0000FF"/>
                      <w:sz w:val="21"/>
                      <w:szCs w:val="21"/>
                      <w:lang w:val="en-US" w:eastAsia="zh-CN"/>
                    </w:rPr>
                    <w:t>μg/L</w:t>
                  </w:r>
                </w:p>
              </w:tc>
              <w:tc>
                <w:tcPr>
                  <w:tcW w:w="618" w:type="pct"/>
                  <w:vAlign w:val="center"/>
                </w:tcPr>
                <w:p w14:paraId="5B1335E5">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8" w:type="pct"/>
                  <w:vAlign w:val="center"/>
                </w:tcPr>
                <w:p w14:paraId="3A951D09">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377.8</w:t>
                  </w:r>
                </w:p>
              </w:tc>
              <w:tc>
                <w:tcPr>
                  <w:tcW w:w="636" w:type="pct"/>
                  <w:vAlign w:val="center"/>
                </w:tcPr>
                <w:p w14:paraId="5F429816">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1430" w:type="pct"/>
                  <w:vMerge w:val="continue"/>
                  <w:vAlign w:val="center"/>
                </w:tcPr>
                <w:p w14:paraId="5EF0A8CA">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p>
              </w:tc>
            </w:tr>
            <w:tr w14:paraId="09AB8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9" w:type="pct"/>
                  <w:vAlign w:val="center"/>
                </w:tcPr>
                <w:p w14:paraId="795E0C2D">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砷（As）</w:t>
                  </w:r>
                </w:p>
              </w:tc>
              <w:tc>
                <w:tcPr>
                  <w:tcW w:w="627" w:type="pct"/>
                  <w:vAlign w:val="center"/>
                </w:tcPr>
                <w:p w14:paraId="556C1C5C">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default" w:ascii="Times New Roman" w:hAnsi="Times New Roman" w:eastAsia="宋体" w:cs="Times New Roman"/>
                      <w:b w:val="0"/>
                      <w:bCs w:val="0"/>
                      <w:color w:val="0000FF"/>
                      <w:sz w:val="21"/>
                      <w:szCs w:val="21"/>
                      <w:lang w:val="en-US" w:eastAsia="zh-CN"/>
                    </w:rPr>
                    <w:t>μg/L</w:t>
                  </w:r>
                </w:p>
              </w:tc>
              <w:tc>
                <w:tcPr>
                  <w:tcW w:w="618" w:type="pct"/>
                  <w:vAlign w:val="center"/>
                </w:tcPr>
                <w:p w14:paraId="1056C88E">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8" w:type="pct"/>
                  <w:vAlign w:val="center"/>
                </w:tcPr>
                <w:p w14:paraId="2DCB9180">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3.936</w:t>
                  </w:r>
                </w:p>
              </w:tc>
              <w:tc>
                <w:tcPr>
                  <w:tcW w:w="636" w:type="pct"/>
                  <w:vAlign w:val="center"/>
                </w:tcPr>
                <w:p w14:paraId="2C2417A5">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1430" w:type="pct"/>
                  <w:vMerge w:val="continue"/>
                  <w:vAlign w:val="center"/>
                </w:tcPr>
                <w:p w14:paraId="5CF5B943">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p>
              </w:tc>
            </w:tr>
            <w:tr w14:paraId="52DE4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9" w:type="pct"/>
                  <w:vAlign w:val="center"/>
                </w:tcPr>
                <w:p w14:paraId="1CC10537">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锌（Zn）</w:t>
                  </w:r>
                </w:p>
              </w:tc>
              <w:tc>
                <w:tcPr>
                  <w:tcW w:w="627" w:type="pct"/>
                  <w:vAlign w:val="center"/>
                </w:tcPr>
                <w:p w14:paraId="786C1E1A">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mg/kg</w:t>
                  </w:r>
                </w:p>
              </w:tc>
              <w:tc>
                <w:tcPr>
                  <w:tcW w:w="618" w:type="pct"/>
                  <w:vAlign w:val="center"/>
                </w:tcPr>
                <w:p w14:paraId="358682C7">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8" w:type="pct"/>
                  <w:vAlign w:val="center"/>
                </w:tcPr>
                <w:p w14:paraId="6E166F13">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346.6</w:t>
                  </w:r>
                </w:p>
              </w:tc>
              <w:tc>
                <w:tcPr>
                  <w:tcW w:w="636" w:type="pct"/>
                  <w:vAlign w:val="center"/>
                </w:tcPr>
                <w:p w14:paraId="5B90DD28">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1430" w:type="pct"/>
                  <w:vMerge w:val="restart"/>
                  <w:vAlign w:val="center"/>
                </w:tcPr>
                <w:p w14:paraId="7F7BCC29">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GB/T 30760-2014附录B</w:t>
                  </w:r>
                </w:p>
              </w:tc>
            </w:tr>
            <w:tr w14:paraId="081C3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9" w:type="pct"/>
                  <w:vAlign w:val="center"/>
                </w:tcPr>
                <w:p w14:paraId="4BD6F96D">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锰（Mn）</w:t>
                  </w:r>
                </w:p>
              </w:tc>
              <w:tc>
                <w:tcPr>
                  <w:tcW w:w="627" w:type="pct"/>
                  <w:vAlign w:val="center"/>
                </w:tcPr>
                <w:p w14:paraId="57E938C7">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mg/kg</w:t>
                  </w:r>
                </w:p>
              </w:tc>
              <w:tc>
                <w:tcPr>
                  <w:tcW w:w="618" w:type="pct"/>
                  <w:vAlign w:val="center"/>
                </w:tcPr>
                <w:p w14:paraId="6395A2A8">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8" w:type="pct"/>
                  <w:vAlign w:val="center"/>
                </w:tcPr>
                <w:p w14:paraId="506DE62A">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未检出</w:t>
                  </w:r>
                </w:p>
              </w:tc>
              <w:tc>
                <w:tcPr>
                  <w:tcW w:w="636" w:type="pct"/>
                  <w:vAlign w:val="center"/>
                </w:tcPr>
                <w:p w14:paraId="14018457">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1430" w:type="pct"/>
                  <w:vMerge w:val="continue"/>
                  <w:vAlign w:val="center"/>
                </w:tcPr>
                <w:p w14:paraId="53EC4BC1">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p>
              </w:tc>
            </w:tr>
            <w:tr w14:paraId="0866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1059" w:type="pct"/>
                  <w:vAlign w:val="center"/>
                </w:tcPr>
                <w:p w14:paraId="75609974">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氟离子</w:t>
                  </w:r>
                </w:p>
              </w:tc>
              <w:tc>
                <w:tcPr>
                  <w:tcW w:w="627" w:type="pct"/>
                  <w:vAlign w:val="center"/>
                </w:tcPr>
                <w:p w14:paraId="66D02471">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18" w:type="pct"/>
                  <w:vAlign w:val="center"/>
                </w:tcPr>
                <w:p w14:paraId="593177C2">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8" w:type="pct"/>
                  <w:vAlign w:val="center"/>
                </w:tcPr>
                <w:p w14:paraId="169C8145">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0.07</w:t>
                  </w:r>
                </w:p>
              </w:tc>
              <w:tc>
                <w:tcPr>
                  <w:tcW w:w="636" w:type="pct"/>
                  <w:vAlign w:val="center"/>
                </w:tcPr>
                <w:p w14:paraId="1B2F8353">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1430" w:type="pct"/>
                  <w:vMerge w:val="restart"/>
                  <w:vAlign w:val="center"/>
                </w:tcPr>
                <w:p w14:paraId="579C9043">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GB/T 176-2017</w:t>
                  </w:r>
                </w:p>
              </w:tc>
            </w:tr>
            <w:tr w14:paraId="1A5EE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9" w:type="pct"/>
                  <w:vAlign w:val="center"/>
                </w:tcPr>
                <w:p w14:paraId="04850A60">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氯离子</w:t>
                  </w:r>
                </w:p>
              </w:tc>
              <w:tc>
                <w:tcPr>
                  <w:tcW w:w="627" w:type="pct"/>
                  <w:vAlign w:val="center"/>
                </w:tcPr>
                <w:p w14:paraId="1239D3AE">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18" w:type="pct"/>
                  <w:vAlign w:val="center"/>
                </w:tcPr>
                <w:p w14:paraId="13A5C236">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8" w:type="pct"/>
                  <w:vAlign w:val="center"/>
                </w:tcPr>
                <w:p w14:paraId="73CB271F">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0.033</w:t>
                  </w:r>
                </w:p>
              </w:tc>
              <w:tc>
                <w:tcPr>
                  <w:tcW w:w="636" w:type="pct"/>
                  <w:vAlign w:val="center"/>
                </w:tcPr>
                <w:p w14:paraId="6A1D2904">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1430" w:type="pct"/>
                  <w:vMerge w:val="continue"/>
                  <w:vAlign w:val="center"/>
                </w:tcPr>
                <w:p w14:paraId="6A872C41">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p>
              </w:tc>
            </w:tr>
            <w:tr w14:paraId="48828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9" w:type="pct"/>
                  <w:vAlign w:val="center"/>
                </w:tcPr>
                <w:p w14:paraId="1EF03D55">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全硫（S</w:t>
                  </w:r>
                  <w:r>
                    <w:rPr>
                      <w:rFonts w:hint="eastAsia" w:cs="Times New Roman"/>
                      <w:b w:val="0"/>
                      <w:bCs w:val="0"/>
                      <w:color w:val="0000FF"/>
                      <w:sz w:val="21"/>
                      <w:szCs w:val="21"/>
                      <w:vertAlign w:val="subscript"/>
                      <w:lang w:val="en-US" w:eastAsia="zh-CN"/>
                    </w:rPr>
                    <w:t>t，ad</w:t>
                  </w:r>
                  <w:r>
                    <w:rPr>
                      <w:rFonts w:hint="eastAsia" w:cs="Times New Roman"/>
                      <w:b w:val="0"/>
                      <w:bCs w:val="0"/>
                      <w:color w:val="0000FF"/>
                      <w:sz w:val="21"/>
                      <w:szCs w:val="21"/>
                      <w:lang w:val="en-US" w:eastAsia="zh-CN"/>
                    </w:rPr>
                    <w:t>）</w:t>
                  </w:r>
                </w:p>
              </w:tc>
              <w:tc>
                <w:tcPr>
                  <w:tcW w:w="627" w:type="pct"/>
                  <w:vAlign w:val="center"/>
                </w:tcPr>
                <w:p w14:paraId="4365EB8F">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18" w:type="pct"/>
                  <w:vAlign w:val="center"/>
                </w:tcPr>
                <w:p w14:paraId="6D8F85EE">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8" w:type="pct"/>
                  <w:vAlign w:val="center"/>
                </w:tcPr>
                <w:p w14:paraId="0AD40762">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0.04</w:t>
                  </w:r>
                </w:p>
              </w:tc>
              <w:tc>
                <w:tcPr>
                  <w:tcW w:w="636" w:type="pct"/>
                  <w:vAlign w:val="center"/>
                </w:tcPr>
                <w:p w14:paraId="07A4DDD7">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1430" w:type="pct"/>
                  <w:vAlign w:val="center"/>
                </w:tcPr>
                <w:p w14:paraId="6C6562EA">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GB/T 28732-2012</w:t>
                  </w:r>
                </w:p>
              </w:tc>
            </w:tr>
            <w:tr w14:paraId="0BA69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9" w:type="pct"/>
                  <w:vAlign w:val="center"/>
                </w:tcPr>
                <w:p w14:paraId="6CFE57E6">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水分M</w:t>
                  </w:r>
                  <w:r>
                    <w:rPr>
                      <w:rFonts w:hint="eastAsia" w:cs="Times New Roman"/>
                      <w:b w:val="0"/>
                      <w:bCs w:val="0"/>
                      <w:color w:val="0000FF"/>
                      <w:sz w:val="21"/>
                      <w:szCs w:val="21"/>
                      <w:vertAlign w:val="subscript"/>
                      <w:lang w:val="en-US" w:eastAsia="zh-CN"/>
                    </w:rPr>
                    <w:t>ad</w:t>
                  </w:r>
                </w:p>
              </w:tc>
              <w:tc>
                <w:tcPr>
                  <w:tcW w:w="627" w:type="pct"/>
                  <w:vAlign w:val="center"/>
                </w:tcPr>
                <w:p w14:paraId="2EFC5994">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18" w:type="pct"/>
                  <w:vAlign w:val="center"/>
                </w:tcPr>
                <w:p w14:paraId="52FCD597">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8" w:type="pct"/>
                  <w:vAlign w:val="center"/>
                </w:tcPr>
                <w:p w14:paraId="6150A450">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4.36</w:t>
                  </w:r>
                </w:p>
              </w:tc>
              <w:tc>
                <w:tcPr>
                  <w:tcW w:w="636" w:type="pct"/>
                  <w:vAlign w:val="center"/>
                </w:tcPr>
                <w:p w14:paraId="45CB5674">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1430" w:type="pct"/>
                  <w:vAlign w:val="center"/>
                </w:tcPr>
                <w:p w14:paraId="47E78846">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GB/T 28733-2012</w:t>
                  </w:r>
                </w:p>
              </w:tc>
            </w:tr>
            <w:tr w14:paraId="2FDA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9" w:type="pct"/>
                  <w:vAlign w:val="center"/>
                </w:tcPr>
                <w:p w14:paraId="7E543D19">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全水分M</w:t>
                  </w:r>
                  <w:r>
                    <w:rPr>
                      <w:rFonts w:hint="eastAsia" w:cs="Times New Roman"/>
                      <w:b w:val="0"/>
                      <w:bCs w:val="0"/>
                      <w:color w:val="0000FF"/>
                      <w:sz w:val="21"/>
                      <w:szCs w:val="21"/>
                      <w:vertAlign w:val="subscript"/>
                      <w:lang w:val="en-US" w:eastAsia="zh-CN"/>
                    </w:rPr>
                    <w:t>t</w:t>
                  </w:r>
                </w:p>
              </w:tc>
              <w:tc>
                <w:tcPr>
                  <w:tcW w:w="627" w:type="pct"/>
                  <w:vAlign w:val="center"/>
                </w:tcPr>
                <w:p w14:paraId="0B9DE37D">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18" w:type="pct"/>
                  <w:vAlign w:val="center"/>
                </w:tcPr>
                <w:p w14:paraId="3349B23C">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8" w:type="pct"/>
                  <w:vAlign w:val="center"/>
                </w:tcPr>
                <w:p w14:paraId="2675E869">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34.7</w:t>
                  </w:r>
                </w:p>
              </w:tc>
              <w:tc>
                <w:tcPr>
                  <w:tcW w:w="636" w:type="pct"/>
                  <w:vAlign w:val="center"/>
                </w:tcPr>
                <w:p w14:paraId="55661BBC">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1430" w:type="pct"/>
                  <w:vAlign w:val="center"/>
                </w:tcPr>
                <w:p w14:paraId="64C9E9B2">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GB/T 212-2008</w:t>
                  </w:r>
                </w:p>
              </w:tc>
            </w:tr>
            <w:tr w14:paraId="255A8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9" w:type="pct"/>
                  <w:vAlign w:val="center"/>
                </w:tcPr>
                <w:p w14:paraId="58C68A98">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氢含量H</w:t>
                  </w:r>
                  <w:r>
                    <w:rPr>
                      <w:rFonts w:hint="eastAsia" w:cs="Times New Roman"/>
                      <w:b w:val="0"/>
                      <w:bCs w:val="0"/>
                      <w:color w:val="0000FF"/>
                      <w:sz w:val="21"/>
                      <w:szCs w:val="21"/>
                      <w:vertAlign w:val="subscript"/>
                      <w:lang w:val="en-US" w:eastAsia="zh-CN"/>
                    </w:rPr>
                    <w:t>ad</w:t>
                  </w:r>
                </w:p>
              </w:tc>
              <w:tc>
                <w:tcPr>
                  <w:tcW w:w="627" w:type="pct"/>
                  <w:vAlign w:val="center"/>
                </w:tcPr>
                <w:p w14:paraId="59C8FCB2">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18" w:type="pct"/>
                  <w:vAlign w:val="center"/>
                </w:tcPr>
                <w:p w14:paraId="11C28793">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8" w:type="pct"/>
                  <w:vAlign w:val="center"/>
                </w:tcPr>
                <w:p w14:paraId="694BD12E">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3.92</w:t>
                  </w:r>
                </w:p>
              </w:tc>
              <w:tc>
                <w:tcPr>
                  <w:tcW w:w="636" w:type="pct"/>
                  <w:vAlign w:val="center"/>
                </w:tcPr>
                <w:p w14:paraId="6841E74A">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1430" w:type="pct"/>
                  <w:vAlign w:val="center"/>
                </w:tcPr>
                <w:p w14:paraId="1160E3BE">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GB/T 28734-2012</w:t>
                  </w:r>
                </w:p>
              </w:tc>
            </w:tr>
            <w:tr w14:paraId="6D807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9" w:type="pct"/>
                  <w:vMerge w:val="restart"/>
                  <w:vAlign w:val="center"/>
                </w:tcPr>
                <w:p w14:paraId="36080EBA">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收到基低位发热量Q</w:t>
                  </w:r>
                  <w:r>
                    <w:rPr>
                      <w:rFonts w:hint="eastAsia" w:cs="Times New Roman"/>
                      <w:b w:val="0"/>
                      <w:bCs w:val="0"/>
                      <w:color w:val="0000FF"/>
                      <w:sz w:val="21"/>
                      <w:szCs w:val="21"/>
                      <w:vertAlign w:val="subscript"/>
                      <w:lang w:val="en-US" w:eastAsia="zh-CN"/>
                    </w:rPr>
                    <w:t>net，v，ar</w:t>
                  </w:r>
                </w:p>
              </w:tc>
              <w:tc>
                <w:tcPr>
                  <w:tcW w:w="627" w:type="pct"/>
                  <w:vAlign w:val="center"/>
                </w:tcPr>
                <w:p w14:paraId="2E080ACC">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J</w:t>
                  </w:r>
                </w:p>
              </w:tc>
              <w:tc>
                <w:tcPr>
                  <w:tcW w:w="618" w:type="pct"/>
                  <w:vAlign w:val="center"/>
                </w:tcPr>
                <w:p w14:paraId="50A4498D">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8" w:type="pct"/>
                  <w:vAlign w:val="center"/>
                </w:tcPr>
                <w:p w14:paraId="33D3BA88">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7936</w:t>
                  </w:r>
                </w:p>
              </w:tc>
              <w:tc>
                <w:tcPr>
                  <w:tcW w:w="636" w:type="pct"/>
                  <w:vAlign w:val="center"/>
                </w:tcPr>
                <w:p w14:paraId="22D80814">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1430" w:type="pct"/>
                  <w:vMerge w:val="restart"/>
                  <w:vAlign w:val="center"/>
                </w:tcPr>
                <w:p w14:paraId="0F3213C2">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GB/T 30727-2014</w:t>
                  </w:r>
                </w:p>
              </w:tc>
            </w:tr>
            <w:tr w14:paraId="5E580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9" w:type="pct"/>
                  <w:vMerge w:val="continue"/>
                  <w:vAlign w:val="center"/>
                </w:tcPr>
                <w:p w14:paraId="64F083F8">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p>
              </w:tc>
              <w:tc>
                <w:tcPr>
                  <w:tcW w:w="627" w:type="pct"/>
                  <w:vAlign w:val="center"/>
                </w:tcPr>
                <w:p w14:paraId="22F8007B">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cal</w:t>
                  </w:r>
                </w:p>
              </w:tc>
              <w:tc>
                <w:tcPr>
                  <w:tcW w:w="618" w:type="pct"/>
                  <w:vAlign w:val="center"/>
                </w:tcPr>
                <w:p w14:paraId="0DAC8A42">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628" w:type="pct"/>
                  <w:vAlign w:val="center"/>
                </w:tcPr>
                <w:p w14:paraId="142D2F7E">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1896</w:t>
                  </w:r>
                </w:p>
              </w:tc>
              <w:tc>
                <w:tcPr>
                  <w:tcW w:w="636" w:type="pct"/>
                  <w:vAlign w:val="center"/>
                </w:tcPr>
                <w:p w14:paraId="46EF7BF9">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w:t>
                  </w:r>
                </w:p>
              </w:tc>
              <w:tc>
                <w:tcPr>
                  <w:tcW w:w="1430" w:type="pct"/>
                  <w:vMerge w:val="continue"/>
                  <w:vAlign w:val="center"/>
                </w:tcPr>
                <w:p w14:paraId="2413B23A">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p>
              </w:tc>
            </w:tr>
            <w:tr w14:paraId="25C40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9" w:type="pct"/>
                  <w:vAlign w:val="center"/>
                </w:tcPr>
                <w:p w14:paraId="0A5A8016">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备注</w:t>
                  </w:r>
                </w:p>
              </w:tc>
              <w:tc>
                <w:tcPr>
                  <w:tcW w:w="3940" w:type="pct"/>
                  <w:gridSpan w:val="5"/>
                  <w:vAlign w:val="center"/>
                </w:tcPr>
                <w:p w14:paraId="3B9E8BE7">
                  <w:pPr>
                    <w:keepNext w:val="0"/>
                    <w:keepLines w:val="0"/>
                    <w:pageBreakBefore w:val="0"/>
                    <w:kinsoku/>
                    <w:wordWrap/>
                    <w:overflowPunct/>
                    <w:topLinePunct w:val="0"/>
                    <w:autoSpaceDE/>
                    <w:autoSpaceDN/>
                    <w:bidi w:val="0"/>
                    <w:snapToGrid/>
                    <w:spacing w:line="240" w:lineRule="auto"/>
                    <w:jc w:val="both"/>
                    <w:rPr>
                      <w:rFonts w:hint="eastAsia" w:eastAsia="宋体" w:cs="Times New Roman"/>
                      <w:b w:val="0"/>
                      <w:bCs w:val="0"/>
                      <w:color w:val="0000FF"/>
                      <w:sz w:val="21"/>
                      <w:szCs w:val="21"/>
                      <w:lang w:val="en-US" w:eastAsia="zh-CN"/>
                    </w:rPr>
                  </w:pPr>
                  <w:r>
                    <w:rPr>
                      <w:rFonts w:hint="eastAsia" w:cs="Times New Roman"/>
                      <w:b w:val="0"/>
                      <w:bCs w:val="0"/>
                      <w:color w:val="0000FF"/>
                      <w:sz w:val="21"/>
                      <w:szCs w:val="21"/>
                      <w:lang w:val="en-US" w:eastAsia="zh-CN"/>
                    </w:rPr>
                    <w:t>测试方法检出限：Mn：20mg/kg。</w:t>
                  </w:r>
                </w:p>
              </w:tc>
            </w:tr>
          </w:tbl>
          <w:p w14:paraId="21507CE8">
            <w:pPr>
              <w:autoSpaceDE w:val="0"/>
              <w:autoSpaceDN w:val="0"/>
              <w:adjustRightInd w:val="0"/>
              <w:jc w:val="center"/>
              <w:rPr>
                <w:rFonts w:hint="default" w:cs="Times New Roman"/>
                <w:b w:val="0"/>
                <w:bCs w:val="0"/>
                <w:color w:val="0000FF"/>
                <w:kern w:val="2"/>
                <w:sz w:val="24"/>
                <w:szCs w:val="24"/>
                <w:lang w:val="en-US" w:eastAsia="zh-CN" w:bidi="ar-SA"/>
              </w:rPr>
            </w:pPr>
            <w:r>
              <w:rPr>
                <w:rFonts w:hint="eastAsia" w:ascii="Times New Roman" w:hAnsi="Times New Roman" w:cs="Times New Roman"/>
                <w:b/>
                <w:color w:val="0000FF"/>
              </w:rPr>
              <w:t>表</w:t>
            </w:r>
            <w:r>
              <w:rPr>
                <w:rFonts w:hint="eastAsia" w:cs="Times New Roman"/>
                <w:b/>
                <w:color w:val="0000FF"/>
                <w:lang w:val="en-US" w:eastAsia="zh-CN"/>
              </w:rPr>
              <w:t xml:space="preserve">2-16 </w:t>
            </w:r>
            <w:r>
              <w:rPr>
                <w:rFonts w:hint="eastAsia" w:cs="Times New Roman"/>
                <w:b/>
                <w:color w:val="0000FF"/>
                <w:lang w:eastAsia="zh-CN"/>
              </w:rPr>
              <w:t>本项目所用原煤成分特征表</w:t>
            </w:r>
          </w:p>
          <w:bookmarkEnd w:id="57"/>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316"/>
              <w:gridCol w:w="1559"/>
              <w:gridCol w:w="1653"/>
              <w:gridCol w:w="1759"/>
              <w:gridCol w:w="2208"/>
            </w:tblGrid>
            <w:tr w14:paraId="7A74B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5" w:type="dxa"/>
                  <w:vAlign w:val="center"/>
                </w:tcPr>
                <w:p w14:paraId="0E8DFEEB">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成分</w:t>
                  </w:r>
                </w:p>
              </w:tc>
              <w:tc>
                <w:tcPr>
                  <w:tcW w:w="1316" w:type="dxa"/>
                  <w:vAlign w:val="center"/>
                </w:tcPr>
                <w:p w14:paraId="39867843">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分析水分（M</w:t>
                  </w:r>
                  <w:r>
                    <w:rPr>
                      <w:rFonts w:hint="eastAsia" w:cs="Times New Roman"/>
                      <w:b w:val="0"/>
                      <w:bCs w:val="0"/>
                      <w:color w:val="0000FF"/>
                      <w:sz w:val="21"/>
                      <w:szCs w:val="21"/>
                      <w:vertAlign w:val="subscript"/>
                      <w:lang w:val="en-US" w:eastAsia="zh-CN"/>
                    </w:rPr>
                    <w:t>ad</w:t>
                  </w:r>
                  <w:r>
                    <w:rPr>
                      <w:rFonts w:hint="eastAsia" w:cs="Times New Roman"/>
                      <w:b w:val="0"/>
                      <w:bCs w:val="0"/>
                      <w:color w:val="0000FF"/>
                      <w:sz w:val="21"/>
                      <w:szCs w:val="21"/>
                      <w:lang w:val="en-US" w:eastAsia="zh-CN"/>
                    </w:rPr>
                    <w:t>%）</w:t>
                  </w:r>
                </w:p>
              </w:tc>
              <w:tc>
                <w:tcPr>
                  <w:tcW w:w="1559" w:type="dxa"/>
                  <w:vAlign w:val="center"/>
                </w:tcPr>
                <w:p w14:paraId="3A551847">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空干基灰分（A</w:t>
                  </w:r>
                  <w:r>
                    <w:rPr>
                      <w:rFonts w:hint="eastAsia" w:cs="Times New Roman"/>
                      <w:b w:val="0"/>
                      <w:bCs w:val="0"/>
                      <w:color w:val="0000FF"/>
                      <w:sz w:val="21"/>
                      <w:szCs w:val="21"/>
                      <w:vertAlign w:val="subscript"/>
                      <w:lang w:val="en-US" w:eastAsia="zh-CN"/>
                    </w:rPr>
                    <w:t>ad</w:t>
                  </w:r>
                  <w:r>
                    <w:rPr>
                      <w:rFonts w:hint="eastAsia" w:cs="Times New Roman"/>
                      <w:b w:val="0"/>
                      <w:bCs w:val="0"/>
                      <w:color w:val="0000FF"/>
                      <w:sz w:val="21"/>
                      <w:szCs w:val="21"/>
                      <w:lang w:val="en-US" w:eastAsia="zh-CN"/>
                    </w:rPr>
                    <w:t>%）</w:t>
                  </w:r>
                </w:p>
              </w:tc>
              <w:tc>
                <w:tcPr>
                  <w:tcW w:w="1653" w:type="dxa"/>
                  <w:vAlign w:val="center"/>
                </w:tcPr>
                <w:p w14:paraId="1594B483">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空干基挥发分（V</w:t>
                  </w:r>
                  <w:r>
                    <w:rPr>
                      <w:rFonts w:hint="eastAsia" w:cs="Times New Roman"/>
                      <w:b w:val="0"/>
                      <w:bCs w:val="0"/>
                      <w:color w:val="0000FF"/>
                      <w:sz w:val="21"/>
                      <w:szCs w:val="21"/>
                      <w:vertAlign w:val="subscript"/>
                      <w:lang w:val="en-US" w:eastAsia="zh-CN"/>
                    </w:rPr>
                    <w:t>ad</w:t>
                  </w:r>
                  <w:r>
                    <w:rPr>
                      <w:rFonts w:hint="eastAsia" w:cs="Times New Roman"/>
                      <w:b w:val="0"/>
                      <w:bCs w:val="0"/>
                      <w:color w:val="0000FF"/>
                      <w:sz w:val="21"/>
                      <w:szCs w:val="21"/>
                      <w:lang w:val="en-US" w:eastAsia="zh-CN"/>
                    </w:rPr>
                    <w:t>%）</w:t>
                  </w:r>
                </w:p>
              </w:tc>
              <w:tc>
                <w:tcPr>
                  <w:tcW w:w="1759" w:type="dxa"/>
                  <w:vAlign w:val="center"/>
                </w:tcPr>
                <w:p w14:paraId="297AB26B">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空干基固定碳（FC</w:t>
                  </w:r>
                  <w:r>
                    <w:rPr>
                      <w:rFonts w:hint="eastAsia" w:cs="Times New Roman"/>
                      <w:b w:val="0"/>
                      <w:bCs w:val="0"/>
                      <w:color w:val="0000FF"/>
                      <w:sz w:val="21"/>
                      <w:szCs w:val="21"/>
                      <w:vertAlign w:val="subscript"/>
                      <w:lang w:val="en-US" w:eastAsia="zh-CN"/>
                    </w:rPr>
                    <w:t>ad</w:t>
                  </w:r>
                  <w:r>
                    <w:rPr>
                      <w:rFonts w:hint="eastAsia" w:cs="Times New Roman"/>
                      <w:b w:val="0"/>
                      <w:bCs w:val="0"/>
                      <w:color w:val="0000FF"/>
                      <w:sz w:val="21"/>
                      <w:szCs w:val="21"/>
                      <w:lang w:val="en-US" w:eastAsia="zh-CN"/>
                    </w:rPr>
                    <w:t>%）</w:t>
                  </w:r>
                </w:p>
              </w:tc>
              <w:tc>
                <w:tcPr>
                  <w:tcW w:w="2208" w:type="dxa"/>
                  <w:vAlign w:val="center"/>
                </w:tcPr>
                <w:p w14:paraId="05EC13B6">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收到基低位发热量（Q</w:t>
                  </w:r>
                  <w:r>
                    <w:rPr>
                      <w:rFonts w:hint="eastAsia" w:cs="Times New Roman"/>
                      <w:b w:val="0"/>
                      <w:bCs w:val="0"/>
                      <w:color w:val="0000FF"/>
                      <w:sz w:val="21"/>
                      <w:szCs w:val="21"/>
                      <w:vertAlign w:val="subscript"/>
                      <w:lang w:val="en-US" w:eastAsia="zh-CN"/>
                    </w:rPr>
                    <w:t xml:space="preserve">net，ar </w:t>
                  </w:r>
                  <w:r>
                    <w:rPr>
                      <w:rFonts w:hint="eastAsia" w:cs="Times New Roman"/>
                      <w:b w:val="0"/>
                      <w:bCs w:val="0"/>
                      <w:color w:val="0000FF"/>
                      <w:sz w:val="21"/>
                      <w:szCs w:val="21"/>
                      <w:lang w:val="en-US" w:eastAsia="zh-CN"/>
                    </w:rPr>
                    <w:t>KJ/kg）</w:t>
                  </w:r>
                </w:p>
              </w:tc>
            </w:tr>
            <w:tr w14:paraId="0B9CB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5" w:type="dxa"/>
                  <w:vAlign w:val="center"/>
                </w:tcPr>
                <w:p w14:paraId="4E0BFA9E">
                  <w:pPr>
                    <w:keepNext w:val="0"/>
                    <w:keepLines w:val="0"/>
                    <w:pageBreakBefore w:val="0"/>
                    <w:kinsoku/>
                    <w:wordWrap/>
                    <w:overflowPunct/>
                    <w:topLinePunct w:val="0"/>
                    <w:autoSpaceDE/>
                    <w:autoSpaceDN/>
                    <w:bidi w:val="0"/>
                    <w:snapToGrid/>
                    <w:spacing w:line="240" w:lineRule="auto"/>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含量</w:t>
                  </w:r>
                </w:p>
              </w:tc>
              <w:tc>
                <w:tcPr>
                  <w:tcW w:w="1316" w:type="dxa"/>
                  <w:vAlign w:val="center"/>
                </w:tcPr>
                <w:p w14:paraId="1D9E354A">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1.67</w:t>
                  </w:r>
                </w:p>
              </w:tc>
              <w:tc>
                <w:tcPr>
                  <w:tcW w:w="1559" w:type="dxa"/>
                  <w:vAlign w:val="center"/>
                </w:tcPr>
                <w:p w14:paraId="35D18BE2">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22.26</w:t>
                  </w:r>
                </w:p>
              </w:tc>
              <w:tc>
                <w:tcPr>
                  <w:tcW w:w="1653" w:type="dxa"/>
                  <w:vAlign w:val="center"/>
                </w:tcPr>
                <w:p w14:paraId="286DA813">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28.45</w:t>
                  </w:r>
                </w:p>
              </w:tc>
              <w:tc>
                <w:tcPr>
                  <w:tcW w:w="1759" w:type="dxa"/>
                  <w:vAlign w:val="center"/>
                </w:tcPr>
                <w:p w14:paraId="5A04A1A2">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47.62</w:t>
                  </w:r>
                </w:p>
              </w:tc>
              <w:tc>
                <w:tcPr>
                  <w:tcW w:w="2208" w:type="dxa"/>
                  <w:vAlign w:val="center"/>
                </w:tcPr>
                <w:p w14:paraId="1D75FECF">
                  <w:pPr>
                    <w:keepNext w:val="0"/>
                    <w:keepLines w:val="0"/>
                    <w:pageBreakBefore w:val="0"/>
                    <w:kinsoku/>
                    <w:wordWrap/>
                    <w:overflowPunct/>
                    <w:topLinePunct w:val="0"/>
                    <w:autoSpaceDE/>
                    <w:autoSpaceDN/>
                    <w:bidi w:val="0"/>
                    <w:snapToGrid/>
                    <w:spacing w:line="240" w:lineRule="auto"/>
                    <w:jc w:val="center"/>
                    <w:rPr>
                      <w:rFonts w:hint="default" w:cs="Times New Roman"/>
                      <w:b w:val="0"/>
                      <w:bCs w:val="0"/>
                      <w:color w:val="0000FF"/>
                      <w:sz w:val="21"/>
                      <w:szCs w:val="21"/>
                      <w:lang w:val="en-US" w:eastAsia="zh-CN"/>
                    </w:rPr>
                  </w:pPr>
                  <w:r>
                    <w:rPr>
                      <w:rFonts w:hint="eastAsia" w:cs="Times New Roman"/>
                      <w:b w:val="0"/>
                      <w:bCs w:val="0"/>
                      <w:color w:val="0000FF"/>
                      <w:sz w:val="21"/>
                      <w:szCs w:val="21"/>
                      <w:lang w:val="en-US" w:eastAsia="zh-CN"/>
                    </w:rPr>
                    <w:t>22519.95</w:t>
                  </w:r>
                </w:p>
              </w:tc>
            </w:tr>
          </w:tbl>
          <w:p w14:paraId="3CF437A1">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根据业主提供的相关资料可知，本项目年处置废纺5万吨、生物质（木屑）5万吨，预计可节约原煤4.49万t/a，节约标煤3.40万t/a。本项目所燃烧废纺为原料供应商已破碎过的废旧布料，进场之后无需处理即可使用。废纺供应商供货方式为整捆压实，不涉及包装袋的处置。</w:t>
            </w:r>
          </w:p>
          <w:p w14:paraId="4235D0C8">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2、替代燃料对水泥生产的影响</w:t>
            </w:r>
          </w:p>
          <w:p w14:paraId="6AC10695">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本项目设计年综合利用一般固废10万吨，其中废纺5万吨、生物质（木屑）5万吨。项目建成后不增加熟料和水泥的产能，项目依托的水泥生产线熟料产量为5000t/d，入窑处置的一般固体废物主要用于替代燃料，有较高的烧失量。水泥窑协同处置一般固废必须以不影响水泥的品质为前提，因此入窑一般固废中的硫、氯、碱等的含量要严格控制，固废进场前要取样进行分析，评估其对水泥质量的影响，以分析结果为依据，制定合理的协同处置方案。对于一般固废入窑焚烧后对水泥熟料品质的影响，在北京、上海、广州等地已经进行了多次工业试验，取得了不少有益的经验，为工业化大规模处置利用一般固废奠定了基础。广州市越堡水泥有限公司进行了一般固废试烧工业试验，试烧的主要对象为城市污水处理厂污泥。从一般固废投入前后的水泥化学成分及强度对比可以看出，水泥窑投入一般固废前后熟料的化学成分没有明显波动：除3天抗折强度略有下降外，其他强度指标无显著下降。北京水泥厂也进行了将一般固废投入水泥窑的试验，并对投入后的水泥的品质进行了对比试验，水泥窑投入一般固废后对水泥品质影响不大。</w:t>
            </w:r>
          </w:p>
          <w:p w14:paraId="71C9642F">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通过多种工业试验表明，利用一般固废焚烧制造出的水泥，与普通硅酸盐水泥相比，在颗粒度、相对密度等方面基本相似，而在稳固性、膨胀密度、固化时间方面较好。利用水泥熟料生产线处理一般固废，不仅具有焚烧法的减容、减量化特征，且燃烧后的残渣成为水泥熟料的一部分，无需对焚烧灰进行填埋处置，是一种两全其美的一般固废处置途径。本项目协同处置的一般固废主要用于替代燃料，不改变水泥厂现有生料配比。因此，本项目依托现有的生产线处置一般固废，对水泥厂产品影响很小。</w:t>
            </w:r>
          </w:p>
          <w:p w14:paraId="4B36CFC4">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3、替代燃料来料质量管理</w:t>
            </w:r>
          </w:p>
          <w:p w14:paraId="5018CBDB">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w:t>
            </w:r>
            <w:r>
              <w:rPr>
                <w:rFonts w:hint="default" w:cs="Times New Roman"/>
                <w:b w:val="0"/>
                <w:bCs w:val="0"/>
                <w:color w:val="0000FF"/>
                <w:kern w:val="2"/>
                <w:sz w:val="24"/>
                <w:szCs w:val="24"/>
                <w:lang w:val="en-US" w:eastAsia="zh-CN" w:bidi="ar-SA"/>
              </w:rPr>
              <w:t>1）入窑协同处置固体废物特性</w:t>
            </w:r>
          </w:p>
          <w:p w14:paraId="6ADF21CD">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①禁止入窑进行协同处置的固体废物</w:t>
            </w:r>
          </w:p>
          <w:p w14:paraId="44502218">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 xml:space="preserve">禁止危险废物入窑；禁止放射性废物，爆炸性及反应性废物，未拆解的废电池、废家用电器和电子产品，含汞的温度计、血压计、荧光灯管和开关，铬渣，未知特性和未经鉴定的废物入窑进行协同处置。 </w:t>
            </w:r>
          </w:p>
          <w:p w14:paraId="5DDA717E">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 xml:space="preserve">②入窑协同处置固体废物特性要求 </w:t>
            </w:r>
          </w:p>
          <w:p w14:paraId="540933B9">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 xml:space="preserve">a.入窑固体废物应具有稳定的化学组成和物理特性，其化学组成、理化性质等不应对水泥生产过程和水泥产品质量产生不利影响。 </w:t>
            </w:r>
          </w:p>
          <w:p w14:paraId="45C0C759">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b.入窑固体废物所含有的重金属成分，其含量应满足《水泥窑协同处置固体废物环境保护技术规范》（</w:t>
            </w:r>
            <w:r>
              <w:rPr>
                <w:rFonts w:hint="default" w:cs="Times New Roman"/>
                <w:b w:val="0"/>
                <w:bCs w:val="0"/>
                <w:color w:val="0000FF"/>
                <w:kern w:val="2"/>
                <w:sz w:val="24"/>
                <w:szCs w:val="24"/>
                <w:lang w:val="en-US" w:eastAsia="zh-CN" w:bidi="ar-SA"/>
              </w:rPr>
              <w:t>HJ</w:t>
            </w:r>
            <w:r>
              <w:rPr>
                <w:rFonts w:hint="eastAsia" w:cs="Times New Roman"/>
                <w:b w:val="0"/>
                <w:bCs w:val="0"/>
                <w:color w:val="0000FF"/>
                <w:kern w:val="2"/>
                <w:sz w:val="24"/>
                <w:szCs w:val="24"/>
                <w:lang w:val="en-US" w:eastAsia="zh-CN" w:bidi="ar-SA"/>
              </w:rPr>
              <w:t xml:space="preserve"> </w:t>
            </w:r>
            <w:r>
              <w:rPr>
                <w:rFonts w:hint="default" w:cs="Times New Roman"/>
                <w:b w:val="0"/>
                <w:bCs w:val="0"/>
                <w:color w:val="0000FF"/>
                <w:kern w:val="2"/>
                <w:sz w:val="24"/>
                <w:szCs w:val="24"/>
                <w:lang w:val="en-US" w:eastAsia="zh-CN" w:bidi="ar-SA"/>
              </w:rPr>
              <w:t>662-2013</w:t>
            </w:r>
            <w:r>
              <w:rPr>
                <w:rFonts w:hint="eastAsia" w:cs="Times New Roman"/>
                <w:b w:val="0"/>
                <w:bCs w:val="0"/>
                <w:color w:val="0000FF"/>
                <w:kern w:val="2"/>
                <w:sz w:val="24"/>
                <w:szCs w:val="24"/>
                <w:lang w:val="en-US" w:eastAsia="zh-CN" w:bidi="ar-SA"/>
              </w:rPr>
              <w:t xml:space="preserve">）中相关要求。 </w:t>
            </w:r>
          </w:p>
          <w:p w14:paraId="3135E5B7">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c.入窑固体废物中氯、氟元素的含量不应对水泥生产过程和水泥产品质量产生不利影响，其含量应满足《水泥窑协同处置固体废物环境保护技术规范》 （</w:t>
            </w:r>
            <w:r>
              <w:rPr>
                <w:rFonts w:hint="default" w:cs="Times New Roman"/>
                <w:b w:val="0"/>
                <w:bCs w:val="0"/>
                <w:color w:val="0000FF"/>
                <w:kern w:val="2"/>
                <w:sz w:val="24"/>
                <w:szCs w:val="24"/>
                <w:lang w:val="en-US" w:eastAsia="zh-CN" w:bidi="ar-SA"/>
              </w:rPr>
              <w:t>HJ</w:t>
            </w:r>
            <w:r>
              <w:rPr>
                <w:rFonts w:hint="eastAsia" w:cs="Times New Roman"/>
                <w:b w:val="0"/>
                <w:bCs w:val="0"/>
                <w:color w:val="0000FF"/>
                <w:kern w:val="2"/>
                <w:sz w:val="24"/>
                <w:szCs w:val="24"/>
                <w:lang w:val="en-US" w:eastAsia="zh-CN" w:bidi="ar-SA"/>
              </w:rPr>
              <w:t xml:space="preserve"> </w:t>
            </w:r>
            <w:r>
              <w:rPr>
                <w:rFonts w:hint="default" w:cs="Times New Roman"/>
                <w:b w:val="0"/>
                <w:bCs w:val="0"/>
                <w:color w:val="0000FF"/>
                <w:kern w:val="2"/>
                <w:sz w:val="24"/>
                <w:szCs w:val="24"/>
                <w:lang w:val="en-US" w:eastAsia="zh-CN" w:bidi="ar-SA"/>
              </w:rPr>
              <w:t>662-2013</w:t>
            </w:r>
            <w:r>
              <w:rPr>
                <w:rFonts w:hint="eastAsia" w:cs="Times New Roman"/>
                <w:b w:val="0"/>
                <w:bCs w:val="0"/>
                <w:color w:val="0000FF"/>
                <w:kern w:val="2"/>
                <w:sz w:val="24"/>
                <w:szCs w:val="24"/>
                <w:lang w:val="en-US" w:eastAsia="zh-CN" w:bidi="ar-SA"/>
              </w:rPr>
              <w:t xml:space="preserve">）中相关要求。 </w:t>
            </w:r>
          </w:p>
          <w:p w14:paraId="35F57E3D">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d.入窑固体废物中硫元素的含量应满足《水泥窑协同处置固体废物环境保护技术规范》（</w:t>
            </w:r>
            <w:r>
              <w:rPr>
                <w:rFonts w:hint="default" w:cs="Times New Roman"/>
                <w:b w:val="0"/>
                <w:bCs w:val="0"/>
                <w:color w:val="0000FF"/>
                <w:kern w:val="2"/>
                <w:sz w:val="24"/>
                <w:szCs w:val="24"/>
                <w:lang w:val="en-US" w:eastAsia="zh-CN" w:bidi="ar-SA"/>
              </w:rPr>
              <w:t>HJ</w:t>
            </w:r>
            <w:r>
              <w:rPr>
                <w:rFonts w:hint="eastAsia" w:cs="Times New Roman"/>
                <w:b w:val="0"/>
                <w:bCs w:val="0"/>
                <w:color w:val="0000FF"/>
                <w:kern w:val="2"/>
                <w:sz w:val="24"/>
                <w:szCs w:val="24"/>
                <w:lang w:val="en-US" w:eastAsia="zh-CN" w:bidi="ar-SA"/>
              </w:rPr>
              <w:t xml:space="preserve"> </w:t>
            </w:r>
            <w:r>
              <w:rPr>
                <w:rFonts w:hint="default" w:cs="Times New Roman"/>
                <w:b w:val="0"/>
                <w:bCs w:val="0"/>
                <w:color w:val="0000FF"/>
                <w:kern w:val="2"/>
                <w:sz w:val="24"/>
                <w:szCs w:val="24"/>
                <w:lang w:val="en-US" w:eastAsia="zh-CN" w:bidi="ar-SA"/>
              </w:rPr>
              <w:t>662-2013</w:t>
            </w:r>
            <w:r>
              <w:rPr>
                <w:rFonts w:hint="eastAsia" w:cs="Times New Roman"/>
                <w:b w:val="0"/>
                <w:bCs w:val="0"/>
                <w:color w:val="0000FF"/>
                <w:kern w:val="2"/>
                <w:sz w:val="24"/>
                <w:szCs w:val="24"/>
                <w:lang w:val="en-US" w:eastAsia="zh-CN" w:bidi="ar-SA"/>
              </w:rPr>
              <w:t xml:space="preserve">）中相关要求。 </w:t>
            </w:r>
          </w:p>
          <w:p w14:paraId="156DBA94">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e.具有腐蚀性的固体废物，应经过预处理降低废物腐蚀性或对设施进行防腐蚀性改造，确保不对设施改造腐蚀后方可进行协同处置。</w:t>
            </w:r>
          </w:p>
          <w:p w14:paraId="7FC8DA2D">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default" w:cs="Times New Roman"/>
                <w:b w:val="0"/>
                <w:bCs w:val="0"/>
                <w:color w:val="0000FF"/>
                <w:kern w:val="2"/>
                <w:sz w:val="24"/>
                <w:szCs w:val="24"/>
                <w:lang w:val="en-US" w:eastAsia="zh-CN" w:bidi="ar-SA"/>
              </w:rPr>
              <w:t>（2）</w:t>
            </w:r>
            <w:r>
              <w:rPr>
                <w:rFonts w:hint="eastAsia" w:cs="Times New Roman"/>
                <w:b w:val="0"/>
                <w:bCs w:val="0"/>
                <w:color w:val="0000FF"/>
                <w:kern w:val="2"/>
                <w:sz w:val="24"/>
                <w:szCs w:val="24"/>
                <w:lang w:val="en-US" w:eastAsia="zh-CN" w:bidi="ar-SA"/>
              </w:rPr>
              <w:t>替代燃料</w:t>
            </w:r>
            <w:r>
              <w:rPr>
                <w:rFonts w:hint="default" w:cs="Times New Roman"/>
                <w:b w:val="0"/>
                <w:bCs w:val="0"/>
                <w:color w:val="0000FF"/>
                <w:kern w:val="2"/>
                <w:sz w:val="24"/>
                <w:szCs w:val="24"/>
                <w:lang w:val="en-US" w:eastAsia="zh-CN" w:bidi="ar-SA"/>
              </w:rPr>
              <w:t>的厂外准备工作要求</w:t>
            </w:r>
          </w:p>
          <w:p w14:paraId="4CA705B6">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①</w:t>
            </w:r>
            <w:r>
              <w:rPr>
                <w:rFonts w:hint="default" w:cs="Times New Roman"/>
                <w:b w:val="0"/>
                <w:bCs w:val="0"/>
                <w:color w:val="0000FF"/>
                <w:kern w:val="2"/>
                <w:sz w:val="24"/>
                <w:szCs w:val="24"/>
                <w:lang w:val="en-US" w:eastAsia="zh-CN" w:bidi="ar-SA"/>
              </w:rPr>
              <w:t>在</w:t>
            </w:r>
            <w:r>
              <w:rPr>
                <w:rFonts w:hint="eastAsia" w:cs="Times New Roman"/>
                <w:b w:val="0"/>
                <w:bCs w:val="0"/>
                <w:color w:val="0000FF"/>
                <w:kern w:val="2"/>
                <w:sz w:val="24"/>
                <w:szCs w:val="24"/>
                <w:lang w:val="en-US" w:eastAsia="zh-CN" w:bidi="ar-SA"/>
              </w:rPr>
              <w:t>建设单位</w:t>
            </w:r>
            <w:r>
              <w:rPr>
                <w:rFonts w:hint="default" w:cs="Times New Roman"/>
                <w:b w:val="0"/>
                <w:bCs w:val="0"/>
                <w:color w:val="0000FF"/>
                <w:kern w:val="2"/>
                <w:sz w:val="24"/>
                <w:szCs w:val="24"/>
                <w:lang w:val="en-US" w:eastAsia="zh-CN" w:bidi="ar-SA"/>
              </w:rPr>
              <w:t>与</w:t>
            </w:r>
            <w:r>
              <w:rPr>
                <w:rFonts w:hint="eastAsia" w:cs="Times New Roman"/>
                <w:b w:val="0"/>
                <w:bCs w:val="0"/>
                <w:color w:val="0000FF"/>
                <w:kern w:val="2"/>
                <w:sz w:val="24"/>
                <w:szCs w:val="24"/>
                <w:lang w:val="en-US" w:eastAsia="zh-CN" w:bidi="ar-SA"/>
              </w:rPr>
              <w:t>替代燃料供应单位</w:t>
            </w:r>
            <w:r>
              <w:rPr>
                <w:rFonts w:hint="default" w:cs="Times New Roman"/>
                <w:b w:val="0"/>
                <w:bCs w:val="0"/>
                <w:color w:val="0000FF"/>
                <w:kern w:val="2"/>
                <w:sz w:val="24"/>
                <w:szCs w:val="24"/>
                <w:lang w:val="en-US" w:eastAsia="zh-CN" w:bidi="ar-SA"/>
              </w:rPr>
              <w:t>签订合同及废物运输到</w:t>
            </w:r>
            <w:r>
              <w:rPr>
                <w:rFonts w:hint="eastAsia" w:cs="Times New Roman"/>
                <w:b w:val="0"/>
                <w:bCs w:val="0"/>
                <w:color w:val="0000FF"/>
                <w:kern w:val="2"/>
                <w:sz w:val="24"/>
                <w:szCs w:val="24"/>
                <w:lang w:val="en-US" w:eastAsia="zh-CN" w:bidi="ar-SA"/>
              </w:rPr>
              <w:t>建设单位</w:t>
            </w:r>
            <w:r>
              <w:rPr>
                <w:rFonts w:hint="default" w:cs="Times New Roman"/>
                <w:b w:val="0"/>
                <w:bCs w:val="0"/>
                <w:color w:val="0000FF"/>
                <w:kern w:val="2"/>
                <w:sz w:val="24"/>
                <w:szCs w:val="24"/>
                <w:lang w:val="en-US" w:eastAsia="zh-CN" w:bidi="ar-SA"/>
              </w:rPr>
              <w:t>之前，应对拟处置的</w:t>
            </w:r>
            <w:r>
              <w:rPr>
                <w:rFonts w:hint="eastAsia" w:cs="Times New Roman"/>
                <w:b w:val="0"/>
                <w:bCs w:val="0"/>
                <w:color w:val="0000FF"/>
                <w:kern w:val="2"/>
                <w:sz w:val="24"/>
                <w:szCs w:val="24"/>
                <w:lang w:val="en-US" w:eastAsia="zh-CN" w:bidi="ar-SA"/>
              </w:rPr>
              <w:t>替代燃料</w:t>
            </w:r>
            <w:r>
              <w:rPr>
                <w:rFonts w:hint="default" w:cs="Times New Roman"/>
                <w:b w:val="0"/>
                <w:bCs w:val="0"/>
                <w:color w:val="0000FF"/>
                <w:kern w:val="2"/>
                <w:sz w:val="24"/>
                <w:szCs w:val="24"/>
                <w:lang w:val="en-US" w:eastAsia="zh-CN" w:bidi="ar-SA"/>
              </w:rPr>
              <w:t>进行取样及特性分析，以保证</w:t>
            </w:r>
            <w:r>
              <w:rPr>
                <w:rFonts w:hint="eastAsia" w:cs="Times New Roman"/>
                <w:b w:val="0"/>
                <w:bCs w:val="0"/>
                <w:color w:val="0000FF"/>
                <w:kern w:val="2"/>
                <w:sz w:val="24"/>
                <w:szCs w:val="24"/>
                <w:lang w:val="en-US" w:eastAsia="zh-CN" w:bidi="ar-SA"/>
              </w:rPr>
              <w:t>替代燃料</w:t>
            </w:r>
            <w:r>
              <w:rPr>
                <w:rFonts w:hint="default" w:cs="Times New Roman"/>
                <w:b w:val="0"/>
                <w:bCs w:val="0"/>
                <w:color w:val="0000FF"/>
                <w:kern w:val="2"/>
                <w:sz w:val="24"/>
                <w:szCs w:val="24"/>
                <w:lang w:val="en-US" w:eastAsia="zh-CN" w:bidi="ar-SA"/>
              </w:rPr>
              <w:t>处置过程不影响水泥生产过程和操作运行安全，确保烟气排放达标。</w:t>
            </w:r>
          </w:p>
          <w:p w14:paraId="2D103D6F">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②</w:t>
            </w:r>
            <w:r>
              <w:rPr>
                <w:rFonts w:hint="default" w:cs="Times New Roman"/>
                <w:b w:val="0"/>
                <w:bCs w:val="0"/>
                <w:color w:val="0000FF"/>
                <w:kern w:val="2"/>
                <w:sz w:val="24"/>
                <w:szCs w:val="24"/>
                <w:lang w:val="en-US" w:eastAsia="zh-CN" w:bidi="ar-SA"/>
              </w:rPr>
              <w:t>在对拟处置的</w:t>
            </w:r>
            <w:r>
              <w:rPr>
                <w:rFonts w:hint="eastAsia" w:cs="Times New Roman"/>
                <w:b w:val="0"/>
                <w:bCs w:val="0"/>
                <w:color w:val="0000FF"/>
                <w:kern w:val="2"/>
                <w:sz w:val="24"/>
                <w:szCs w:val="24"/>
                <w:lang w:val="en-US" w:eastAsia="zh-CN" w:bidi="ar-SA"/>
              </w:rPr>
              <w:t>替代燃料</w:t>
            </w:r>
            <w:r>
              <w:rPr>
                <w:rFonts w:hint="default" w:cs="Times New Roman"/>
                <w:b w:val="0"/>
                <w:bCs w:val="0"/>
                <w:color w:val="0000FF"/>
                <w:kern w:val="2"/>
                <w:sz w:val="24"/>
                <w:szCs w:val="24"/>
                <w:lang w:val="en-US" w:eastAsia="zh-CN" w:bidi="ar-SA"/>
              </w:rPr>
              <w:t>进行取样和特性分析前，应该对</w:t>
            </w:r>
            <w:r>
              <w:rPr>
                <w:rFonts w:hint="eastAsia" w:cs="Times New Roman"/>
                <w:b w:val="0"/>
                <w:bCs w:val="0"/>
                <w:color w:val="0000FF"/>
                <w:kern w:val="2"/>
                <w:sz w:val="24"/>
                <w:szCs w:val="24"/>
                <w:lang w:val="en-US" w:eastAsia="zh-CN" w:bidi="ar-SA"/>
              </w:rPr>
              <w:t>替代燃料</w:t>
            </w:r>
            <w:r>
              <w:rPr>
                <w:rFonts w:hint="default" w:cs="Times New Roman"/>
                <w:b w:val="0"/>
                <w:bCs w:val="0"/>
                <w:color w:val="0000FF"/>
                <w:kern w:val="2"/>
                <w:sz w:val="24"/>
                <w:szCs w:val="24"/>
                <w:lang w:val="en-US" w:eastAsia="zh-CN" w:bidi="ar-SA"/>
              </w:rPr>
              <w:t>产生过程进行调查分析，在此基础上制定取样分析方案；样品采集完成后，针对</w:t>
            </w:r>
            <w:r>
              <w:rPr>
                <w:rFonts w:hint="eastAsia" w:cs="Times New Roman"/>
                <w:b w:val="0"/>
                <w:bCs w:val="0"/>
                <w:color w:val="0000FF"/>
                <w:kern w:val="2"/>
                <w:sz w:val="24"/>
                <w:szCs w:val="24"/>
                <w:lang w:val="en-US" w:eastAsia="zh-CN" w:bidi="ar-SA"/>
              </w:rPr>
              <w:t>替代燃料</w:t>
            </w:r>
            <w:r>
              <w:rPr>
                <w:rFonts w:hint="default" w:cs="Times New Roman"/>
                <w:b w:val="0"/>
                <w:bCs w:val="0"/>
                <w:color w:val="0000FF"/>
                <w:kern w:val="2"/>
                <w:sz w:val="24"/>
                <w:szCs w:val="24"/>
                <w:lang w:val="en-US" w:eastAsia="zh-CN" w:bidi="ar-SA"/>
              </w:rPr>
              <w:t>特性要求及确保运输、贮存和处置全过程安全、水泥生产安全、烟气排放和水泥产品质量满足标准所要求的项目，开展分析测试。</w:t>
            </w:r>
            <w:r>
              <w:rPr>
                <w:rFonts w:hint="eastAsia" w:cs="Times New Roman"/>
                <w:b w:val="0"/>
                <w:bCs w:val="0"/>
                <w:color w:val="0000FF"/>
                <w:kern w:val="2"/>
                <w:sz w:val="24"/>
                <w:szCs w:val="24"/>
                <w:lang w:val="en-US" w:eastAsia="zh-CN" w:bidi="ar-SA"/>
              </w:rPr>
              <w:t>替代燃料</w:t>
            </w:r>
            <w:r>
              <w:rPr>
                <w:rFonts w:hint="default" w:cs="Times New Roman"/>
                <w:b w:val="0"/>
                <w:bCs w:val="0"/>
                <w:color w:val="0000FF"/>
                <w:kern w:val="2"/>
                <w:sz w:val="24"/>
                <w:szCs w:val="24"/>
                <w:lang w:val="en-US" w:eastAsia="zh-CN" w:bidi="ar-SA"/>
              </w:rPr>
              <w:t>特性经双方确认后在合同中注明。取样频率和取样方法应参照</w:t>
            </w:r>
            <w:r>
              <w:rPr>
                <w:rFonts w:hint="eastAsia" w:cs="Times New Roman"/>
                <w:b w:val="0"/>
                <w:bCs w:val="0"/>
                <w:color w:val="0000FF"/>
                <w:kern w:val="2"/>
                <w:sz w:val="24"/>
                <w:szCs w:val="24"/>
                <w:lang w:val="en-US" w:eastAsia="zh-CN" w:bidi="ar-SA"/>
              </w:rPr>
              <w:t>《</w:t>
            </w:r>
            <w:r>
              <w:rPr>
                <w:rFonts w:hint="default" w:cs="Times New Roman"/>
                <w:b w:val="0"/>
                <w:bCs w:val="0"/>
                <w:color w:val="0000FF"/>
                <w:kern w:val="2"/>
                <w:sz w:val="24"/>
                <w:szCs w:val="24"/>
                <w:lang w:val="en-US" w:eastAsia="zh-CN" w:bidi="ar-SA"/>
              </w:rPr>
              <w:t>工业固体废物采样制样技术规范</w:t>
            </w:r>
            <w:r>
              <w:rPr>
                <w:rFonts w:hint="eastAsia" w:cs="Times New Roman"/>
                <w:b w:val="0"/>
                <w:bCs w:val="0"/>
                <w:color w:val="0000FF"/>
                <w:kern w:val="2"/>
                <w:sz w:val="24"/>
                <w:szCs w:val="24"/>
                <w:lang w:val="en-US" w:eastAsia="zh-CN" w:bidi="ar-SA"/>
              </w:rPr>
              <w:t>》（HJ/T 20-1998）</w:t>
            </w:r>
            <w:r>
              <w:rPr>
                <w:rFonts w:hint="default" w:cs="Times New Roman"/>
                <w:b w:val="0"/>
                <w:bCs w:val="0"/>
                <w:color w:val="0000FF"/>
                <w:kern w:val="2"/>
                <w:sz w:val="24"/>
                <w:szCs w:val="24"/>
                <w:lang w:val="en-US" w:eastAsia="zh-CN" w:bidi="ar-SA"/>
              </w:rPr>
              <w:t>和</w:t>
            </w:r>
            <w:r>
              <w:rPr>
                <w:rFonts w:hint="eastAsia" w:cs="Times New Roman"/>
                <w:b w:val="0"/>
                <w:bCs w:val="0"/>
                <w:color w:val="0000FF"/>
                <w:kern w:val="2"/>
                <w:sz w:val="24"/>
                <w:szCs w:val="24"/>
                <w:lang w:val="en-US" w:eastAsia="zh-CN" w:bidi="ar-SA"/>
              </w:rPr>
              <w:t>《</w:t>
            </w:r>
            <w:r>
              <w:rPr>
                <w:rFonts w:hint="default" w:cs="Times New Roman"/>
                <w:b w:val="0"/>
                <w:bCs w:val="0"/>
                <w:color w:val="0000FF"/>
                <w:kern w:val="2"/>
                <w:sz w:val="24"/>
                <w:szCs w:val="24"/>
                <w:lang w:val="en-US" w:eastAsia="zh-CN" w:bidi="ar-SA"/>
              </w:rPr>
              <w:t>危险废物鉴别技术规范</w:t>
            </w:r>
            <w:r>
              <w:rPr>
                <w:rFonts w:hint="eastAsia" w:cs="Times New Roman"/>
                <w:b w:val="0"/>
                <w:bCs w:val="0"/>
                <w:color w:val="0000FF"/>
                <w:kern w:val="2"/>
                <w:sz w:val="24"/>
                <w:szCs w:val="24"/>
                <w:lang w:val="en-US" w:eastAsia="zh-CN" w:bidi="ar-SA"/>
              </w:rPr>
              <w:t>》（HJ 298-</w:t>
            </w:r>
            <w:r>
              <w:rPr>
                <w:rFonts w:hint="default" w:cs="Times New Roman"/>
                <w:b w:val="0"/>
                <w:bCs w:val="0"/>
                <w:color w:val="0000FF"/>
                <w:kern w:val="2"/>
                <w:sz w:val="24"/>
                <w:szCs w:val="24"/>
                <w:lang w:val="en-US" w:eastAsia="zh-CN" w:bidi="ar-SA"/>
              </w:rPr>
              <w:t>2019</w:t>
            </w:r>
            <w:r>
              <w:rPr>
                <w:rFonts w:hint="eastAsia" w:cs="Times New Roman"/>
                <w:b w:val="0"/>
                <w:bCs w:val="0"/>
                <w:color w:val="0000FF"/>
                <w:kern w:val="2"/>
                <w:sz w:val="24"/>
                <w:szCs w:val="24"/>
                <w:lang w:val="en-US" w:eastAsia="zh-CN" w:bidi="ar-SA"/>
              </w:rPr>
              <w:t>）</w:t>
            </w:r>
            <w:r>
              <w:rPr>
                <w:rFonts w:hint="default" w:cs="Times New Roman"/>
                <w:b w:val="0"/>
                <w:bCs w:val="0"/>
                <w:color w:val="0000FF"/>
                <w:kern w:val="2"/>
                <w:sz w:val="24"/>
                <w:szCs w:val="24"/>
                <w:lang w:val="en-US" w:eastAsia="zh-CN" w:bidi="ar-SA"/>
              </w:rPr>
              <w:t>要求执行。</w:t>
            </w:r>
          </w:p>
          <w:p w14:paraId="60D0F649">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③</w:t>
            </w:r>
            <w:r>
              <w:rPr>
                <w:rFonts w:hint="default" w:cs="Times New Roman"/>
                <w:b w:val="0"/>
                <w:bCs w:val="0"/>
                <w:color w:val="0000FF"/>
                <w:kern w:val="2"/>
                <w:sz w:val="24"/>
                <w:szCs w:val="24"/>
                <w:lang w:val="en-US" w:eastAsia="zh-CN" w:bidi="ar-SA"/>
              </w:rPr>
              <w:t>完成样品分析测试以后，判断</w:t>
            </w:r>
            <w:r>
              <w:rPr>
                <w:rFonts w:hint="eastAsia" w:cs="Times New Roman"/>
                <w:b w:val="0"/>
                <w:bCs w:val="0"/>
                <w:color w:val="0000FF"/>
                <w:kern w:val="2"/>
                <w:sz w:val="24"/>
                <w:szCs w:val="24"/>
                <w:lang w:val="en-US" w:eastAsia="zh-CN" w:bidi="ar-SA"/>
              </w:rPr>
              <w:t>替代燃料</w:t>
            </w:r>
            <w:r>
              <w:rPr>
                <w:rFonts w:hint="default" w:cs="Times New Roman"/>
                <w:b w:val="0"/>
                <w:bCs w:val="0"/>
                <w:color w:val="0000FF"/>
                <w:kern w:val="2"/>
                <w:sz w:val="24"/>
                <w:szCs w:val="24"/>
                <w:lang w:val="en-US" w:eastAsia="zh-CN" w:bidi="ar-SA"/>
              </w:rPr>
              <w:t>是否可以进厂</w:t>
            </w:r>
            <w:r>
              <w:rPr>
                <w:rFonts w:hint="eastAsia" w:cs="Times New Roman"/>
                <w:b w:val="0"/>
                <w:bCs w:val="0"/>
                <w:color w:val="0000FF"/>
                <w:kern w:val="2"/>
                <w:sz w:val="24"/>
                <w:szCs w:val="24"/>
                <w:lang w:val="en-US" w:eastAsia="zh-CN" w:bidi="ar-SA"/>
              </w:rPr>
              <w:t>进行</w:t>
            </w:r>
            <w:r>
              <w:rPr>
                <w:rFonts w:hint="default" w:cs="Times New Roman"/>
                <w:b w:val="0"/>
                <w:bCs w:val="0"/>
                <w:color w:val="0000FF"/>
                <w:kern w:val="2"/>
                <w:sz w:val="24"/>
                <w:szCs w:val="24"/>
                <w:lang w:val="en-US" w:eastAsia="zh-CN" w:bidi="ar-SA"/>
              </w:rPr>
              <w:t>处置。</w:t>
            </w:r>
          </w:p>
          <w:p w14:paraId="50987F2C">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④</w:t>
            </w:r>
            <w:r>
              <w:rPr>
                <w:rFonts w:hint="default" w:cs="Times New Roman"/>
                <w:b w:val="0"/>
                <w:bCs w:val="0"/>
                <w:color w:val="0000FF"/>
                <w:kern w:val="2"/>
                <w:sz w:val="24"/>
                <w:szCs w:val="24"/>
                <w:lang w:val="en-US" w:eastAsia="zh-CN" w:bidi="ar-SA"/>
              </w:rPr>
              <w:t>对于同一</w:t>
            </w:r>
            <w:r>
              <w:rPr>
                <w:rFonts w:hint="eastAsia" w:cs="Times New Roman"/>
                <w:b w:val="0"/>
                <w:bCs w:val="0"/>
                <w:color w:val="0000FF"/>
                <w:kern w:val="2"/>
                <w:sz w:val="24"/>
                <w:szCs w:val="24"/>
                <w:lang w:val="en-US" w:eastAsia="zh-CN" w:bidi="ar-SA"/>
              </w:rPr>
              <w:t>供应</w:t>
            </w:r>
            <w:r>
              <w:rPr>
                <w:rFonts w:hint="default" w:cs="Times New Roman"/>
                <w:b w:val="0"/>
                <w:bCs w:val="0"/>
                <w:color w:val="0000FF"/>
                <w:kern w:val="2"/>
                <w:sz w:val="24"/>
                <w:szCs w:val="24"/>
                <w:lang w:val="en-US" w:eastAsia="zh-CN" w:bidi="ar-SA"/>
              </w:rPr>
              <w:t>单位</w:t>
            </w:r>
            <w:r>
              <w:rPr>
                <w:rFonts w:hint="eastAsia" w:cs="Times New Roman"/>
                <w:b w:val="0"/>
                <w:bCs w:val="0"/>
                <w:color w:val="0000FF"/>
                <w:kern w:val="2"/>
                <w:sz w:val="24"/>
                <w:szCs w:val="24"/>
                <w:lang w:val="en-US" w:eastAsia="zh-CN" w:bidi="ar-SA"/>
              </w:rPr>
              <w:t>、</w:t>
            </w:r>
            <w:r>
              <w:rPr>
                <w:rFonts w:hint="default" w:cs="Times New Roman"/>
                <w:b w:val="0"/>
                <w:bCs w:val="0"/>
                <w:color w:val="0000FF"/>
                <w:kern w:val="2"/>
                <w:sz w:val="24"/>
                <w:szCs w:val="24"/>
                <w:lang w:val="en-US" w:eastAsia="zh-CN" w:bidi="ar-SA"/>
              </w:rPr>
              <w:t>同一生产工艺</w:t>
            </w:r>
            <w:r>
              <w:rPr>
                <w:rFonts w:hint="eastAsia" w:cs="Times New Roman"/>
                <w:b w:val="0"/>
                <w:bCs w:val="0"/>
                <w:color w:val="0000FF"/>
                <w:kern w:val="2"/>
                <w:sz w:val="24"/>
                <w:szCs w:val="24"/>
                <w:lang w:val="en-US" w:eastAsia="zh-CN" w:bidi="ar-SA"/>
              </w:rPr>
              <w:t>，</w:t>
            </w:r>
            <w:r>
              <w:rPr>
                <w:rFonts w:hint="default" w:cs="Times New Roman"/>
                <w:b w:val="0"/>
                <w:bCs w:val="0"/>
                <w:color w:val="0000FF"/>
                <w:kern w:val="2"/>
                <w:sz w:val="24"/>
                <w:szCs w:val="24"/>
                <w:lang w:val="en-US" w:eastAsia="zh-CN" w:bidi="ar-SA"/>
              </w:rPr>
              <w:t>产生的不同批次</w:t>
            </w:r>
            <w:r>
              <w:rPr>
                <w:rFonts w:hint="eastAsia" w:cs="Times New Roman"/>
                <w:b w:val="0"/>
                <w:bCs w:val="0"/>
                <w:color w:val="0000FF"/>
                <w:kern w:val="2"/>
                <w:sz w:val="24"/>
                <w:szCs w:val="24"/>
                <w:lang w:val="en-US" w:eastAsia="zh-CN" w:bidi="ar-SA"/>
              </w:rPr>
              <w:t>替代燃料</w:t>
            </w:r>
            <w:r>
              <w:rPr>
                <w:rFonts w:hint="default" w:cs="Times New Roman"/>
                <w:b w:val="0"/>
                <w:bCs w:val="0"/>
                <w:color w:val="0000FF"/>
                <w:kern w:val="2"/>
                <w:sz w:val="24"/>
                <w:szCs w:val="24"/>
                <w:lang w:val="en-US" w:eastAsia="zh-CN" w:bidi="ar-SA"/>
              </w:rPr>
              <w:t>，在生产工艺操作参数未改变的前提下，可以仅对首批次</w:t>
            </w:r>
            <w:r>
              <w:rPr>
                <w:rFonts w:hint="eastAsia" w:cs="Times New Roman"/>
                <w:b w:val="0"/>
                <w:bCs w:val="0"/>
                <w:color w:val="0000FF"/>
                <w:kern w:val="2"/>
                <w:sz w:val="24"/>
                <w:szCs w:val="24"/>
                <w:lang w:val="en-US" w:eastAsia="zh-CN" w:bidi="ar-SA"/>
              </w:rPr>
              <w:t>替代燃料</w:t>
            </w:r>
            <w:r>
              <w:rPr>
                <w:rFonts w:hint="default" w:cs="Times New Roman"/>
                <w:b w:val="0"/>
                <w:bCs w:val="0"/>
                <w:color w:val="0000FF"/>
                <w:kern w:val="2"/>
                <w:sz w:val="24"/>
                <w:szCs w:val="24"/>
                <w:lang w:val="en-US" w:eastAsia="zh-CN" w:bidi="ar-SA"/>
              </w:rPr>
              <w:t>进行采样分析，其后产生的</w:t>
            </w:r>
            <w:r>
              <w:rPr>
                <w:rFonts w:hint="eastAsia" w:cs="Times New Roman"/>
                <w:b w:val="0"/>
                <w:bCs w:val="0"/>
                <w:color w:val="0000FF"/>
                <w:kern w:val="2"/>
                <w:sz w:val="24"/>
                <w:szCs w:val="24"/>
                <w:lang w:val="en-US" w:eastAsia="zh-CN" w:bidi="ar-SA"/>
              </w:rPr>
              <w:t>替代燃料</w:t>
            </w:r>
            <w:r>
              <w:rPr>
                <w:rFonts w:hint="default" w:cs="Times New Roman"/>
                <w:b w:val="0"/>
                <w:bCs w:val="0"/>
                <w:color w:val="0000FF"/>
                <w:kern w:val="2"/>
                <w:sz w:val="24"/>
                <w:szCs w:val="24"/>
                <w:lang w:val="en-US" w:eastAsia="zh-CN" w:bidi="ar-SA"/>
              </w:rPr>
              <w:t>采样分析在制定处置方案时进行。</w:t>
            </w:r>
          </w:p>
          <w:p w14:paraId="4728F1F3">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⑤</w:t>
            </w:r>
            <w:r>
              <w:rPr>
                <w:rFonts w:hint="default" w:cs="Times New Roman"/>
                <w:b w:val="0"/>
                <w:bCs w:val="0"/>
                <w:color w:val="0000FF"/>
                <w:kern w:val="2"/>
                <w:sz w:val="24"/>
                <w:szCs w:val="24"/>
                <w:lang w:val="en-US" w:eastAsia="zh-CN" w:bidi="ar-SA"/>
              </w:rPr>
              <w:t>对入厂前</w:t>
            </w:r>
            <w:r>
              <w:rPr>
                <w:rFonts w:hint="eastAsia" w:cs="Times New Roman"/>
                <w:b w:val="0"/>
                <w:bCs w:val="0"/>
                <w:color w:val="0000FF"/>
                <w:kern w:val="2"/>
                <w:sz w:val="24"/>
                <w:szCs w:val="24"/>
                <w:lang w:val="en-US" w:eastAsia="zh-CN" w:bidi="ar-SA"/>
              </w:rPr>
              <w:t>替代燃料</w:t>
            </w:r>
            <w:r>
              <w:rPr>
                <w:rFonts w:hint="default" w:cs="Times New Roman"/>
                <w:b w:val="0"/>
                <w:bCs w:val="0"/>
                <w:color w:val="0000FF"/>
                <w:kern w:val="2"/>
                <w:sz w:val="24"/>
                <w:szCs w:val="24"/>
                <w:lang w:val="en-US" w:eastAsia="zh-CN" w:bidi="ar-SA"/>
              </w:rPr>
              <w:t>采集分析的样品，经双方确认后封装保存，用于事故和纠纷的调查。备份样品应该保存到停止处置该种</w:t>
            </w:r>
            <w:r>
              <w:rPr>
                <w:rFonts w:hint="eastAsia" w:cs="Times New Roman"/>
                <w:b w:val="0"/>
                <w:bCs w:val="0"/>
                <w:color w:val="0000FF"/>
                <w:kern w:val="2"/>
                <w:sz w:val="24"/>
                <w:szCs w:val="24"/>
                <w:lang w:val="en-US" w:eastAsia="zh-CN" w:bidi="ar-SA"/>
              </w:rPr>
              <w:t>替代燃料</w:t>
            </w:r>
            <w:r>
              <w:rPr>
                <w:rFonts w:hint="default" w:cs="Times New Roman"/>
                <w:b w:val="0"/>
                <w:bCs w:val="0"/>
                <w:color w:val="0000FF"/>
                <w:kern w:val="2"/>
                <w:sz w:val="24"/>
                <w:szCs w:val="24"/>
                <w:lang w:val="en-US" w:eastAsia="zh-CN" w:bidi="ar-SA"/>
              </w:rPr>
              <w:t>之后。如果在保存期间备份样品的特性发生变化，应更换备份样品，保证备份样品特性与所处置</w:t>
            </w:r>
            <w:r>
              <w:rPr>
                <w:rFonts w:hint="eastAsia" w:cs="Times New Roman"/>
                <w:b w:val="0"/>
                <w:bCs w:val="0"/>
                <w:color w:val="0000FF"/>
                <w:kern w:val="2"/>
                <w:sz w:val="24"/>
                <w:szCs w:val="24"/>
                <w:lang w:val="en-US" w:eastAsia="zh-CN" w:bidi="ar-SA"/>
              </w:rPr>
              <w:t>替代燃料</w:t>
            </w:r>
            <w:r>
              <w:rPr>
                <w:rFonts w:hint="default" w:cs="Times New Roman"/>
                <w:b w:val="0"/>
                <w:bCs w:val="0"/>
                <w:color w:val="0000FF"/>
                <w:kern w:val="2"/>
                <w:sz w:val="24"/>
                <w:szCs w:val="24"/>
                <w:lang w:val="en-US" w:eastAsia="zh-CN" w:bidi="ar-SA"/>
              </w:rPr>
              <w:t>特性一致。</w:t>
            </w:r>
          </w:p>
          <w:p w14:paraId="1E3C6370">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default" w:cs="Times New Roman"/>
                <w:b w:val="0"/>
                <w:bCs w:val="0"/>
                <w:color w:val="0000FF"/>
                <w:kern w:val="2"/>
                <w:sz w:val="24"/>
                <w:szCs w:val="24"/>
                <w:lang w:val="en-US" w:eastAsia="zh-CN" w:bidi="ar-SA"/>
              </w:rPr>
              <w:t>（3）</w:t>
            </w:r>
            <w:r>
              <w:rPr>
                <w:rFonts w:hint="eastAsia" w:cs="Times New Roman"/>
                <w:b w:val="0"/>
                <w:bCs w:val="0"/>
                <w:color w:val="0000FF"/>
                <w:kern w:val="2"/>
                <w:sz w:val="24"/>
                <w:szCs w:val="24"/>
                <w:lang w:val="en-US" w:eastAsia="zh-CN" w:bidi="ar-SA"/>
              </w:rPr>
              <w:t>替代燃料</w:t>
            </w:r>
            <w:r>
              <w:rPr>
                <w:rFonts w:hint="default" w:cs="Times New Roman"/>
                <w:b w:val="0"/>
                <w:bCs w:val="0"/>
                <w:color w:val="0000FF"/>
                <w:kern w:val="2"/>
                <w:sz w:val="24"/>
                <w:szCs w:val="24"/>
                <w:lang w:val="en-US" w:eastAsia="zh-CN" w:bidi="ar-SA"/>
              </w:rPr>
              <w:t>的接收</w:t>
            </w:r>
          </w:p>
          <w:p w14:paraId="15F7C997">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default" w:cs="Times New Roman"/>
                <w:b w:val="0"/>
                <w:bCs w:val="0"/>
                <w:color w:val="0000FF"/>
                <w:kern w:val="2"/>
                <w:sz w:val="24"/>
                <w:szCs w:val="24"/>
                <w:lang w:val="en-US" w:eastAsia="zh-CN" w:bidi="ar-SA"/>
              </w:rPr>
              <w:t>①收集与运输：</w:t>
            </w:r>
            <w:r>
              <w:rPr>
                <w:rFonts w:hint="eastAsia" w:cs="Times New Roman"/>
                <w:b w:val="0"/>
                <w:bCs w:val="0"/>
                <w:color w:val="0000FF"/>
                <w:kern w:val="2"/>
                <w:sz w:val="24"/>
                <w:szCs w:val="24"/>
                <w:lang w:val="en-US" w:eastAsia="zh-CN" w:bidi="ar-SA"/>
              </w:rPr>
              <w:t>本项目收集、运输过程中固废为替代燃料产生的</w:t>
            </w:r>
            <w:r>
              <w:rPr>
                <w:rFonts w:hint="default" w:cs="Times New Roman"/>
                <w:b w:val="0"/>
                <w:bCs w:val="0"/>
                <w:color w:val="0000FF"/>
                <w:kern w:val="2"/>
                <w:sz w:val="24"/>
                <w:szCs w:val="24"/>
                <w:lang w:val="en-US" w:eastAsia="zh-CN" w:bidi="ar-SA"/>
              </w:rPr>
              <w:t>废容器或包装物</w:t>
            </w:r>
            <w:r>
              <w:rPr>
                <w:rFonts w:hint="eastAsia" w:cs="Times New Roman"/>
                <w:b w:val="0"/>
                <w:bCs w:val="0"/>
                <w:color w:val="0000FF"/>
                <w:kern w:val="2"/>
                <w:sz w:val="24"/>
                <w:szCs w:val="24"/>
                <w:lang w:val="en-US" w:eastAsia="zh-CN" w:bidi="ar-SA"/>
              </w:rPr>
              <w:t>，</w:t>
            </w:r>
            <w:r>
              <w:rPr>
                <w:rFonts w:hint="default" w:cs="Times New Roman"/>
                <w:b w:val="0"/>
                <w:bCs w:val="0"/>
                <w:color w:val="0000FF"/>
                <w:kern w:val="2"/>
                <w:sz w:val="24"/>
                <w:szCs w:val="24"/>
                <w:lang w:val="en-US" w:eastAsia="zh-CN" w:bidi="ar-SA"/>
              </w:rPr>
              <w:t>主要为捆绑废纺的布条，或包装用的袋子，根据《水泥窑协同处置危险废物环境保护技术规范》（HJ 662-2013）说明，可清洗后重复使用；对于污染严重不便清洗的包装物进入水泥窑进行处置，不外排。</w:t>
            </w:r>
          </w:p>
          <w:p w14:paraId="6D31B9D0">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default" w:cs="Times New Roman"/>
                <w:b w:val="0"/>
                <w:bCs w:val="0"/>
                <w:color w:val="0000FF"/>
                <w:kern w:val="2"/>
                <w:sz w:val="24"/>
                <w:szCs w:val="24"/>
                <w:lang w:val="en-US" w:eastAsia="zh-CN" w:bidi="ar-SA"/>
              </w:rPr>
              <w:t>②入厂时</w:t>
            </w:r>
            <w:r>
              <w:rPr>
                <w:rFonts w:hint="eastAsia" w:cs="Times New Roman"/>
                <w:b w:val="0"/>
                <w:bCs w:val="0"/>
                <w:color w:val="0000FF"/>
                <w:kern w:val="2"/>
                <w:sz w:val="24"/>
                <w:szCs w:val="24"/>
                <w:lang w:val="en-US" w:eastAsia="zh-CN" w:bidi="ar-SA"/>
              </w:rPr>
              <w:t>替代燃料</w:t>
            </w:r>
            <w:r>
              <w:rPr>
                <w:rFonts w:hint="default" w:cs="Times New Roman"/>
                <w:b w:val="0"/>
                <w:bCs w:val="0"/>
                <w:color w:val="0000FF"/>
                <w:kern w:val="2"/>
                <w:sz w:val="24"/>
                <w:szCs w:val="24"/>
                <w:lang w:val="en-US" w:eastAsia="zh-CN" w:bidi="ar-SA"/>
              </w:rPr>
              <w:t>的检查</w:t>
            </w:r>
            <w:r>
              <w:rPr>
                <w:rFonts w:hint="eastAsia" w:cs="Times New Roman"/>
                <w:b w:val="0"/>
                <w:bCs w:val="0"/>
                <w:color w:val="0000FF"/>
                <w:kern w:val="2"/>
                <w:sz w:val="24"/>
                <w:szCs w:val="24"/>
                <w:lang w:val="en-US" w:eastAsia="zh-CN" w:bidi="ar-SA"/>
              </w:rPr>
              <w:t>：</w:t>
            </w:r>
            <w:r>
              <w:rPr>
                <w:rFonts w:hint="default" w:cs="Times New Roman"/>
                <w:b w:val="0"/>
                <w:bCs w:val="0"/>
                <w:color w:val="0000FF"/>
                <w:kern w:val="2"/>
                <w:sz w:val="24"/>
                <w:szCs w:val="24"/>
                <w:lang w:val="en-US" w:eastAsia="zh-CN" w:bidi="ar-SA"/>
              </w:rPr>
              <w:t>对</w:t>
            </w:r>
            <w:r>
              <w:rPr>
                <w:rFonts w:hint="eastAsia" w:cs="Times New Roman"/>
                <w:b w:val="0"/>
                <w:bCs w:val="0"/>
                <w:color w:val="0000FF"/>
                <w:kern w:val="2"/>
                <w:sz w:val="24"/>
                <w:szCs w:val="24"/>
                <w:lang w:val="en-US" w:eastAsia="zh-CN" w:bidi="ar-SA"/>
              </w:rPr>
              <w:t>替代燃料</w:t>
            </w:r>
            <w:r>
              <w:rPr>
                <w:rFonts w:hint="default" w:cs="Times New Roman"/>
                <w:b w:val="0"/>
                <w:bCs w:val="0"/>
                <w:color w:val="0000FF"/>
                <w:kern w:val="2"/>
                <w:sz w:val="24"/>
                <w:szCs w:val="24"/>
                <w:lang w:val="en-US" w:eastAsia="zh-CN" w:bidi="ar-SA"/>
              </w:rPr>
              <w:t>进行初步判断，检查</w:t>
            </w:r>
            <w:r>
              <w:rPr>
                <w:rFonts w:hint="eastAsia" w:cs="Times New Roman"/>
                <w:b w:val="0"/>
                <w:bCs w:val="0"/>
                <w:color w:val="0000FF"/>
                <w:kern w:val="2"/>
                <w:sz w:val="24"/>
                <w:szCs w:val="24"/>
                <w:lang w:val="en-US" w:eastAsia="zh-CN" w:bidi="ar-SA"/>
              </w:rPr>
              <w:t>其</w:t>
            </w:r>
            <w:r>
              <w:rPr>
                <w:rFonts w:hint="default" w:cs="Times New Roman"/>
                <w:b w:val="0"/>
                <w:bCs w:val="0"/>
                <w:color w:val="0000FF"/>
                <w:kern w:val="2"/>
                <w:sz w:val="24"/>
                <w:szCs w:val="24"/>
                <w:lang w:val="en-US" w:eastAsia="zh-CN" w:bidi="ar-SA"/>
              </w:rPr>
              <w:t>表观和气味，包装是否符合要求，有无破损和遗漏现象；标签所标注内容、固废类别和重量等是否与签订合同一致。完成上述检查并确认符合相关要求后，方可进入厂区。不符合要求的情况包括：拟入厂固废与所签订合同的标注固废类别不一致，或者废物包装发生破损或泄漏，此时应立即与</w:t>
            </w:r>
            <w:r>
              <w:rPr>
                <w:rFonts w:hint="eastAsia" w:cs="Times New Roman"/>
                <w:b w:val="0"/>
                <w:bCs w:val="0"/>
                <w:color w:val="0000FF"/>
                <w:kern w:val="2"/>
                <w:sz w:val="24"/>
                <w:szCs w:val="24"/>
                <w:lang w:val="en-US" w:eastAsia="zh-CN" w:bidi="ar-SA"/>
              </w:rPr>
              <w:t>替代燃料供应</w:t>
            </w:r>
            <w:r>
              <w:rPr>
                <w:rFonts w:hint="default" w:cs="Times New Roman"/>
                <w:b w:val="0"/>
                <w:bCs w:val="0"/>
                <w:color w:val="0000FF"/>
                <w:kern w:val="2"/>
                <w:sz w:val="24"/>
                <w:szCs w:val="24"/>
                <w:lang w:val="en-US" w:eastAsia="zh-CN" w:bidi="ar-SA"/>
              </w:rPr>
              <w:t>单位、运输单位和运输责任人联系，共同进行现场判断。拟入场固废与签订合同不一致时还应及时向当地生态环境保护主管部门报告。不</w:t>
            </w:r>
            <w:r>
              <w:rPr>
                <w:rFonts w:hint="eastAsia" w:cs="Times New Roman"/>
                <w:b w:val="0"/>
                <w:bCs w:val="0"/>
                <w:color w:val="0000FF"/>
                <w:kern w:val="2"/>
                <w:sz w:val="24"/>
                <w:szCs w:val="24"/>
                <w:lang w:val="en-US" w:eastAsia="zh-CN" w:bidi="ar-SA"/>
              </w:rPr>
              <w:t>符合</w:t>
            </w:r>
            <w:r>
              <w:rPr>
                <w:rFonts w:hint="default" w:cs="Times New Roman"/>
                <w:b w:val="0"/>
                <w:bCs w:val="0"/>
                <w:color w:val="0000FF"/>
                <w:kern w:val="2"/>
                <w:sz w:val="24"/>
                <w:szCs w:val="24"/>
                <w:lang w:val="en-US" w:eastAsia="zh-CN" w:bidi="ar-SA"/>
              </w:rPr>
              <w:t>要求的固体废物，应退回到</w:t>
            </w:r>
            <w:r>
              <w:rPr>
                <w:rFonts w:hint="eastAsia" w:cs="Times New Roman"/>
                <w:b w:val="0"/>
                <w:bCs w:val="0"/>
                <w:color w:val="0000FF"/>
                <w:kern w:val="2"/>
                <w:sz w:val="24"/>
                <w:szCs w:val="24"/>
                <w:lang w:val="en-US" w:eastAsia="zh-CN" w:bidi="ar-SA"/>
              </w:rPr>
              <w:t>供应</w:t>
            </w:r>
            <w:r>
              <w:rPr>
                <w:rFonts w:hint="default" w:cs="Times New Roman"/>
                <w:b w:val="0"/>
                <w:bCs w:val="0"/>
                <w:color w:val="0000FF"/>
                <w:kern w:val="2"/>
                <w:sz w:val="24"/>
                <w:szCs w:val="24"/>
                <w:lang w:val="en-US" w:eastAsia="zh-CN" w:bidi="ar-SA"/>
              </w:rPr>
              <w:t>单位，或送至有关主管部门指定的专业处置单位。</w:t>
            </w:r>
          </w:p>
          <w:p w14:paraId="190807AA">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default" w:cs="Times New Roman"/>
                <w:b w:val="0"/>
                <w:bCs w:val="0"/>
                <w:color w:val="0000FF"/>
                <w:kern w:val="2"/>
                <w:sz w:val="24"/>
                <w:szCs w:val="24"/>
                <w:lang w:val="en-US" w:eastAsia="zh-CN" w:bidi="ar-SA"/>
              </w:rPr>
              <w:t>③入厂后</w:t>
            </w:r>
            <w:r>
              <w:rPr>
                <w:rFonts w:hint="eastAsia" w:cs="Times New Roman"/>
                <w:b w:val="0"/>
                <w:bCs w:val="0"/>
                <w:color w:val="0000FF"/>
                <w:kern w:val="2"/>
                <w:sz w:val="24"/>
                <w:szCs w:val="24"/>
                <w:lang w:val="en-US" w:eastAsia="zh-CN" w:bidi="ar-SA"/>
              </w:rPr>
              <w:t>替代燃料</w:t>
            </w:r>
            <w:r>
              <w:rPr>
                <w:rFonts w:hint="default" w:cs="Times New Roman"/>
                <w:b w:val="0"/>
                <w:bCs w:val="0"/>
                <w:color w:val="0000FF"/>
                <w:kern w:val="2"/>
                <w:sz w:val="24"/>
                <w:szCs w:val="24"/>
                <w:lang w:val="en-US" w:eastAsia="zh-CN" w:bidi="ar-SA"/>
              </w:rPr>
              <w:t>的检查</w:t>
            </w:r>
            <w:r>
              <w:rPr>
                <w:rFonts w:hint="eastAsia" w:cs="Times New Roman"/>
                <w:b w:val="0"/>
                <w:bCs w:val="0"/>
                <w:color w:val="0000FF"/>
                <w:kern w:val="2"/>
                <w:sz w:val="24"/>
                <w:szCs w:val="24"/>
                <w:lang w:val="en-US" w:eastAsia="zh-CN" w:bidi="ar-SA"/>
              </w:rPr>
              <w:t>：</w:t>
            </w:r>
            <w:r>
              <w:rPr>
                <w:rFonts w:hint="default" w:cs="Times New Roman"/>
                <w:b w:val="0"/>
                <w:bCs w:val="0"/>
                <w:color w:val="0000FF"/>
                <w:kern w:val="2"/>
                <w:sz w:val="24"/>
                <w:szCs w:val="24"/>
                <w:lang w:val="en-US" w:eastAsia="zh-CN" w:bidi="ar-SA"/>
              </w:rPr>
              <w:t>入厂后应及时取样分析，以判断</w:t>
            </w:r>
            <w:r>
              <w:rPr>
                <w:rFonts w:hint="eastAsia" w:cs="Times New Roman"/>
                <w:b w:val="0"/>
                <w:bCs w:val="0"/>
                <w:color w:val="0000FF"/>
                <w:kern w:val="2"/>
                <w:sz w:val="24"/>
                <w:szCs w:val="24"/>
                <w:lang w:val="en-US" w:eastAsia="zh-CN" w:bidi="ar-SA"/>
              </w:rPr>
              <w:t>其</w:t>
            </w:r>
            <w:r>
              <w:rPr>
                <w:rFonts w:hint="default" w:cs="Times New Roman"/>
                <w:b w:val="0"/>
                <w:bCs w:val="0"/>
                <w:color w:val="0000FF"/>
                <w:kern w:val="2"/>
                <w:sz w:val="24"/>
                <w:szCs w:val="24"/>
                <w:lang w:val="en-US" w:eastAsia="zh-CN" w:bidi="ar-SA"/>
              </w:rPr>
              <w:t>特性是否与合同注明的固废特性一致。对</w:t>
            </w:r>
            <w:r>
              <w:rPr>
                <w:rFonts w:hint="eastAsia" w:cs="Times New Roman"/>
                <w:b w:val="0"/>
                <w:bCs w:val="0"/>
                <w:color w:val="0000FF"/>
                <w:kern w:val="2"/>
                <w:sz w:val="24"/>
                <w:szCs w:val="24"/>
                <w:lang w:val="en-US" w:eastAsia="zh-CN" w:bidi="ar-SA"/>
              </w:rPr>
              <w:t>供应单位</w:t>
            </w:r>
            <w:r>
              <w:rPr>
                <w:rFonts w:hint="default" w:cs="Times New Roman"/>
                <w:b w:val="0"/>
                <w:bCs w:val="0"/>
                <w:color w:val="0000FF"/>
                <w:kern w:val="2"/>
                <w:sz w:val="24"/>
                <w:szCs w:val="24"/>
                <w:lang w:val="en-US" w:eastAsia="zh-CN" w:bidi="ar-SA"/>
              </w:rPr>
              <w:t>的相关信息进行定期的统计分析，评估其管理的能力和废物的稳定性。入厂检查和检验结果应该记录备案，入档保存。</w:t>
            </w:r>
          </w:p>
          <w:p w14:paraId="5F4F96C2">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default" w:ascii="Times New Roman" w:hAnsi="Times New Roman" w:eastAsia="宋体" w:cs="Times New Roman"/>
                <w:b w:val="0"/>
                <w:bCs w:val="0"/>
                <w:color w:val="0000FF"/>
                <w:kern w:val="2"/>
                <w:sz w:val="24"/>
                <w:szCs w:val="24"/>
                <w:lang w:val="en-US" w:eastAsia="zh-CN" w:bidi="ar-SA"/>
              </w:rPr>
              <w:t>4、</w:t>
            </w:r>
            <w:r>
              <w:rPr>
                <w:rFonts w:hint="eastAsia" w:cs="Times New Roman"/>
                <w:b w:val="0"/>
                <w:bCs w:val="0"/>
                <w:color w:val="0000FF"/>
                <w:kern w:val="2"/>
                <w:sz w:val="24"/>
                <w:szCs w:val="24"/>
                <w:lang w:val="en-US" w:eastAsia="zh-CN" w:bidi="ar-SA"/>
              </w:rPr>
              <w:t>入炉成分控制措施和要求</w:t>
            </w:r>
          </w:p>
          <w:p w14:paraId="6A279EA1">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default" w:cs="Times New Roman"/>
                <w:b w:val="0"/>
                <w:bCs w:val="0"/>
                <w:color w:val="0000FF"/>
                <w:kern w:val="2"/>
                <w:sz w:val="24"/>
                <w:szCs w:val="24"/>
                <w:lang w:val="en-US" w:eastAsia="zh-CN" w:bidi="ar-SA"/>
              </w:rPr>
              <w:t>在水泥生产过程中，为响应环保号召和提升资源利用效率，许多企业选择采用替代燃料，如生物质燃料、</w:t>
            </w:r>
            <w:r>
              <w:rPr>
                <w:rFonts w:hint="eastAsia" w:cs="Times New Roman"/>
                <w:b w:val="0"/>
                <w:bCs w:val="0"/>
                <w:color w:val="0000FF"/>
                <w:kern w:val="2"/>
                <w:sz w:val="24"/>
                <w:szCs w:val="24"/>
                <w:lang w:val="en-US" w:eastAsia="zh-CN" w:bidi="ar-SA"/>
              </w:rPr>
              <w:t>一般固体废物</w:t>
            </w:r>
            <w:r>
              <w:rPr>
                <w:rFonts w:hint="default" w:cs="Times New Roman"/>
                <w:b w:val="0"/>
                <w:bCs w:val="0"/>
                <w:color w:val="0000FF"/>
                <w:kern w:val="2"/>
                <w:sz w:val="24"/>
                <w:szCs w:val="24"/>
                <w:lang w:val="en-US" w:eastAsia="zh-CN" w:bidi="ar-SA"/>
              </w:rPr>
              <w:t>等。然而，不同的燃料具有不同的热值、燃烧特性和化学成分，其入炉前的成分控制对于保障水泥窑的正常运行、产品质量以及环境保护至关重要。</w:t>
            </w:r>
          </w:p>
          <w:p w14:paraId="15A99749">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（1）</w:t>
            </w:r>
            <w:r>
              <w:rPr>
                <w:rFonts w:hint="default" w:cs="Times New Roman"/>
                <w:b w:val="0"/>
                <w:bCs w:val="0"/>
                <w:color w:val="0000FF"/>
                <w:kern w:val="2"/>
                <w:sz w:val="24"/>
                <w:szCs w:val="24"/>
                <w:lang w:val="en-US" w:eastAsia="zh-CN" w:bidi="ar-SA"/>
              </w:rPr>
              <w:t>入炉前的成分控制措施</w:t>
            </w:r>
          </w:p>
          <w:p w14:paraId="34EC812F">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①</w:t>
            </w:r>
            <w:r>
              <w:rPr>
                <w:rFonts w:hint="default" w:cs="Times New Roman"/>
                <w:b w:val="0"/>
                <w:bCs w:val="0"/>
                <w:color w:val="0000FF"/>
                <w:kern w:val="2"/>
                <w:sz w:val="24"/>
                <w:szCs w:val="24"/>
                <w:lang w:val="en-US" w:eastAsia="zh-CN" w:bidi="ar-SA"/>
              </w:rPr>
              <w:t>原料采购与验收</w:t>
            </w:r>
            <w:r>
              <w:rPr>
                <w:rFonts w:hint="eastAsia" w:cs="Times New Roman"/>
                <w:b w:val="0"/>
                <w:bCs w:val="0"/>
                <w:color w:val="0000FF"/>
                <w:kern w:val="2"/>
                <w:sz w:val="24"/>
                <w:szCs w:val="24"/>
                <w:lang w:val="en-US" w:eastAsia="zh-CN" w:bidi="ar-SA"/>
              </w:rPr>
              <w:t>：</w:t>
            </w:r>
            <w:r>
              <w:rPr>
                <w:rFonts w:hint="default" w:cs="Times New Roman"/>
                <w:b w:val="0"/>
                <w:bCs w:val="0"/>
                <w:color w:val="0000FF"/>
                <w:kern w:val="2"/>
                <w:sz w:val="24"/>
                <w:szCs w:val="24"/>
                <w:lang w:val="en-US" w:eastAsia="zh-CN" w:bidi="ar-SA"/>
              </w:rPr>
              <w:t>选择具有稳定来源和合格质量的替代燃料。对供应商进行评估，确保其提供的产品符合入炉要求。在接收燃料时，进行严格的验收检查，确保其满足预定的质量标准。</w:t>
            </w:r>
          </w:p>
          <w:p w14:paraId="5ABF5C8B">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②</w:t>
            </w:r>
            <w:r>
              <w:rPr>
                <w:rFonts w:hint="default" w:cs="Times New Roman"/>
                <w:b w:val="0"/>
                <w:bCs w:val="0"/>
                <w:color w:val="0000FF"/>
                <w:kern w:val="2"/>
                <w:sz w:val="24"/>
                <w:szCs w:val="24"/>
                <w:lang w:val="en-US" w:eastAsia="zh-CN" w:bidi="ar-SA"/>
              </w:rPr>
              <w:t>燃料预处理</w:t>
            </w:r>
            <w:r>
              <w:rPr>
                <w:rFonts w:hint="eastAsia" w:cs="Times New Roman"/>
                <w:b w:val="0"/>
                <w:bCs w:val="0"/>
                <w:color w:val="0000FF"/>
                <w:kern w:val="2"/>
                <w:sz w:val="24"/>
                <w:szCs w:val="24"/>
                <w:lang w:val="en-US" w:eastAsia="zh-CN" w:bidi="ar-SA"/>
              </w:rPr>
              <w:t>：</w:t>
            </w:r>
            <w:r>
              <w:rPr>
                <w:rFonts w:hint="default" w:cs="Times New Roman"/>
                <w:b w:val="0"/>
                <w:bCs w:val="0"/>
                <w:color w:val="0000FF"/>
                <w:kern w:val="2"/>
                <w:sz w:val="24"/>
                <w:szCs w:val="24"/>
                <w:lang w:val="en-US" w:eastAsia="zh-CN" w:bidi="ar-SA"/>
              </w:rPr>
              <w:t>对燃料进行预处理，如破碎、筛分、干燥等，以提高燃料的均匀性和燃烧效率。对于含有杂质和有害成分的燃料，需进行必要的清洗和分离处理。</w:t>
            </w:r>
          </w:p>
          <w:p w14:paraId="49E1524A">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③</w:t>
            </w:r>
            <w:r>
              <w:rPr>
                <w:rFonts w:hint="default" w:cs="Times New Roman"/>
                <w:b w:val="0"/>
                <w:bCs w:val="0"/>
                <w:color w:val="0000FF"/>
                <w:kern w:val="2"/>
                <w:sz w:val="24"/>
                <w:szCs w:val="24"/>
                <w:lang w:val="en-US" w:eastAsia="zh-CN" w:bidi="ar-SA"/>
              </w:rPr>
              <w:t>成分分析</w:t>
            </w:r>
            <w:r>
              <w:rPr>
                <w:rFonts w:hint="eastAsia" w:cs="Times New Roman"/>
                <w:b w:val="0"/>
                <w:bCs w:val="0"/>
                <w:color w:val="0000FF"/>
                <w:kern w:val="2"/>
                <w:sz w:val="24"/>
                <w:szCs w:val="24"/>
                <w:lang w:val="en-US" w:eastAsia="zh-CN" w:bidi="ar-SA"/>
              </w:rPr>
              <w:t>：</w:t>
            </w:r>
            <w:r>
              <w:rPr>
                <w:rFonts w:hint="default" w:cs="Times New Roman"/>
                <w:b w:val="0"/>
                <w:bCs w:val="0"/>
                <w:color w:val="0000FF"/>
                <w:kern w:val="2"/>
                <w:sz w:val="24"/>
                <w:szCs w:val="24"/>
                <w:lang w:val="en-US" w:eastAsia="zh-CN" w:bidi="ar-SA"/>
              </w:rPr>
              <w:t>对燃料进行定期的成分分析，包括热值、挥发分、灰分、硫分等指标的测定。根据分析结果，调整入炉燃料的配比，确保其满足水泥窑的燃烧要求。</w:t>
            </w:r>
          </w:p>
          <w:p w14:paraId="52433E5E">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④</w:t>
            </w:r>
            <w:r>
              <w:rPr>
                <w:rFonts w:hint="default" w:cs="Times New Roman"/>
                <w:b w:val="0"/>
                <w:bCs w:val="0"/>
                <w:color w:val="0000FF"/>
                <w:kern w:val="2"/>
                <w:sz w:val="24"/>
                <w:szCs w:val="24"/>
                <w:lang w:val="en-US" w:eastAsia="zh-CN" w:bidi="ar-SA"/>
              </w:rPr>
              <w:t>配比调整</w:t>
            </w:r>
            <w:r>
              <w:rPr>
                <w:rFonts w:hint="eastAsia" w:cs="Times New Roman"/>
                <w:b w:val="0"/>
                <w:bCs w:val="0"/>
                <w:color w:val="0000FF"/>
                <w:kern w:val="2"/>
                <w:sz w:val="24"/>
                <w:szCs w:val="24"/>
                <w:lang w:val="en-US" w:eastAsia="zh-CN" w:bidi="ar-SA"/>
              </w:rPr>
              <w:t>：</w:t>
            </w:r>
            <w:r>
              <w:rPr>
                <w:rFonts w:hint="default" w:cs="Times New Roman"/>
                <w:b w:val="0"/>
                <w:bCs w:val="0"/>
                <w:color w:val="0000FF"/>
                <w:kern w:val="2"/>
                <w:sz w:val="24"/>
                <w:szCs w:val="24"/>
                <w:lang w:val="en-US" w:eastAsia="zh-CN" w:bidi="ar-SA"/>
              </w:rPr>
              <w:t>根据水泥窑的运行情况和产品质量要求，对不同燃料的配比进行调整。确保替代燃料与主燃料的比例合理，以实现最佳的燃烧效果和产品质量。</w:t>
            </w:r>
          </w:p>
          <w:p w14:paraId="17AA88A7">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default" w:ascii="Times New Roman" w:hAnsi="Times New Roman" w:eastAsia="宋体" w:cs="Times New Roman"/>
                <w:b w:val="0"/>
                <w:bCs w:val="0"/>
                <w:color w:val="0000FF"/>
                <w:kern w:val="2"/>
                <w:sz w:val="24"/>
                <w:szCs w:val="24"/>
                <w:lang w:val="en-US" w:eastAsia="zh-CN" w:bidi="ar-SA"/>
              </w:rPr>
              <w:t>（2）</w:t>
            </w:r>
            <w:r>
              <w:rPr>
                <w:rFonts w:hint="default" w:cs="Times New Roman"/>
                <w:b w:val="0"/>
                <w:bCs w:val="0"/>
                <w:color w:val="0000FF"/>
                <w:kern w:val="2"/>
                <w:sz w:val="24"/>
                <w:szCs w:val="24"/>
                <w:lang w:val="en-US" w:eastAsia="zh-CN" w:bidi="ar-SA"/>
              </w:rPr>
              <w:t>替代燃料入炉成分控制要求</w:t>
            </w:r>
          </w:p>
          <w:p w14:paraId="72A6FD34">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①</w:t>
            </w:r>
            <w:r>
              <w:rPr>
                <w:rFonts w:hint="default" w:cs="Times New Roman"/>
                <w:b w:val="0"/>
                <w:bCs w:val="0"/>
                <w:color w:val="0000FF"/>
                <w:kern w:val="2"/>
                <w:sz w:val="24"/>
                <w:szCs w:val="24"/>
                <w:lang w:val="en-US" w:eastAsia="zh-CN" w:bidi="ar-SA"/>
              </w:rPr>
              <w:t>灰分控制</w:t>
            </w:r>
            <w:r>
              <w:rPr>
                <w:rFonts w:hint="eastAsia" w:cs="Times New Roman"/>
                <w:b w:val="0"/>
                <w:bCs w:val="0"/>
                <w:color w:val="0000FF"/>
                <w:kern w:val="2"/>
                <w:sz w:val="24"/>
                <w:szCs w:val="24"/>
                <w:lang w:val="en-US" w:eastAsia="zh-CN" w:bidi="ar-SA"/>
              </w:rPr>
              <w:t>：</w:t>
            </w:r>
            <w:r>
              <w:rPr>
                <w:rFonts w:hint="default" w:cs="Times New Roman"/>
                <w:b w:val="0"/>
                <w:bCs w:val="0"/>
                <w:color w:val="0000FF"/>
                <w:kern w:val="2"/>
                <w:sz w:val="24"/>
                <w:szCs w:val="24"/>
                <w:lang w:val="en-US" w:eastAsia="zh-CN" w:bidi="ar-SA"/>
              </w:rPr>
              <w:t>灰分是替代燃料的重要指标之一。过高的灰分会影响水泥的质量和窑的运行效率。因此，需将灰分控制在一定范围内，以确保水泥产品的性能和质量。</w:t>
            </w:r>
          </w:p>
          <w:p w14:paraId="6BD7E754">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②</w:t>
            </w:r>
            <w:r>
              <w:rPr>
                <w:rFonts w:hint="default" w:cs="Times New Roman"/>
                <w:b w:val="0"/>
                <w:bCs w:val="0"/>
                <w:color w:val="0000FF"/>
                <w:kern w:val="2"/>
                <w:sz w:val="24"/>
                <w:szCs w:val="24"/>
                <w:lang w:val="en-US" w:eastAsia="zh-CN" w:bidi="ar-SA"/>
              </w:rPr>
              <w:t>硫分控制</w:t>
            </w:r>
            <w:r>
              <w:rPr>
                <w:rFonts w:hint="eastAsia" w:cs="Times New Roman"/>
                <w:b w:val="0"/>
                <w:bCs w:val="0"/>
                <w:color w:val="0000FF"/>
                <w:kern w:val="2"/>
                <w:sz w:val="24"/>
                <w:szCs w:val="24"/>
                <w:lang w:val="en-US" w:eastAsia="zh-CN" w:bidi="ar-SA"/>
              </w:rPr>
              <w:t>：</w:t>
            </w:r>
            <w:r>
              <w:rPr>
                <w:rFonts w:hint="default" w:cs="Times New Roman"/>
                <w:b w:val="0"/>
                <w:bCs w:val="0"/>
                <w:color w:val="0000FF"/>
                <w:kern w:val="2"/>
                <w:sz w:val="24"/>
                <w:szCs w:val="24"/>
                <w:lang w:val="en-US" w:eastAsia="zh-CN" w:bidi="ar-SA"/>
              </w:rPr>
              <w:t>硫分是影响水泥窑排放的重要指标。过高的硫分会导致烟气中的二氧化硫含量增加，对环境造成污染。因此，需对替代燃料的硫分进行严格控制，确保其满足环保要求。</w:t>
            </w:r>
          </w:p>
          <w:p w14:paraId="0D37D1A8">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③</w:t>
            </w:r>
            <w:r>
              <w:rPr>
                <w:rFonts w:hint="default" w:cs="Times New Roman"/>
                <w:b w:val="0"/>
                <w:bCs w:val="0"/>
                <w:color w:val="0000FF"/>
                <w:kern w:val="2"/>
                <w:sz w:val="24"/>
                <w:szCs w:val="24"/>
                <w:lang w:val="en-US" w:eastAsia="zh-CN" w:bidi="ar-SA"/>
              </w:rPr>
              <w:t>挥发分控制</w:t>
            </w:r>
            <w:r>
              <w:rPr>
                <w:rFonts w:hint="eastAsia" w:cs="Times New Roman"/>
                <w:b w:val="0"/>
                <w:bCs w:val="0"/>
                <w:color w:val="0000FF"/>
                <w:kern w:val="2"/>
                <w:sz w:val="24"/>
                <w:szCs w:val="24"/>
                <w:lang w:val="en-US" w:eastAsia="zh-CN" w:bidi="ar-SA"/>
              </w:rPr>
              <w:t>：</w:t>
            </w:r>
            <w:r>
              <w:rPr>
                <w:rFonts w:hint="default" w:cs="Times New Roman"/>
                <w:b w:val="0"/>
                <w:bCs w:val="0"/>
                <w:color w:val="0000FF"/>
                <w:kern w:val="2"/>
                <w:sz w:val="24"/>
                <w:szCs w:val="24"/>
                <w:lang w:val="en-US" w:eastAsia="zh-CN" w:bidi="ar-SA"/>
              </w:rPr>
              <w:t>挥发分的含量直接影响燃料的燃烧性能。过低的挥发分可能导致燃料燃烧不充分，影响窑的运行效率；过高的挥发分则可能导致燃烧过程中产生大量烟气，影响环境。因此，需根据窑的具体情况，合理控制燃料的挥发分含量。</w:t>
            </w:r>
          </w:p>
          <w:p w14:paraId="5F54DEB4">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④</w:t>
            </w:r>
            <w:r>
              <w:rPr>
                <w:rFonts w:hint="default" w:cs="Times New Roman"/>
                <w:b w:val="0"/>
                <w:bCs w:val="0"/>
                <w:color w:val="0000FF"/>
                <w:kern w:val="2"/>
                <w:sz w:val="24"/>
                <w:szCs w:val="24"/>
                <w:lang w:val="en-US" w:eastAsia="zh-CN" w:bidi="ar-SA"/>
              </w:rPr>
              <w:t>热量值要求</w:t>
            </w:r>
            <w:r>
              <w:rPr>
                <w:rFonts w:hint="eastAsia" w:cs="Times New Roman"/>
                <w:b w:val="0"/>
                <w:bCs w:val="0"/>
                <w:color w:val="0000FF"/>
                <w:kern w:val="2"/>
                <w:sz w:val="24"/>
                <w:szCs w:val="24"/>
                <w:lang w:val="en-US" w:eastAsia="zh-CN" w:bidi="ar-SA"/>
              </w:rPr>
              <w:t>：</w:t>
            </w:r>
            <w:r>
              <w:rPr>
                <w:rFonts w:hint="default" w:cs="Times New Roman"/>
                <w:b w:val="0"/>
                <w:bCs w:val="0"/>
                <w:color w:val="0000FF"/>
                <w:kern w:val="2"/>
                <w:sz w:val="24"/>
                <w:szCs w:val="24"/>
                <w:lang w:val="en-US" w:eastAsia="zh-CN" w:bidi="ar-SA"/>
              </w:rPr>
              <w:t>为保证窑的稳定运行和产品质量，替代燃料的热量值需达到一定标准。过低或过高的热量值都会影响燃料的燃烧效率和水泥的质量。因此，需根据实际情况，对燃料的热量值进行严格控制。</w:t>
            </w:r>
          </w:p>
          <w:p w14:paraId="62DFA466">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综上所述，</w:t>
            </w:r>
            <w:r>
              <w:rPr>
                <w:rFonts w:hint="default" w:cs="Times New Roman"/>
                <w:b w:val="0"/>
                <w:bCs w:val="0"/>
                <w:color w:val="0000FF"/>
                <w:kern w:val="2"/>
                <w:sz w:val="24"/>
                <w:szCs w:val="24"/>
                <w:lang w:val="en-US" w:eastAsia="zh-CN" w:bidi="ar-SA"/>
              </w:rPr>
              <w:t>合理的燃料选择、预处理、成分分析和配比调整对于保障水泥窑的正常运行、产品质量以及环境保护具有重要意义。在实际生产中，企业需根据自身情况和市场需求，制定合适的控制措施和要求，以实现替代燃料的最大化利用和环境保护的双重目标。</w:t>
            </w:r>
          </w:p>
          <w:p w14:paraId="1EDCA291">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lang w:val="en-US" w:eastAsia="zh-CN" w:bidi="ar-SA"/>
              </w:rPr>
            </w:pPr>
            <w:r>
              <w:rPr>
                <w:rFonts w:hint="eastAsia" w:ascii="Times New Roman" w:hAnsi="Times New Roman" w:eastAsia="宋体" w:cs="Times New Roman"/>
                <w:b w:val="0"/>
                <w:bCs w:val="0"/>
                <w:color w:val="0000FF"/>
                <w:kern w:val="2"/>
                <w:sz w:val="24"/>
                <w:szCs w:val="24"/>
                <w:lang w:val="en-US" w:eastAsia="zh-CN" w:bidi="ar-SA"/>
              </w:rPr>
              <w:t>5、系统热平衡</w:t>
            </w:r>
          </w:p>
          <w:p w14:paraId="4778D98F">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lang w:val="en-US" w:eastAsia="zh-CN" w:bidi="ar-SA"/>
              </w:rPr>
            </w:pPr>
            <w:r>
              <w:rPr>
                <w:rFonts w:hint="eastAsia" w:ascii="Times New Roman" w:hAnsi="Times New Roman" w:eastAsia="宋体" w:cs="Times New Roman"/>
                <w:b w:val="0"/>
                <w:bCs w:val="0"/>
                <w:color w:val="0000FF"/>
                <w:kern w:val="2"/>
                <w:sz w:val="24"/>
                <w:szCs w:val="24"/>
                <w:lang w:val="en-US" w:eastAsia="zh-CN" w:bidi="ar-SA"/>
              </w:rPr>
              <w:t>根据建设单位提供的水泥熟料线目前的生产线运行情况及原燃料成分统计情况，1#熟料烧成热耗平均值为2959kJ/kg（708kcal/kg），1#熟料线处置10万t/a替代燃料（其中废纺5000t/a，木屑5000t/a）。根据替代燃料水分和热值数据计算，1#熟料线替代总燃料的比例为12.85%。</w:t>
            </w:r>
          </w:p>
          <w:p w14:paraId="22F562D4">
            <w:pPr>
              <w:autoSpaceDE w:val="0"/>
              <w:autoSpaceDN w:val="0"/>
              <w:adjustRightInd w:val="0"/>
              <w:jc w:val="center"/>
              <w:rPr>
                <w:rFonts w:hint="eastAsia" w:ascii="Times New Roman" w:hAnsi="Times New Roman" w:cs="Times New Roman"/>
                <w:b/>
                <w:color w:val="0000FF"/>
              </w:rPr>
            </w:pPr>
            <w:r>
              <w:rPr>
                <w:rFonts w:hint="eastAsia" w:ascii="Times New Roman" w:hAnsi="Times New Roman" w:cs="Times New Roman"/>
                <w:b/>
                <w:color w:val="0000FF"/>
              </w:rPr>
              <w:t>表</w:t>
            </w:r>
            <w:r>
              <w:rPr>
                <w:rFonts w:hint="eastAsia" w:cs="Times New Roman"/>
                <w:b/>
                <w:color w:val="0000FF"/>
                <w:lang w:val="en-US" w:eastAsia="zh-CN"/>
              </w:rPr>
              <w:t>2-17 拟处置</w:t>
            </w:r>
            <w:r>
              <w:rPr>
                <w:rFonts w:hint="eastAsia" w:cs="Times New Roman"/>
                <w:b/>
                <w:color w:val="0000FF"/>
                <w:lang w:eastAsia="zh-CN"/>
              </w:rPr>
              <w:t>燃料</w:t>
            </w:r>
            <w:r>
              <w:rPr>
                <w:rFonts w:hint="eastAsia" w:ascii="Times New Roman" w:hAnsi="Times New Roman" w:cs="Times New Roman"/>
                <w:b/>
                <w:color w:val="0000FF"/>
              </w:rPr>
              <w:t>配比情况</w:t>
            </w:r>
            <w:r>
              <w:rPr>
                <w:rFonts w:hint="eastAsia" w:cs="Times New Roman"/>
                <w:b/>
                <w:color w:val="0000FF"/>
                <w:lang w:eastAsia="zh-CN"/>
              </w:rPr>
              <w:t>一览</w:t>
            </w:r>
            <w:r>
              <w:rPr>
                <w:rFonts w:hint="eastAsia" w:ascii="Times New Roman" w:hAnsi="Times New Roman" w:cs="Times New Roman"/>
                <w:b/>
                <w:color w:val="0000FF"/>
              </w:rPr>
              <w:t>表</w:t>
            </w:r>
          </w:p>
          <w:tbl>
            <w:tblPr>
              <w:tblStyle w:val="28"/>
              <w:tblW w:w="4998"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4602"/>
              <w:gridCol w:w="4609"/>
            </w:tblGrid>
            <w:tr w14:paraId="4194C7C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2498" w:type="pct"/>
                  <w:noWrap w:val="0"/>
                  <w:vAlign w:val="center"/>
                </w:tcPr>
                <w:p w14:paraId="0A540C9A">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cs="Times New Roman"/>
                      <w:b w:val="0"/>
                      <w:bCs w:val="0"/>
                      <w:color w:val="0000FF"/>
                      <w:sz w:val="21"/>
                      <w:szCs w:val="21"/>
                      <w:lang w:val="en-US" w:eastAsia="zh-CN"/>
                    </w:rPr>
                    <w:t>原煤（%）</w:t>
                  </w:r>
                </w:p>
              </w:tc>
              <w:tc>
                <w:tcPr>
                  <w:tcW w:w="2501" w:type="pct"/>
                  <w:noWrap w:val="0"/>
                  <w:vAlign w:val="center"/>
                </w:tcPr>
                <w:p w14:paraId="7875E694">
                  <w:pPr>
                    <w:keepNext w:val="0"/>
                    <w:keepLines w:val="0"/>
                    <w:pageBreakBefore w:val="0"/>
                    <w:kinsoku/>
                    <w:wordWrap/>
                    <w:overflowPunct/>
                    <w:topLinePunct w:val="0"/>
                    <w:autoSpaceDE/>
                    <w:autoSpaceDN/>
                    <w:bidi w:val="0"/>
                    <w:snapToGrid/>
                    <w:spacing w:line="240" w:lineRule="auto"/>
                    <w:jc w:val="center"/>
                    <w:rPr>
                      <w:rFonts w:hint="eastAsia" w:ascii="Times New Roman" w:hAnsi="Times New Roman" w:eastAsia="宋体" w:cs="Times New Roman"/>
                      <w:b w:val="0"/>
                      <w:bCs w:val="0"/>
                      <w:color w:val="0000FF"/>
                      <w:sz w:val="21"/>
                      <w:szCs w:val="21"/>
                      <w:lang w:val="en-US" w:eastAsia="zh-CN"/>
                    </w:rPr>
                  </w:pPr>
                  <w:r>
                    <w:rPr>
                      <w:rFonts w:hint="eastAsia" w:cs="Times New Roman"/>
                      <w:b w:val="0"/>
                      <w:bCs w:val="0"/>
                      <w:color w:val="0000FF"/>
                      <w:sz w:val="21"/>
                      <w:szCs w:val="21"/>
                      <w:lang w:val="en-US" w:eastAsia="zh-CN"/>
                    </w:rPr>
                    <w:t>废纺或木屑（%）</w:t>
                  </w:r>
                </w:p>
              </w:tc>
            </w:tr>
            <w:tr w14:paraId="776E965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51" w:hRule="atLeast"/>
                <w:jc w:val="center"/>
              </w:trPr>
              <w:tc>
                <w:tcPr>
                  <w:tcW w:w="2498" w:type="pct"/>
                  <w:noWrap w:val="0"/>
                  <w:vAlign w:val="center"/>
                </w:tcPr>
                <w:p w14:paraId="316FE1C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val="0"/>
                      <w:color w:val="0000FF"/>
                      <w:sz w:val="21"/>
                      <w:szCs w:val="21"/>
                      <w:lang w:val="en-US" w:eastAsia="zh-CN"/>
                    </w:rPr>
                  </w:pPr>
                  <w:r>
                    <w:rPr>
                      <w:rFonts w:hint="eastAsia" w:cs="Times New Roman"/>
                      <w:b w:val="0"/>
                      <w:bCs w:val="0"/>
                      <w:color w:val="0000FF"/>
                      <w:sz w:val="21"/>
                      <w:szCs w:val="21"/>
                      <w:lang w:val="en-US" w:eastAsia="zh-CN"/>
                    </w:rPr>
                    <w:t>87.15</w:t>
                  </w:r>
                </w:p>
              </w:tc>
              <w:tc>
                <w:tcPr>
                  <w:tcW w:w="2501" w:type="pct"/>
                  <w:noWrap w:val="0"/>
                  <w:vAlign w:val="center"/>
                </w:tcPr>
                <w:p w14:paraId="7A353C17">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val="0"/>
                      <w:color w:val="0000FF"/>
                      <w:sz w:val="21"/>
                      <w:szCs w:val="21"/>
                      <w:lang w:val="en-US" w:eastAsia="zh-CN"/>
                    </w:rPr>
                  </w:pPr>
                  <w:r>
                    <w:rPr>
                      <w:rFonts w:hint="eastAsia" w:cs="Times New Roman"/>
                      <w:b w:val="0"/>
                      <w:bCs w:val="0"/>
                      <w:color w:val="0000FF"/>
                      <w:sz w:val="21"/>
                      <w:szCs w:val="21"/>
                      <w:lang w:val="en-US" w:eastAsia="zh-CN"/>
                    </w:rPr>
                    <w:t>12.85</w:t>
                  </w:r>
                </w:p>
              </w:tc>
            </w:tr>
            <w:tr w14:paraId="6C17F37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151" w:hRule="atLeast"/>
                <w:jc w:val="center"/>
              </w:trPr>
              <w:tc>
                <w:tcPr>
                  <w:tcW w:w="5000" w:type="pct"/>
                  <w:gridSpan w:val="2"/>
                  <w:noWrap w:val="0"/>
                  <w:vAlign w:val="center"/>
                </w:tcPr>
                <w:p w14:paraId="38B4F323">
                  <w:pPr>
                    <w:keepNext w:val="0"/>
                    <w:keepLines w:val="0"/>
                    <w:pageBreakBefore w:val="0"/>
                    <w:kinsoku/>
                    <w:wordWrap/>
                    <w:overflowPunct/>
                    <w:topLinePunct w:val="0"/>
                    <w:autoSpaceDE/>
                    <w:autoSpaceDN/>
                    <w:bidi w:val="0"/>
                    <w:snapToGrid/>
                    <w:spacing w:line="240" w:lineRule="auto"/>
                    <w:jc w:val="both"/>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注：建设单位计划处置废纺时不使用木屑，即废纺和木屑不会同时使用</w:t>
                  </w:r>
                </w:p>
              </w:tc>
            </w:tr>
          </w:tbl>
          <w:p w14:paraId="75BAF37E">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0000FF"/>
                <w:kern w:val="2"/>
                <w:sz w:val="24"/>
                <w:szCs w:val="24"/>
                <w:lang w:val="en-US" w:eastAsia="zh-CN" w:bidi="ar-SA"/>
              </w:rPr>
            </w:pPr>
            <w:bookmarkStart w:id="58" w:name="OLE_LINK78"/>
            <w:r>
              <w:rPr>
                <w:rFonts w:hint="eastAsia" w:ascii="Times New Roman" w:hAnsi="Times New Roman" w:eastAsia="宋体" w:cs="Times New Roman"/>
                <w:b/>
                <w:bCs/>
                <w:color w:val="0000FF"/>
                <w:kern w:val="2"/>
                <w:sz w:val="24"/>
                <w:szCs w:val="24"/>
                <w:lang w:val="en-US" w:eastAsia="zh-CN" w:bidi="ar-SA"/>
              </w:rPr>
              <w:t>七、主要生产设备</w:t>
            </w:r>
          </w:p>
          <w:bookmarkEnd w:id="58"/>
          <w:p w14:paraId="776EC462">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lang w:val="en-US" w:eastAsia="zh-CN" w:bidi="ar-SA"/>
              </w:rPr>
            </w:pPr>
            <w:bookmarkStart w:id="59" w:name="OLE_LINK79"/>
            <w:r>
              <w:rPr>
                <w:rFonts w:hint="eastAsia" w:ascii="Times New Roman" w:hAnsi="Times New Roman" w:eastAsia="宋体" w:cs="Times New Roman"/>
                <w:b w:val="0"/>
                <w:bCs w:val="0"/>
                <w:color w:val="0000FF"/>
                <w:kern w:val="2"/>
                <w:sz w:val="24"/>
                <w:szCs w:val="24"/>
                <w:lang w:val="en-US" w:eastAsia="zh-CN" w:bidi="ar-SA"/>
              </w:rPr>
              <w:t>1、设备清单</w:t>
            </w:r>
          </w:p>
          <w:bookmarkEnd w:id="59"/>
          <w:p w14:paraId="53FCB384">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lang w:val="en-US" w:eastAsia="zh-CN" w:bidi="ar-SA"/>
              </w:rPr>
            </w:pPr>
            <w:r>
              <w:rPr>
                <w:rFonts w:hint="eastAsia" w:ascii="Times New Roman" w:hAnsi="Times New Roman" w:eastAsia="宋体" w:cs="Times New Roman"/>
                <w:b w:val="0"/>
                <w:bCs w:val="0"/>
                <w:color w:val="0000FF"/>
                <w:kern w:val="2"/>
                <w:sz w:val="24"/>
                <w:szCs w:val="24"/>
                <w:lang w:val="en-US" w:eastAsia="zh-CN" w:bidi="ar-SA"/>
              </w:rPr>
              <w:t>本项目在满足工艺要求的前提下，选用高效、节能、运转可靠</w:t>
            </w:r>
            <w:r>
              <w:rPr>
                <w:rFonts w:hint="eastAsia" w:cs="Times New Roman"/>
                <w:b w:val="0"/>
                <w:bCs w:val="0"/>
                <w:color w:val="0000FF"/>
                <w:kern w:val="2"/>
                <w:sz w:val="24"/>
                <w:szCs w:val="24"/>
                <w:lang w:val="en-US" w:eastAsia="zh-CN" w:bidi="ar-SA"/>
              </w:rPr>
              <w:t>的</w:t>
            </w:r>
            <w:r>
              <w:rPr>
                <w:rFonts w:hint="eastAsia" w:ascii="Times New Roman" w:hAnsi="Times New Roman" w:eastAsia="宋体" w:cs="Times New Roman"/>
                <w:b w:val="0"/>
                <w:bCs w:val="0"/>
                <w:color w:val="0000FF"/>
                <w:kern w:val="2"/>
                <w:sz w:val="24"/>
                <w:szCs w:val="24"/>
                <w:lang w:val="en-US" w:eastAsia="zh-CN" w:bidi="ar-SA"/>
              </w:rPr>
              <w:t>设备，</w:t>
            </w:r>
            <w:r>
              <w:rPr>
                <w:rFonts w:hint="eastAsia" w:cs="Times New Roman"/>
                <w:b w:val="0"/>
                <w:bCs w:val="0"/>
                <w:color w:val="0000FF"/>
                <w:kern w:val="2"/>
                <w:sz w:val="24"/>
                <w:szCs w:val="24"/>
                <w:lang w:val="en-US" w:eastAsia="zh-CN" w:bidi="ar-SA"/>
              </w:rPr>
              <w:t>本次</w:t>
            </w:r>
            <w:r>
              <w:rPr>
                <w:rFonts w:hint="eastAsia" w:ascii="Times New Roman" w:hAnsi="Times New Roman" w:eastAsia="宋体" w:cs="Times New Roman"/>
                <w:b w:val="0"/>
                <w:bCs w:val="0"/>
                <w:color w:val="0000FF"/>
                <w:kern w:val="2"/>
                <w:sz w:val="24"/>
                <w:szCs w:val="24"/>
                <w:lang w:val="en-US" w:eastAsia="zh-CN" w:bidi="ar-SA"/>
              </w:rPr>
              <w:t>技改前后主要设备明细详见下表。</w:t>
            </w:r>
          </w:p>
          <w:p w14:paraId="73399CBE">
            <w:pPr>
              <w:autoSpaceDE w:val="0"/>
              <w:autoSpaceDN w:val="0"/>
              <w:adjustRightInd w:val="0"/>
              <w:jc w:val="center"/>
              <w:rPr>
                <w:rFonts w:hint="eastAsia" w:ascii="Times New Roman" w:hAnsi="Times New Roman" w:cs="Times New Roman"/>
                <w:b/>
                <w:color w:val="0000FF"/>
                <w:lang w:eastAsia="zh-CN"/>
              </w:rPr>
            </w:pPr>
            <w:bookmarkStart w:id="60" w:name="OLE_LINK84"/>
            <w:r>
              <w:rPr>
                <w:rFonts w:hint="eastAsia" w:ascii="Times New Roman" w:hAnsi="Times New Roman" w:cs="Times New Roman"/>
                <w:b/>
                <w:color w:val="0000FF"/>
              </w:rPr>
              <w:t>表</w:t>
            </w:r>
            <w:r>
              <w:rPr>
                <w:rFonts w:ascii="Times New Roman" w:hAnsi="Times New Roman" w:cs="Times New Roman"/>
                <w:b/>
                <w:color w:val="0000FF"/>
              </w:rPr>
              <w:t>2</w:t>
            </w:r>
            <w:r>
              <w:rPr>
                <w:rFonts w:hint="eastAsia" w:ascii="Times New Roman" w:hAnsi="Times New Roman" w:cs="Times New Roman"/>
                <w:b/>
                <w:color w:val="0000FF"/>
                <w:lang w:val="en-US" w:eastAsia="zh-CN"/>
              </w:rPr>
              <w:t>-</w:t>
            </w:r>
            <w:r>
              <w:rPr>
                <w:rFonts w:hint="eastAsia" w:cs="Times New Roman"/>
                <w:b/>
                <w:color w:val="0000FF"/>
                <w:lang w:val="en-US" w:eastAsia="zh-CN"/>
              </w:rPr>
              <w:t xml:space="preserve">18 </w:t>
            </w:r>
            <w:r>
              <w:rPr>
                <w:rFonts w:hint="eastAsia" w:ascii="Times New Roman" w:hAnsi="Times New Roman" w:cs="Times New Roman"/>
                <w:b/>
                <w:color w:val="0000FF"/>
                <w:lang w:eastAsia="zh-CN"/>
              </w:rPr>
              <w:t>本项目主要生产设施一览表</w:t>
            </w:r>
          </w:p>
          <w:bookmarkEnd w:id="60"/>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3723"/>
              <w:gridCol w:w="750"/>
              <w:gridCol w:w="1245"/>
              <w:gridCol w:w="1492"/>
              <w:gridCol w:w="1246"/>
            </w:tblGrid>
            <w:tr w14:paraId="5447B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7" w:type="pct"/>
                  <w:noWrap w:val="0"/>
                  <w:vAlign w:val="center"/>
                </w:tcPr>
                <w:p w14:paraId="7159A0E7">
                  <w:pPr>
                    <w:adjustRightInd w:val="0"/>
                    <w:snapToGrid w:val="0"/>
                    <w:jc w:val="center"/>
                    <w:rPr>
                      <w:rFonts w:ascii="Times New Roman" w:hAnsi="Times New Roman"/>
                      <w:bCs/>
                      <w:color w:val="0000FF"/>
                      <w:szCs w:val="21"/>
                    </w:rPr>
                  </w:pPr>
                  <w:bookmarkStart w:id="61" w:name="OLE_LINK66"/>
                  <w:bookmarkStart w:id="62" w:name="OLE_LINK67" w:colFirst="2" w:colLast="2"/>
                  <w:r>
                    <w:rPr>
                      <w:rFonts w:ascii="Times New Roman" w:hAnsi="Times New Roman"/>
                      <w:bCs/>
                      <w:color w:val="0000FF"/>
                      <w:szCs w:val="21"/>
                    </w:rPr>
                    <w:t>序号</w:t>
                  </w:r>
                </w:p>
              </w:tc>
              <w:tc>
                <w:tcPr>
                  <w:tcW w:w="2021" w:type="pct"/>
                  <w:noWrap w:val="0"/>
                  <w:vAlign w:val="center"/>
                </w:tcPr>
                <w:p w14:paraId="4AB4DDCB">
                  <w:pPr>
                    <w:adjustRightInd w:val="0"/>
                    <w:snapToGrid w:val="0"/>
                    <w:jc w:val="center"/>
                    <w:rPr>
                      <w:rFonts w:ascii="Times New Roman" w:hAnsi="Times New Roman"/>
                      <w:bCs/>
                      <w:color w:val="0000FF"/>
                      <w:szCs w:val="21"/>
                    </w:rPr>
                  </w:pPr>
                  <w:r>
                    <w:rPr>
                      <w:rFonts w:ascii="Times New Roman" w:hAnsi="Times New Roman"/>
                      <w:bCs/>
                      <w:color w:val="0000FF"/>
                      <w:szCs w:val="21"/>
                    </w:rPr>
                    <w:t>设备名称</w:t>
                  </w:r>
                </w:p>
              </w:tc>
              <w:tc>
                <w:tcPr>
                  <w:tcW w:w="407" w:type="pct"/>
                  <w:noWrap w:val="0"/>
                  <w:vAlign w:val="center"/>
                </w:tcPr>
                <w:p w14:paraId="3F2D4EDB">
                  <w:pPr>
                    <w:adjustRightInd w:val="0"/>
                    <w:snapToGrid w:val="0"/>
                    <w:jc w:val="center"/>
                    <w:rPr>
                      <w:rFonts w:hint="eastAsia" w:ascii="Times New Roman" w:hAnsi="Times New Roman" w:eastAsia="宋体"/>
                      <w:bCs/>
                      <w:color w:val="0000FF"/>
                      <w:szCs w:val="21"/>
                      <w:lang w:eastAsia="zh-CN"/>
                    </w:rPr>
                  </w:pPr>
                  <w:r>
                    <w:rPr>
                      <w:rFonts w:hint="eastAsia" w:ascii="Times New Roman" w:hAnsi="Times New Roman"/>
                      <w:bCs/>
                      <w:color w:val="0000FF"/>
                      <w:szCs w:val="21"/>
                      <w:lang w:eastAsia="zh-CN"/>
                    </w:rPr>
                    <w:t>单位</w:t>
                  </w:r>
                </w:p>
              </w:tc>
              <w:tc>
                <w:tcPr>
                  <w:tcW w:w="676" w:type="pct"/>
                  <w:noWrap w:val="0"/>
                  <w:vAlign w:val="center"/>
                </w:tcPr>
                <w:p w14:paraId="4AE50A69">
                  <w:pPr>
                    <w:adjustRightInd w:val="0"/>
                    <w:snapToGrid w:val="0"/>
                    <w:jc w:val="center"/>
                    <w:rPr>
                      <w:rFonts w:ascii="Times New Roman" w:hAnsi="Times New Roman"/>
                      <w:color w:val="0000FF"/>
                      <w:szCs w:val="21"/>
                    </w:rPr>
                  </w:pPr>
                  <w:r>
                    <w:rPr>
                      <w:rFonts w:ascii="Times New Roman" w:hAnsi="Times New Roman"/>
                      <w:bCs/>
                      <w:color w:val="0000FF"/>
                    </w:rPr>
                    <w:t>现有数量</w:t>
                  </w:r>
                </w:p>
              </w:tc>
              <w:tc>
                <w:tcPr>
                  <w:tcW w:w="810" w:type="pct"/>
                  <w:noWrap w:val="0"/>
                  <w:vAlign w:val="center"/>
                </w:tcPr>
                <w:p w14:paraId="08326EC1">
                  <w:pPr>
                    <w:adjustRightInd w:val="0"/>
                    <w:snapToGrid w:val="0"/>
                    <w:jc w:val="center"/>
                    <w:rPr>
                      <w:rFonts w:ascii="Times New Roman" w:hAnsi="Times New Roman"/>
                      <w:bCs/>
                      <w:color w:val="0000FF"/>
                      <w:szCs w:val="21"/>
                    </w:rPr>
                  </w:pPr>
                  <w:r>
                    <w:rPr>
                      <w:rFonts w:ascii="Times New Roman" w:hAnsi="Times New Roman"/>
                      <w:bCs/>
                      <w:color w:val="0000FF"/>
                      <w:szCs w:val="21"/>
                    </w:rPr>
                    <w:t>技改后数量</w:t>
                  </w:r>
                </w:p>
              </w:tc>
              <w:tc>
                <w:tcPr>
                  <w:tcW w:w="676" w:type="pct"/>
                  <w:noWrap w:val="0"/>
                  <w:vAlign w:val="center"/>
                </w:tcPr>
                <w:p w14:paraId="7C252F1E">
                  <w:pPr>
                    <w:adjustRightInd w:val="0"/>
                    <w:snapToGrid w:val="0"/>
                    <w:jc w:val="center"/>
                    <w:rPr>
                      <w:rFonts w:hint="eastAsia" w:ascii="Times New Roman" w:hAnsi="Times New Roman" w:eastAsia="宋体"/>
                      <w:bCs/>
                      <w:color w:val="0000FF"/>
                      <w:szCs w:val="21"/>
                      <w:lang w:eastAsia="zh-CN"/>
                    </w:rPr>
                  </w:pPr>
                  <w:r>
                    <w:rPr>
                      <w:rFonts w:hint="eastAsia" w:ascii="Times New Roman" w:hAnsi="Times New Roman"/>
                      <w:bCs/>
                      <w:color w:val="0000FF"/>
                      <w:szCs w:val="21"/>
                      <w:lang w:eastAsia="zh-CN"/>
                    </w:rPr>
                    <w:t>备注</w:t>
                  </w:r>
                </w:p>
              </w:tc>
            </w:tr>
            <w:tr w14:paraId="3242A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7" w:type="pct"/>
                  <w:noWrap w:val="0"/>
                  <w:vAlign w:val="center"/>
                </w:tcPr>
                <w:p w14:paraId="31C90D63">
                  <w:pPr>
                    <w:adjustRightInd w:val="0"/>
                    <w:snapToGrid w:val="0"/>
                    <w:jc w:val="center"/>
                    <w:rPr>
                      <w:rFonts w:ascii="Times New Roman" w:hAnsi="Times New Roman"/>
                      <w:color w:val="0000FF"/>
                      <w:szCs w:val="21"/>
                    </w:rPr>
                  </w:pPr>
                  <w:bookmarkStart w:id="63" w:name="OLE_LINK68" w:colFirst="1" w:colLast="1"/>
                  <w:r>
                    <w:rPr>
                      <w:rFonts w:ascii="Times New Roman" w:hAnsi="Times New Roman"/>
                      <w:color w:val="0000FF"/>
                      <w:szCs w:val="21"/>
                    </w:rPr>
                    <w:t>1</w:t>
                  </w:r>
                </w:p>
              </w:tc>
              <w:tc>
                <w:tcPr>
                  <w:tcW w:w="2021" w:type="pct"/>
                  <w:noWrap w:val="0"/>
                  <w:vAlign w:val="center"/>
                </w:tcPr>
                <w:p w14:paraId="34C25284">
                  <w:pPr>
                    <w:pStyle w:val="129"/>
                    <w:rPr>
                      <w:rFonts w:hint="eastAsia" w:ascii="Times New Roman" w:hAnsi="Times New Roman" w:eastAsia="宋体" w:cs="Times New Roman"/>
                      <w:color w:val="0000FF"/>
                      <w:szCs w:val="21"/>
                      <w:lang w:eastAsia="zh-CN"/>
                    </w:rPr>
                  </w:pPr>
                  <w:r>
                    <w:rPr>
                      <w:rFonts w:hint="eastAsia" w:ascii="Times New Roman" w:hAnsi="Times New Roman" w:cs="Times New Roman"/>
                      <w:color w:val="0000FF"/>
                      <w:szCs w:val="21"/>
                      <w:lang w:eastAsia="zh-CN"/>
                    </w:rPr>
                    <w:t>替代燃料暂存系统</w:t>
                  </w:r>
                </w:p>
              </w:tc>
              <w:tc>
                <w:tcPr>
                  <w:tcW w:w="407" w:type="pct"/>
                  <w:noWrap w:val="0"/>
                  <w:vAlign w:val="center"/>
                </w:tcPr>
                <w:p w14:paraId="546820A0">
                  <w:pPr>
                    <w:adjustRightInd w:val="0"/>
                    <w:snapToGrid w:val="0"/>
                    <w:jc w:val="center"/>
                    <w:rPr>
                      <w:rFonts w:hint="eastAsia" w:ascii="Times New Roman" w:hAnsi="Times New Roman" w:eastAsia="宋体"/>
                      <w:color w:val="0000FF"/>
                      <w:szCs w:val="21"/>
                      <w:lang w:eastAsia="zh-CN"/>
                    </w:rPr>
                  </w:pPr>
                  <w:bookmarkStart w:id="64" w:name="OLE_LINK69"/>
                  <w:r>
                    <w:rPr>
                      <w:rFonts w:hint="eastAsia" w:ascii="Times New Roman" w:hAnsi="Times New Roman"/>
                      <w:color w:val="0000FF"/>
                      <w:szCs w:val="21"/>
                      <w:lang w:eastAsia="zh-CN"/>
                    </w:rPr>
                    <w:t>套</w:t>
                  </w:r>
                  <w:bookmarkEnd w:id="64"/>
                </w:p>
              </w:tc>
              <w:tc>
                <w:tcPr>
                  <w:tcW w:w="676" w:type="pct"/>
                  <w:noWrap w:val="0"/>
                  <w:vAlign w:val="center"/>
                </w:tcPr>
                <w:p w14:paraId="545865AD">
                  <w:pPr>
                    <w:adjustRightInd w:val="0"/>
                    <w:snapToGrid w:val="0"/>
                    <w:jc w:val="center"/>
                    <w:rPr>
                      <w:rFonts w:hint="eastAsia" w:ascii="Times New Roman" w:hAnsi="Times New Roman" w:eastAsia="宋体"/>
                      <w:color w:val="0000FF"/>
                      <w:szCs w:val="21"/>
                      <w:lang w:eastAsia="zh-CN"/>
                    </w:rPr>
                  </w:pPr>
                  <w:r>
                    <w:rPr>
                      <w:rFonts w:hint="eastAsia" w:ascii="Times New Roman" w:hAnsi="Times New Roman"/>
                      <w:color w:val="0000FF"/>
                      <w:szCs w:val="21"/>
                      <w:lang w:val="en-US" w:eastAsia="zh-CN"/>
                    </w:rPr>
                    <w:t>0</w:t>
                  </w:r>
                </w:p>
              </w:tc>
              <w:tc>
                <w:tcPr>
                  <w:tcW w:w="810" w:type="pct"/>
                  <w:noWrap w:val="0"/>
                  <w:vAlign w:val="center"/>
                </w:tcPr>
                <w:p w14:paraId="0FACF54E">
                  <w:pPr>
                    <w:adjustRightInd w:val="0"/>
                    <w:snapToGrid w:val="0"/>
                    <w:jc w:val="center"/>
                    <w:rPr>
                      <w:rFonts w:hint="eastAsia" w:ascii="Times New Roman" w:hAnsi="Times New Roman" w:eastAsia="宋体"/>
                      <w:color w:val="0000FF"/>
                      <w:szCs w:val="21"/>
                      <w:lang w:eastAsia="zh-CN"/>
                    </w:rPr>
                  </w:pPr>
                  <w:r>
                    <w:rPr>
                      <w:rFonts w:hint="eastAsia" w:ascii="Times New Roman" w:hAnsi="Times New Roman"/>
                      <w:color w:val="0000FF"/>
                      <w:szCs w:val="21"/>
                      <w:lang w:val="en-US" w:eastAsia="zh-CN"/>
                    </w:rPr>
                    <w:t>1</w:t>
                  </w:r>
                </w:p>
              </w:tc>
              <w:tc>
                <w:tcPr>
                  <w:tcW w:w="676" w:type="pct"/>
                  <w:noWrap w:val="0"/>
                  <w:vAlign w:val="center"/>
                </w:tcPr>
                <w:p w14:paraId="1621ACE7">
                  <w:pPr>
                    <w:adjustRightInd w:val="0"/>
                    <w:snapToGrid w:val="0"/>
                    <w:jc w:val="center"/>
                    <w:rPr>
                      <w:rFonts w:hint="default" w:ascii="Times New Roman" w:hAnsi="Times New Roman" w:eastAsia="宋体"/>
                      <w:color w:val="0000FF"/>
                      <w:szCs w:val="21"/>
                      <w:lang w:val="en-US" w:eastAsia="zh-CN"/>
                    </w:rPr>
                  </w:pPr>
                  <w:bookmarkStart w:id="65" w:name="OLE_LINK70"/>
                  <w:r>
                    <w:rPr>
                      <w:rFonts w:hint="eastAsia" w:ascii="Times New Roman" w:hAnsi="Times New Roman"/>
                      <w:color w:val="0000FF"/>
                      <w:szCs w:val="21"/>
                      <w:lang w:val="en-US" w:eastAsia="zh-CN"/>
                    </w:rPr>
                    <w:t>新增1套</w:t>
                  </w:r>
                  <w:bookmarkEnd w:id="65"/>
                </w:p>
              </w:tc>
            </w:tr>
            <w:tr w14:paraId="2413C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7" w:type="pct"/>
                  <w:noWrap w:val="0"/>
                  <w:vAlign w:val="center"/>
                </w:tcPr>
                <w:p w14:paraId="783212EF">
                  <w:pPr>
                    <w:adjustRightInd w:val="0"/>
                    <w:snapToGrid w:val="0"/>
                    <w:jc w:val="center"/>
                    <w:rPr>
                      <w:rFonts w:hint="eastAsia" w:ascii="Times New Roman" w:hAnsi="Times New Roman" w:eastAsia="宋体"/>
                      <w:color w:val="0000FF"/>
                      <w:szCs w:val="21"/>
                      <w:lang w:val="en-US" w:eastAsia="zh-CN"/>
                    </w:rPr>
                  </w:pPr>
                  <w:r>
                    <w:rPr>
                      <w:rFonts w:hint="eastAsia" w:ascii="Times New Roman" w:hAnsi="Times New Roman"/>
                      <w:color w:val="0000FF"/>
                      <w:szCs w:val="21"/>
                      <w:lang w:val="en-US" w:eastAsia="zh-CN"/>
                    </w:rPr>
                    <w:t>2</w:t>
                  </w:r>
                </w:p>
              </w:tc>
              <w:tc>
                <w:tcPr>
                  <w:tcW w:w="2021" w:type="pct"/>
                  <w:noWrap w:val="0"/>
                  <w:vAlign w:val="center"/>
                </w:tcPr>
                <w:p w14:paraId="12856C4A">
                  <w:pPr>
                    <w:pStyle w:val="129"/>
                    <w:rPr>
                      <w:rFonts w:hint="eastAsia" w:ascii="Times New Roman" w:hAnsi="Times New Roman" w:cs="Times New Roman"/>
                      <w:color w:val="0000FF"/>
                      <w:szCs w:val="21"/>
                      <w:lang w:eastAsia="zh-CN"/>
                    </w:rPr>
                  </w:pPr>
                  <w:r>
                    <w:rPr>
                      <w:rFonts w:hint="eastAsia" w:ascii="Times New Roman" w:hAnsi="Times New Roman" w:cs="Times New Roman"/>
                      <w:color w:val="0000FF"/>
                      <w:szCs w:val="21"/>
                      <w:lang w:eastAsia="zh-CN"/>
                    </w:rPr>
                    <w:t>计量喂料系统</w:t>
                  </w:r>
                </w:p>
              </w:tc>
              <w:tc>
                <w:tcPr>
                  <w:tcW w:w="407" w:type="pct"/>
                  <w:noWrap w:val="0"/>
                  <w:vAlign w:val="center"/>
                </w:tcPr>
                <w:p w14:paraId="3FFF35AA">
                  <w:pPr>
                    <w:adjustRightInd w:val="0"/>
                    <w:snapToGrid w:val="0"/>
                    <w:jc w:val="center"/>
                    <w:rPr>
                      <w:rFonts w:ascii="Times New Roman" w:hAnsi="Times New Roman"/>
                      <w:color w:val="0000FF"/>
                      <w:szCs w:val="21"/>
                    </w:rPr>
                  </w:pPr>
                  <w:r>
                    <w:rPr>
                      <w:rFonts w:hint="eastAsia" w:ascii="Times New Roman" w:hAnsi="Times New Roman"/>
                      <w:color w:val="0000FF"/>
                      <w:szCs w:val="21"/>
                      <w:lang w:eastAsia="zh-CN"/>
                    </w:rPr>
                    <w:t>套</w:t>
                  </w:r>
                </w:p>
              </w:tc>
              <w:tc>
                <w:tcPr>
                  <w:tcW w:w="676" w:type="pct"/>
                  <w:noWrap w:val="0"/>
                  <w:vAlign w:val="center"/>
                </w:tcPr>
                <w:p w14:paraId="05A33A6E">
                  <w:pPr>
                    <w:adjustRightInd w:val="0"/>
                    <w:snapToGrid w:val="0"/>
                    <w:jc w:val="center"/>
                    <w:rPr>
                      <w:rFonts w:hint="eastAsia" w:ascii="Times New Roman" w:hAnsi="Times New Roman" w:eastAsia="宋体"/>
                      <w:color w:val="0000FF"/>
                      <w:szCs w:val="21"/>
                      <w:lang w:val="en-US" w:eastAsia="zh-CN"/>
                    </w:rPr>
                  </w:pPr>
                  <w:r>
                    <w:rPr>
                      <w:rFonts w:hint="eastAsia" w:ascii="Times New Roman" w:hAnsi="Times New Roman"/>
                      <w:color w:val="0000FF"/>
                      <w:szCs w:val="21"/>
                      <w:lang w:val="en-US" w:eastAsia="zh-CN"/>
                    </w:rPr>
                    <w:t>0</w:t>
                  </w:r>
                </w:p>
              </w:tc>
              <w:tc>
                <w:tcPr>
                  <w:tcW w:w="810" w:type="pct"/>
                  <w:noWrap w:val="0"/>
                  <w:vAlign w:val="center"/>
                </w:tcPr>
                <w:p w14:paraId="3A8CA315">
                  <w:pPr>
                    <w:adjustRightInd w:val="0"/>
                    <w:snapToGrid w:val="0"/>
                    <w:jc w:val="center"/>
                    <w:rPr>
                      <w:rFonts w:hint="eastAsia" w:ascii="Times New Roman" w:hAnsi="Times New Roman" w:eastAsia="宋体"/>
                      <w:color w:val="0000FF"/>
                      <w:szCs w:val="21"/>
                      <w:lang w:val="en-US" w:eastAsia="zh-CN"/>
                    </w:rPr>
                  </w:pPr>
                  <w:r>
                    <w:rPr>
                      <w:rFonts w:hint="eastAsia" w:ascii="Times New Roman" w:hAnsi="Times New Roman"/>
                      <w:color w:val="0000FF"/>
                      <w:szCs w:val="21"/>
                      <w:lang w:val="en-US" w:eastAsia="zh-CN"/>
                    </w:rPr>
                    <w:t>1</w:t>
                  </w:r>
                </w:p>
              </w:tc>
              <w:tc>
                <w:tcPr>
                  <w:tcW w:w="676" w:type="pct"/>
                  <w:noWrap w:val="0"/>
                  <w:vAlign w:val="center"/>
                </w:tcPr>
                <w:p w14:paraId="7955A4C9">
                  <w:pPr>
                    <w:adjustRightInd w:val="0"/>
                    <w:snapToGrid w:val="0"/>
                    <w:jc w:val="center"/>
                    <w:rPr>
                      <w:rFonts w:hint="eastAsia" w:ascii="Times New Roman" w:hAnsi="Times New Roman" w:eastAsia="宋体"/>
                      <w:color w:val="0000FF"/>
                      <w:szCs w:val="21"/>
                      <w:lang w:eastAsia="zh-CN"/>
                    </w:rPr>
                  </w:pPr>
                  <w:bookmarkStart w:id="66" w:name="OLE_LINK77"/>
                  <w:r>
                    <w:rPr>
                      <w:rFonts w:hint="eastAsia" w:ascii="Times New Roman" w:hAnsi="Times New Roman"/>
                      <w:color w:val="0000FF"/>
                      <w:szCs w:val="21"/>
                      <w:lang w:val="en-US" w:eastAsia="zh-CN"/>
                    </w:rPr>
                    <w:t>新增1套</w:t>
                  </w:r>
                  <w:bookmarkEnd w:id="66"/>
                </w:p>
              </w:tc>
            </w:tr>
            <w:tr w14:paraId="5276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7" w:type="pct"/>
                  <w:noWrap w:val="0"/>
                  <w:vAlign w:val="center"/>
                </w:tcPr>
                <w:p w14:paraId="39459A4C">
                  <w:pPr>
                    <w:adjustRightInd w:val="0"/>
                    <w:snapToGrid w:val="0"/>
                    <w:jc w:val="center"/>
                    <w:rPr>
                      <w:rFonts w:hint="eastAsia" w:ascii="Times New Roman" w:hAnsi="Times New Roman" w:eastAsia="宋体"/>
                      <w:color w:val="0000FF"/>
                      <w:szCs w:val="21"/>
                      <w:lang w:val="en-US" w:eastAsia="zh-CN"/>
                    </w:rPr>
                  </w:pPr>
                  <w:r>
                    <w:rPr>
                      <w:rFonts w:hint="eastAsia" w:ascii="Times New Roman" w:hAnsi="Times New Roman"/>
                      <w:color w:val="0000FF"/>
                      <w:szCs w:val="21"/>
                      <w:lang w:val="en-US" w:eastAsia="zh-CN"/>
                    </w:rPr>
                    <w:t>3</w:t>
                  </w:r>
                </w:p>
              </w:tc>
              <w:tc>
                <w:tcPr>
                  <w:tcW w:w="2021" w:type="pct"/>
                  <w:noWrap w:val="0"/>
                  <w:vAlign w:val="center"/>
                </w:tcPr>
                <w:p w14:paraId="5C300815">
                  <w:pPr>
                    <w:pStyle w:val="129"/>
                    <w:rPr>
                      <w:rFonts w:hint="eastAsia" w:ascii="Times New Roman" w:hAnsi="Times New Roman" w:cs="Times New Roman"/>
                      <w:color w:val="0000FF"/>
                      <w:szCs w:val="21"/>
                      <w:lang w:eastAsia="zh-CN"/>
                    </w:rPr>
                  </w:pPr>
                  <w:r>
                    <w:rPr>
                      <w:rFonts w:hint="eastAsia" w:ascii="Times New Roman" w:hAnsi="Times New Roman" w:cs="Times New Roman"/>
                      <w:color w:val="0000FF"/>
                      <w:szCs w:val="21"/>
                      <w:lang w:eastAsia="zh-CN"/>
                    </w:rPr>
                    <w:t>消防系统</w:t>
                  </w:r>
                </w:p>
              </w:tc>
              <w:tc>
                <w:tcPr>
                  <w:tcW w:w="407" w:type="pct"/>
                  <w:noWrap w:val="0"/>
                  <w:vAlign w:val="center"/>
                </w:tcPr>
                <w:p w14:paraId="17C7E596">
                  <w:pPr>
                    <w:adjustRightInd w:val="0"/>
                    <w:snapToGrid w:val="0"/>
                    <w:jc w:val="center"/>
                    <w:rPr>
                      <w:rFonts w:ascii="Times New Roman" w:hAnsi="Times New Roman"/>
                      <w:color w:val="0000FF"/>
                      <w:szCs w:val="21"/>
                    </w:rPr>
                  </w:pPr>
                  <w:r>
                    <w:rPr>
                      <w:rFonts w:hint="eastAsia" w:ascii="Times New Roman" w:hAnsi="Times New Roman"/>
                      <w:color w:val="0000FF"/>
                      <w:szCs w:val="21"/>
                      <w:lang w:eastAsia="zh-CN"/>
                    </w:rPr>
                    <w:t>套</w:t>
                  </w:r>
                </w:p>
              </w:tc>
              <w:tc>
                <w:tcPr>
                  <w:tcW w:w="676" w:type="pct"/>
                  <w:noWrap w:val="0"/>
                  <w:vAlign w:val="center"/>
                </w:tcPr>
                <w:p w14:paraId="35874951">
                  <w:pPr>
                    <w:adjustRightInd w:val="0"/>
                    <w:snapToGrid w:val="0"/>
                    <w:jc w:val="center"/>
                    <w:rPr>
                      <w:rFonts w:hint="eastAsia" w:ascii="Times New Roman" w:hAnsi="Times New Roman" w:eastAsia="宋体"/>
                      <w:color w:val="0000FF"/>
                      <w:szCs w:val="21"/>
                      <w:lang w:val="en-US" w:eastAsia="zh-CN"/>
                    </w:rPr>
                  </w:pPr>
                  <w:r>
                    <w:rPr>
                      <w:rFonts w:hint="eastAsia" w:ascii="Times New Roman" w:hAnsi="Times New Roman"/>
                      <w:color w:val="0000FF"/>
                      <w:szCs w:val="21"/>
                      <w:lang w:val="en-US" w:eastAsia="zh-CN"/>
                    </w:rPr>
                    <w:t>0</w:t>
                  </w:r>
                </w:p>
              </w:tc>
              <w:tc>
                <w:tcPr>
                  <w:tcW w:w="810" w:type="pct"/>
                  <w:noWrap w:val="0"/>
                  <w:vAlign w:val="center"/>
                </w:tcPr>
                <w:p w14:paraId="19E07995">
                  <w:pPr>
                    <w:adjustRightInd w:val="0"/>
                    <w:snapToGrid w:val="0"/>
                    <w:jc w:val="center"/>
                    <w:rPr>
                      <w:rFonts w:hint="eastAsia" w:ascii="Times New Roman" w:hAnsi="Times New Roman" w:eastAsia="宋体"/>
                      <w:color w:val="0000FF"/>
                      <w:szCs w:val="21"/>
                      <w:lang w:val="en-US" w:eastAsia="zh-CN"/>
                    </w:rPr>
                  </w:pPr>
                  <w:r>
                    <w:rPr>
                      <w:rFonts w:hint="eastAsia" w:ascii="Times New Roman" w:hAnsi="Times New Roman"/>
                      <w:color w:val="0000FF"/>
                      <w:szCs w:val="21"/>
                      <w:lang w:val="en-US" w:eastAsia="zh-CN"/>
                    </w:rPr>
                    <w:t>1</w:t>
                  </w:r>
                </w:p>
              </w:tc>
              <w:tc>
                <w:tcPr>
                  <w:tcW w:w="676" w:type="pct"/>
                  <w:noWrap w:val="0"/>
                  <w:vAlign w:val="center"/>
                </w:tcPr>
                <w:p w14:paraId="4241A55B">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新增1套</w:t>
                  </w:r>
                </w:p>
              </w:tc>
            </w:tr>
            <w:tr w14:paraId="0FE54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7" w:type="pct"/>
                  <w:noWrap w:val="0"/>
                  <w:vAlign w:val="center"/>
                </w:tcPr>
                <w:p w14:paraId="79563EC1">
                  <w:pPr>
                    <w:adjustRightInd w:val="0"/>
                    <w:snapToGrid w:val="0"/>
                    <w:jc w:val="center"/>
                    <w:rPr>
                      <w:rFonts w:hint="eastAsia" w:ascii="Times New Roman" w:hAnsi="Times New Roman" w:eastAsia="宋体"/>
                      <w:color w:val="0000FF"/>
                      <w:szCs w:val="21"/>
                      <w:lang w:val="en-US" w:eastAsia="zh-CN"/>
                    </w:rPr>
                  </w:pPr>
                  <w:r>
                    <w:rPr>
                      <w:rFonts w:hint="eastAsia" w:ascii="Times New Roman" w:hAnsi="Times New Roman"/>
                      <w:color w:val="0000FF"/>
                      <w:szCs w:val="21"/>
                      <w:lang w:val="en-US" w:eastAsia="zh-CN"/>
                    </w:rPr>
                    <w:t>4</w:t>
                  </w:r>
                </w:p>
              </w:tc>
              <w:tc>
                <w:tcPr>
                  <w:tcW w:w="2021" w:type="pct"/>
                  <w:noWrap w:val="0"/>
                  <w:vAlign w:val="center"/>
                </w:tcPr>
                <w:p w14:paraId="5BB4FFAE">
                  <w:pPr>
                    <w:pStyle w:val="129"/>
                    <w:rPr>
                      <w:rFonts w:hint="eastAsia" w:ascii="Times New Roman" w:hAnsi="Times New Roman" w:cs="Times New Roman"/>
                      <w:color w:val="0000FF"/>
                      <w:szCs w:val="21"/>
                      <w:lang w:eastAsia="zh-CN"/>
                    </w:rPr>
                  </w:pPr>
                  <w:r>
                    <w:rPr>
                      <w:rFonts w:hint="eastAsia" w:ascii="Times New Roman" w:hAnsi="Times New Roman" w:cs="Times New Roman"/>
                      <w:color w:val="0000FF"/>
                      <w:szCs w:val="21"/>
                      <w:lang w:eastAsia="zh-CN"/>
                    </w:rPr>
                    <w:t>电气系统</w:t>
                  </w:r>
                </w:p>
              </w:tc>
              <w:tc>
                <w:tcPr>
                  <w:tcW w:w="407" w:type="pct"/>
                  <w:noWrap w:val="0"/>
                  <w:vAlign w:val="center"/>
                </w:tcPr>
                <w:p w14:paraId="78EB2B47">
                  <w:pPr>
                    <w:adjustRightInd w:val="0"/>
                    <w:snapToGrid w:val="0"/>
                    <w:jc w:val="center"/>
                    <w:rPr>
                      <w:rFonts w:ascii="Times New Roman" w:hAnsi="Times New Roman"/>
                      <w:color w:val="0000FF"/>
                      <w:szCs w:val="21"/>
                    </w:rPr>
                  </w:pPr>
                  <w:r>
                    <w:rPr>
                      <w:rFonts w:hint="eastAsia" w:ascii="Times New Roman" w:hAnsi="Times New Roman"/>
                      <w:color w:val="0000FF"/>
                      <w:szCs w:val="21"/>
                      <w:lang w:eastAsia="zh-CN"/>
                    </w:rPr>
                    <w:t>套</w:t>
                  </w:r>
                </w:p>
              </w:tc>
              <w:tc>
                <w:tcPr>
                  <w:tcW w:w="676" w:type="pct"/>
                  <w:noWrap w:val="0"/>
                  <w:vAlign w:val="center"/>
                </w:tcPr>
                <w:p w14:paraId="1EB43FF8">
                  <w:pPr>
                    <w:adjustRightInd w:val="0"/>
                    <w:snapToGrid w:val="0"/>
                    <w:jc w:val="center"/>
                    <w:rPr>
                      <w:rFonts w:hint="eastAsia" w:ascii="Times New Roman" w:hAnsi="Times New Roman" w:eastAsia="宋体"/>
                      <w:color w:val="0000FF"/>
                      <w:szCs w:val="21"/>
                      <w:lang w:val="en-US" w:eastAsia="zh-CN"/>
                    </w:rPr>
                  </w:pPr>
                  <w:r>
                    <w:rPr>
                      <w:rFonts w:hint="eastAsia" w:ascii="Times New Roman" w:hAnsi="Times New Roman"/>
                      <w:color w:val="0000FF"/>
                      <w:szCs w:val="21"/>
                      <w:lang w:val="en-US" w:eastAsia="zh-CN"/>
                    </w:rPr>
                    <w:t>0</w:t>
                  </w:r>
                </w:p>
              </w:tc>
              <w:tc>
                <w:tcPr>
                  <w:tcW w:w="810" w:type="pct"/>
                  <w:noWrap w:val="0"/>
                  <w:vAlign w:val="center"/>
                </w:tcPr>
                <w:p w14:paraId="4231F814">
                  <w:pPr>
                    <w:adjustRightInd w:val="0"/>
                    <w:snapToGrid w:val="0"/>
                    <w:jc w:val="center"/>
                    <w:rPr>
                      <w:rFonts w:hint="eastAsia" w:ascii="Times New Roman" w:hAnsi="Times New Roman" w:eastAsia="宋体"/>
                      <w:color w:val="0000FF"/>
                      <w:szCs w:val="21"/>
                      <w:lang w:val="en-US" w:eastAsia="zh-CN"/>
                    </w:rPr>
                  </w:pPr>
                  <w:r>
                    <w:rPr>
                      <w:rFonts w:hint="eastAsia" w:ascii="Times New Roman" w:hAnsi="Times New Roman"/>
                      <w:color w:val="0000FF"/>
                      <w:szCs w:val="21"/>
                      <w:lang w:val="en-US" w:eastAsia="zh-CN"/>
                    </w:rPr>
                    <w:t>1</w:t>
                  </w:r>
                </w:p>
              </w:tc>
              <w:tc>
                <w:tcPr>
                  <w:tcW w:w="676" w:type="pct"/>
                  <w:noWrap w:val="0"/>
                  <w:vAlign w:val="center"/>
                </w:tcPr>
                <w:p w14:paraId="4E8AD725">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新增1套</w:t>
                  </w:r>
                </w:p>
              </w:tc>
            </w:tr>
            <w:tr w14:paraId="4CEFF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7" w:type="pct"/>
                  <w:noWrap w:val="0"/>
                  <w:vAlign w:val="center"/>
                </w:tcPr>
                <w:p w14:paraId="355E3B9C">
                  <w:pPr>
                    <w:adjustRightInd w:val="0"/>
                    <w:snapToGrid w:val="0"/>
                    <w:jc w:val="center"/>
                    <w:rPr>
                      <w:rFonts w:hint="eastAsia" w:ascii="Times New Roman" w:hAnsi="Times New Roman" w:eastAsia="宋体"/>
                      <w:color w:val="0000FF"/>
                      <w:szCs w:val="21"/>
                      <w:lang w:val="en-US" w:eastAsia="zh-CN"/>
                    </w:rPr>
                  </w:pPr>
                  <w:r>
                    <w:rPr>
                      <w:rFonts w:hint="eastAsia" w:ascii="Times New Roman" w:hAnsi="Times New Roman"/>
                      <w:color w:val="0000FF"/>
                      <w:szCs w:val="21"/>
                      <w:lang w:val="en-US" w:eastAsia="zh-CN"/>
                    </w:rPr>
                    <w:t>5</w:t>
                  </w:r>
                </w:p>
              </w:tc>
              <w:tc>
                <w:tcPr>
                  <w:tcW w:w="2021" w:type="pct"/>
                  <w:noWrap w:val="0"/>
                  <w:vAlign w:val="center"/>
                </w:tcPr>
                <w:p w14:paraId="45C3B494">
                  <w:pPr>
                    <w:pStyle w:val="129"/>
                    <w:rPr>
                      <w:rFonts w:hint="default" w:ascii="Times New Roman" w:hAnsi="Times New Roman" w:cs="Times New Roman"/>
                      <w:color w:val="0000FF"/>
                      <w:szCs w:val="21"/>
                      <w:lang w:val="en-US" w:eastAsia="zh-CN"/>
                    </w:rPr>
                  </w:pPr>
                  <w:r>
                    <w:rPr>
                      <w:rFonts w:hint="eastAsia" w:ascii="Times New Roman" w:hAnsi="Times New Roman" w:cs="Times New Roman"/>
                      <w:color w:val="0000FF"/>
                      <w:szCs w:val="21"/>
                      <w:lang w:val="en-US" w:eastAsia="zh-CN"/>
                    </w:rPr>
                    <w:t>DCS全套系统</w:t>
                  </w:r>
                </w:p>
              </w:tc>
              <w:tc>
                <w:tcPr>
                  <w:tcW w:w="407" w:type="pct"/>
                  <w:noWrap w:val="0"/>
                  <w:vAlign w:val="center"/>
                </w:tcPr>
                <w:p w14:paraId="2A0111FC">
                  <w:pPr>
                    <w:adjustRightInd w:val="0"/>
                    <w:snapToGrid w:val="0"/>
                    <w:jc w:val="center"/>
                    <w:rPr>
                      <w:rFonts w:ascii="Times New Roman" w:hAnsi="Times New Roman"/>
                      <w:color w:val="0000FF"/>
                      <w:szCs w:val="21"/>
                    </w:rPr>
                  </w:pPr>
                  <w:r>
                    <w:rPr>
                      <w:rFonts w:hint="eastAsia" w:ascii="Times New Roman" w:hAnsi="Times New Roman"/>
                      <w:color w:val="0000FF"/>
                      <w:szCs w:val="21"/>
                      <w:lang w:eastAsia="zh-CN"/>
                    </w:rPr>
                    <w:t>套</w:t>
                  </w:r>
                </w:p>
              </w:tc>
              <w:tc>
                <w:tcPr>
                  <w:tcW w:w="676" w:type="pct"/>
                  <w:noWrap w:val="0"/>
                  <w:vAlign w:val="center"/>
                </w:tcPr>
                <w:p w14:paraId="719030CC">
                  <w:pPr>
                    <w:adjustRightInd w:val="0"/>
                    <w:snapToGrid w:val="0"/>
                    <w:jc w:val="center"/>
                    <w:rPr>
                      <w:rFonts w:hint="eastAsia" w:ascii="Times New Roman" w:hAnsi="Times New Roman" w:eastAsia="宋体"/>
                      <w:color w:val="0000FF"/>
                      <w:szCs w:val="21"/>
                      <w:lang w:val="en-US" w:eastAsia="zh-CN"/>
                    </w:rPr>
                  </w:pPr>
                  <w:r>
                    <w:rPr>
                      <w:rFonts w:hint="eastAsia" w:ascii="Times New Roman" w:hAnsi="Times New Roman"/>
                      <w:color w:val="0000FF"/>
                      <w:szCs w:val="21"/>
                      <w:lang w:val="en-US" w:eastAsia="zh-CN"/>
                    </w:rPr>
                    <w:t>0</w:t>
                  </w:r>
                </w:p>
              </w:tc>
              <w:tc>
                <w:tcPr>
                  <w:tcW w:w="810" w:type="pct"/>
                  <w:noWrap w:val="0"/>
                  <w:vAlign w:val="center"/>
                </w:tcPr>
                <w:p w14:paraId="6D7B49CF">
                  <w:pPr>
                    <w:adjustRightInd w:val="0"/>
                    <w:snapToGrid w:val="0"/>
                    <w:jc w:val="center"/>
                    <w:rPr>
                      <w:rFonts w:hint="eastAsia" w:ascii="Times New Roman" w:hAnsi="Times New Roman" w:eastAsia="宋体"/>
                      <w:color w:val="0000FF"/>
                      <w:szCs w:val="21"/>
                      <w:lang w:val="en-US" w:eastAsia="zh-CN"/>
                    </w:rPr>
                  </w:pPr>
                  <w:r>
                    <w:rPr>
                      <w:rFonts w:hint="eastAsia" w:ascii="Times New Roman" w:hAnsi="Times New Roman"/>
                      <w:color w:val="0000FF"/>
                      <w:szCs w:val="21"/>
                      <w:lang w:val="en-US" w:eastAsia="zh-CN"/>
                    </w:rPr>
                    <w:t>1</w:t>
                  </w:r>
                </w:p>
              </w:tc>
              <w:tc>
                <w:tcPr>
                  <w:tcW w:w="676" w:type="pct"/>
                  <w:noWrap w:val="0"/>
                  <w:vAlign w:val="center"/>
                </w:tcPr>
                <w:p w14:paraId="4BC10262">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新增1套</w:t>
                  </w:r>
                </w:p>
              </w:tc>
            </w:tr>
            <w:tr w14:paraId="66AD5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7" w:type="pct"/>
                  <w:noWrap w:val="0"/>
                  <w:vAlign w:val="center"/>
                </w:tcPr>
                <w:p w14:paraId="486F6E26">
                  <w:pPr>
                    <w:adjustRightInd w:val="0"/>
                    <w:snapToGrid w:val="0"/>
                    <w:jc w:val="center"/>
                    <w:rPr>
                      <w:rFonts w:hint="eastAsia" w:ascii="Times New Roman" w:hAnsi="Times New Roman" w:eastAsia="宋体"/>
                      <w:color w:val="0000FF"/>
                      <w:szCs w:val="21"/>
                      <w:lang w:val="en-US" w:eastAsia="zh-CN"/>
                    </w:rPr>
                  </w:pPr>
                  <w:r>
                    <w:rPr>
                      <w:rFonts w:hint="eastAsia" w:ascii="Times New Roman" w:hAnsi="Times New Roman"/>
                      <w:color w:val="0000FF"/>
                      <w:szCs w:val="21"/>
                      <w:lang w:val="en-US" w:eastAsia="zh-CN"/>
                    </w:rPr>
                    <w:t>6</w:t>
                  </w:r>
                </w:p>
              </w:tc>
              <w:tc>
                <w:tcPr>
                  <w:tcW w:w="2021" w:type="pct"/>
                  <w:noWrap w:val="0"/>
                  <w:vAlign w:val="center"/>
                </w:tcPr>
                <w:p w14:paraId="79DDC470">
                  <w:pPr>
                    <w:pStyle w:val="129"/>
                    <w:rPr>
                      <w:rFonts w:hint="eastAsia" w:ascii="Times New Roman" w:hAnsi="Times New Roman" w:cs="Times New Roman"/>
                      <w:color w:val="0000FF"/>
                      <w:szCs w:val="21"/>
                      <w:lang w:val="en-US" w:eastAsia="zh-CN"/>
                    </w:rPr>
                  </w:pPr>
                  <w:r>
                    <w:rPr>
                      <w:rFonts w:hint="eastAsia" w:ascii="Times New Roman" w:hAnsi="Times New Roman" w:cs="Times New Roman"/>
                      <w:color w:val="0000FF"/>
                      <w:szCs w:val="21"/>
                      <w:lang w:val="en-US" w:eastAsia="zh-CN"/>
                    </w:rPr>
                    <w:t>监控系统</w:t>
                  </w:r>
                </w:p>
              </w:tc>
              <w:tc>
                <w:tcPr>
                  <w:tcW w:w="407" w:type="pct"/>
                  <w:noWrap w:val="0"/>
                  <w:vAlign w:val="center"/>
                </w:tcPr>
                <w:p w14:paraId="545F868E">
                  <w:pPr>
                    <w:adjustRightInd w:val="0"/>
                    <w:snapToGrid w:val="0"/>
                    <w:jc w:val="center"/>
                    <w:rPr>
                      <w:rFonts w:ascii="Times New Roman" w:hAnsi="Times New Roman"/>
                      <w:color w:val="0000FF"/>
                      <w:szCs w:val="21"/>
                    </w:rPr>
                  </w:pPr>
                  <w:r>
                    <w:rPr>
                      <w:rFonts w:hint="eastAsia" w:ascii="Times New Roman" w:hAnsi="Times New Roman"/>
                      <w:color w:val="0000FF"/>
                      <w:szCs w:val="21"/>
                      <w:lang w:eastAsia="zh-CN"/>
                    </w:rPr>
                    <w:t>套</w:t>
                  </w:r>
                </w:p>
              </w:tc>
              <w:tc>
                <w:tcPr>
                  <w:tcW w:w="676" w:type="pct"/>
                  <w:noWrap w:val="0"/>
                  <w:vAlign w:val="center"/>
                </w:tcPr>
                <w:p w14:paraId="6A235FC9">
                  <w:pPr>
                    <w:adjustRightInd w:val="0"/>
                    <w:snapToGrid w:val="0"/>
                    <w:jc w:val="center"/>
                    <w:rPr>
                      <w:rFonts w:hint="eastAsia" w:ascii="Times New Roman" w:hAnsi="Times New Roman" w:eastAsia="宋体"/>
                      <w:color w:val="0000FF"/>
                      <w:szCs w:val="21"/>
                      <w:lang w:val="en-US" w:eastAsia="zh-CN"/>
                    </w:rPr>
                  </w:pPr>
                  <w:r>
                    <w:rPr>
                      <w:rFonts w:hint="eastAsia" w:ascii="Times New Roman" w:hAnsi="Times New Roman"/>
                      <w:color w:val="0000FF"/>
                      <w:szCs w:val="21"/>
                      <w:lang w:val="en-US" w:eastAsia="zh-CN"/>
                    </w:rPr>
                    <w:t>0</w:t>
                  </w:r>
                </w:p>
              </w:tc>
              <w:tc>
                <w:tcPr>
                  <w:tcW w:w="810" w:type="pct"/>
                  <w:noWrap w:val="0"/>
                  <w:vAlign w:val="center"/>
                </w:tcPr>
                <w:p w14:paraId="3536953E">
                  <w:pPr>
                    <w:adjustRightInd w:val="0"/>
                    <w:snapToGrid w:val="0"/>
                    <w:jc w:val="center"/>
                    <w:rPr>
                      <w:rFonts w:hint="eastAsia" w:ascii="Times New Roman" w:hAnsi="Times New Roman" w:eastAsia="宋体"/>
                      <w:color w:val="0000FF"/>
                      <w:szCs w:val="21"/>
                      <w:lang w:val="en-US" w:eastAsia="zh-CN"/>
                    </w:rPr>
                  </w:pPr>
                  <w:r>
                    <w:rPr>
                      <w:rFonts w:hint="eastAsia" w:ascii="Times New Roman" w:hAnsi="Times New Roman"/>
                      <w:color w:val="0000FF"/>
                      <w:szCs w:val="21"/>
                      <w:lang w:val="en-US" w:eastAsia="zh-CN"/>
                    </w:rPr>
                    <w:t>1</w:t>
                  </w:r>
                </w:p>
              </w:tc>
              <w:tc>
                <w:tcPr>
                  <w:tcW w:w="676" w:type="pct"/>
                  <w:noWrap w:val="0"/>
                  <w:vAlign w:val="center"/>
                </w:tcPr>
                <w:p w14:paraId="3ADA4523">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新增1套</w:t>
                  </w:r>
                </w:p>
              </w:tc>
            </w:tr>
            <w:tr w14:paraId="41927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7" w:type="pct"/>
                  <w:noWrap w:val="0"/>
                  <w:vAlign w:val="center"/>
                </w:tcPr>
                <w:p w14:paraId="2C6B6191">
                  <w:pPr>
                    <w:adjustRightInd w:val="0"/>
                    <w:snapToGrid w:val="0"/>
                    <w:jc w:val="center"/>
                    <w:rPr>
                      <w:rFonts w:hint="eastAsia" w:ascii="Times New Roman" w:hAnsi="Times New Roman" w:eastAsia="宋体"/>
                      <w:color w:val="0000FF"/>
                      <w:szCs w:val="21"/>
                      <w:lang w:val="en-US" w:eastAsia="zh-CN"/>
                    </w:rPr>
                  </w:pPr>
                  <w:r>
                    <w:rPr>
                      <w:rFonts w:hint="eastAsia" w:ascii="Times New Roman" w:hAnsi="Times New Roman"/>
                      <w:color w:val="0000FF"/>
                      <w:szCs w:val="21"/>
                      <w:lang w:val="en-US" w:eastAsia="zh-CN"/>
                    </w:rPr>
                    <w:t>7</w:t>
                  </w:r>
                </w:p>
              </w:tc>
              <w:tc>
                <w:tcPr>
                  <w:tcW w:w="2021" w:type="pct"/>
                  <w:noWrap w:val="0"/>
                  <w:vAlign w:val="center"/>
                </w:tcPr>
                <w:p w14:paraId="2709D2C2">
                  <w:pPr>
                    <w:pStyle w:val="129"/>
                    <w:rPr>
                      <w:rFonts w:hint="eastAsia" w:ascii="Times New Roman" w:hAnsi="Times New Roman" w:cs="Times New Roman"/>
                      <w:color w:val="0000FF"/>
                      <w:szCs w:val="21"/>
                      <w:lang w:val="en-US" w:eastAsia="zh-CN"/>
                    </w:rPr>
                  </w:pPr>
                  <w:r>
                    <w:rPr>
                      <w:rFonts w:hint="eastAsia" w:ascii="Times New Roman" w:hAnsi="Times New Roman" w:cs="Times New Roman"/>
                      <w:color w:val="0000FF"/>
                      <w:szCs w:val="21"/>
                      <w:lang w:val="en-US" w:eastAsia="zh-CN"/>
                    </w:rPr>
                    <w:t>电梯</w:t>
                  </w:r>
                </w:p>
              </w:tc>
              <w:tc>
                <w:tcPr>
                  <w:tcW w:w="407" w:type="pct"/>
                  <w:noWrap w:val="0"/>
                  <w:vAlign w:val="center"/>
                </w:tcPr>
                <w:p w14:paraId="67BEECA8">
                  <w:pPr>
                    <w:adjustRightInd w:val="0"/>
                    <w:snapToGrid w:val="0"/>
                    <w:jc w:val="center"/>
                    <w:rPr>
                      <w:rFonts w:ascii="Times New Roman" w:hAnsi="Times New Roman"/>
                      <w:color w:val="0000FF"/>
                      <w:szCs w:val="21"/>
                    </w:rPr>
                  </w:pPr>
                  <w:r>
                    <w:rPr>
                      <w:rFonts w:hint="eastAsia" w:ascii="Times New Roman" w:hAnsi="Times New Roman"/>
                      <w:color w:val="0000FF"/>
                      <w:szCs w:val="21"/>
                      <w:lang w:eastAsia="zh-CN"/>
                    </w:rPr>
                    <w:t>套</w:t>
                  </w:r>
                </w:p>
              </w:tc>
              <w:tc>
                <w:tcPr>
                  <w:tcW w:w="676" w:type="pct"/>
                  <w:noWrap w:val="0"/>
                  <w:vAlign w:val="center"/>
                </w:tcPr>
                <w:p w14:paraId="49F038DE">
                  <w:pPr>
                    <w:adjustRightInd w:val="0"/>
                    <w:snapToGrid w:val="0"/>
                    <w:jc w:val="center"/>
                    <w:rPr>
                      <w:rFonts w:hint="eastAsia" w:ascii="Times New Roman" w:hAnsi="Times New Roman" w:eastAsia="宋体"/>
                      <w:color w:val="0000FF"/>
                      <w:szCs w:val="21"/>
                      <w:lang w:val="en-US" w:eastAsia="zh-CN"/>
                    </w:rPr>
                  </w:pPr>
                  <w:bookmarkStart w:id="67" w:name="OLE_LINK74"/>
                  <w:r>
                    <w:rPr>
                      <w:rFonts w:hint="eastAsia" w:ascii="Times New Roman" w:hAnsi="Times New Roman"/>
                      <w:color w:val="0000FF"/>
                      <w:szCs w:val="21"/>
                      <w:lang w:val="en-US" w:eastAsia="zh-CN"/>
                    </w:rPr>
                    <w:t>0</w:t>
                  </w:r>
                  <w:bookmarkEnd w:id="67"/>
                </w:p>
              </w:tc>
              <w:tc>
                <w:tcPr>
                  <w:tcW w:w="810" w:type="pct"/>
                  <w:noWrap w:val="0"/>
                  <w:vAlign w:val="center"/>
                </w:tcPr>
                <w:p w14:paraId="246E7C9D">
                  <w:pPr>
                    <w:adjustRightInd w:val="0"/>
                    <w:snapToGrid w:val="0"/>
                    <w:jc w:val="center"/>
                    <w:rPr>
                      <w:rFonts w:hint="eastAsia" w:ascii="Times New Roman" w:hAnsi="Times New Roman" w:eastAsia="宋体"/>
                      <w:color w:val="0000FF"/>
                      <w:szCs w:val="21"/>
                      <w:lang w:val="en-US" w:eastAsia="zh-CN"/>
                    </w:rPr>
                  </w:pPr>
                  <w:r>
                    <w:rPr>
                      <w:rFonts w:hint="eastAsia" w:ascii="Times New Roman" w:hAnsi="Times New Roman"/>
                      <w:color w:val="0000FF"/>
                      <w:szCs w:val="21"/>
                      <w:lang w:val="en-US" w:eastAsia="zh-CN"/>
                    </w:rPr>
                    <w:t>1</w:t>
                  </w:r>
                </w:p>
              </w:tc>
              <w:tc>
                <w:tcPr>
                  <w:tcW w:w="676" w:type="pct"/>
                  <w:noWrap w:val="0"/>
                  <w:vAlign w:val="center"/>
                </w:tcPr>
                <w:p w14:paraId="5119F718">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新增1套</w:t>
                  </w:r>
                </w:p>
              </w:tc>
            </w:tr>
            <w:tr w14:paraId="74D93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7" w:type="pct"/>
                  <w:noWrap w:val="0"/>
                  <w:vAlign w:val="center"/>
                </w:tcPr>
                <w:p w14:paraId="4AF1568B">
                  <w:pPr>
                    <w:adjustRightInd w:val="0"/>
                    <w:snapToGrid w:val="0"/>
                    <w:jc w:val="center"/>
                    <w:rPr>
                      <w:rFonts w:hint="default" w:ascii="Times New Roman" w:hAnsi="Times New Roman"/>
                      <w:color w:val="0000FF"/>
                      <w:szCs w:val="21"/>
                      <w:lang w:val="en-US" w:eastAsia="zh-CN"/>
                    </w:rPr>
                  </w:pPr>
                  <w:r>
                    <w:rPr>
                      <w:rFonts w:hint="eastAsia" w:ascii="Times New Roman" w:hAnsi="Times New Roman"/>
                      <w:color w:val="0000FF"/>
                      <w:szCs w:val="21"/>
                      <w:lang w:val="en-US" w:eastAsia="zh-CN"/>
                    </w:rPr>
                    <w:t>8</w:t>
                  </w:r>
                </w:p>
              </w:tc>
              <w:tc>
                <w:tcPr>
                  <w:tcW w:w="2021" w:type="pct"/>
                  <w:noWrap w:val="0"/>
                  <w:vAlign w:val="center"/>
                </w:tcPr>
                <w:p w14:paraId="323F5B12">
                  <w:pPr>
                    <w:pStyle w:val="129"/>
                    <w:rPr>
                      <w:rFonts w:hint="eastAsia" w:ascii="Times New Roman" w:hAnsi="Times New Roman" w:cs="Times New Roman"/>
                      <w:color w:val="0000FF"/>
                      <w:szCs w:val="21"/>
                      <w:lang w:val="en-US" w:eastAsia="zh-CN"/>
                    </w:rPr>
                  </w:pPr>
                  <w:r>
                    <w:rPr>
                      <w:rFonts w:hint="eastAsia" w:ascii="Times New Roman" w:hAnsi="Times New Roman" w:cs="Times New Roman"/>
                      <w:color w:val="0000FF"/>
                      <w:szCs w:val="21"/>
                      <w:lang w:val="en-US" w:eastAsia="zh-CN"/>
                    </w:rPr>
                    <w:t>锤式破碎机</w:t>
                  </w:r>
                </w:p>
              </w:tc>
              <w:tc>
                <w:tcPr>
                  <w:tcW w:w="407" w:type="pct"/>
                  <w:noWrap w:val="0"/>
                  <w:vAlign w:val="center"/>
                </w:tcPr>
                <w:p w14:paraId="5DD8117F">
                  <w:pPr>
                    <w:adjustRightInd w:val="0"/>
                    <w:snapToGrid w:val="0"/>
                    <w:jc w:val="center"/>
                    <w:rPr>
                      <w:rFonts w:hint="eastAsia" w:ascii="Times New Roman" w:hAnsi="Times New Roman"/>
                      <w:color w:val="0000FF"/>
                      <w:szCs w:val="21"/>
                      <w:lang w:eastAsia="zh-CN"/>
                    </w:rPr>
                  </w:pPr>
                  <w:bookmarkStart w:id="68" w:name="OLE_LINK71"/>
                  <w:r>
                    <w:rPr>
                      <w:rFonts w:hint="eastAsia" w:ascii="Times New Roman" w:hAnsi="Times New Roman"/>
                      <w:color w:val="0000FF"/>
                      <w:szCs w:val="21"/>
                      <w:lang w:eastAsia="zh-CN"/>
                    </w:rPr>
                    <w:t>台</w:t>
                  </w:r>
                  <w:bookmarkEnd w:id="68"/>
                </w:p>
              </w:tc>
              <w:tc>
                <w:tcPr>
                  <w:tcW w:w="676" w:type="pct"/>
                  <w:noWrap w:val="0"/>
                  <w:vAlign w:val="center"/>
                </w:tcPr>
                <w:p w14:paraId="3A884282">
                  <w:pPr>
                    <w:adjustRightInd w:val="0"/>
                    <w:snapToGrid w:val="0"/>
                    <w:jc w:val="center"/>
                    <w:rPr>
                      <w:rFonts w:hint="eastAsia" w:ascii="Times New Roman" w:hAnsi="Times New Roman" w:eastAsia="宋体"/>
                      <w:color w:val="0000FF"/>
                      <w:szCs w:val="21"/>
                      <w:lang w:val="en-US" w:eastAsia="zh-CN"/>
                    </w:rPr>
                  </w:pPr>
                  <w:bookmarkStart w:id="69" w:name="OLE_LINK73"/>
                  <w:r>
                    <w:rPr>
                      <w:rFonts w:hint="eastAsia" w:ascii="Times New Roman" w:hAnsi="Times New Roman"/>
                      <w:color w:val="0000FF"/>
                      <w:szCs w:val="21"/>
                      <w:lang w:val="en-US" w:eastAsia="zh-CN"/>
                    </w:rPr>
                    <w:t>1</w:t>
                  </w:r>
                  <w:bookmarkEnd w:id="69"/>
                </w:p>
              </w:tc>
              <w:tc>
                <w:tcPr>
                  <w:tcW w:w="810" w:type="pct"/>
                  <w:noWrap w:val="0"/>
                  <w:vAlign w:val="center"/>
                </w:tcPr>
                <w:p w14:paraId="4A7DCE54">
                  <w:pPr>
                    <w:adjustRightInd w:val="0"/>
                    <w:snapToGrid w:val="0"/>
                    <w:jc w:val="center"/>
                    <w:rPr>
                      <w:rFonts w:ascii="Times New Roman" w:hAnsi="Times New Roman"/>
                      <w:color w:val="0000FF"/>
                      <w:szCs w:val="21"/>
                    </w:rPr>
                  </w:pPr>
                  <w:bookmarkStart w:id="70" w:name="OLE_LINK75"/>
                  <w:r>
                    <w:rPr>
                      <w:rFonts w:hint="eastAsia" w:ascii="Times New Roman" w:hAnsi="Times New Roman"/>
                      <w:color w:val="0000FF"/>
                      <w:szCs w:val="21"/>
                      <w:lang w:val="en-US" w:eastAsia="zh-CN"/>
                    </w:rPr>
                    <w:t>1</w:t>
                  </w:r>
                  <w:bookmarkEnd w:id="70"/>
                </w:p>
              </w:tc>
              <w:tc>
                <w:tcPr>
                  <w:tcW w:w="676" w:type="pct"/>
                  <w:noWrap w:val="0"/>
                  <w:vAlign w:val="center"/>
                </w:tcPr>
                <w:p w14:paraId="2BE6709E">
                  <w:pPr>
                    <w:adjustRightInd w:val="0"/>
                    <w:snapToGrid w:val="0"/>
                    <w:jc w:val="center"/>
                    <w:rPr>
                      <w:rFonts w:hint="eastAsia" w:ascii="Times New Roman" w:hAnsi="Times New Roman" w:eastAsia="宋体"/>
                      <w:color w:val="0000FF"/>
                      <w:szCs w:val="21"/>
                      <w:lang w:eastAsia="zh-CN"/>
                    </w:rPr>
                  </w:pPr>
                  <w:bookmarkStart w:id="71" w:name="OLE_LINK76"/>
                  <w:r>
                    <w:rPr>
                      <w:rFonts w:hint="eastAsia" w:ascii="Times New Roman" w:hAnsi="Times New Roman"/>
                      <w:color w:val="0000FF"/>
                      <w:szCs w:val="21"/>
                      <w:lang w:eastAsia="zh-CN"/>
                    </w:rPr>
                    <w:t>不变</w:t>
                  </w:r>
                  <w:bookmarkEnd w:id="71"/>
                </w:p>
              </w:tc>
            </w:tr>
            <w:tr w14:paraId="102DF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7" w:type="pct"/>
                  <w:noWrap w:val="0"/>
                  <w:vAlign w:val="center"/>
                </w:tcPr>
                <w:p w14:paraId="78092753">
                  <w:pPr>
                    <w:adjustRightInd w:val="0"/>
                    <w:snapToGrid w:val="0"/>
                    <w:jc w:val="center"/>
                    <w:rPr>
                      <w:rFonts w:hint="default" w:ascii="Times New Roman" w:hAnsi="Times New Roman"/>
                      <w:color w:val="0000FF"/>
                      <w:szCs w:val="21"/>
                      <w:lang w:val="en-US" w:eastAsia="zh-CN"/>
                    </w:rPr>
                  </w:pPr>
                  <w:r>
                    <w:rPr>
                      <w:rFonts w:hint="eastAsia" w:ascii="Times New Roman" w:hAnsi="Times New Roman"/>
                      <w:color w:val="0000FF"/>
                      <w:szCs w:val="21"/>
                      <w:lang w:val="en-US" w:eastAsia="zh-CN"/>
                    </w:rPr>
                    <w:t>9</w:t>
                  </w:r>
                </w:p>
              </w:tc>
              <w:tc>
                <w:tcPr>
                  <w:tcW w:w="2021" w:type="pct"/>
                  <w:noWrap w:val="0"/>
                  <w:vAlign w:val="center"/>
                </w:tcPr>
                <w:p w14:paraId="72445337">
                  <w:pPr>
                    <w:pStyle w:val="129"/>
                    <w:rPr>
                      <w:rFonts w:hint="eastAsia" w:ascii="Times New Roman" w:hAnsi="Times New Roman" w:cs="Times New Roman"/>
                      <w:color w:val="0000FF"/>
                      <w:szCs w:val="21"/>
                      <w:lang w:val="en-US" w:eastAsia="zh-CN"/>
                    </w:rPr>
                  </w:pPr>
                  <w:r>
                    <w:rPr>
                      <w:rFonts w:hint="eastAsia" w:ascii="Times New Roman" w:hAnsi="Times New Roman" w:cs="Times New Roman"/>
                      <w:color w:val="0000FF"/>
                      <w:szCs w:val="21"/>
                      <w:lang w:val="en-US" w:eastAsia="zh-CN"/>
                    </w:rPr>
                    <w:t>混匀堆取料机</w:t>
                  </w:r>
                </w:p>
              </w:tc>
              <w:tc>
                <w:tcPr>
                  <w:tcW w:w="407" w:type="pct"/>
                  <w:noWrap w:val="0"/>
                  <w:vAlign w:val="center"/>
                </w:tcPr>
                <w:p w14:paraId="4F9613BC">
                  <w:pPr>
                    <w:adjustRightInd w:val="0"/>
                    <w:snapToGrid w:val="0"/>
                    <w:jc w:val="center"/>
                    <w:rPr>
                      <w:rFonts w:hint="eastAsia" w:ascii="Times New Roman" w:hAnsi="Times New Roman"/>
                      <w:color w:val="0000FF"/>
                      <w:szCs w:val="21"/>
                      <w:lang w:eastAsia="zh-CN"/>
                    </w:rPr>
                  </w:pPr>
                  <w:r>
                    <w:rPr>
                      <w:rFonts w:hint="eastAsia" w:ascii="Times New Roman" w:hAnsi="Times New Roman"/>
                      <w:color w:val="0000FF"/>
                      <w:szCs w:val="21"/>
                      <w:lang w:eastAsia="zh-CN"/>
                    </w:rPr>
                    <w:t>台</w:t>
                  </w:r>
                </w:p>
              </w:tc>
              <w:tc>
                <w:tcPr>
                  <w:tcW w:w="676" w:type="pct"/>
                  <w:noWrap w:val="0"/>
                  <w:vAlign w:val="center"/>
                </w:tcPr>
                <w:p w14:paraId="7CEB418E">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810" w:type="pct"/>
                  <w:noWrap w:val="0"/>
                  <w:vAlign w:val="center"/>
                </w:tcPr>
                <w:p w14:paraId="133A04F6">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676" w:type="pct"/>
                  <w:noWrap w:val="0"/>
                  <w:vAlign w:val="center"/>
                </w:tcPr>
                <w:p w14:paraId="7A440A9E">
                  <w:pPr>
                    <w:adjustRightInd w:val="0"/>
                    <w:snapToGrid w:val="0"/>
                    <w:jc w:val="center"/>
                    <w:rPr>
                      <w:rFonts w:ascii="Times New Roman" w:hAnsi="Times New Roman"/>
                      <w:color w:val="0000FF"/>
                      <w:szCs w:val="21"/>
                    </w:rPr>
                  </w:pPr>
                  <w:r>
                    <w:rPr>
                      <w:rFonts w:hint="eastAsia" w:ascii="Times New Roman" w:hAnsi="Times New Roman"/>
                      <w:color w:val="0000FF"/>
                      <w:szCs w:val="21"/>
                      <w:lang w:eastAsia="zh-CN"/>
                    </w:rPr>
                    <w:t>不变</w:t>
                  </w:r>
                </w:p>
              </w:tc>
            </w:tr>
            <w:tr w14:paraId="2C113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7" w:type="pct"/>
                  <w:noWrap w:val="0"/>
                  <w:vAlign w:val="center"/>
                </w:tcPr>
                <w:p w14:paraId="6D199726">
                  <w:pPr>
                    <w:adjustRightInd w:val="0"/>
                    <w:snapToGrid w:val="0"/>
                    <w:jc w:val="center"/>
                    <w:rPr>
                      <w:rFonts w:hint="default" w:ascii="Times New Roman" w:hAnsi="Times New Roman"/>
                      <w:color w:val="0000FF"/>
                      <w:szCs w:val="21"/>
                      <w:lang w:val="en-US" w:eastAsia="zh-CN"/>
                    </w:rPr>
                  </w:pPr>
                  <w:r>
                    <w:rPr>
                      <w:rFonts w:hint="eastAsia" w:ascii="Times New Roman" w:hAnsi="Times New Roman"/>
                      <w:color w:val="0000FF"/>
                      <w:szCs w:val="21"/>
                      <w:lang w:val="en-US" w:eastAsia="zh-CN"/>
                    </w:rPr>
                    <w:t>10</w:t>
                  </w:r>
                </w:p>
              </w:tc>
              <w:tc>
                <w:tcPr>
                  <w:tcW w:w="2021" w:type="pct"/>
                  <w:noWrap w:val="0"/>
                  <w:vAlign w:val="center"/>
                </w:tcPr>
                <w:p w14:paraId="780697A8">
                  <w:pPr>
                    <w:pStyle w:val="129"/>
                    <w:rPr>
                      <w:rFonts w:hint="eastAsia" w:ascii="Times New Roman" w:hAnsi="Times New Roman" w:cs="Times New Roman"/>
                      <w:color w:val="0000FF"/>
                      <w:szCs w:val="21"/>
                      <w:lang w:val="en-US" w:eastAsia="zh-CN"/>
                    </w:rPr>
                  </w:pPr>
                  <w:r>
                    <w:rPr>
                      <w:rFonts w:hint="eastAsia" w:ascii="Times New Roman" w:hAnsi="Times New Roman" w:cs="Times New Roman"/>
                      <w:color w:val="0000FF"/>
                      <w:szCs w:val="21"/>
                      <w:lang w:val="en-US" w:eastAsia="zh-CN"/>
                    </w:rPr>
                    <w:t>侧式悬臂堆料机（辅料和原煤）</w:t>
                  </w:r>
                </w:p>
              </w:tc>
              <w:tc>
                <w:tcPr>
                  <w:tcW w:w="407" w:type="pct"/>
                  <w:noWrap w:val="0"/>
                  <w:vAlign w:val="center"/>
                </w:tcPr>
                <w:p w14:paraId="26C56875">
                  <w:pPr>
                    <w:adjustRightInd w:val="0"/>
                    <w:snapToGrid w:val="0"/>
                    <w:jc w:val="center"/>
                    <w:rPr>
                      <w:rFonts w:hint="eastAsia" w:ascii="Times New Roman" w:hAnsi="Times New Roman"/>
                      <w:color w:val="0000FF"/>
                      <w:szCs w:val="21"/>
                      <w:lang w:eastAsia="zh-CN"/>
                    </w:rPr>
                  </w:pPr>
                  <w:r>
                    <w:rPr>
                      <w:rFonts w:hint="eastAsia" w:ascii="Times New Roman" w:hAnsi="Times New Roman"/>
                      <w:color w:val="0000FF"/>
                      <w:szCs w:val="21"/>
                      <w:lang w:eastAsia="zh-CN"/>
                    </w:rPr>
                    <w:t>台</w:t>
                  </w:r>
                </w:p>
              </w:tc>
              <w:tc>
                <w:tcPr>
                  <w:tcW w:w="676" w:type="pct"/>
                  <w:noWrap w:val="0"/>
                  <w:vAlign w:val="center"/>
                </w:tcPr>
                <w:p w14:paraId="3D824FB5">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810" w:type="pct"/>
                  <w:noWrap w:val="0"/>
                  <w:vAlign w:val="center"/>
                </w:tcPr>
                <w:p w14:paraId="1930759D">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676" w:type="pct"/>
                  <w:noWrap w:val="0"/>
                  <w:vAlign w:val="center"/>
                </w:tcPr>
                <w:p w14:paraId="5CEF9E11">
                  <w:pPr>
                    <w:adjustRightInd w:val="0"/>
                    <w:snapToGrid w:val="0"/>
                    <w:jc w:val="center"/>
                    <w:rPr>
                      <w:rFonts w:ascii="Times New Roman" w:hAnsi="Times New Roman"/>
                      <w:color w:val="0000FF"/>
                      <w:szCs w:val="21"/>
                    </w:rPr>
                  </w:pPr>
                  <w:r>
                    <w:rPr>
                      <w:rFonts w:hint="eastAsia" w:ascii="Times New Roman" w:hAnsi="Times New Roman"/>
                      <w:color w:val="0000FF"/>
                      <w:szCs w:val="21"/>
                      <w:lang w:eastAsia="zh-CN"/>
                    </w:rPr>
                    <w:t>不变</w:t>
                  </w:r>
                </w:p>
              </w:tc>
            </w:tr>
            <w:tr w14:paraId="34850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7" w:type="pct"/>
                  <w:noWrap w:val="0"/>
                  <w:vAlign w:val="center"/>
                </w:tcPr>
                <w:p w14:paraId="015B9096">
                  <w:pPr>
                    <w:adjustRightInd w:val="0"/>
                    <w:snapToGrid w:val="0"/>
                    <w:jc w:val="center"/>
                    <w:rPr>
                      <w:rFonts w:hint="default" w:ascii="Times New Roman" w:hAnsi="Times New Roman"/>
                      <w:color w:val="0000FF"/>
                      <w:szCs w:val="21"/>
                      <w:lang w:val="en-US" w:eastAsia="zh-CN"/>
                    </w:rPr>
                  </w:pPr>
                  <w:r>
                    <w:rPr>
                      <w:rFonts w:hint="eastAsia" w:ascii="Times New Roman" w:hAnsi="Times New Roman"/>
                      <w:color w:val="0000FF"/>
                      <w:szCs w:val="21"/>
                      <w:lang w:val="en-US" w:eastAsia="zh-CN"/>
                    </w:rPr>
                    <w:t>11</w:t>
                  </w:r>
                </w:p>
              </w:tc>
              <w:tc>
                <w:tcPr>
                  <w:tcW w:w="2021" w:type="pct"/>
                  <w:noWrap w:val="0"/>
                  <w:vAlign w:val="center"/>
                </w:tcPr>
                <w:p w14:paraId="34D4B840">
                  <w:pPr>
                    <w:pStyle w:val="129"/>
                    <w:rPr>
                      <w:rFonts w:hint="eastAsia" w:ascii="Times New Roman" w:hAnsi="Times New Roman" w:cs="Times New Roman"/>
                      <w:color w:val="0000FF"/>
                      <w:szCs w:val="21"/>
                      <w:lang w:val="en-US" w:eastAsia="zh-CN"/>
                    </w:rPr>
                  </w:pPr>
                  <w:r>
                    <w:rPr>
                      <w:rFonts w:hint="eastAsia" w:ascii="Times New Roman" w:hAnsi="Times New Roman" w:cs="Times New Roman"/>
                      <w:color w:val="0000FF"/>
                      <w:szCs w:val="21"/>
                      <w:lang w:val="en-US" w:eastAsia="zh-CN"/>
                    </w:rPr>
                    <w:t>侧式刮板取料机（辅料）</w:t>
                  </w:r>
                </w:p>
              </w:tc>
              <w:tc>
                <w:tcPr>
                  <w:tcW w:w="407" w:type="pct"/>
                  <w:noWrap w:val="0"/>
                  <w:vAlign w:val="center"/>
                </w:tcPr>
                <w:p w14:paraId="1322C89F">
                  <w:pPr>
                    <w:adjustRightInd w:val="0"/>
                    <w:snapToGrid w:val="0"/>
                    <w:jc w:val="center"/>
                    <w:rPr>
                      <w:rFonts w:hint="eastAsia" w:ascii="Times New Roman" w:hAnsi="Times New Roman"/>
                      <w:color w:val="0000FF"/>
                      <w:szCs w:val="21"/>
                      <w:lang w:eastAsia="zh-CN"/>
                    </w:rPr>
                  </w:pPr>
                  <w:r>
                    <w:rPr>
                      <w:rFonts w:hint="eastAsia" w:ascii="Times New Roman" w:hAnsi="Times New Roman"/>
                      <w:color w:val="0000FF"/>
                      <w:szCs w:val="21"/>
                      <w:lang w:eastAsia="zh-CN"/>
                    </w:rPr>
                    <w:t>台</w:t>
                  </w:r>
                </w:p>
              </w:tc>
              <w:tc>
                <w:tcPr>
                  <w:tcW w:w="676" w:type="pct"/>
                  <w:noWrap w:val="0"/>
                  <w:vAlign w:val="center"/>
                </w:tcPr>
                <w:p w14:paraId="5DF5C1A1">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810" w:type="pct"/>
                  <w:noWrap w:val="0"/>
                  <w:vAlign w:val="center"/>
                </w:tcPr>
                <w:p w14:paraId="70E9B9D7">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676" w:type="pct"/>
                  <w:noWrap w:val="0"/>
                  <w:vAlign w:val="center"/>
                </w:tcPr>
                <w:p w14:paraId="6459EC40">
                  <w:pPr>
                    <w:adjustRightInd w:val="0"/>
                    <w:snapToGrid w:val="0"/>
                    <w:jc w:val="center"/>
                    <w:rPr>
                      <w:rFonts w:ascii="Times New Roman" w:hAnsi="Times New Roman"/>
                      <w:color w:val="0000FF"/>
                      <w:szCs w:val="21"/>
                    </w:rPr>
                  </w:pPr>
                  <w:r>
                    <w:rPr>
                      <w:rFonts w:hint="eastAsia" w:ascii="Times New Roman" w:hAnsi="Times New Roman"/>
                      <w:color w:val="0000FF"/>
                      <w:szCs w:val="21"/>
                      <w:lang w:eastAsia="zh-CN"/>
                    </w:rPr>
                    <w:t>不变</w:t>
                  </w:r>
                </w:p>
              </w:tc>
            </w:tr>
            <w:tr w14:paraId="0E6D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7" w:type="pct"/>
                  <w:noWrap w:val="0"/>
                  <w:vAlign w:val="center"/>
                </w:tcPr>
                <w:p w14:paraId="293E31BE">
                  <w:pPr>
                    <w:adjustRightInd w:val="0"/>
                    <w:snapToGrid w:val="0"/>
                    <w:jc w:val="center"/>
                    <w:rPr>
                      <w:rFonts w:hint="default" w:ascii="Times New Roman" w:hAnsi="Times New Roman"/>
                      <w:color w:val="0000FF"/>
                      <w:szCs w:val="21"/>
                      <w:lang w:val="en-US" w:eastAsia="zh-CN"/>
                    </w:rPr>
                  </w:pPr>
                  <w:r>
                    <w:rPr>
                      <w:rFonts w:hint="eastAsia" w:ascii="Times New Roman" w:hAnsi="Times New Roman"/>
                      <w:color w:val="0000FF"/>
                      <w:szCs w:val="21"/>
                      <w:lang w:val="en-US" w:eastAsia="zh-CN"/>
                    </w:rPr>
                    <w:t>12</w:t>
                  </w:r>
                </w:p>
              </w:tc>
              <w:tc>
                <w:tcPr>
                  <w:tcW w:w="2021" w:type="pct"/>
                  <w:noWrap w:val="0"/>
                  <w:vAlign w:val="center"/>
                </w:tcPr>
                <w:p w14:paraId="3BF2F49E">
                  <w:pPr>
                    <w:pStyle w:val="129"/>
                    <w:rPr>
                      <w:rFonts w:hint="eastAsia" w:ascii="Times New Roman" w:hAnsi="Times New Roman" w:cs="Times New Roman"/>
                      <w:color w:val="0000FF"/>
                      <w:szCs w:val="21"/>
                      <w:lang w:val="en-US" w:eastAsia="zh-CN"/>
                    </w:rPr>
                  </w:pPr>
                  <w:r>
                    <w:rPr>
                      <w:rFonts w:hint="eastAsia" w:ascii="Times New Roman" w:hAnsi="Times New Roman" w:cs="Times New Roman"/>
                      <w:color w:val="0000FF"/>
                      <w:szCs w:val="21"/>
                      <w:lang w:val="en-US" w:eastAsia="zh-CN"/>
                    </w:rPr>
                    <w:t>侧式刮板取料机（原煤）</w:t>
                  </w:r>
                </w:p>
              </w:tc>
              <w:tc>
                <w:tcPr>
                  <w:tcW w:w="407" w:type="pct"/>
                  <w:noWrap w:val="0"/>
                  <w:vAlign w:val="center"/>
                </w:tcPr>
                <w:p w14:paraId="43FF8203">
                  <w:pPr>
                    <w:adjustRightInd w:val="0"/>
                    <w:snapToGrid w:val="0"/>
                    <w:jc w:val="center"/>
                    <w:rPr>
                      <w:rFonts w:hint="eastAsia" w:ascii="Times New Roman" w:hAnsi="Times New Roman"/>
                      <w:color w:val="0000FF"/>
                      <w:szCs w:val="21"/>
                      <w:lang w:eastAsia="zh-CN"/>
                    </w:rPr>
                  </w:pPr>
                  <w:r>
                    <w:rPr>
                      <w:rFonts w:hint="eastAsia" w:ascii="Times New Roman" w:hAnsi="Times New Roman"/>
                      <w:color w:val="0000FF"/>
                      <w:szCs w:val="21"/>
                      <w:lang w:eastAsia="zh-CN"/>
                    </w:rPr>
                    <w:t>台</w:t>
                  </w:r>
                </w:p>
              </w:tc>
              <w:tc>
                <w:tcPr>
                  <w:tcW w:w="676" w:type="pct"/>
                  <w:noWrap w:val="0"/>
                  <w:vAlign w:val="center"/>
                </w:tcPr>
                <w:p w14:paraId="7E10BB25">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810" w:type="pct"/>
                  <w:noWrap w:val="0"/>
                  <w:vAlign w:val="center"/>
                </w:tcPr>
                <w:p w14:paraId="1E21AE5A">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676" w:type="pct"/>
                  <w:noWrap w:val="0"/>
                  <w:vAlign w:val="center"/>
                </w:tcPr>
                <w:p w14:paraId="6A6BFA6F">
                  <w:pPr>
                    <w:adjustRightInd w:val="0"/>
                    <w:snapToGrid w:val="0"/>
                    <w:jc w:val="center"/>
                    <w:rPr>
                      <w:rFonts w:ascii="Times New Roman" w:hAnsi="Times New Roman"/>
                      <w:color w:val="0000FF"/>
                      <w:szCs w:val="21"/>
                    </w:rPr>
                  </w:pPr>
                  <w:r>
                    <w:rPr>
                      <w:rFonts w:hint="eastAsia" w:ascii="Times New Roman" w:hAnsi="Times New Roman"/>
                      <w:color w:val="0000FF"/>
                      <w:szCs w:val="21"/>
                      <w:lang w:eastAsia="zh-CN"/>
                    </w:rPr>
                    <w:t>不变</w:t>
                  </w:r>
                </w:p>
              </w:tc>
            </w:tr>
            <w:tr w14:paraId="5AC47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7" w:type="pct"/>
                  <w:noWrap w:val="0"/>
                  <w:vAlign w:val="center"/>
                </w:tcPr>
                <w:p w14:paraId="446BAEEB">
                  <w:pPr>
                    <w:adjustRightInd w:val="0"/>
                    <w:snapToGrid w:val="0"/>
                    <w:jc w:val="center"/>
                    <w:rPr>
                      <w:rFonts w:hint="default" w:ascii="Times New Roman" w:hAnsi="Times New Roman"/>
                      <w:color w:val="0000FF"/>
                      <w:szCs w:val="21"/>
                      <w:lang w:val="en-US" w:eastAsia="zh-CN"/>
                    </w:rPr>
                  </w:pPr>
                  <w:r>
                    <w:rPr>
                      <w:rFonts w:hint="eastAsia" w:ascii="Times New Roman" w:hAnsi="Times New Roman"/>
                      <w:color w:val="0000FF"/>
                      <w:szCs w:val="21"/>
                      <w:lang w:val="en-US" w:eastAsia="zh-CN"/>
                    </w:rPr>
                    <w:t>13</w:t>
                  </w:r>
                </w:p>
              </w:tc>
              <w:tc>
                <w:tcPr>
                  <w:tcW w:w="2021" w:type="pct"/>
                  <w:noWrap w:val="0"/>
                  <w:vAlign w:val="center"/>
                </w:tcPr>
                <w:p w14:paraId="4B6FD308">
                  <w:pPr>
                    <w:pStyle w:val="129"/>
                    <w:rPr>
                      <w:rFonts w:hint="eastAsia" w:ascii="Times New Roman" w:hAnsi="Times New Roman" w:cs="Times New Roman"/>
                      <w:color w:val="0000FF"/>
                      <w:szCs w:val="21"/>
                      <w:lang w:val="en-US" w:eastAsia="zh-CN"/>
                    </w:rPr>
                  </w:pPr>
                  <w:r>
                    <w:rPr>
                      <w:rFonts w:hint="eastAsia" w:ascii="Times New Roman" w:hAnsi="Times New Roman" w:cs="Times New Roman"/>
                      <w:color w:val="0000FF"/>
                      <w:szCs w:val="21"/>
                      <w:lang w:val="en-US" w:eastAsia="zh-CN"/>
                    </w:rPr>
                    <w:t>辊式磨</w:t>
                  </w:r>
                </w:p>
              </w:tc>
              <w:tc>
                <w:tcPr>
                  <w:tcW w:w="407" w:type="pct"/>
                  <w:noWrap w:val="0"/>
                  <w:vAlign w:val="center"/>
                </w:tcPr>
                <w:p w14:paraId="4071BC9A">
                  <w:pPr>
                    <w:adjustRightInd w:val="0"/>
                    <w:snapToGrid w:val="0"/>
                    <w:jc w:val="center"/>
                    <w:rPr>
                      <w:rFonts w:hint="eastAsia" w:ascii="Times New Roman" w:hAnsi="Times New Roman"/>
                      <w:color w:val="0000FF"/>
                      <w:szCs w:val="21"/>
                      <w:lang w:eastAsia="zh-CN"/>
                    </w:rPr>
                  </w:pPr>
                  <w:bookmarkStart w:id="72" w:name="OLE_LINK72"/>
                  <w:r>
                    <w:rPr>
                      <w:rFonts w:hint="eastAsia" w:ascii="Times New Roman" w:hAnsi="Times New Roman"/>
                      <w:color w:val="0000FF"/>
                      <w:szCs w:val="21"/>
                      <w:lang w:eastAsia="zh-CN"/>
                    </w:rPr>
                    <w:t>台</w:t>
                  </w:r>
                  <w:bookmarkEnd w:id="72"/>
                </w:p>
              </w:tc>
              <w:tc>
                <w:tcPr>
                  <w:tcW w:w="676" w:type="pct"/>
                  <w:noWrap w:val="0"/>
                  <w:vAlign w:val="center"/>
                </w:tcPr>
                <w:p w14:paraId="0F88203D">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810" w:type="pct"/>
                  <w:noWrap w:val="0"/>
                  <w:vAlign w:val="center"/>
                </w:tcPr>
                <w:p w14:paraId="6AAC8CD7">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676" w:type="pct"/>
                  <w:noWrap w:val="0"/>
                  <w:vAlign w:val="center"/>
                </w:tcPr>
                <w:p w14:paraId="3F6996C6">
                  <w:pPr>
                    <w:adjustRightInd w:val="0"/>
                    <w:snapToGrid w:val="0"/>
                    <w:jc w:val="center"/>
                    <w:rPr>
                      <w:rFonts w:ascii="Times New Roman" w:hAnsi="Times New Roman"/>
                      <w:color w:val="0000FF"/>
                      <w:szCs w:val="21"/>
                    </w:rPr>
                  </w:pPr>
                  <w:r>
                    <w:rPr>
                      <w:rFonts w:hint="eastAsia" w:ascii="Times New Roman" w:hAnsi="Times New Roman"/>
                      <w:color w:val="0000FF"/>
                      <w:szCs w:val="21"/>
                      <w:lang w:eastAsia="zh-CN"/>
                    </w:rPr>
                    <w:t>不变</w:t>
                  </w:r>
                </w:p>
              </w:tc>
            </w:tr>
            <w:tr w14:paraId="7AFBB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7" w:type="pct"/>
                  <w:noWrap w:val="0"/>
                  <w:vAlign w:val="center"/>
                </w:tcPr>
                <w:p w14:paraId="246E0A31">
                  <w:pPr>
                    <w:adjustRightInd w:val="0"/>
                    <w:snapToGrid w:val="0"/>
                    <w:jc w:val="center"/>
                    <w:rPr>
                      <w:rFonts w:hint="default" w:ascii="Times New Roman" w:hAnsi="Times New Roman"/>
                      <w:color w:val="0000FF"/>
                      <w:szCs w:val="21"/>
                      <w:lang w:val="en-US" w:eastAsia="zh-CN"/>
                    </w:rPr>
                  </w:pPr>
                  <w:r>
                    <w:rPr>
                      <w:rFonts w:hint="eastAsia" w:ascii="Times New Roman" w:hAnsi="Times New Roman"/>
                      <w:color w:val="0000FF"/>
                      <w:szCs w:val="21"/>
                      <w:lang w:val="en-US" w:eastAsia="zh-CN"/>
                    </w:rPr>
                    <w:t>14</w:t>
                  </w:r>
                </w:p>
              </w:tc>
              <w:tc>
                <w:tcPr>
                  <w:tcW w:w="2021" w:type="pct"/>
                  <w:noWrap w:val="0"/>
                  <w:vAlign w:val="center"/>
                </w:tcPr>
                <w:p w14:paraId="23205F27">
                  <w:pPr>
                    <w:pStyle w:val="129"/>
                    <w:rPr>
                      <w:rFonts w:hint="eastAsia" w:ascii="Times New Roman" w:hAnsi="Times New Roman" w:cs="Times New Roman"/>
                      <w:color w:val="0000FF"/>
                      <w:szCs w:val="21"/>
                      <w:lang w:val="en-US" w:eastAsia="zh-CN"/>
                    </w:rPr>
                  </w:pPr>
                  <w:r>
                    <w:rPr>
                      <w:rFonts w:hint="eastAsia" w:ascii="Times New Roman" w:hAnsi="Times New Roman" w:cs="Times New Roman"/>
                      <w:color w:val="0000FF"/>
                      <w:szCs w:val="21"/>
                      <w:lang w:val="en-US" w:eastAsia="zh-CN"/>
                    </w:rPr>
                    <w:t>高温风机</w:t>
                  </w:r>
                </w:p>
              </w:tc>
              <w:tc>
                <w:tcPr>
                  <w:tcW w:w="407" w:type="pct"/>
                  <w:noWrap w:val="0"/>
                  <w:vAlign w:val="center"/>
                </w:tcPr>
                <w:p w14:paraId="39C31055">
                  <w:pPr>
                    <w:adjustRightInd w:val="0"/>
                    <w:snapToGrid w:val="0"/>
                    <w:jc w:val="center"/>
                    <w:rPr>
                      <w:rFonts w:hint="eastAsia" w:ascii="Times New Roman" w:hAnsi="Times New Roman"/>
                      <w:color w:val="0000FF"/>
                      <w:szCs w:val="21"/>
                      <w:lang w:eastAsia="zh-CN"/>
                    </w:rPr>
                  </w:pPr>
                  <w:r>
                    <w:rPr>
                      <w:rFonts w:hint="eastAsia" w:ascii="Times New Roman" w:hAnsi="Times New Roman"/>
                      <w:color w:val="0000FF"/>
                      <w:szCs w:val="21"/>
                      <w:lang w:eastAsia="zh-CN"/>
                    </w:rPr>
                    <w:t>台</w:t>
                  </w:r>
                </w:p>
              </w:tc>
              <w:tc>
                <w:tcPr>
                  <w:tcW w:w="676" w:type="pct"/>
                  <w:noWrap w:val="0"/>
                  <w:vAlign w:val="center"/>
                </w:tcPr>
                <w:p w14:paraId="048A2E98">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810" w:type="pct"/>
                  <w:noWrap w:val="0"/>
                  <w:vAlign w:val="center"/>
                </w:tcPr>
                <w:p w14:paraId="25E9DBC5">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676" w:type="pct"/>
                  <w:noWrap w:val="0"/>
                  <w:vAlign w:val="center"/>
                </w:tcPr>
                <w:p w14:paraId="73CC1785">
                  <w:pPr>
                    <w:adjustRightInd w:val="0"/>
                    <w:snapToGrid w:val="0"/>
                    <w:jc w:val="center"/>
                    <w:rPr>
                      <w:rFonts w:ascii="Times New Roman" w:hAnsi="Times New Roman"/>
                      <w:color w:val="0000FF"/>
                      <w:szCs w:val="21"/>
                    </w:rPr>
                  </w:pPr>
                  <w:r>
                    <w:rPr>
                      <w:rFonts w:hint="eastAsia" w:ascii="Times New Roman" w:hAnsi="Times New Roman"/>
                      <w:color w:val="0000FF"/>
                      <w:szCs w:val="21"/>
                      <w:lang w:eastAsia="zh-CN"/>
                    </w:rPr>
                    <w:t>不变</w:t>
                  </w:r>
                </w:p>
              </w:tc>
            </w:tr>
            <w:tr w14:paraId="2F60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7" w:type="pct"/>
                  <w:noWrap w:val="0"/>
                  <w:vAlign w:val="center"/>
                </w:tcPr>
                <w:p w14:paraId="6DBC3962">
                  <w:pPr>
                    <w:adjustRightInd w:val="0"/>
                    <w:snapToGrid w:val="0"/>
                    <w:jc w:val="center"/>
                    <w:rPr>
                      <w:rFonts w:hint="default" w:ascii="Times New Roman" w:hAnsi="Times New Roman"/>
                      <w:color w:val="0000FF"/>
                      <w:szCs w:val="21"/>
                      <w:lang w:val="en-US" w:eastAsia="zh-CN"/>
                    </w:rPr>
                  </w:pPr>
                  <w:r>
                    <w:rPr>
                      <w:rFonts w:hint="eastAsia" w:ascii="Times New Roman" w:hAnsi="Times New Roman"/>
                      <w:color w:val="0000FF"/>
                      <w:szCs w:val="21"/>
                      <w:lang w:val="en-US" w:eastAsia="zh-CN"/>
                    </w:rPr>
                    <w:t>15</w:t>
                  </w:r>
                </w:p>
              </w:tc>
              <w:tc>
                <w:tcPr>
                  <w:tcW w:w="2021" w:type="pct"/>
                  <w:noWrap w:val="0"/>
                  <w:vAlign w:val="center"/>
                </w:tcPr>
                <w:p w14:paraId="215834A8">
                  <w:pPr>
                    <w:pStyle w:val="129"/>
                    <w:rPr>
                      <w:rFonts w:hint="eastAsia" w:ascii="Times New Roman" w:hAnsi="Times New Roman" w:cs="Times New Roman"/>
                      <w:color w:val="0000FF"/>
                      <w:szCs w:val="21"/>
                      <w:lang w:val="en-US" w:eastAsia="zh-CN"/>
                    </w:rPr>
                  </w:pPr>
                  <w:r>
                    <w:rPr>
                      <w:rFonts w:hint="eastAsia" w:ascii="Times New Roman" w:hAnsi="Times New Roman" w:cs="Times New Roman"/>
                      <w:color w:val="0000FF"/>
                      <w:szCs w:val="21"/>
                      <w:lang w:val="en-US" w:eastAsia="zh-CN"/>
                    </w:rPr>
                    <w:t>原料磨风机</w:t>
                  </w:r>
                </w:p>
              </w:tc>
              <w:tc>
                <w:tcPr>
                  <w:tcW w:w="407" w:type="pct"/>
                  <w:noWrap w:val="0"/>
                  <w:vAlign w:val="center"/>
                </w:tcPr>
                <w:p w14:paraId="575220E7">
                  <w:pPr>
                    <w:adjustRightInd w:val="0"/>
                    <w:snapToGrid w:val="0"/>
                    <w:jc w:val="center"/>
                    <w:rPr>
                      <w:rFonts w:hint="eastAsia" w:ascii="Times New Roman" w:hAnsi="Times New Roman"/>
                      <w:color w:val="0000FF"/>
                      <w:szCs w:val="21"/>
                      <w:lang w:eastAsia="zh-CN"/>
                    </w:rPr>
                  </w:pPr>
                  <w:r>
                    <w:rPr>
                      <w:rFonts w:hint="eastAsia" w:ascii="Times New Roman" w:hAnsi="Times New Roman"/>
                      <w:color w:val="0000FF"/>
                      <w:szCs w:val="21"/>
                      <w:lang w:eastAsia="zh-CN"/>
                    </w:rPr>
                    <w:t>台</w:t>
                  </w:r>
                </w:p>
              </w:tc>
              <w:tc>
                <w:tcPr>
                  <w:tcW w:w="676" w:type="pct"/>
                  <w:noWrap w:val="0"/>
                  <w:vAlign w:val="center"/>
                </w:tcPr>
                <w:p w14:paraId="30CD76BE">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810" w:type="pct"/>
                  <w:noWrap w:val="0"/>
                  <w:vAlign w:val="center"/>
                </w:tcPr>
                <w:p w14:paraId="6DA7F779">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676" w:type="pct"/>
                  <w:noWrap w:val="0"/>
                  <w:vAlign w:val="center"/>
                </w:tcPr>
                <w:p w14:paraId="447B61B7">
                  <w:pPr>
                    <w:adjustRightInd w:val="0"/>
                    <w:snapToGrid w:val="0"/>
                    <w:jc w:val="center"/>
                    <w:rPr>
                      <w:rFonts w:ascii="Times New Roman" w:hAnsi="Times New Roman"/>
                      <w:color w:val="0000FF"/>
                      <w:szCs w:val="21"/>
                    </w:rPr>
                  </w:pPr>
                  <w:r>
                    <w:rPr>
                      <w:rFonts w:hint="eastAsia" w:ascii="Times New Roman" w:hAnsi="Times New Roman"/>
                      <w:color w:val="0000FF"/>
                      <w:szCs w:val="21"/>
                      <w:lang w:eastAsia="zh-CN"/>
                    </w:rPr>
                    <w:t>不变</w:t>
                  </w:r>
                </w:p>
              </w:tc>
            </w:tr>
            <w:tr w14:paraId="5D5EB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7" w:type="pct"/>
                  <w:noWrap w:val="0"/>
                  <w:vAlign w:val="center"/>
                </w:tcPr>
                <w:p w14:paraId="5F481CD3">
                  <w:pPr>
                    <w:adjustRightInd w:val="0"/>
                    <w:snapToGrid w:val="0"/>
                    <w:jc w:val="center"/>
                    <w:rPr>
                      <w:rFonts w:hint="default" w:ascii="Times New Roman" w:hAnsi="Times New Roman"/>
                      <w:color w:val="0000FF"/>
                      <w:szCs w:val="21"/>
                      <w:lang w:val="en-US" w:eastAsia="zh-CN"/>
                    </w:rPr>
                  </w:pPr>
                  <w:r>
                    <w:rPr>
                      <w:rFonts w:hint="eastAsia" w:ascii="Times New Roman" w:hAnsi="Times New Roman"/>
                      <w:color w:val="0000FF"/>
                      <w:szCs w:val="21"/>
                      <w:lang w:val="en-US" w:eastAsia="zh-CN"/>
                    </w:rPr>
                    <w:t>16</w:t>
                  </w:r>
                </w:p>
              </w:tc>
              <w:tc>
                <w:tcPr>
                  <w:tcW w:w="2021" w:type="pct"/>
                  <w:noWrap w:val="0"/>
                  <w:vAlign w:val="center"/>
                </w:tcPr>
                <w:p w14:paraId="1C68CC53">
                  <w:pPr>
                    <w:pStyle w:val="129"/>
                    <w:rPr>
                      <w:rFonts w:hint="eastAsia" w:ascii="Times New Roman" w:hAnsi="Times New Roman" w:cs="Times New Roman"/>
                      <w:color w:val="0000FF"/>
                      <w:szCs w:val="21"/>
                      <w:lang w:val="en-US" w:eastAsia="zh-CN"/>
                    </w:rPr>
                  </w:pPr>
                  <w:r>
                    <w:rPr>
                      <w:rFonts w:hint="eastAsia" w:ascii="Times New Roman" w:hAnsi="Times New Roman" w:cs="Times New Roman"/>
                      <w:color w:val="0000FF"/>
                      <w:szCs w:val="21"/>
                      <w:lang w:val="en-US" w:eastAsia="zh-CN"/>
                    </w:rPr>
                    <w:t>窑尾电收尘器</w:t>
                  </w:r>
                </w:p>
              </w:tc>
              <w:tc>
                <w:tcPr>
                  <w:tcW w:w="407" w:type="pct"/>
                  <w:noWrap w:val="0"/>
                  <w:vAlign w:val="center"/>
                </w:tcPr>
                <w:p w14:paraId="087C8AFC">
                  <w:pPr>
                    <w:adjustRightInd w:val="0"/>
                    <w:snapToGrid w:val="0"/>
                    <w:jc w:val="center"/>
                    <w:rPr>
                      <w:rFonts w:hint="eastAsia" w:ascii="Times New Roman" w:hAnsi="Times New Roman"/>
                      <w:color w:val="0000FF"/>
                      <w:szCs w:val="21"/>
                      <w:lang w:eastAsia="zh-CN"/>
                    </w:rPr>
                  </w:pPr>
                  <w:r>
                    <w:rPr>
                      <w:rFonts w:hint="eastAsia" w:ascii="Times New Roman" w:hAnsi="Times New Roman"/>
                      <w:color w:val="0000FF"/>
                      <w:szCs w:val="21"/>
                      <w:lang w:eastAsia="zh-CN"/>
                    </w:rPr>
                    <w:t>台</w:t>
                  </w:r>
                </w:p>
              </w:tc>
              <w:tc>
                <w:tcPr>
                  <w:tcW w:w="676" w:type="pct"/>
                  <w:noWrap w:val="0"/>
                  <w:vAlign w:val="center"/>
                </w:tcPr>
                <w:p w14:paraId="579FEB2B">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810" w:type="pct"/>
                  <w:noWrap w:val="0"/>
                  <w:vAlign w:val="center"/>
                </w:tcPr>
                <w:p w14:paraId="4A125C9E">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676" w:type="pct"/>
                  <w:noWrap w:val="0"/>
                  <w:vAlign w:val="center"/>
                </w:tcPr>
                <w:p w14:paraId="1632053C">
                  <w:pPr>
                    <w:adjustRightInd w:val="0"/>
                    <w:snapToGrid w:val="0"/>
                    <w:jc w:val="center"/>
                    <w:rPr>
                      <w:rFonts w:ascii="Times New Roman" w:hAnsi="Times New Roman"/>
                      <w:color w:val="0000FF"/>
                      <w:szCs w:val="21"/>
                    </w:rPr>
                  </w:pPr>
                  <w:r>
                    <w:rPr>
                      <w:rFonts w:hint="eastAsia" w:ascii="Times New Roman" w:hAnsi="Times New Roman"/>
                      <w:color w:val="0000FF"/>
                      <w:szCs w:val="21"/>
                      <w:lang w:eastAsia="zh-CN"/>
                    </w:rPr>
                    <w:t>不变</w:t>
                  </w:r>
                </w:p>
              </w:tc>
            </w:tr>
            <w:tr w14:paraId="6EE3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7" w:type="pct"/>
                  <w:noWrap w:val="0"/>
                  <w:vAlign w:val="center"/>
                </w:tcPr>
                <w:p w14:paraId="37E28219">
                  <w:pPr>
                    <w:adjustRightInd w:val="0"/>
                    <w:snapToGrid w:val="0"/>
                    <w:jc w:val="center"/>
                    <w:rPr>
                      <w:rFonts w:hint="default" w:ascii="Times New Roman" w:hAnsi="Times New Roman"/>
                      <w:color w:val="0000FF"/>
                      <w:szCs w:val="21"/>
                      <w:lang w:val="en-US" w:eastAsia="zh-CN"/>
                    </w:rPr>
                  </w:pPr>
                  <w:r>
                    <w:rPr>
                      <w:rFonts w:hint="eastAsia" w:ascii="Times New Roman" w:hAnsi="Times New Roman"/>
                      <w:color w:val="0000FF"/>
                      <w:szCs w:val="21"/>
                      <w:lang w:val="en-US" w:eastAsia="zh-CN"/>
                    </w:rPr>
                    <w:t>17</w:t>
                  </w:r>
                </w:p>
              </w:tc>
              <w:tc>
                <w:tcPr>
                  <w:tcW w:w="2021" w:type="pct"/>
                  <w:noWrap w:val="0"/>
                  <w:vAlign w:val="center"/>
                </w:tcPr>
                <w:p w14:paraId="1996F5CB">
                  <w:pPr>
                    <w:pStyle w:val="129"/>
                    <w:rPr>
                      <w:rFonts w:hint="eastAsia" w:ascii="Times New Roman" w:hAnsi="Times New Roman" w:cs="Times New Roman"/>
                      <w:color w:val="0000FF"/>
                      <w:szCs w:val="21"/>
                      <w:lang w:val="en-US" w:eastAsia="zh-CN"/>
                    </w:rPr>
                  </w:pPr>
                  <w:r>
                    <w:rPr>
                      <w:rFonts w:hint="eastAsia" w:ascii="Times New Roman" w:hAnsi="Times New Roman" w:cs="Times New Roman"/>
                      <w:color w:val="0000FF"/>
                      <w:szCs w:val="21"/>
                      <w:lang w:val="en-US" w:eastAsia="zh-CN"/>
                    </w:rPr>
                    <w:t>窑尾电收尘器废气排风机</w:t>
                  </w:r>
                </w:p>
              </w:tc>
              <w:tc>
                <w:tcPr>
                  <w:tcW w:w="407" w:type="pct"/>
                  <w:noWrap w:val="0"/>
                  <w:vAlign w:val="center"/>
                </w:tcPr>
                <w:p w14:paraId="059E4BA4">
                  <w:pPr>
                    <w:adjustRightInd w:val="0"/>
                    <w:snapToGrid w:val="0"/>
                    <w:jc w:val="center"/>
                    <w:rPr>
                      <w:rFonts w:hint="eastAsia" w:ascii="Times New Roman" w:hAnsi="Times New Roman"/>
                      <w:color w:val="0000FF"/>
                      <w:szCs w:val="21"/>
                      <w:lang w:eastAsia="zh-CN"/>
                    </w:rPr>
                  </w:pPr>
                  <w:r>
                    <w:rPr>
                      <w:rFonts w:hint="eastAsia" w:ascii="Times New Roman" w:hAnsi="Times New Roman"/>
                      <w:color w:val="0000FF"/>
                      <w:szCs w:val="21"/>
                      <w:lang w:eastAsia="zh-CN"/>
                    </w:rPr>
                    <w:t>台</w:t>
                  </w:r>
                </w:p>
              </w:tc>
              <w:tc>
                <w:tcPr>
                  <w:tcW w:w="676" w:type="pct"/>
                  <w:noWrap w:val="0"/>
                  <w:vAlign w:val="center"/>
                </w:tcPr>
                <w:p w14:paraId="46EB3E49">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810" w:type="pct"/>
                  <w:noWrap w:val="0"/>
                  <w:vAlign w:val="center"/>
                </w:tcPr>
                <w:p w14:paraId="38CBD6E5">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676" w:type="pct"/>
                  <w:noWrap w:val="0"/>
                  <w:vAlign w:val="center"/>
                </w:tcPr>
                <w:p w14:paraId="4664DFFC">
                  <w:pPr>
                    <w:adjustRightInd w:val="0"/>
                    <w:snapToGrid w:val="0"/>
                    <w:jc w:val="center"/>
                    <w:rPr>
                      <w:rFonts w:ascii="Times New Roman" w:hAnsi="Times New Roman"/>
                      <w:color w:val="0000FF"/>
                      <w:szCs w:val="21"/>
                    </w:rPr>
                  </w:pPr>
                  <w:r>
                    <w:rPr>
                      <w:rFonts w:hint="eastAsia" w:ascii="Times New Roman" w:hAnsi="Times New Roman"/>
                      <w:color w:val="0000FF"/>
                      <w:szCs w:val="21"/>
                      <w:lang w:eastAsia="zh-CN"/>
                    </w:rPr>
                    <w:t>不变</w:t>
                  </w:r>
                </w:p>
              </w:tc>
            </w:tr>
            <w:tr w14:paraId="1F128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7" w:type="pct"/>
                  <w:noWrap w:val="0"/>
                  <w:vAlign w:val="center"/>
                </w:tcPr>
                <w:p w14:paraId="7445224A">
                  <w:pPr>
                    <w:adjustRightInd w:val="0"/>
                    <w:snapToGrid w:val="0"/>
                    <w:jc w:val="center"/>
                    <w:rPr>
                      <w:rFonts w:hint="default" w:ascii="Times New Roman" w:hAnsi="Times New Roman"/>
                      <w:color w:val="0000FF"/>
                      <w:szCs w:val="21"/>
                      <w:lang w:val="en-US" w:eastAsia="zh-CN"/>
                    </w:rPr>
                  </w:pPr>
                  <w:r>
                    <w:rPr>
                      <w:rFonts w:hint="eastAsia" w:ascii="Times New Roman" w:hAnsi="Times New Roman"/>
                      <w:color w:val="0000FF"/>
                      <w:szCs w:val="21"/>
                      <w:lang w:val="en-US" w:eastAsia="zh-CN"/>
                    </w:rPr>
                    <w:t>18</w:t>
                  </w:r>
                </w:p>
              </w:tc>
              <w:tc>
                <w:tcPr>
                  <w:tcW w:w="2021" w:type="pct"/>
                  <w:noWrap w:val="0"/>
                  <w:vAlign w:val="center"/>
                </w:tcPr>
                <w:p w14:paraId="783545BC">
                  <w:pPr>
                    <w:pStyle w:val="129"/>
                    <w:rPr>
                      <w:rFonts w:hint="eastAsia" w:ascii="Times New Roman" w:hAnsi="Times New Roman" w:cs="Times New Roman"/>
                      <w:color w:val="0000FF"/>
                      <w:szCs w:val="21"/>
                      <w:lang w:val="en-US" w:eastAsia="zh-CN"/>
                    </w:rPr>
                  </w:pPr>
                  <w:r>
                    <w:rPr>
                      <w:rFonts w:hint="eastAsia" w:ascii="Times New Roman" w:hAnsi="Times New Roman" w:cs="Times New Roman"/>
                      <w:color w:val="0000FF"/>
                      <w:szCs w:val="21"/>
                      <w:lang w:val="en-US" w:eastAsia="zh-CN"/>
                    </w:rPr>
                    <w:t>旋风预热器带分解炉</w:t>
                  </w:r>
                </w:p>
              </w:tc>
              <w:tc>
                <w:tcPr>
                  <w:tcW w:w="407" w:type="pct"/>
                  <w:noWrap w:val="0"/>
                  <w:vAlign w:val="center"/>
                </w:tcPr>
                <w:p w14:paraId="7680A030">
                  <w:pPr>
                    <w:adjustRightInd w:val="0"/>
                    <w:snapToGrid w:val="0"/>
                    <w:jc w:val="center"/>
                    <w:rPr>
                      <w:rFonts w:hint="eastAsia" w:ascii="Times New Roman" w:hAnsi="Times New Roman"/>
                      <w:color w:val="0000FF"/>
                      <w:szCs w:val="21"/>
                      <w:lang w:eastAsia="zh-CN"/>
                    </w:rPr>
                  </w:pPr>
                  <w:r>
                    <w:rPr>
                      <w:rFonts w:hint="eastAsia" w:ascii="Times New Roman" w:hAnsi="Times New Roman"/>
                      <w:color w:val="0000FF"/>
                      <w:szCs w:val="21"/>
                      <w:lang w:eastAsia="zh-CN"/>
                    </w:rPr>
                    <w:t>台</w:t>
                  </w:r>
                </w:p>
              </w:tc>
              <w:tc>
                <w:tcPr>
                  <w:tcW w:w="676" w:type="pct"/>
                  <w:noWrap w:val="0"/>
                  <w:vAlign w:val="center"/>
                </w:tcPr>
                <w:p w14:paraId="50F2D705">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810" w:type="pct"/>
                  <w:noWrap w:val="0"/>
                  <w:vAlign w:val="center"/>
                </w:tcPr>
                <w:p w14:paraId="02E83347">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676" w:type="pct"/>
                  <w:noWrap w:val="0"/>
                  <w:vAlign w:val="center"/>
                </w:tcPr>
                <w:p w14:paraId="7D5DF35E">
                  <w:pPr>
                    <w:adjustRightInd w:val="0"/>
                    <w:snapToGrid w:val="0"/>
                    <w:jc w:val="center"/>
                    <w:rPr>
                      <w:rFonts w:ascii="Times New Roman" w:hAnsi="Times New Roman"/>
                      <w:color w:val="0000FF"/>
                      <w:szCs w:val="21"/>
                    </w:rPr>
                  </w:pPr>
                  <w:r>
                    <w:rPr>
                      <w:rFonts w:hint="eastAsia" w:ascii="Times New Roman" w:hAnsi="Times New Roman"/>
                      <w:color w:val="0000FF"/>
                      <w:szCs w:val="21"/>
                      <w:lang w:eastAsia="zh-CN"/>
                    </w:rPr>
                    <w:t>不变</w:t>
                  </w:r>
                </w:p>
              </w:tc>
            </w:tr>
            <w:tr w14:paraId="419D4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7" w:type="pct"/>
                  <w:noWrap w:val="0"/>
                  <w:vAlign w:val="center"/>
                </w:tcPr>
                <w:p w14:paraId="717E8625">
                  <w:pPr>
                    <w:adjustRightInd w:val="0"/>
                    <w:snapToGrid w:val="0"/>
                    <w:jc w:val="center"/>
                    <w:rPr>
                      <w:rFonts w:hint="default" w:ascii="Times New Roman" w:hAnsi="Times New Roman"/>
                      <w:color w:val="0000FF"/>
                      <w:szCs w:val="21"/>
                      <w:lang w:val="en-US" w:eastAsia="zh-CN"/>
                    </w:rPr>
                  </w:pPr>
                  <w:r>
                    <w:rPr>
                      <w:rFonts w:hint="eastAsia" w:ascii="Times New Roman" w:hAnsi="Times New Roman"/>
                      <w:color w:val="0000FF"/>
                      <w:szCs w:val="21"/>
                      <w:lang w:val="en-US" w:eastAsia="zh-CN"/>
                    </w:rPr>
                    <w:t>19</w:t>
                  </w:r>
                </w:p>
              </w:tc>
              <w:tc>
                <w:tcPr>
                  <w:tcW w:w="2021" w:type="pct"/>
                  <w:noWrap w:val="0"/>
                  <w:vAlign w:val="center"/>
                </w:tcPr>
                <w:p w14:paraId="6BDA1230">
                  <w:pPr>
                    <w:pStyle w:val="129"/>
                    <w:rPr>
                      <w:rFonts w:hint="eastAsia" w:ascii="Times New Roman" w:hAnsi="Times New Roman" w:cs="Times New Roman"/>
                      <w:color w:val="0000FF"/>
                      <w:szCs w:val="21"/>
                      <w:lang w:val="en-US" w:eastAsia="zh-CN"/>
                    </w:rPr>
                  </w:pPr>
                  <w:r>
                    <w:rPr>
                      <w:rFonts w:hint="eastAsia" w:ascii="Times New Roman" w:hAnsi="Times New Roman" w:cs="Times New Roman"/>
                      <w:color w:val="0000FF"/>
                      <w:szCs w:val="21"/>
                      <w:lang w:val="en-US" w:eastAsia="zh-CN"/>
                    </w:rPr>
                    <w:t>Φ4.8×74m回转窑</w:t>
                  </w:r>
                </w:p>
              </w:tc>
              <w:tc>
                <w:tcPr>
                  <w:tcW w:w="407" w:type="pct"/>
                  <w:noWrap w:val="0"/>
                  <w:vAlign w:val="center"/>
                </w:tcPr>
                <w:p w14:paraId="77ABC8EB">
                  <w:pPr>
                    <w:adjustRightInd w:val="0"/>
                    <w:snapToGrid w:val="0"/>
                    <w:jc w:val="center"/>
                    <w:rPr>
                      <w:rFonts w:hint="eastAsia" w:ascii="Times New Roman" w:hAnsi="Times New Roman"/>
                      <w:color w:val="0000FF"/>
                      <w:szCs w:val="21"/>
                      <w:lang w:eastAsia="zh-CN"/>
                    </w:rPr>
                  </w:pPr>
                  <w:r>
                    <w:rPr>
                      <w:rFonts w:hint="eastAsia" w:ascii="Times New Roman" w:hAnsi="Times New Roman"/>
                      <w:color w:val="0000FF"/>
                      <w:szCs w:val="21"/>
                      <w:lang w:eastAsia="zh-CN"/>
                    </w:rPr>
                    <w:t>台</w:t>
                  </w:r>
                </w:p>
              </w:tc>
              <w:tc>
                <w:tcPr>
                  <w:tcW w:w="676" w:type="pct"/>
                  <w:noWrap w:val="0"/>
                  <w:vAlign w:val="center"/>
                </w:tcPr>
                <w:p w14:paraId="708FECF6">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810" w:type="pct"/>
                  <w:noWrap w:val="0"/>
                  <w:vAlign w:val="center"/>
                </w:tcPr>
                <w:p w14:paraId="431A0443">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676" w:type="pct"/>
                  <w:noWrap w:val="0"/>
                  <w:vAlign w:val="center"/>
                </w:tcPr>
                <w:p w14:paraId="0A40331F">
                  <w:pPr>
                    <w:adjustRightInd w:val="0"/>
                    <w:snapToGrid w:val="0"/>
                    <w:jc w:val="center"/>
                    <w:rPr>
                      <w:rFonts w:ascii="Times New Roman" w:hAnsi="Times New Roman"/>
                      <w:color w:val="0000FF"/>
                      <w:szCs w:val="21"/>
                    </w:rPr>
                  </w:pPr>
                  <w:r>
                    <w:rPr>
                      <w:rFonts w:hint="eastAsia" w:ascii="Times New Roman" w:hAnsi="Times New Roman"/>
                      <w:color w:val="0000FF"/>
                      <w:szCs w:val="21"/>
                      <w:lang w:eastAsia="zh-CN"/>
                    </w:rPr>
                    <w:t>不变</w:t>
                  </w:r>
                </w:p>
              </w:tc>
            </w:tr>
            <w:tr w14:paraId="2B747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7" w:type="pct"/>
                  <w:noWrap w:val="0"/>
                  <w:vAlign w:val="center"/>
                </w:tcPr>
                <w:p w14:paraId="60D642A9">
                  <w:pPr>
                    <w:adjustRightInd w:val="0"/>
                    <w:snapToGrid w:val="0"/>
                    <w:jc w:val="center"/>
                    <w:rPr>
                      <w:rFonts w:hint="default" w:ascii="Times New Roman" w:hAnsi="Times New Roman"/>
                      <w:color w:val="0000FF"/>
                      <w:szCs w:val="21"/>
                      <w:lang w:val="en-US" w:eastAsia="zh-CN"/>
                    </w:rPr>
                  </w:pPr>
                  <w:r>
                    <w:rPr>
                      <w:rFonts w:hint="eastAsia" w:ascii="Times New Roman" w:hAnsi="Times New Roman"/>
                      <w:color w:val="0000FF"/>
                      <w:szCs w:val="21"/>
                      <w:lang w:val="en-US" w:eastAsia="zh-CN"/>
                    </w:rPr>
                    <w:t>20</w:t>
                  </w:r>
                </w:p>
              </w:tc>
              <w:tc>
                <w:tcPr>
                  <w:tcW w:w="2021" w:type="pct"/>
                  <w:noWrap w:val="0"/>
                  <w:vAlign w:val="center"/>
                </w:tcPr>
                <w:p w14:paraId="59265FDE">
                  <w:pPr>
                    <w:pStyle w:val="129"/>
                    <w:rPr>
                      <w:rFonts w:hint="eastAsia" w:ascii="Times New Roman" w:hAnsi="Times New Roman" w:cs="Times New Roman"/>
                      <w:color w:val="0000FF"/>
                      <w:szCs w:val="21"/>
                      <w:lang w:val="en-US" w:eastAsia="zh-CN"/>
                    </w:rPr>
                  </w:pPr>
                  <w:r>
                    <w:rPr>
                      <w:rFonts w:hint="eastAsia" w:ascii="Times New Roman" w:hAnsi="Times New Roman" w:cs="Times New Roman"/>
                      <w:color w:val="0000FF"/>
                      <w:szCs w:val="21"/>
                      <w:lang w:val="en-US" w:eastAsia="zh-CN"/>
                    </w:rPr>
                    <w:t>控制流篦式冷却机</w:t>
                  </w:r>
                </w:p>
              </w:tc>
              <w:tc>
                <w:tcPr>
                  <w:tcW w:w="407" w:type="pct"/>
                  <w:noWrap w:val="0"/>
                  <w:vAlign w:val="center"/>
                </w:tcPr>
                <w:p w14:paraId="60C0825F">
                  <w:pPr>
                    <w:adjustRightInd w:val="0"/>
                    <w:snapToGrid w:val="0"/>
                    <w:jc w:val="center"/>
                    <w:rPr>
                      <w:rFonts w:hint="eastAsia" w:ascii="Times New Roman" w:hAnsi="Times New Roman"/>
                      <w:color w:val="0000FF"/>
                      <w:szCs w:val="21"/>
                      <w:lang w:eastAsia="zh-CN"/>
                    </w:rPr>
                  </w:pPr>
                  <w:r>
                    <w:rPr>
                      <w:rFonts w:hint="eastAsia" w:ascii="Times New Roman" w:hAnsi="Times New Roman"/>
                      <w:color w:val="0000FF"/>
                      <w:szCs w:val="21"/>
                      <w:lang w:eastAsia="zh-CN"/>
                    </w:rPr>
                    <w:t>台</w:t>
                  </w:r>
                </w:p>
              </w:tc>
              <w:tc>
                <w:tcPr>
                  <w:tcW w:w="676" w:type="pct"/>
                  <w:noWrap w:val="0"/>
                  <w:vAlign w:val="center"/>
                </w:tcPr>
                <w:p w14:paraId="6C331EFC">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810" w:type="pct"/>
                  <w:noWrap w:val="0"/>
                  <w:vAlign w:val="center"/>
                </w:tcPr>
                <w:p w14:paraId="5858D46F">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676" w:type="pct"/>
                  <w:noWrap w:val="0"/>
                  <w:vAlign w:val="center"/>
                </w:tcPr>
                <w:p w14:paraId="0B6C46E1">
                  <w:pPr>
                    <w:adjustRightInd w:val="0"/>
                    <w:snapToGrid w:val="0"/>
                    <w:jc w:val="center"/>
                    <w:rPr>
                      <w:rFonts w:ascii="Times New Roman" w:hAnsi="Times New Roman"/>
                      <w:color w:val="0000FF"/>
                      <w:szCs w:val="21"/>
                    </w:rPr>
                  </w:pPr>
                  <w:r>
                    <w:rPr>
                      <w:rFonts w:hint="eastAsia" w:ascii="Times New Roman" w:hAnsi="Times New Roman"/>
                      <w:color w:val="0000FF"/>
                      <w:szCs w:val="21"/>
                      <w:lang w:eastAsia="zh-CN"/>
                    </w:rPr>
                    <w:t>不变</w:t>
                  </w:r>
                </w:p>
              </w:tc>
            </w:tr>
            <w:tr w14:paraId="3A86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7" w:type="pct"/>
                  <w:noWrap w:val="0"/>
                  <w:vAlign w:val="center"/>
                </w:tcPr>
                <w:p w14:paraId="5606ED0C">
                  <w:pPr>
                    <w:adjustRightInd w:val="0"/>
                    <w:snapToGrid w:val="0"/>
                    <w:jc w:val="center"/>
                    <w:rPr>
                      <w:rFonts w:hint="default" w:ascii="Times New Roman" w:hAnsi="Times New Roman"/>
                      <w:color w:val="0000FF"/>
                      <w:szCs w:val="21"/>
                      <w:lang w:val="en-US" w:eastAsia="zh-CN"/>
                    </w:rPr>
                  </w:pPr>
                  <w:r>
                    <w:rPr>
                      <w:rFonts w:hint="eastAsia" w:ascii="Times New Roman" w:hAnsi="Times New Roman"/>
                      <w:color w:val="0000FF"/>
                      <w:szCs w:val="21"/>
                      <w:lang w:val="en-US" w:eastAsia="zh-CN"/>
                    </w:rPr>
                    <w:t>21</w:t>
                  </w:r>
                </w:p>
              </w:tc>
              <w:tc>
                <w:tcPr>
                  <w:tcW w:w="2021" w:type="pct"/>
                  <w:noWrap w:val="0"/>
                  <w:vAlign w:val="center"/>
                </w:tcPr>
                <w:p w14:paraId="45E25907">
                  <w:pPr>
                    <w:pStyle w:val="129"/>
                    <w:rPr>
                      <w:rFonts w:hint="eastAsia" w:ascii="Times New Roman" w:hAnsi="Times New Roman" w:cs="Times New Roman"/>
                      <w:color w:val="0000FF"/>
                      <w:szCs w:val="21"/>
                      <w:lang w:val="en-US" w:eastAsia="zh-CN"/>
                    </w:rPr>
                  </w:pPr>
                  <w:r>
                    <w:rPr>
                      <w:rFonts w:hint="eastAsia" w:ascii="Times New Roman" w:hAnsi="Times New Roman" w:cs="Times New Roman"/>
                      <w:color w:val="0000FF"/>
                      <w:szCs w:val="21"/>
                      <w:lang w:val="en-US" w:eastAsia="zh-CN"/>
                    </w:rPr>
                    <w:t>窑头电收尘器</w:t>
                  </w:r>
                </w:p>
              </w:tc>
              <w:tc>
                <w:tcPr>
                  <w:tcW w:w="407" w:type="pct"/>
                  <w:noWrap w:val="0"/>
                  <w:vAlign w:val="center"/>
                </w:tcPr>
                <w:p w14:paraId="35B40D7C">
                  <w:pPr>
                    <w:adjustRightInd w:val="0"/>
                    <w:snapToGrid w:val="0"/>
                    <w:jc w:val="center"/>
                    <w:rPr>
                      <w:rFonts w:hint="eastAsia" w:ascii="Times New Roman" w:hAnsi="Times New Roman"/>
                      <w:color w:val="0000FF"/>
                      <w:szCs w:val="21"/>
                      <w:lang w:eastAsia="zh-CN"/>
                    </w:rPr>
                  </w:pPr>
                  <w:r>
                    <w:rPr>
                      <w:rFonts w:hint="eastAsia" w:ascii="Times New Roman" w:hAnsi="Times New Roman"/>
                      <w:color w:val="0000FF"/>
                      <w:szCs w:val="21"/>
                      <w:lang w:eastAsia="zh-CN"/>
                    </w:rPr>
                    <w:t>台</w:t>
                  </w:r>
                </w:p>
              </w:tc>
              <w:tc>
                <w:tcPr>
                  <w:tcW w:w="676" w:type="pct"/>
                  <w:noWrap w:val="0"/>
                  <w:vAlign w:val="center"/>
                </w:tcPr>
                <w:p w14:paraId="442CF254">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810" w:type="pct"/>
                  <w:noWrap w:val="0"/>
                  <w:vAlign w:val="center"/>
                </w:tcPr>
                <w:p w14:paraId="0F4D7591">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676" w:type="pct"/>
                  <w:noWrap w:val="0"/>
                  <w:vAlign w:val="center"/>
                </w:tcPr>
                <w:p w14:paraId="2C6E3824">
                  <w:pPr>
                    <w:adjustRightInd w:val="0"/>
                    <w:snapToGrid w:val="0"/>
                    <w:jc w:val="center"/>
                    <w:rPr>
                      <w:rFonts w:ascii="Times New Roman" w:hAnsi="Times New Roman"/>
                      <w:color w:val="0000FF"/>
                      <w:szCs w:val="21"/>
                    </w:rPr>
                  </w:pPr>
                  <w:r>
                    <w:rPr>
                      <w:rFonts w:hint="eastAsia" w:ascii="Times New Roman" w:hAnsi="Times New Roman"/>
                      <w:color w:val="0000FF"/>
                      <w:szCs w:val="21"/>
                      <w:lang w:eastAsia="zh-CN"/>
                    </w:rPr>
                    <w:t>不变</w:t>
                  </w:r>
                </w:p>
              </w:tc>
            </w:tr>
            <w:tr w14:paraId="5E7D6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7" w:type="pct"/>
                  <w:noWrap w:val="0"/>
                  <w:vAlign w:val="center"/>
                </w:tcPr>
                <w:p w14:paraId="3AD2B71F">
                  <w:pPr>
                    <w:adjustRightInd w:val="0"/>
                    <w:snapToGrid w:val="0"/>
                    <w:jc w:val="center"/>
                    <w:rPr>
                      <w:rFonts w:hint="default" w:ascii="Times New Roman" w:hAnsi="Times New Roman"/>
                      <w:color w:val="0000FF"/>
                      <w:szCs w:val="21"/>
                      <w:lang w:val="en-US" w:eastAsia="zh-CN"/>
                    </w:rPr>
                  </w:pPr>
                  <w:r>
                    <w:rPr>
                      <w:rFonts w:hint="eastAsia" w:ascii="Times New Roman" w:hAnsi="Times New Roman"/>
                      <w:color w:val="0000FF"/>
                      <w:szCs w:val="21"/>
                      <w:lang w:val="en-US" w:eastAsia="zh-CN"/>
                    </w:rPr>
                    <w:t>22</w:t>
                  </w:r>
                </w:p>
              </w:tc>
              <w:tc>
                <w:tcPr>
                  <w:tcW w:w="2021" w:type="pct"/>
                  <w:noWrap w:val="0"/>
                  <w:vAlign w:val="center"/>
                </w:tcPr>
                <w:p w14:paraId="1F6757B3">
                  <w:pPr>
                    <w:pStyle w:val="129"/>
                    <w:rPr>
                      <w:rFonts w:hint="eastAsia" w:ascii="Times New Roman" w:hAnsi="Times New Roman" w:cs="Times New Roman"/>
                      <w:color w:val="0000FF"/>
                      <w:szCs w:val="21"/>
                      <w:lang w:val="en-US" w:eastAsia="zh-CN"/>
                    </w:rPr>
                  </w:pPr>
                  <w:r>
                    <w:rPr>
                      <w:rFonts w:hint="eastAsia" w:ascii="Times New Roman" w:hAnsi="Times New Roman" w:cs="Times New Roman"/>
                      <w:color w:val="0000FF"/>
                      <w:szCs w:val="21"/>
                      <w:lang w:val="en-US" w:eastAsia="zh-CN"/>
                    </w:rPr>
                    <w:t>窑头电收尘器废气排风机</w:t>
                  </w:r>
                </w:p>
              </w:tc>
              <w:tc>
                <w:tcPr>
                  <w:tcW w:w="407" w:type="pct"/>
                  <w:noWrap w:val="0"/>
                  <w:vAlign w:val="center"/>
                </w:tcPr>
                <w:p w14:paraId="0A81AC0E">
                  <w:pPr>
                    <w:adjustRightInd w:val="0"/>
                    <w:snapToGrid w:val="0"/>
                    <w:jc w:val="center"/>
                    <w:rPr>
                      <w:rFonts w:hint="eastAsia" w:ascii="Times New Roman" w:hAnsi="Times New Roman"/>
                      <w:color w:val="0000FF"/>
                      <w:szCs w:val="21"/>
                      <w:lang w:eastAsia="zh-CN"/>
                    </w:rPr>
                  </w:pPr>
                  <w:r>
                    <w:rPr>
                      <w:rFonts w:hint="eastAsia" w:ascii="Times New Roman" w:hAnsi="Times New Roman"/>
                      <w:color w:val="0000FF"/>
                      <w:szCs w:val="21"/>
                      <w:lang w:eastAsia="zh-CN"/>
                    </w:rPr>
                    <w:t>台</w:t>
                  </w:r>
                </w:p>
              </w:tc>
              <w:tc>
                <w:tcPr>
                  <w:tcW w:w="676" w:type="pct"/>
                  <w:noWrap w:val="0"/>
                  <w:vAlign w:val="center"/>
                </w:tcPr>
                <w:p w14:paraId="7C5147F5">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810" w:type="pct"/>
                  <w:noWrap w:val="0"/>
                  <w:vAlign w:val="center"/>
                </w:tcPr>
                <w:p w14:paraId="3F33C72E">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676" w:type="pct"/>
                  <w:noWrap w:val="0"/>
                  <w:vAlign w:val="center"/>
                </w:tcPr>
                <w:p w14:paraId="5B310EF6">
                  <w:pPr>
                    <w:adjustRightInd w:val="0"/>
                    <w:snapToGrid w:val="0"/>
                    <w:jc w:val="center"/>
                    <w:rPr>
                      <w:rFonts w:ascii="Times New Roman" w:hAnsi="Times New Roman"/>
                      <w:color w:val="0000FF"/>
                      <w:szCs w:val="21"/>
                    </w:rPr>
                  </w:pPr>
                  <w:r>
                    <w:rPr>
                      <w:rFonts w:hint="eastAsia" w:ascii="Times New Roman" w:hAnsi="Times New Roman"/>
                      <w:color w:val="0000FF"/>
                      <w:szCs w:val="21"/>
                      <w:lang w:eastAsia="zh-CN"/>
                    </w:rPr>
                    <w:t>不变</w:t>
                  </w:r>
                </w:p>
              </w:tc>
            </w:tr>
            <w:tr w14:paraId="0EA68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7" w:type="pct"/>
                  <w:noWrap w:val="0"/>
                  <w:vAlign w:val="center"/>
                </w:tcPr>
                <w:p w14:paraId="26B526D5">
                  <w:pPr>
                    <w:adjustRightInd w:val="0"/>
                    <w:snapToGrid w:val="0"/>
                    <w:jc w:val="center"/>
                    <w:rPr>
                      <w:rFonts w:hint="default" w:ascii="Times New Roman" w:hAnsi="Times New Roman"/>
                      <w:color w:val="0000FF"/>
                      <w:szCs w:val="21"/>
                      <w:lang w:val="en-US" w:eastAsia="zh-CN"/>
                    </w:rPr>
                  </w:pPr>
                  <w:r>
                    <w:rPr>
                      <w:rFonts w:hint="eastAsia" w:ascii="Times New Roman" w:hAnsi="Times New Roman"/>
                      <w:color w:val="0000FF"/>
                      <w:szCs w:val="21"/>
                      <w:lang w:val="en-US" w:eastAsia="zh-CN"/>
                    </w:rPr>
                    <w:t>23</w:t>
                  </w:r>
                </w:p>
              </w:tc>
              <w:tc>
                <w:tcPr>
                  <w:tcW w:w="2021" w:type="pct"/>
                  <w:noWrap w:val="0"/>
                  <w:vAlign w:val="center"/>
                </w:tcPr>
                <w:p w14:paraId="27288535">
                  <w:pPr>
                    <w:pStyle w:val="129"/>
                    <w:rPr>
                      <w:rFonts w:hint="eastAsia" w:ascii="Times New Roman" w:hAnsi="Times New Roman" w:cs="Times New Roman"/>
                      <w:color w:val="0000FF"/>
                      <w:szCs w:val="21"/>
                      <w:lang w:val="en-US" w:eastAsia="zh-CN"/>
                    </w:rPr>
                  </w:pPr>
                  <w:r>
                    <w:rPr>
                      <w:rFonts w:hint="eastAsia" w:ascii="Times New Roman" w:hAnsi="Times New Roman" w:cs="Times New Roman"/>
                      <w:color w:val="0000FF"/>
                      <w:szCs w:val="21"/>
                      <w:lang w:val="en-US" w:eastAsia="zh-CN"/>
                    </w:rPr>
                    <w:t>破碎系统（波动筛+破碎机）</w:t>
                  </w:r>
                </w:p>
              </w:tc>
              <w:tc>
                <w:tcPr>
                  <w:tcW w:w="407" w:type="pct"/>
                  <w:noWrap w:val="0"/>
                  <w:vAlign w:val="center"/>
                </w:tcPr>
                <w:p w14:paraId="60370A7D">
                  <w:pPr>
                    <w:adjustRightInd w:val="0"/>
                    <w:snapToGrid w:val="0"/>
                    <w:jc w:val="center"/>
                    <w:rPr>
                      <w:rFonts w:hint="eastAsia" w:ascii="Times New Roman" w:hAnsi="Times New Roman"/>
                      <w:color w:val="0000FF"/>
                      <w:szCs w:val="21"/>
                      <w:lang w:eastAsia="zh-CN"/>
                    </w:rPr>
                  </w:pPr>
                  <w:r>
                    <w:rPr>
                      <w:rFonts w:hint="eastAsia" w:ascii="Times New Roman" w:hAnsi="Times New Roman"/>
                      <w:color w:val="0000FF"/>
                      <w:szCs w:val="21"/>
                      <w:lang w:eastAsia="zh-CN"/>
                    </w:rPr>
                    <w:t>台</w:t>
                  </w:r>
                </w:p>
              </w:tc>
              <w:tc>
                <w:tcPr>
                  <w:tcW w:w="676" w:type="pct"/>
                  <w:noWrap w:val="0"/>
                  <w:vAlign w:val="center"/>
                </w:tcPr>
                <w:p w14:paraId="52E22A64">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810" w:type="pct"/>
                  <w:noWrap w:val="0"/>
                  <w:vAlign w:val="center"/>
                </w:tcPr>
                <w:p w14:paraId="3C322D90">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676" w:type="pct"/>
                  <w:noWrap w:val="0"/>
                  <w:vAlign w:val="center"/>
                </w:tcPr>
                <w:p w14:paraId="54AE385F">
                  <w:pPr>
                    <w:adjustRightInd w:val="0"/>
                    <w:snapToGrid w:val="0"/>
                    <w:jc w:val="center"/>
                    <w:rPr>
                      <w:rFonts w:ascii="Times New Roman" w:hAnsi="Times New Roman"/>
                      <w:color w:val="0000FF"/>
                      <w:szCs w:val="21"/>
                    </w:rPr>
                  </w:pPr>
                  <w:r>
                    <w:rPr>
                      <w:rFonts w:hint="eastAsia" w:ascii="Times New Roman" w:hAnsi="Times New Roman"/>
                      <w:color w:val="0000FF"/>
                      <w:szCs w:val="21"/>
                      <w:lang w:eastAsia="zh-CN"/>
                    </w:rPr>
                    <w:t>不变</w:t>
                  </w:r>
                </w:p>
              </w:tc>
            </w:tr>
            <w:tr w14:paraId="4E7EF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7" w:type="pct"/>
                  <w:noWrap w:val="0"/>
                  <w:vAlign w:val="center"/>
                </w:tcPr>
                <w:p w14:paraId="48C839A4">
                  <w:pPr>
                    <w:adjustRightInd w:val="0"/>
                    <w:snapToGrid w:val="0"/>
                    <w:jc w:val="center"/>
                    <w:rPr>
                      <w:rFonts w:hint="default" w:ascii="Times New Roman" w:hAnsi="Times New Roman"/>
                      <w:color w:val="0000FF"/>
                      <w:szCs w:val="21"/>
                      <w:lang w:val="en-US" w:eastAsia="zh-CN"/>
                    </w:rPr>
                  </w:pPr>
                  <w:r>
                    <w:rPr>
                      <w:rFonts w:hint="eastAsia" w:ascii="Times New Roman" w:hAnsi="Times New Roman"/>
                      <w:color w:val="0000FF"/>
                      <w:szCs w:val="21"/>
                      <w:lang w:val="en-US" w:eastAsia="zh-CN"/>
                    </w:rPr>
                    <w:t>24</w:t>
                  </w:r>
                </w:p>
              </w:tc>
              <w:tc>
                <w:tcPr>
                  <w:tcW w:w="2021" w:type="pct"/>
                  <w:noWrap w:val="0"/>
                  <w:vAlign w:val="center"/>
                </w:tcPr>
                <w:p w14:paraId="19A92CFC">
                  <w:pPr>
                    <w:pStyle w:val="129"/>
                    <w:rPr>
                      <w:rFonts w:hint="default" w:ascii="Times New Roman" w:hAnsi="Times New Roman" w:cs="Times New Roman"/>
                      <w:color w:val="0000FF"/>
                      <w:szCs w:val="21"/>
                      <w:lang w:val="en-US" w:eastAsia="zh-CN"/>
                    </w:rPr>
                  </w:pPr>
                  <w:r>
                    <w:rPr>
                      <w:rFonts w:hint="eastAsia" w:ascii="Times New Roman" w:hAnsi="Times New Roman" w:cs="Times New Roman"/>
                      <w:color w:val="0000FF"/>
                      <w:szCs w:val="21"/>
                      <w:lang w:val="en-US" w:eastAsia="zh-CN"/>
                    </w:rPr>
                    <w:t>MFB3873+3.5风扫煤磨</w:t>
                  </w:r>
                </w:p>
              </w:tc>
              <w:tc>
                <w:tcPr>
                  <w:tcW w:w="407" w:type="pct"/>
                  <w:noWrap w:val="0"/>
                  <w:vAlign w:val="center"/>
                </w:tcPr>
                <w:p w14:paraId="53857C50">
                  <w:pPr>
                    <w:adjustRightInd w:val="0"/>
                    <w:snapToGrid w:val="0"/>
                    <w:jc w:val="center"/>
                    <w:rPr>
                      <w:rFonts w:hint="eastAsia" w:ascii="Times New Roman" w:hAnsi="Times New Roman"/>
                      <w:color w:val="0000FF"/>
                      <w:szCs w:val="21"/>
                      <w:lang w:eastAsia="zh-CN"/>
                    </w:rPr>
                  </w:pPr>
                  <w:r>
                    <w:rPr>
                      <w:rFonts w:hint="eastAsia" w:ascii="Times New Roman" w:hAnsi="Times New Roman"/>
                      <w:color w:val="0000FF"/>
                      <w:szCs w:val="21"/>
                      <w:lang w:eastAsia="zh-CN"/>
                    </w:rPr>
                    <w:t>台</w:t>
                  </w:r>
                </w:p>
              </w:tc>
              <w:tc>
                <w:tcPr>
                  <w:tcW w:w="676" w:type="pct"/>
                  <w:noWrap w:val="0"/>
                  <w:vAlign w:val="center"/>
                </w:tcPr>
                <w:p w14:paraId="757A1289">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810" w:type="pct"/>
                  <w:noWrap w:val="0"/>
                  <w:vAlign w:val="center"/>
                </w:tcPr>
                <w:p w14:paraId="35308D30">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676" w:type="pct"/>
                  <w:noWrap w:val="0"/>
                  <w:vAlign w:val="center"/>
                </w:tcPr>
                <w:p w14:paraId="2EA7A5C8">
                  <w:pPr>
                    <w:adjustRightInd w:val="0"/>
                    <w:snapToGrid w:val="0"/>
                    <w:jc w:val="center"/>
                    <w:rPr>
                      <w:rFonts w:ascii="Times New Roman" w:hAnsi="Times New Roman"/>
                      <w:color w:val="0000FF"/>
                      <w:szCs w:val="21"/>
                    </w:rPr>
                  </w:pPr>
                  <w:r>
                    <w:rPr>
                      <w:rFonts w:hint="eastAsia" w:ascii="Times New Roman" w:hAnsi="Times New Roman"/>
                      <w:color w:val="0000FF"/>
                      <w:szCs w:val="21"/>
                      <w:lang w:eastAsia="zh-CN"/>
                    </w:rPr>
                    <w:t>不变</w:t>
                  </w:r>
                </w:p>
              </w:tc>
            </w:tr>
            <w:tr w14:paraId="5C1DB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7" w:type="pct"/>
                  <w:noWrap w:val="0"/>
                  <w:vAlign w:val="center"/>
                </w:tcPr>
                <w:p w14:paraId="35A49677">
                  <w:pPr>
                    <w:adjustRightInd w:val="0"/>
                    <w:snapToGrid w:val="0"/>
                    <w:jc w:val="center"/>
                    <w:rPr>
                      <w:rFonts w:hint="default" w:ascii="Times New Roman" w:hAnsi="Times New Roman"/>
                      <w:color w:val="0000FF"/>
                      <w:szCs w:val="21"/>
                      <w:lang w:val="en-US" w:eastAsia="zh-CN"/>
                    </w:rPr>
                  </w:pPr>
                  <w:r>
                    <w:rPr>
                      <w:rFonts w:hint="eastAsia" w:ascii="Times New Roman" w:hAnsi="Times New Roman"/>
                      <w:color w:val="0000FF"/>
                      <w:szCs w:val="21"/>
                      <w:lang w:val="en-US" w:eastAsia="zh-CN"/>
                    </w:rPr>
                    <w:t>25</w:t>
                  </w:r>
                </w:p>
              </w:tc>
              <w:tc>
                <w:tcPr>
                  <w:tcW w:w="2021" w:type="pct"/>
                  <w:noWrap w:val="0"/>
                  <w:vAlign w:val="center"/>
                </w:tcPr>
                <w:p w14:paraId="130DFA84">
                  <w:pPr>
                    <w:pStyle w:val="129"/>
                    <w:rPr>
                      <w:rFonts w:hint="default" w:ascii="Times New Roman" w:hAnsi="Times New Roman" w:cs="Times New Roman"/>
                      <w:color w:val="0000FF"/>
                      <w:szCs w:val="21"/>
                      <w:lang w:val="en-US" w:eastAsia="zh-CN"/>
                    </w:rPr>
                  </w:pPr>
                  <w:r>
                    <w:rPr>
                      <w:rFonts w:hint="eastAsia" w:ascii="Times New Roman" w:hAnsi="Times New Roman" w:cs="Times New Roman"/>
                      <w:color w:val="0000FF"/>
                      <w:szCs w:val="21"/>
                      <w:lang w:val="en-US" w:eastAsia="zh-CN"/>
                    </w:rPr>
                    <w:t>窑尾SP余热锅炉</w:t>
                  </w:r>
                </w:p>
              </w:tc>
              <w:tc>
                <w:tcPr>
                  <w:tcW w:w="407" w:type="pct"/>
                  <w:noWrap w:val="0"/>
                  <w:vAlign w:val="center"/>
                </w:tcPr>
                <w:p w14:paraId="2947E5E9">
                  <w:pPr>
                    <w:adjustRightInd w:val="0"/>
                    <w:snapToGrid w:val="0"/>
                    <w:jc w:val="center"/>
                    <w:rPr>
                      <w:rFonts w:hint="eastAsia" w:ascii="Times New Roman" w:hAnsi="Times New Roman"/>
                      <w:color w:val="0000FF"/>
                      <w:szCs w:val="21"/>
                      <w:lang w:eastAsia="zh-CN"/>
                    </w:rPr>
                  </w:pPr>
                  <w:r>
                    <w:rPr>
                      <w:rFonts w:hint="eastAsia" w:ascii="Times New Roman" w:hAnsi="Times New Roman"/>
                      <w:color w:val="0000FF"/>
                      <w:szCs w:val="21"/>
                      <w:lang w:eastAsia="zh-CN"/>
                    </w:rPr>
                    <w:t>台</w:t>
                  </w:r>
                </w:p>
              </w:tc>
              <w:tc>
                <w:tcPr>
                  <w:tcW w:w="676" w:type="pct"/>
                  <w:noWrap w:val="0"/>
                  <w:vAlign w:val="center"/>
                </w:tcPr>
                <w:p w14:paraId="127E4B31">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810" w:type="pct"/>
                  <w:noWrap w:val="0"/>
                  <w:vAlign w:val="center"/>
                </w:tcPr>
                <w:p w14:paraId="6177D74C">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676" w:type="pct"/>
                  <w:noWrap w:val="0"/>
                  <w:vAlign w:val="center"/>
                </w:tcPr>
                <w:p w14:paraId="505F2C02">
                  <w:pPr>
                    <w:adjustRightInd w:val="0"/>
                    <w:snapToGrid w:val="0"/>
                    <w:jc w:val="center"/>
                    <w:rPr>
                      <w:rFonts w:ascii="Times New Roman" w:hAnsi="Times New Roman"/>
                      <w:color w:val="0000FF"/>
                      <w:szCs w:val="21"/>
                    </w:rPr>
                  </w:pPr>
                  <w:r>
                    <w:rPr>
                      <w:rFonts w:hint="eastAsia" w:ascii="Times New Roman" w:hAnsi="Times New Roman"/>
                      <w:color w:val="0000FF"/>
                      <w:szCs w:val="21"/>
                      <w:lang w:eastAsia="zh-CN"/>
                    </w:rPr>
                    <w:t>不变</w:t>
                  </w:r>
                </w:p>
              </w:tc>
            </w:tr>
            <w:tr w14:paraId="5EA27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7" w:type="pct"/>
                  <w:noWrap w:val="0"/>
                  <w:vAlign w:val="center"/>
                </w:tcPr>
                <w:p w14:paraId="15F0E001">
                  <w:pPr>
                    <w:adjustRightInd w:val="0"/>
                    <w:snapToGrid w:val="0"/>
                    <w:jc w:val="center"/>
                    <w:rPr>
                      <w:rFonts w:hint="default" w:ascii="Times New Roman" w:hAnsi="Times New Roman"/>
                      <w:color w:val="0000FF"/>
                      <w:szCs w:val="21"/>
                      <w:lang w:val="en-US" w:eastAsia="zh-CN"/>
                    </w:rPr>
                  </w:pPr>
                  <w:r>
                    <w:rPr>
                      <w:rFonts w:hint="eastAsia" w:ascii="Times New Roman" w:hAnsi="Times New Roman"/>
                      <w:color w:val="0000FF"/>
                      <w:szCs w:val="21"/>
                      <w:lang w:val="en-US" w:eastAsia="zh-CN"/>
                    </w:rPr>
                    <w:t>26</w:t>
                  </w:r>
                </w:p>
              </w:tc>
              <w:tc>
                <w:tcPr>
                  <w:tcW w:w="2021" w:type="pct"/>
                  <w:noWrap w:val="0"/>
                  <w:vAlign w:val="center"/>
                </w:tcPr>
                <w:p w14:paraId="0E6B6093">
                  <w:pPr>
                    <w:pStyle w:val="129"/>
                    <w:rPr>
                      <w:rFonts w:hint="default" w:ascii="Times New Roman" w:hAnsi="Times New Roman" w:cs="Times New Roman"/>
                      <w:color w:val="0000FF"/>
                      <w:szCs w:val="21"/>
                      <w:lang w:val="en-US" w:eastAsia="zh-CN"/>
                    </w:rPr>
                  </w:pPr>
                  <w:r>
                    <w:rPr>
                      <w:rFonts w:hint="eastAsia" w:ascii="Times New Roman" w:hAnsi="Times New Roman" w:cs="Times New Roman"/>
                      <w:color w:val="0000FF"/>
                      <w:szCs w:val="21"/>
                      <w:lang w:val="en-US" w:eastAsia="zh-CN"/>
                    </w:rPr>
                    <w:t>窑头AQC余热锅炉</w:t>
                  </w:r>
                </w:p>
              </w:tc>
              <w:tc>
                <w:tcPr>
                  <w:tcW w:w="407" w:type="pct"/>
                  <w:noWrap w:val="0"/>
                  <w:vAlign w:val="center"/>
                </w:tcPr>
                <w:p w14:paraId="610CA5BB">
                  <w:pPr>
                    <w:adjustRightInd w:val="0"/>
                    <w:snapToGrid w:val="0"/>
                    <w:jc w:val="center"/>
                    <w:rPr>
                      <w:rFonts w:hint="eastAsia" w:ascii="Times New Roman" w:hAnsi="Times New Roman"/>
                      <w:color w:val="0000FF"/>
                      <w:szCs w:val="21"/>
                      <w:lang w:eastAsia="zh-CN"/>
                    </w:rPr>
                  </w:pPr>
                  <w:r>
                    <w:rPr>
                      <w:rFonts w:hint="eastAsia" w:ascii="Times New Roman" w:hAnsi="Times New Roman"/>
                      <w:color w:val="0000FF"/>
                      <w:szCs w:val="21"/>
                      <w:lang w:eastAsia="zh-CN"/>
                    </w:rPr>
                    <w:t>台</w:t>
                  </w:r>
                </w:p>
              </w:tc>
              <w:tc>
                <w:tcPr>
                  <w:tcW w:w="676" w:type="pct"/>
                  <w:noWrap w:val="0"/>
                  <w:vAlign w:val="center"/>
                </w:tcPr>
                <w:p w14:paraId="5AD3BC43">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810" w:type="pct"/>
                  <w:noWrap w:val="0"/>
                  <w:vAlign w:val="center"/>
                </w:tcPr>
                <w:p w14:paraId="37453C3F">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676" w:type="pct"/>
                  <w:noWrap w:val="0"/>
                  <w:vAlign w:val="center"/>
                </w:tcPr>
                <w:p w14:paraId="16B7E7D2">
                  <w:pPr>
                    <w:adjustRightInd w:val="0"/>
                    <w:snapToGrid w:val="0"/>
                    <w:jc w:val="center"/>
                    <w:rPr>
                      <w:rFonts w:ascii="Times New Roman" w:hAnsi="Times New Roman"/>
                      <w:color w:val="0000FF"/>
                      <w:szCs w:val="21"/>
                    </w:rPr>
                  </w:pPr>
                  <w:r>
                    <w:rPr>
                      <w:rFonts w:hint="eastAsia" w:ascii="Times New Roman" w:hAnsi="Times New Roman"/>
                      <w:color w:val="0000FF"/>
                      <w:szCs w:val="21"/>
                      <w:lang w:eastAsia="zh-CN"/>
                    </w:rPr>
                    <w:t>不变</w:t>
                  </w:r>
                </w:p>
              </w:tc>
            </w:tr>
            <w:tr w14:paraId="63E09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7" w:type="pct"/>
                  <w:noWrap w:val="0"/>
                  <w:vAlign w:val="center"/>
                </w:tcPr>
                <w:p w14:paraId="3E2A3986">
                  <w:pPr>
                    <w:adjustRightInd w:val="0"/>
                    <w:snapToGrid w:val="0"/>
                    <w:jc w:val="center"/>
                    <w:rPr>
                      <w:rFonts w:hint="default" w:ascii="Times New Roman" w:hAnsi="Times New Roman"/>
                      <w:color w:val="0000FF"/>
                      <w:szCs w:val="21"/>
                      <w:lang w:val="en-US" w:eastAsia="zh-CN"/>
                    </w:rPr>
                  </w:pPr>
                  <w:r>
                    <w:rPr>
                      <w:rFonts w:hint="eastAsia" w:ascii="Times New Roman" w:hAnsi="Times New Roman"/>
                      <w:color w:val="0000FF"/>
                      <w:szCs w:val="21"/>
                      <w:lang w:val="en-US" w:eastAsia="zh-CN"/>
                    </w:rPr>
                    <w:t>27</w:t>
                  </w:r>
                </w:p>
              </w:tc>
              <w:tc>
                <w:tcPr>
                  <w:tcW w:w="2021" w:type="pct"/>
                  <w:noWrap w:val="0"/>
                  <w:vAlign w:val="center"/>
                </w:tcPr>
                <w:p w14:paraId="5E7F9E49">
                  <w:pPr>
                    <w:pStyle w:val="129"/>
                    <w:rPr>
                      <w:rFonts w:hint="eastAsia" w:ascii="Times New Roman" w:hAnsi="Times New Roman" w:cs="Times New Roman"/>
                      <w:color w:val="0000FF"/>
                      <w:szCs w:val="21"/>
                      <w:lang w:val="en-US" w:eastAsia="zh-CN"/>
                    </w:rPr>
                  </w:pPr>
                  <w:r>
                    <w:rPr>
                      <w:rFonts w:hint="eastAsia" w:ascii="Times New Roman" w:hAnsi="Times New Roman" w:cs="Times New Roman"/>
                      <w:color w:val="0000FF"/>
                      <w:szCs w:val="21"/>
                      <w:lang w:val="en-US" w:eastAsia="zh-CN"/>
                    </w:rPr>
                    <w:t>汽轮发电机组</w:t>
                  </w:r>
                </w:p>
              </w:tc>
              <w:tc>
                <w:tcPr>
                  <w:tcW w:w="407" w:type="pct"/>
                  <w:noWrap w:val="0"/>
                  <w:vAlign w:val="center"/>
                </w:tcPr>
                <w:p w14:paraId="26D0DB2D">
                  <w:pPr>
                    <w:adjustRightInd w:val="0"/>
                    <w:snapToGrid w:val="0"/>
                    <w:jc w:val="center"/>
                    <w:rPr>
                      <w:rFonts w:hint="eastAsia" w:ascii="Times New Roman" w:hAnsi="Times New Roman"/>
                      <w:color w:val="0000FF"/>
                      <w:szCs w:val="21"/>
                      <w:lang w:eastAsia="zh-CN"/>
                    </w:rPr>
                  </w:pPr>
                  <w:r>
                    <w:rPr>
                      <w:rFonts w:hint="eastAsia" w:ascii="Times New Roman" w:hAnsi="Times New Roman"/>
                      <w:color w:val="0000FF"/>
                      <w:szCs w:val="21"/>
                      <w:lang w:eastAsia="zh-CN"/>
                    </w:rPr>
                    <w:t>台</w:t>
                  </w:r>
                </w:p>
              </w:tc>
              <w:tc>
                <w:tcPr>
                  <w:tcW w:w="676" w:type="pct"/>
                  <w:noWrap w:val="0"/>
                  <w:vAlign w:val="center"/>
                </w:tcPr>
                <w:p w14:paraId="76DF642F">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810" w:type="pct"/>
                  <w:noWrap w:val="0"/>
                  <w:vAlign w:val="center"/>
                </w:tcPr>
                <w:p w14:paraId="0E3C05C9">
                  <w:pPr>
                    <w:adjustRightInd w:val="0"/>
                    <w:snapToGrid w:val="0"/>
                    <w:jc w:val="center"/>
                    <w:rPr>
                      <w:rFonts w:ascii="Times New Roman" w:hAnsi="Times New Roman"/>
                      <w:color w:val="0000FF"/>
                      <w:szCs w:val="21"/>
                    </w:rPr>
                  </w:pPr>
                  <w:r>
                    <w:rPr>
                      <w:rFonts w:hint="eastAsia" w:ascii="Times New Roman" w:hAnsi="Times New Roman"/>
                      <w:color w:val="0000FF"/>
                      <w:szCs w:val="21"/>
                      <w:lang w:val="en-US" w:eastAsia="zh-CN"/>
                    </w:rPr>
                    <w:t>1</w:t>
                  </w:r>
                </w:p>
              </w:tc>
              <w:tc>
                <w:tcPr>
                  <w:tcW w:w="676" w:type="pct"/>
                  <w:noWrap w:val="0"/>
                  <w:vAlign w:val="center"/>
                </w:tcPr>
                <w:p w14:paraId="3555B9AB">
                  <w:pPr>
                    <w:adjustRightInd w:val="0"/>
                    <w:snapToGrid w:val="0"/>
                    <w:jc w:val="center"/>
                    <w:rPr>
                      <w:rFonts w:ascii="Times New Roman" w:hAnsi="Times New Roman"/>
                      <w:color w:val="0000FF"/>
                      <w:szCs w:val="21"/>
                    </w:rPr>
                  </w:pPr>
                  <w:r>
                    <w:rPr>
                      <w:rFonts w:hint="eastAsia" w:ascii="Times New Roman" w:hAnsi="Times New Roman"/>
                      <w:color w:val="0000FF"/>
                      <w:szCs w:val="21"/>
                      <w:lang w:eastAsia="zh-CN"/>
                    </w:rPr>
                    <w:t>不变</w:t>
                  </w:r>
                </w:p>
              </w:tc>
            </w:tr>
            <w:bookmarkEnd w:id="61"/>
            <w:bookmarkEnd w:id="62"/>
            <w:bookmarkEnd w:id="63"/>
          </w:tbl>
          <w:p w14:paraId="4FC52876">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lang w:val="en-US" w:eastAsia="zh-CN" w:bidi="ar-SA"/>
              </w:rPr>
            </w:pPr>
            <w:bookmarkStart w:id="73" w:name="OLE_LINK81"/>
            <w:r>
              <w:rPr>
                <w:rFonts w:hint="eastAsia" w:ascii="Times New Roman" w:hAnsi="Times New Roman" w:eastAsia="宋体" w:cs="Times New Roman"/>
                <w:b w:val="0"/>
                <w:bCs w:val="0"/>
                <w:color w:val="0000FF"/>
                <w:kern w:val="2"/>
                <w:sz w:val="24"/>
                <w:szCs w:val="24"/>
                <w:lang w:val="en-US" w:eastAsia="zh-CN" w:bidi="ar-SA"/>
              </w:rPr>
              <w:t>2、主要技术要求</w:t>
            </w:r>
          </w:p>
          <w:bookmarkEnd w:id="73"/>
          <w:p w14:paraId="37F0316D">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lang w:val="en-US" w:eastAsia="zh-CN" w:bidi="ar-SA"/>
              </w:rPr>
            </w:pPr>
            <w:bookmarkStart w:id="74" w:name="OLE_LINK80"/>
            <w:r>
              <w:rPr>
                <w:rFonts w:hint="eastAsia" w:ascii="Times New Roman" w:hAnsi="Times New Roman" w:eastAsia="宋体" w:cs="Times New Roman"/>
                <w:b w:val="0"/>
                <w:bCs w:val="0"/>
                <w:color w:val="0000FF"/>
                <w:kern w:val="2"/>
                <w:sz w:val="24"/>
                <w:szCs w:val="24"/>
                <w:lang w:val="en-US" w:eastAsia="zh-CN" w:bidi="ar-SA"/>
              </w:rPr>
              <w:t>（1）替代燃料暂存能力：替代燃料暂存库依托原有原煤堆棚进行改造（堆棚尺寸：54m*15m*9m），无需设置预处理破碎系统。暂存设施包括但不限于：装卸设备、粉尘收集系统、摄像监视装置、洗眼器（洗眼和冲淋）、自启动消防设施等；暂存设施按《一般工业固体废物贮存、处置场污染控制标准》（GB 18599-2001）进行建设，贮存场所根据《环境保护图形标志</w:t>
            </w:r>
            <w:r>
              <w:rPr>
                <w:rFonts w:hint="default" w:ascii="Times New Roman" w:hAnsi="Times New Roman" w:eastAsia="宋体" w:cs="Times New Roman"/>
                <w:b w:val="0"/>
                <w:bCs w:val="0"/>
                <w:color w:val="0000FF"/>
                <w:kern w:val="2"/>
                <w:sz w:val="24"/>
                <w:szCs w:val="24"/>
                <w:lang w:val="en-US" w:eastAsia="zh-CN" w:bidi="ar-SA"/>
              </w:rPr>
              <w:t>——</w:t>
            </w:r>
            <w:r>
              <w:rPr>
                <w:rFonts w:hint="eastAsia" w:ascii="Times New Roman" w:hAnsi="Times New Roman" w:eastAsia="宋体" w:cs="Times New Roman"/>
                <w:b w:val="0"/>
                <w:bCs w:val="0"/>
                <w:color w:val="0000FF"/>
                <w:kern w:val="2"/>
                <w:sz w:val="24"/>
                <w:szCs w:val="24"/>
                <w:lang w:val="en-US" w:eastAsia="zh-CN" w:bidi="ar-SA"/>
              </w:rPr>
              <w:t>固体废物贮存（处置）场》（GB 15562.2-1995）设立专用标志。</w:t>
            </w:r>
          </w:p>
          <w:p w14:paraId="255913CC">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lang w:val="en-US" w:eastAsia="zh-CN" w:bidi="ar-SA"/>
              </w:rPr>
            </w:pPr>
            <w:r>
              <w:rPr>
                <w:rFonts w:hint="eastAsia" w:ascii="Times New Roman" w:hAnsi="Times New Roman" w:eastAsia="宋体" w:cs="Times New Roman"/>
                <w:b w:val="0"/>
                <w:bCs w:val="0"/>
                <w:color w:val="0000FF"/>
                <w:kern w:val="2"/>
                <w:sz w:val="24"/>
                <w:szCs w:val="24"/>
                <w:lang w:val="en-US" w:eastAsia="zh-CN" w:bidi="ar-SA"/>
              </w:rPr>
              <w:t>（2）运输、喂料及计量：替代燃料的运输必须保证密闭无泄漏，按选用阶梯炉的最大处置能力进行匹配设计；露天的运输廊道采用钢结构彩瓦全部密封。本项目计划不设置喂料缓冲仓。</w:t>
            </w:r>
          </w:p>
          <w:p w14:paraId="60097D36">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ascii="宋体" w:hAnsi="宋体"/>
                <w:color w:val="0000FF"/>
                <w:sz w:val="24"/>
              </w:rPr>
            </w:pPr>
            <w:r>
              <w:rPr>
                <w:rFonts w:hint="eastAsia" w:ascii="Times New Roman" w:hAnsi="Times New Roman" w:eastAsia="宋体" w:cs="Times New Roman"/>
                <w:b w:val="0"/>
                <w:bCs w:val="0"/>
                <w:color w:val="0000FF"/>
                <w:kern w:val="2"/>
                <w:sz w:val="24"/>
                <w:szCs w:val="24"/>
                <w:lang w:val="en-US" w:eastAsia="zh-CN" w:bidi="ar-SA"/>
              </w:rPr>
              <w:t>（3）阶梯炉：焚烧能力</w:t>
            </w:r>
            <w:r>
              <w:rPr>
                <w:rFonts w:hint="eastAsia" w:cs="Times New Roman"/>
                <w:b w:val="0"/>
                <w:bCs w:val="0"/>
                <w:color w:val="0000FF"/>
                <w:kern w:val="2"/>
                <w:sz w:val="24"/>
                <w:szCs w:val="24"/>
                <w:lang w:val="en-US" w:eastAsia="zh-CN" w:bidi="ar-SA"/>
              </w:rPr>
              <w:t>≥</w:t>
            </w:r>
            <w:r>
              <w:rPr>
                <w:rFonts w:hint="eastAsia" w:ascii="Times New Roman" w:hAnsi="Times New Roman" w:eastAsia="宋体" w:cs="Times New Roman"/>
                <w:b w:val="0"/>
                <w:bCs w:val="0"/>
                <w:color w:val="0000FF"/>
                <w:kern w:val="2"/>
                <w:sz w:val="24"/>
                <w:szCs w:val="24"/>
                <w:lang w:val="en-US" w:eastAsia="zh-CN" w:bidi="ar-SA"/>
              </w:rPr>
              <w:t>300t/d，尾煤替代率≥30%。替代燃料在阶梯炉设备中的停留时间</w:t>
            </w:r>
            <w:r>
              <w:rPr>
                <w:rFonts w:hint="default" w:ascii="Times New Roman" w:hAnsi="Times New Roman" w:eastAsia="宋体" w:cs="Times New Roman"/>
                <w:b w:val="0"/>
                <w:bCs w:val="0"/>
                <w:color w:val="0000FF"/>
                <w:kern w:val="2"/>
                <w:sz w:val="24"/>
                <w:szCs w:val="24"/>
                <w:lang w:val="en-US" w:eastAsia="zh-CN" w:bidi="ar-SA"/>
              </w:rPr>
              <w:t>应连续、均匀、稳定、可调可控，同时须避免炉内出现局部高温，物料烧瘤结皮等现象。在线阶梯炉喷吹助燃系统应具有使用空气量小、使用效率高、保证燃料燃烧效率高的特点。</w:t>
            </w:r>
            <w:r>
              <w:rPr>
                <w:rFonts w:hint="default" w:ascii="Times New Roman" w:hAnsi="Times New Roman" w:cs="Times New Roman"/>
                <w:color w:val="0000FF"/>
                <w:sz w:val="24"/>
              </w:rPr>
              <w:t>根据替代燃料处置量和预热器塔架空间布置，本项目拟采用蒂森克虏伯原创研发、生产的Poly AC 4-11阶</w:t>
            </w:r>
            <w:r>
              <w:rPr>
                <w:rFonts w:ascii="宋体" w:hAnsi="宋体"/>
                <w:color w:val="0000FF"/>
                <w:sz w:val="24"/>
              </w:rPr>
              <w:t>梯炉。</w:t>
            </w:r>
          </w:p>
          <w:p w14:paraId="0E7CA037">
            <w:pPr>
              <w:autoSpaceDE w:val="0"/>
              <w:autoSpaceDN w:val="0"/>
              <w:adjustRightInd w:val="0"/>
              <w:jc w:val="center"/>
              <w:rPr>
                <w:rFonts w:hint="eastAsia" w:ascii="Times New Roman" w:hAnsi="Times New Roman" w:eastAsia="宋体" w:cs="Times New Roman"/>
                <w:b/>
                <w:color w:val="0000FF"/>
                <w:lang w:eastAsia="zh-CN"/>
              </w:rPr>
            </w:pPr>
            <w:r>
              <w:rPr>
                <w:rFonts w:hint="eastAsia" w:ascii="Times New Roman" w:hAnsi="Times New Roman" w:cs="Times New Roman"/>
                <w:b/>
                <w:color w:val="0000FF"/>
                <w:lang w:eastAsia="zh-CN"/>
              </w:rPr>
              <w:t>表</w:t>
            </w:r>
            <w:r>
              <w:rPr>
                <w:rFonts w:hint="eastAsia" w:ascii="Times New Roman" w:hAnsi="Times New Roman" w:cs="Times New Roman"/>
                <w:b/>
                <w:color w:val="0000FF"/>
                <w:lang w:val="en-US" w:eastAsia="zh-CN"/>
              </w:rPr>
              <w:t>2-</w:t>
            </w:r>
            <w:r>
              <w:rPr>
                <w:rFonts w:hint="eastAsia" w:cs="Times New Roman"/>
                <w:b/>
                <w:color w:val="0000FF"/>
                <w:lang w:val="en-US" w:eastAsia="zh-CN"/>
              </w:rPr>
              <w:t>19 本项目选用</w:t>
            </w:r>
            <w:r>
              <w:rPr>
                <w:rFonts w:hint="eastAsia" w:ascii="Times New Roman" w:hAnsi="Times New Roman" w:cs="Times New Roman"/>
                <w:b/>
                <w:color w:val="0000FF"/>
              </w:rPr>
              <w:t>阶梯炉主要参数</w:t>
            </w:r>
            <w:r>
              <w:rPr>
                <w:rFonts w:hint="eastAsia" w:cs="Times New Roman"/>
                <w:b/>
                <w:color w:val="0000FF"/>
                <w:lang w:eastAsia="zh-CN"/>
              </w:rPr>
              <w:t>一览表</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3"/>
              <w:gridCol w:w="3816"/>
              <w:gridCol w:w="3934"/>
            </w:tblGrid>
            <w:tr w14:paraId="43E11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pct"/>
                  <w:tcBorders>
                    <w:tl2br w:val="nil"/>
                    <w:tr2bl w:val="nil"/>
                  </w:tcBorders>
                  <w:shd w:val="clear" w:color="auto" w:fill="auto"/>
                  <w:noWrap w:val="0"/>
                  <w:vAlign w:val="center"/>
                </w:tcPr>
                <w:p w14:paraId="6BD5D4EC">
                  <w:pPr>
                    <w:adjustRightInd w:val="0"/>
                    <w:snapToGrid w:val="0"/>
                    <w:jc w:val="center"/>
                    <w:rPr>
                      <w:rFonts w:ascii="Times New Roman" w:hAnsi="Times New Roman"/>
                      <w:bCs/>
                      <w:color w:val="0000FF"/>
                      <w:szCs w:val="21"/>
                    </w:rPr>
                  </w:pPr>
                  <w:r>
                    <w:rPr>
                      <w:rFonts w:ascii="Times New Roman" w:hAnsi="Times New Roman"/>
                      <w:bCs/>
                      <w:color w:val="0000FF"/>
                      <w:szCs w:val="21"/>
                    </w:rPr>
                    <w:t>型号</w:t>
                  </w:r>
                </w:p>
              </w:tc>
              <w:tc>
                <w:tcPr>
                  <w:tcW w:w="4210" w:type="pct"/>
                  <w:gridSpan w:val="2"/>
                  <w:tcBorders>
                    <w:tl2br w:val="nil"/>
                    <w:tr2bl w:val="nil"/>
                  </w:tcBorders>
                  <w:shd w:val="clear" w:color="auto" w:fill="auto"/>
                  <w:noWrap w:val="0"/>
                  <w:vAlign w:val="center"/>
                </w:tcPr>
                <w:p w14:paraId="672CAA1D">
                  <w:pPr>
                    <w:adjustRightInd w:val="0"/>
                    <w:snapToGrid w:val="0"/>
                    <w:jc w:val="center"/>
                    <w:rPr>
                      <w:rFonts w:ascii="Times New Roman" w:hAnsi="Times New Roman"/>
                      <w:bCs/>
                      <w:color w:val="0000FF"/>
                      <w:szCs w:val="21"/>
                    </w:rPr>
                  </w:pPr>
                  <w:r>
                    <w:rPr>
                      <w:rFonts w:hint="eastAsia"/>
                      <w:bCs/>
                      <w:color w:val="0000FF"/>
                      <w:szCs w:val="21"/>
                      <w:lang w:eastAsia="zh-CN"/>
                    </w:rPr>
                    <w:t>主要参数</w:t>
                  </w:r>
                </w:p>
              </w:tc>
            </w:tr>
            <w:tr w14:paraId="24EFC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pct"/>
                  <w:vMerge w:val="restart"/>
                  <w:tcBorders>
                    <w:tl2br w:val="nil"/>
                    <w:tr2bl w:val="nil"/>
                  </w:tcBorders>
                  <w:shd w:val="clear" w:color="auto" w:fill="auto"/>
                  <w:noWrap w:val="0"/>
                  <w:vAlign w:val="center"/>
                </w:tcPr>
                <w:p w14:paraId="47520CBE">
                  <w:pPr>
                    <w:adjustRightInd w:val="0"/>
                    <w:snapToGrid w:val="0"/>
                    <w:jc w:val="center"/>
                    <w:rPr>
                      <w:rFonts w:ascii="Times New Roman" w:hAnsi="Times New Roman"/>
                      <w:bCs/>
                      <w:color w:val="0000FF"/>
                      <w:szCs w:val="21"/>
                    </w:rPr>
                  </w:pPr>
                  <w:r>
                    <w:rPr>
                      <w:rFonts w:ascii="Times New Roman" w:hAnsi="Times New Roman"/>
                      <w:bCs/>
                      <w:color w:val="0000FF"/>
                      <w:szCs w:val="21"/>
                    </w:rPr>
                    <w:t>Poly AC 4-11</w:t>
                  </w:r>
                </w:p>
              </w:tc>
              <w:tc>
                <w:tcPr>
                  <w:tcW w:w="2073" w:type="pct"/>
                  <w:tcBorders>
                    <w:tl2br w:val="nil"/>
                    <w:tr2bl w:val="nil"/>
                  </w:tcBorders>
                  <w:shd w:val="clear" w:color="auto" w:fill="auto"/>
                  <w:noWrap w:val="0"/>
                  <w:vAlign w:val="center"/>
                </w:tcPr>
                <w:p w14:paraId="4F8F4E85">
                  <w:pPr>
                    <w:adjustRightInd w:val="0"/>
                    <w:snapToGrid w:val="0"/>
                    <w:jc w:val="center"/>
                    <w:rPr>
                      <w:rFonts w:ascii="Times New Roman" w:hAnsi="Times New Roman"/>
                      <w:bCs/>
                      <w:color w:val="0000FF"/>
                      <w:szCs w:val="21"/>
                    </w:rPr>
                  </w:pPr>
                  <w:r>
                    <w:rPr>
                      <w:rFonts w:ascii="Times New Roman" w:hAnsi="Times New Roman"/>
                      <w:bCs/>
                      <w:color w:val="0000FF"/>
                      <w:szCs w:val="21"/>
                    </w:rPr>
                    <w:t>替代燃料处置量</w:t>
                  </w:r>
                </w:p>
              </w:tc>
              <w:tc>
                <w:tcPr>
                  <w:tcW w:w="2136" w:type="pct"/>
                  <w:tcBorders>
                    <w:tl2br w:val="nil"/>
                    <w:tr2bl w:val="nil"/>
                  </w:tcBorders>
                  <w:shd w:val="clear" w:color="auto" w:fill="auto"/>
                  <w:noWrap w:val="0"/>
                  <w:vAlign w:val="center"/>
                </w:tcPr>
                <w:p w14:paraId="6AFFAAF0">
                  <w:pPr>
                    <w:adjustRightInd w:val="0"/>
                    <w:snapToGrid w:val="0"/>
                    <w:jc w:val="center"/>
                    <w:rPr>
                      <w:rFonts w:ascii="Times New Roman" w:hAnsi="Times New Roman"/>
                      <w:bCs/>
                      <w:color w:val="0000FF"/>
                      <w:szCs w:val="21"/>
                    </w:rPr>
                  </w:pPr>
                  <w:r>
                    <w:rPr>
                      <w:rFonts w:ascii="Times New Roman" w:hAnsi="Times New Roman"/>
                      <w:bCs/>
                      <w:color w:val="0000FF"/>
                      <w:szCs w:val="21"/>
                    </w:rPr>
                    <w:t>10~15t/h</w:t>
                  </w:r>
                </w:p>
              </w:tc>
            </w:tr>
            <w:tr w14:paraId="2D541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pct"/>
                  <w:vMerge w:val="continue"/>
                  <w:tcBorders>
                    <w:tl2br w:val="nil"/>
                    <w:tr2bl w:val="nil"/>
                  </w:tcBorders>
                  <w:shd w:val="clear" w:color="auto" w:fill="auto"/>
                  <w:noWrap w:val="0"/>
                  <w:vAlign w:val="center"/>
                </w:tcPr>
                <w:p w14:paraId="5DA0B7C9">
                  <w:pPr>
                    <w:adjustRightInd w:val="0"/>
                    <w:snapToGrid w:val="0"/>
                    <w:jc w:val="center"/>
                    <w:rPr>
                      <w:rFonts w:ascii="Times New Roman" w:hAnsi="Times New Roman"/>
                      <w:bCs/>
                      <w:color w:val="0000FF"/>
                      <w:szCs w:val="21"/>
                    </w:rPr>
                  </w:pPr>
                </w:p>
              </w:tc>
              <w:tc>
                <w:tcPr>
                  <w:tcW w:w="2073" w:type="pct"/>
                  <w:tcBorders>
                    <w:tl2br w:val="nil"/>
                    <w:tr2bl w:val="nil"/>
                  </w:tcBorders>
                  <w:shd w:val="clear" w:color="auto" w:fill="auto"/>
                  <w:noWrap w:val="0"/>
                  <w:vAlign w:val="center"/>
                </w:tcPr>
                <w:p w14:paraId="1665240D">
                  <w:pPr>
                    <w:adjustRightInd w:val="0"/>
                    <w:snapToGrid w:val="0"/>
                    <w:jc w:val="center"/>
                    <w:rPr>
                      <w:rFonts w:ascii="Times New Roman" w:hAnsi="Times New Roman"/>
                      <w:bCs/>
                      <w:color w:val="0000FF"/>
                      <w:szCs w:val="21"/>
                    </w:rPr>
                  </w:pPr>
                  <w:r>
                    <w:rPr>
                      <w:rFonts w:ascii="Times New Roman" w:hAnsi="Times New Roman"/>
                      <w:bCs/>
                      <w:color w:val="0000FF"/>
                      <w:szCs w:val="21"/>
                    </w:rPr>
                    <w:t>热值功率</w:t>
                  </w:r>
                </w:p>
              </w:tc>
              <w:tc>
                <w:tcPr>
                  <w:tcW w:w="2136" w:type="pct"/>
                  <w:tcBorders>
                    <w:tl2br w:val="nil"/>
                    <w:tr2bl w:val="nil"/>
                  </w:tcBorders>
                  <w:shd w:val="clear" w:color="auto" w:fill="auto"/>
                  <w:noWrap w:val="0"/>
                  <w:vAlign w:val="center"/>
                </w:tcPr>
                <w:p w14:paraId="2AAB3A9C">
                  <w:pPr>
                    <w:adjustRightInd w:val="0"/>
                    <w:snapToGrid w:val="0"/>
                    <w:jc w:val="center"/>
                    <w:rPr>
                      <w:rFonts w:ascii="Times New Roman" w:hAnsi="Times New Roman"/>
                      <w:bCs/>
                      <w:color w:val="0000FF"/>
                      <w:szCs w:val="21"/>
                    </w:rPr>
                  </w:pPr>
                  <w:r>
                    <w:rPr>
                      <w:rFonts w:ascii="Times New Roman" w:hAnsi="Times New Roman"/>
                      <w:bCs/>
                      <w:color w:val="0000FF"/>
                      <w:szCs w:val="21"/>
                    </w:rPr>
                    <w:t>42MW</w:t>
                  </w:r>
                </w:p>
              </w:tc>
            </w:tr>
            <w:tr w14:paraId="39DDA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pct"/>
                  <w:vMerge w:val="continue"/>
                  <w:tcBorders>
                    <w:tl2br w:val="nil"/>
                    <w:tr2bl w:val="nil"/>
                  </w:tcBorders>
                  <w:shd w:val="clear" w:color="auto" w:fill="auto"/>
                  <w:noWrap w:val="0"/>
                  <w:vAlign w:val="center"/>
                </w:tcPr>
                <w:p w14:paraId="5085AEF9">
                  <w:pPr>
                    <w:adjustRightInd w:val="0"/>
                    <w:snapToGrid w:val="0"/>
                    <w:jc w:val="center"/>
                    <w:rPr>
                      <w:rFonts w:ascii="Times New Roman" w:hAnsi="Times New Roman"/>
                      <w:bCs/>
                      <w:color w:val="0000FF"/>
                      <w:szCs w:val="21"/>
                    </w:rPr>
                  </w:pPr>
                </w:p>
              </w:tc>
              <w:tc>
                <w:tcPr>
                  <w:tcW w:w="2073" w:type="pct"/>
                  <w:tcBorders>
                    <w:tl2br w:val="nil"/>
                    <w:tr2bl w:val="nil"/>
                  </w:tcBorders>
                  <w:shd w:val="clear" w:color="auto" w:fill="auto"/>
                  <w:noWrap w:val="0"/>
                  <w:vAlign w:val="center"/>
                </w:tcPr>
                <w:p w14:paraId="01462314">
                  <w:pPr>
                    <w:adjustRightInd w:val="0"/>
                    <w:snapToGrid w:val="0"/>
                    <w:jc w:val="center"/>
                    <w:rPr>
                      <w:rFonts w:ascii="Times New Roman" w:hAnsi="Times New Roman"/>
                      <w:bCs/>
                      <w:color w:val="0000FF"/>
                      <w:szCs w:val="21"/>
                    </w:rPr>
                  </w:pPr>
                  <w:r>
                    <w:rPr>
                      <w:rFonts w:ascii="Times New Roman" w:hAnsi="Times New Roman"/>
                      <w:bCs/>
                      <w:color w:val="0000FF"/>
                      <w:szCs w:val="21"/>
                    </w:rPr>
                    <w:t>进料螺旋铰刀数量</w:t>
                  </w:r>
                </w:p>
              </w:tc>
              <w:tc>
                <w:tcPr>
                  <w:tcW w:w="2136" w:type="pct"/>
                  <w:tcBorders>
                    <w:tl2br w:val="nil"/>
                    <w:tr2bl w:val="nil"/>
                  </w:tcBorders>
                  <w:shd w:val="clear" w:color="auto" w:fill="auto"/>
                  <w:noWrap w:val="0"/>
                  <w:vAlign w:val="center"/>
                </w:tcPr>
                <w:p w14:paraId="29DAECDC">
                  <w:pPr>
                    <w:adjustRightInd w:val="0"/>
                    <w:snapToGrid w:val="0"/>
                    <w:jc w:val="center"/>
                    <w:rPr>
                      <w:rFonts w:ascii="Times New Roman" w:hAnsi="Times New Roman"/>
                      <w:bCs/>
                      <w:color w:val="0000FF"/>
                      <w:szCs w:val="21"/>
                    </w:rPr>
                  </w:pPr>
                  <w:r>
                    <w:rPr>
                      <w:rFonts w:ascii="Times New Roman" w:hAnsi="Times New Roman"/>
                      <w:bCs/>
                      <w:color w:val="0000FF"/>
                      <w:szCs w:val="21"/>
                    </w:rPr>
                    <w:t>1台</w:t>
                  </w:r>
                </w:p>
              </w:tc>
            </w:tr>
            <w:tr w14:paraId="1B341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pct"/>
                  <w:vMerge w:val="continue"/>
                  <w:tcBorders>
                    <w:tl2br w:val="nil"/>
                    <w:tr2bl w:val="nil"/>
                  </w:tcBorders>
                  <w:shd w:val="clear" w:color="auto" w:fill="auto"/>
                  <w:noWrap w:val="0"/>
                  <w:vAlign w:val="center"/>
                </w:tcPr>
                <w:p w14:paraId="4DE567CC">
                  <w:pPr>
                    <w:adjustRightInd w:val="0"/>
                    <w:snapToGrid w:val="0"/>
                    <w:jc w:val="center"/>
                    <w:rPr>
                      <w:rFonts w:ascii="Times New Roman" w:hAnsi="Times New Roman"/>
                      <w:bCs/>
                      <w:color w:val="0000FF"/>
                      <w:szCs w:val="21"/>
                    </w:rPr>
                  </w:pPr>
                </w:p>
              </w:tc>
              <w:tc>
                <w:tcPr>
                  <w:tcW w:w="2073" w:type="pct"/>
                  <w:tcBorders>
                    <w:tl2br w:val="nil"/>
                    <w:tr2bl w:val="nil"/>
                  </w:tcBorders>
                  <w:shd w:val="clear" w:color="auto" w:fill="auto"/>
                  <w:noWrap w:val="0"/>
                  <w:vAlign w:val="center"/>
                </w:tcPr>
                <w:p w14:paraId="1730C327">
                  <w:pPr>
                    <w:adjustRightInd w:val="0"/>
                    <w:snapToGrid w:val="0"/>
                    <w:jc w:val="center"/>
                    <w:rPr>
                      <w:rFonts w:ascii="Times New Roman" w:hAnsi="Times New Roman"/>
                      <w:bCs/>
                      <w:color w:val="0000FF"/>
                      <w:szCs w:val="21"/>
                    </w:rPr>
                  </w:pPr>
                  <w:r>
                    <w:rPr>
                      <w:rFonts w:ascii="Times New Roman" w:hAnsi="Times New Roman"/>
                      <w:bCs/>
                      <w:color w:val="0000FF"/>
                      <w:szCs w:val="21"/>
                    </w:rPr>
                    <w:t>进料螺旋铰刀直径</w:t>
                  </w:r>
                </w:p>
              </w:tc>
              <w:tc>
                <w:tcPr>
                  <w:tcW w:w="2136" w:type="pct"/>
                  <w:tcBorders>
                    <w:tl2br w:val="nil"/>
                    <w:tr2bl w:val="nil"/>
                  </w:tcBorders>
                  <w:shd w:val="clear" w:color="auto" w:fill="auto"/>
                  <w:noWrap w:val="0"/>
                  <w:vAlign w:val="center"/>
                </w:tcPr>
                <w:p w14:paraId="25B10656">
                  <w:pPr>
                    <w:adjustRightInd w:val="0"/>
                    <w:snapToGrid w:val="0"/>
                    <w:jc w:val="center"/>
                    <w:rPr>
                      <w:rFonts w:ascii="Times New Roman" w:hAnsi="Times New Roman"/>
                      <w:bCs/>
                      <w:color w:val="0000FF"/>
                      <w:szCs w:val="21"/>
                    </w:rPr>
                  </w:pPr>
                  <w:r>
                    <w:rPr>
                      <w:rFonts w:ascii="Times New Roman" w:hAnsi="Times New Roman"/>
                      <w:bCs/>
                      <w:color w:val="0000FF"/>
                      <w:szCs w:val="21"/>
                    </w:rPr>
                    <w:t>800mm</w:t>
                  </w:r>
                </w:p>
              </w:tc>
            </w:tr>
            <w:tr w14:paraId="12BF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pct"/>
                  <w:vMerge w:val="continue"/>
                  <w:tcBorders>
                    <w:tl2br w:val="nil"/>
                    <w:tr2bl w:val="nil"/>
                  </w:tcBorders>
                  <w:shd w:val="clear" w:color="auto" w:fill="auto"/>
                  <w:noWrap w:val="0"/>
                  <w:vAlign w:val="center"/>
                </w:tcPr>
                <w:p w14:paraId="2D8D096E">
                  <w:pPr>
                    <w:adjustRightInd w:val="0"/>
                    <w:snapToGrid w:val="0"/>
                    <w:jc w:val="center"/>
                    <w:rPr>
                      <w:rFonts w:ascii="Times New Roman" w:hAnsi="Times New Roman"/>
                      <w:bCs/>
                      <w:color w:val="0000FF"/>
                      <w:szCs w:val="21"/>
                    </w:rPr>
                  </w:pPr>
                </w:p>
              </w:tc>
              <w:tc>
                <w:tcPr>
                  <w:tcW w:w="2073" w:type="pct"/>
                  <w:tcBorders>
                    <w:tl2br w:val="nil"/>
                    <w:tr2bl w:val="nil"/>
                  </w:tcBorders>
                  <w:shd w:val="clear" w:color="auto" w:fill="auto"/>
                  <w:noWrap w:val="0"/>
                  <w:vAlign w:val="center"/>
                </w:tcPr>
                <w:p w14:paraId="54BE0535">
                  <w:pPr>
                    <w:adjustRightInd w:val="0"/>
                    <w:snapToGrid w:val="0"/>
                    <w:jc w:val="center"/>
                    <w:rPr>
                      <w:rFonts w:ascii="Times New Roman" w:hAnsi="Times New Roman"/>
                      <w:bCs/>
                      <w:color w:val="0000FF"/>
                      <w:szCs w:val="21"/>
                    </w:rPr>
                  </w:pPr>
                  <w:r>
                    <w:rPr>
                      <w:rFonts w:ascii="Times New Roman" w:hAnsi="Times New Roman"/>
                      <w:bCs/>
                      <w:color w:val="0000FF"/>
                      <w:szCs w:val="21"/>
                    </w:rPr>
                    <w:t>进料螺旋铰刀功率</w:t>
                  </w:r>
                </w:p>
              </w:tc>
              <w:tc>
                <w:tcPr>
                  <w:tcW w:w="2136" w:type="pct"/>
                  <w:tcBorders>
                    <w:tl2br w:val="nil"/>
                    <w:tr2bl w:val="nil"/>
                  </w:tcBorders>
                  <w:shd w:val="clear" w:color="auto" w:fill="auto"/>
                  <w:noWrap w:val="0"/>
                  <w:vAlign w:val="center"/>
                </w:tcPr>
                <w:p w14:paraId="138CC93A">
                  <w:pPr>
                    <w:adjustRightInd w:val="0"/>
                    <w:snapToGrid w:val="0"/>
                    <w:jc w:val="center"/>
                    <w:rPr>
                      <w:rFonts w:ascii="Times New Roman" w:hAnsi="Times New Roman"/>
                      <w:bCs/>
                      <w:color w:val="0000FF"/>
                      <w:szCs w:val="21"/>
                    </w:rPr>
                  </w:pPr>
                  <w:r>
                    <w:rPr>
                      <w:rFonts w:ascii="Times New Roman" w:hAnsi="Times New Roman"/>
                      <w:bCs/>
                      <w:color w:val="0000FF"/>
                      <w:szCs w:val="21"/>
                    </w:rPr>
                    <w:t>30kW</w:t>
                  </w:r>
                </w:p>
              </w:tc>
            </w:tr>
            <w:tr w14:paraId="73C21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pct"/>
                  <w:vMerge w:val="continue"/>
                  <w:tcBorders>
                    <w:tl2br w:val="nil"/>
                    <w:tr2bl w:val="nil"/>
                  </w:tcBorders>
                  <w:shd w:val="clear" w:color="auto" w:fill="auto"/>
                  <w:noWrap w:val="0"/>
                  <w:vAlign w:val="center"/>
                </w:tcPr>
                <w:p w14:paraId="7036855F">
                  <w:pPr>
                    <w:adjustRightInd w:val="0"/>
                    <w:snapToGrid w:val="0"/>
                    <w:jc w:val="center"/>
                    <w:rPr>
                      <w:rFonts w:ascii="Times New Roman" w:hAnsi="Times New Roman"/>
                      <w:bCs/>
                      <w:color w:val="0000FF"/>
                      <w:szCs w:val="21"/>
                    </w:rPr>
                  </w:pPr>
                </w:p>
              </w:tc>
              <w:tc>
                <w:tcPr>
                  <w:tcW w:w="2073" w:type="pct"/>
                  <w:tcBorders>
                    <w:tl2br w:val="nil"/>
                    <w:tr2bl w:val="nil"/>
                  </w:tcBorders>
                  <w:shd w:val="clear" w:color="auto" w:fill="auto"/>
                  <w:noWrap w:val="0"/>
                  <w:vAlign w:val="center"/>
                </w:tcPr>
                <w:p w14:paraId="5765591E">
                  <w:pPr>
                    <w:adjustRightInd w:val="0"/>
                    <w:snapToGrid w:val="0"/>
                    <w:jc w:val="center"/>
                    <w:rPr>
                      <w:rFonts w:ascii="Times New Roman" w:hAnsi="Times New Roman"/>
                      <w:bCs/>
                      <w:color w:val="0000FF"/>
                      <w:szCs w:val="21"/>
                    </w:rPr>
                  </w:pPr>
                  <w:r>
                    <w:rPr>
                      <w:rFonts w:ascii="Times New Roman" w:hAnsi="Times New Roman"/>
                      <w:bCs/>
                      <w:color w:val="0000FF"/>
                      <w:szCs w:val="21"/>
                    </w:rPr>
                    <w:t>台阶数量</w:t>
                  </w:r>
                </w:p>
              </w:tc>
              <w:tc>
                <w:tcPr>
                  <w:tcW w:w="2136" w:type="pct"/>
                  <w:tcBorders>
                    <w:tl2br w:val="nil"/>
                    <w:tr2bl w:val="nil"/>
                  </w:tcBorders>
                  <w:shd w:val="clear" w:color="auto" w:fill="auto"/>
                  <w:noWrap w:val="0"/>
                  <w:vAlign w:val="center"/>
                </w:tcPr>
                <w:p w14:paraId="3D63FAA4">
                  <w:pPr>
                    <w:adjustRightInd w:val="0"/>
                    <w:snapToGrid w:val="0"/>
                    <w:jc w:val="center"/>
                    <w:rPr>
                      <w:rFonts w:ascii="Times New Roman" w:hAnsi="Times New Roman"/>
                      <w:bCs/>
                      <w:color w:val="0000FF"/>
                      <w:szCs w:val="21"/>
                    </w:rPr>
                  </w:pPr>
                  <w:r>
                    <w:rPr>
                      <w:rFonts w:ascii="Times New Roman" w:hAnsi="Times New Roman"/>
                      <w:bCs/>
                      <w:color w:val="0000FF"/>
                      <w:szCs w:val="21"/>
                    </w:rPr>
                    <w:t>11个</w:t>
                  </w:r>
                </w:p>
              </w:tc>
            </w:tr>
            <w:tr w14:paraId="748AA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pct"/>
                  <w:vMerge w:val="continue"/>
                  <w:tcBorders>
                    <w:tl2br w:val="nil"/>
                    <w:tr2bl w:val="nil"/>
                  </w:tcBorders>
                  <w:shd w:val="clear" w:color="auto" w:fill="auto"/>
                  <w:noWrap w:val="0"/>
                  <w:vAlign w:val="center"/>
                </w:tcPr>
                <w:p w14:paraId="067B0EBB">
                  <w:pPr>
                    <w:adjustRightInd w:val="0"/>
                    <w:snapToGrid w:val="0"/>
                    <w:jc w:val="center"/>
                    <w:rPr>
                      <w:rFonts w:ascii="Times New Roman" w:hAnsi="Times New Roman"/>
                      <w:bCs/>
                      <w:color w:val="0000FF"/>
                      <w:szCs w:val="21"/>
                    </w:rPr>
                  </w:pPr>
                </w:p>
              </w:tc>
              <w:tc>
                <w:tcPr>
                  <w:tcW w:w="2073" w:type="pct"/>
                  <w:tcBorders>
                    <w:tl2br w:val="nil"/>
                    <w:tr2bl w:val="nil"/>
                  </w:tcBorders>
                  <w:shd w:val="clear" w:color="auto" w:fill="auto"/>
                  <w:noWrap w:val="0"/>
                  <w:vAlign w:val="center"/>
                </w:tcPr>
                <w:p w14:paraId="7CB0BAD4">
                  <w:pPr>
                    <w:adjustRightInd w:val="0"/>
                    <w:snapToGrid w:val="0"/>
                    <w:jc w:val="center"/>
                    <w:rPr>
                      <w:rFonts w:ascii="Times New Roman" w:hAnsi="Times New Roman"/>
                      <w:bCs/>
                      <w:color w:val="0000FF"/>
                      <w:szCs w:val="21"/>
                    </w:rPr>
                  </w:pPr>
                  <w:r>
                    <w:rPr>
                      <w:rFonts w:ascii="Times New Roman" w:hAnsi="Times New Roman"/>
                      <w:bCs/>
                      <w:color w:val="0000FF"/>
                      <w:szCs w:val="21"/>
                    </w:rPr>
                    <w:t>每个台阶喷嘴数量</w:t>
                  </w:r>
                </w:p>
              </w:tc>
              <w:tc>
                <w:tcPr>
                  <w:tcW w:w="2136" w:type="pct"/>
                  <w:tcBorders>
                    <w:tl2br w:val="nil"/>
                    <w:tr2bl w:val="nil"/>
                  </w:tcBorders>
                  <w:shd w:val="clear" w:color="auto" w:fill="auto"/>
                  <w:noWrap w:val="0"/>
                  <w:vAlign w:val="center"/>
                </w:tcPr>
                <w:p w14:paraId="2D0AC67B">
                  <w:pPr>
                    <w:adjustRightInd w:val="0"/>
                    <w:snapToGrid w:val="0"/>
                    <w:jc w:val="center"/>
                    <w:rPr>
                      <w:rFonts w:ascii="Times New Roman" w:hAnsi="Times New Roman"/>
                      <w:bCs/>
                      <w:color w:val="0000FF"/>
                      <w:szCs w:val="21"/>
                    </w:rPr>
                  </w:pPr>
                  <w:r>
                    <w:rPr>
                      <w:rFonts w:ascii="Times New Roman" w:hAnsi="Times New Roman"/>
                      <w:bCs/>
                      <w:color w:val="0000FF"/>
                      <w:szCs w:val="21"/>
                    </w:rPr>
                    <w:t>4个</w:t>
                  </w:r>
                </w:p>
              </w:tc>
            </w:tr>
            <w:tr w14:paraId="75356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pct"/>
                  <w:vMerge w:val="continue"/>
                  <w:tcBorders>
                    <w:tl2br w:val="nil"/>
                    <w:tr2bl w:val="nil"/>
                  </w:tcBorders>
                  <w:shd w:val="clear" w:color="auto" w:fill="auto"/>
                  <w:noWrap w:val="0"/>
                  <w:vAlign w:val="center"/>
                </w:tcPr>
                <w:p w14:paraId="3CE69851">
                  <w:pPr>
                    <w:adjustRightInd w:val="0"/>
                    <w:snapToGrid w:val="0"/>
                    <w:jc w:val="center"/>
                    <w:rPr>
                      <w:rFonts w:ascii="Times New Roman" w:hAnsi="Times New Roman"/>
                      <w:bCs/>
                      <w:color w:val="0000FF"/>
                      <w:szCs w:val="21"/>
                    </w:rPr>
                  </w:pPr>
                </w:p>
              </w:tc>
              <w:tc>
                <w:tcPr>
                  <w:tcW w:w="2073" w:type="pct"/>
                  <w:tcBorders>
                    <w:tl2br w:val="nil"/>
                    <w:tr2bl w:val="nil"/>
                  </w:tcBorders>
                  <w:shd w:val="clear" w:color="auto" w:fill="auto"/>
                  <w:noWrap w:val="0"/>
                  <w:vAlign w:val="center"/>
                </w:tcPr>
                <w:p w14:paraId="060BA377">
                  <w:pPr>
                    <w:adjustRightInd w:val="0"/>
                    <w:snapToGrid w:val="0"/>
                    <w:jc w:val="center"/>
                    <w:rPr>
                      <w:rFonts w:ascii="Times New Roman" w:hAnsi="Times New Roman"/>
                      <w:bCs/>
                      <w:color w:val="0000FF"/>
                      <w:szCs w:val="21"/>
                    </w:rPr>
                  </w:pPr>
                  <w:r>
                    <w:rPr>
                      <w:rFonts w:ascii="Times New Roman" w:hAnsi="Times New Roman"/>
                      <w:bCs/>
                      <w:color w:val="0000FF"/>
                      <w:szCs w:val="21"/>
                    </w:rPr>
                    <w:t>每个喷嘴宽度</w:t>
                  </w:r>
                </w:p>
              </w:tc>
              <w:tc>
                <w:tcPr>
                  <w:tcW w:w="2136" w:type="pct"/>
                  <w:tcBorders>
                    <w:tl2br w:val="nil"/>
                    <w:tr2bl w:val="nil"/>
                  </w:tcBorders>
                  <w:shd w:val="clear" w:color="auto" w:fill="auto"/>
                  <w:noWrap w:val="0"/>
                  <w:vAlign w:val="center"/>
                </w:tcPr>
                <w:p w14:paraId="26BA5D7D">
                  <w:pPr>
                    <w:adjustRightInd w:val="0"/>
                    <w:snapToGrid w:val="0"/>
                    <w:jc w:val="center"/>
                    <w:rPr>
                      <w:rFonts w:ascii="Times New Roman" w:hAnsi="Times New Roman"/>
                      <w:bCs/>
                      <w:color w:val="0000FF"/>
                      <w:szCs w:val="21"/>
                    </w:rPr>
                  </w:pPr>
                  <w:r>
                    <w:rPr>
                      <w:rFonts w:ascii="Times New Roman" w:hAnsi="Times New Roman"/>
                      <w:bCs/>
                      <w:color w:val="0000FF"/>
                      <w:szCs w:val="21"/>
                    </w:rPr>
                    <w:t>600mm</w:t>
                  </w:r>
                </w:p>
              </w:tc>
            </w:tr>
            <w:tr w14:paraId="29AF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pct"/>
                  <w:vMerge w:val="continue"/>
                  <w:tcBorders>
                    <w:tl2br w:val="nil"/>
                    <w:tr2bl w:val="nil"/>
                  </w:tcBorders>
                  <w:shd w:val="clear" w:color="auto" w:fill="auto"/>
                  <w:noWrap w:val="0"/>
                  <w:vAlign w:val="center"/>
                </w:tcPr>
                <w:p w14:paraId="1F0BDD9D">
                  <w:pPr>
                    <w:adjustRightInd w:val="0"/>
                    <w:snapToGrid w:val="0"/>
                    <w:jc w:val="center"/>
                    <w:rPr>
                      <w:rFonts w:ascii="Times New Roman" w:hAnsi="Times New Roman"/>
                      <w:bCs/>
                      <w:color w:val="0000FF"/>
                      <w:szCs w:val="21"/>
                    </w:rPr>
                  </w:pPr>
                </w:p>
              </w:tc>
              <w:tc>
                <w:tcPr>
                  <w:tcW w:w="2073" w:type="pct"/>
                  <w:tcBorders>
                    <w:tl2br w:val="nil"/>
                    <w:tr2bl w:val="nil"/>
                  </w:tcBorders>
                  <w:shd w:val="clear" w:color="auto" w:fill="auto"/>
                  <w:noWrap w:val="0"/>
                  <w:vAlign w:val="center"/>
                </w:tcPr>
                <w:p w14:paraId="23898209">
                  <w:pPr>
                    <w:adjustRightInd w:val="0"/>
                    <w:snapToGrid w:val="0"/>
                    <w:jc w:val="center"/>
                    <w:rPr>
                      <w:rFonts w:ascii="Times New Roman" w:hAnsi="Times New Roman"/>
                      <w:bCs/>
                      <w:color w:val="0000FF"/>
                      <w:szCs w:val="21"/>
                    </w:rPr>
                  </w:pPr>
                  <w:r>
                    <w:rPr>
                      <w:rFonts w:ascii="Times New Roman" w:hAnsi="Times New Roman"/>
                      <w:bCs/>
                      <w:color w:val="0000FF"/>
                      <w:szCs w:val="21"/>
                    </w:rPr>
                    <w:t>空气炮数量</w:t>
                  </w:r>
                </w:p>
              </w:tc>
              <w:tc>
                <w:tcPr>
                  <w:tcW w:w="2136" w:type="pct"/>
                  <w:tcBorders>
                    <w:tl2br w:val="nil"/>
                    <w:tr2bl w:val="nil"/>
                  </w:tcBorders>
                  <w:shd w:val="clear" w:color="auto" w:fill="auto"/>
                  <w:noWrap w:val="0"/>
                  <w:vAlign w:val="center"/>
                </w:tcPr>
                <w:p w14:paraId="0E3E2596">
                  <w:pPr>
                    <w:adjustRightInd w:val="0"/>
                    <w:snapToGrid w:val="0"/>
                    <w:jc w:val="center"/>
                    <w:rPr>
                      <w:rFonts w:ascii="Times New Roman" w:hAnsi="Times New Roman"/>
                      <w:bCs/>
                      <w:color w:val="0000FF"/>
                      <w:szCs w:val="21"/>
                    </w:rPr>
                  </w:pPr>
                  <w:r>
                    <w:rPr>
                      <w:rFonts w:ascii="Times New Roman" w:hAnsi="Times New Roman"/>
                      <w:bCs/>
                      <w:color w:val="0000FF"/>
                      <w:szCs w:val="21"/>
                    </w:rPr>
                    <w:t>26个</w:t>
                  </w:r>
                </w:p>
              </w:tc>
            </w:tr>
            <w:tr w14:paraId="0B79F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pct"/>
                  <w:vMerge w:val="continue"/>
                  <w:tcBorders>
                    <w:tl2br w:val="nil"/>
                    <w:tr2bl w:val="nil"/>
                  </w:tcBorders>
                  <w:shd w:val="clear" w:color="auto" w:fill="auto"/>
                  <w:noWrap w:val="0"/>
                  <w:vAlign w:val="center"/>
                </w:tcPr>
                <w:p w14:paraId="3A07D32F">
                  <w:pPr>
                    <w:adjustRightInd w:val="0"/>
                    <w:snapToGrid w:val="0"/>
                    <w:jc w:val="center"/>
                    <w:rPr>
                      <w:rFonts w:ascii="Times New Roman" w:hAnsi="Times New Roman"/>
                      <w:bCs/>
                      <w:color w:val="0000FF"/>
                      <w:szCs w:val="21"/>
                    </w:rPr>
                  </w:pPr>
                </w:p>
              </w:tc>
              <w:tc>
                <w:tcPr>
                  <w:tcW w:w="2073" w:type="pct"/>
                  <w:tcBorders>
                    <w:tl2br w:val="nil"/>
                    <w:tr2bl w:val="nil"/>
                  </w:tcBorders>
                  <w:shd w:val="clear" w:color="auto" w:fill="auto"/>
                  <w:noWrap w:val="0"/>
                  <w:vAlign w:val="center"/>
                </w:tcPr>
                <w:p w14:paraId="2C01DD0F">
                  <w:pPr>
                    <w:adjustRightInd w:val="0"/>
                    <w:snapToGrid w:val="0"/>
                    <w:jc w:val="center"/>
                    <w:rPr>
                      <w:rFonts w:ascii="Times New Roman" w:hAnsi="Times New Roman"/>
                      <w:bCs/>
                      <w:color w:val="0000FF"/>
                      <w:szCs w:val="21"/>
                    </w:rPr>
                  </w:pPr>
                  <w:r>
                    <w:rPr>
                      <w:rFonts w:ascii="Times New Roman" w:hAnsi="Times New Roman"/>
                      <w:bCs/>
                      <w:color w:val="0000FF"/>
                      <w:szCs w:val="21"/>
                    </w:rPr>
                    <w:t>喷嘴数量</w:t>
                  </w:r>
                </w:p>
              </w:tc>
              <w:tc>
                <w:tcPr>
                  <w:tcW w:w="2136" w:type="pct"/>
                  <w:tcBorders>
                    <w:tl2br w:val="nil"/>
                    <w:tr2bl w:val="nil"/>
                  </w:tcBorders>
                  <w:shd w:val="clear" w:color="auto" w:fill="auto"/>
                  <w:noWrap w:val="0"/>
                  <w:vAlign w:val="center"/>
                </w:tcPr>
                <w:p w14:paraId="3C937D78">
                  <w:pPr>
                    <w:adjustRightInd w:val="0"/>
                    <w:snapToGrid w:val="0"/>
                    <w:jc w:val="center"/>
                    <w:rPr>
                      <w:rFonts w:ascii="Times New Roman" w:hAnsi="Times New Roman"/>
                      <w:bCs/>
                      <w:color w:val="0000FF"/>
                      <w:szCs w:val="21"/>
                    </w:rPr>
                  </w:pPr>
                  <w:r>
                    <w:rPr>
                      <w:rFonts w:ascii="Times New Roman" w:hAnsi="Times New Roman"/>
                      <w:bCs/>
                      <w:color w:val="0000FF"/>
                      <w:szCs w:val="21"/>
                    </w:rPr>
                    <w:t>48个</w:t>
                  </w:r>
                </w:p>
              </w:tc>
            </w:tr>
            <w:tr w14:paraId="47B78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pct"/>
                  <w:vMerge w:val="continue"/>
                  <w:tcBorders>
                    <w:tl2br w:val="nil"/>
                    <w:tr2bl w:val="nil"/>
                  </w:tcBorders>
                  <w:shd w:val="clear" w:color="auto" w:fill="auto"/>
                  <w:noWrap w:val="0"/>
                  <w:vAlign w:val="center"/>
                </w:tcPr>
                <w:p w14:paraId="63384AC4">
                  <w:pPr>
                    <w:adjustRightInd w:val="0"/>
                    <w:snapToGrid w:val="0"/>
                    <w:jc w:val="center"/>
                    <w:rPr>
                      <w:rFonts w:ascii="Times New Roman" w:hAnsi="Times New Roman"/>
                      <w:bCs/>
                      <w:color w:val="0000FF"/>
                      <w:szCs w:val="21"/>
                    </w:rPr>
                  </w:pPr>
                </w:p>
              </w:tc>
              <w:tc>
                <w:tcPr>
                  <w:tcW w:w="2073" w:type="pct"/>
                  <w:tcBorders>
                    <w:tl2br w:val="nil"/>
                    <w:tr2bl w:val="nil"/>
                  </w:tcBorders>
                  <w:shd w:val="clear" w:color="auto" w:fill="auto"/>
                  <w:noWrap w:val="0"/>
                  <w:vAlign w:val="center"/>
                </w:tcPr>
                <w:p w14:paraId="7BB0715C">
                  <w:pPr>
                    <w:adjustRightInd w:val="0"/>
                    <w:snapToGrid w:val="0"/>
                    <w:jc w:val="center"/>
                    <w:rPr>
                      <w:rFonts w:ascii="Times New Roman" w:hAnsi="Times New Roman"/>
                      <w:bCs/>
                      <w:color w:val="0000FF"/>
                      <w:szCs w:val="21"/>
                    </w:rPr>
                  </w:pPr>
                  <w:r>
                    <w:rPr>
                      <w:rFonts w:ascii="Times New Roman" w:hAnsi="Times New Roman"/>
                      <w:bCs/>
                      <w:color w:val="0000FF"/>
                      <w:szCs w:val="21"/>
                    </w:rPr>
                    <w:t>炉内高温红外热像仪</w:t>
                  </w:r>
                </w:p>
              </w:tc>
              <w:tc>
                <w:tcPr>
                  <w:tcW w:w="2136" w:type="pct"/>
                  <w:tcBorders>
                    <w:tl2br w:val="nil"/>
                    <w:tr2bl w:val="nil"/>
                  </w:tcBorders>
                  <w:shd w:val="clear" w:color="auto" w:fill="auto"/>
                  <w:noWrap w:val="0"/>
                  <w:vAlign w:val="center"/>
                </w:tcPr>
                <w:p w14:paraId="642A7E22">
                  <w:pPr>
                    <w:adjustRightInd w:val="0"/>
                    <w:snapToGrid w:val="0"/>
                    <w:jc w:val="center"/>
                    <w:rPr>
                      <w:rFonts w:ascii="Times New Roman" w:hAnsi="Times New Roman"/>
                      <w:bCs/>
                      <w:color w:val="0000FF"/>
                      <w:szCs w:val="21"/>
                    </w:rPr>
                  </w:pPr>
                  <w:r>
                    <w:rPr>
                      <w:rFonts w:ascii="Times New Roman" w:hAnsi="Times New Roman"/>
                      <w:bCs/>
                      <w:color w:val="0000FF"/>
                      <w:szCs w:val="21"/>
                    </w:rPr>
                    <w:t>1台</w:t>
                  </w:r>
                </w:p>
              </w:tc>
            </w:tr>
            <w:tr w14:paraId="4CB4E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pct"/>
                  <w:vMerge w:val="continue"/>
                  <w:tcBorders>
                    <w:tl2br w:val="nil"/>
                    <w:tr2bl w:val="nil"/>
                  </w:tcBorders>
                  <w:shd w:val="clear" w:color="auto" w:fill="auto"/>
                  <w:noWrap w:val="0"/>
                  <w:vAlign w:val="center"/>
                </w:tcPr>
                <w:p w14:paraId="786D3C28">
                  <w:pPr>
                    <w:adjustRightInd w:val="0"/>
                    <w:snapToGrid w:val="0"/>
                    <w:jc w:val="center"/>
                    <w:rPr>
                      <w:rFonts w:ascii="Times New Roman" w:hAnsi="Times New Roman"/>
                      <w:bCs/>
                      <w:color w:val="0000FF"/>
                      <w:szCs w:val="21"/>
                    </w:rPr>
                  </w:pPr>
                </w:p>
              </w:tc>
              <w:tc>
                <w:tcPr>
                  <w:tcW w:w="2073" w:type="pct"/>
                  <w:tcBorders>
                    <w:tl2br w:val="nil"/>
                    <w:tr2bl w:val="nil"/>
                  </w:tcBorders>
                  <w:shd w:val="clear" w:color="auto" w:fill="auto"/>
                  <w:noWrap w:val="0"/>
                  <w:vAlign w:val="center"/>
                </w:tcPr>
                <w:p w14:paraId="62941888">
                  <w:pPr>
                    <w:adjustRightInd w:val="0"/>
                    <w:snapToGrid w:val="0"/>
                    <w:jc w:val="center"/>
                    <w:rPr>
                      <w:rFonts w:ascii="Times New Roman" w:hAnsi="Times New Roman"/>
                      <w:bCs/>
                      <w:color w:val="0000FF"/>
                      <w:szCs w:val="21"/>
                    </w:rPr>
                  </w:pPr>
                  <w:r>
                    <w:rPr>
                      <w:rFonts w:ascii="Times New Roman" w:hAnsi="Times New Roman"/>
                      <w:bCs/>
                      <w:color w:val="0000FF"/>
                      <w:szCs w:val="21"/>
                    </w:rPr>
                    <w:t>物料停留时间</w:t>
                  </w:r>
                </w:p>
              </w:tc>
              <w:tc>
                <w:tcPr>
                  <w:tcW w:w="2136" w:type="pct"/>
                  <w:tcBorders>
                    <w:tl2br w:val="nil"/>
                    <w:tr2bl w:val="nil"/>
                  </w:tcBorders>
                  <w:shd w:val="clear" w:color="auto" w:fill="auto"/>
                  <w:noWrap w:val="0"/>
                  <w:vAlign w:val="center"/>
                </w:tcPr>
                <w:p w14:paraId="15FBD628">
                  <w:pPr>
                    <w:adjustRightInd w:val="0"/>
                    <w:snapToGrid w:val="0"/>
                    <w:jc w:val="center"/>
                    <w:rPr>
                      <w:rFonts w:ascii="Times New Roman" w:hAnsi="Times New Roman"/>
                      <w:bCs/>
                      <w:color w:val="0000FF"/>
                      <w:szCs w:val="21"/>
                    </w:rPr>
                  </w:pPr>
                  <w:r>
                    <w:rPr>
                      <w:rFonts w:ascii="Times New Roman" w:hAnsi="Times New Roman"/>
                      <w:bCs/>
                      <w:color w:val="0000FF"/>
                      <w:szCs w:val="21"/>
                    </w:rPr>
                    <w:t>10~25min</w:t>
                  </w:r>
                </w:p>
              </w:tc>
            </w:tr>
            <w:tr w14:paraId="17903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pct"/>
                  <w:vMerge w:val="continue"/>
                  <w:tcBorders>
                    <w:tl2br w:val="nil"/>
                    <w:tr2bl w:val="nil"/>
                  </w:tcBorders>
                  <w:shd w:val="clear" w:color="auto" w:fill="auto"/>
                  <w:noWrap w:val="0"/>
                  <w:vAlign w:val="center"/>
                </w:tcPr>
                <w:p w14:paraId="1FFD03A0">
                  <w:pPr>
                    <w:adjustRightInd w:val="0"/>
                    <w:snapToGrid w:val="0"/>
                    <w:jc w:val="center"/>
                    <w:rPr>
                      <w:rFonts w:ascii="Times New Roman" w:hAnsi="Times New Roman"/>
                      <w:bCs/>
                      <w:color w:val="0000FF"/>
                      <w:szCs w:val="21"/>
                    </w:rPr>
                  </w:pPr>
                </w:p>
              </w:tc>
              <w:tc>
                <w:tcPr>
                  <w:tcW w:w="2073" w:type="pct"/>
                  <w:tcBorders>
                    <w:tl2br w:val="nil"/>
                    <w:tr2bl w:val="nil"/>
                  </w:tcBorders>
                  <w:shd w:val="clear" w:color="auto" w:fill="auto"/>
                  <w:noWrap w:val="0"/>
                  <w:vAlign w:val="center"/>
                </w:tcPr>
                <w:p w14:paraId="05823D99">
                  <w:pPr>
                    <w:adjustRightInd w:val="0"/>
                    <w:snapToGrid w:val="0"/>
                    <w:jc w:val="center"/>
                    <w:rPr>
                      <w:rFonts w:ascii="Times New Roman" w:hAnsi="Times New Roman"/>
                      <w:bCs/>
                      <w:color w:val="0000FF"/>
                      <w:szCs w:val="21"/>
                    </w:rPr>
                  </w:pPr>
                  <w:r>
                    <w:rPr>
                      <w:rFonts w:ascii="Times New Roman" w:hAnsi="Times New Roman"/>
                      <w:bCs/>
                      <w:color w:val="0000FF"/>
                      <w:szCs w:val="21"/>
                    </w:rPr>
                    <w:t>漏风率</w:t>
                  </w:r>
                </w:p>
              </w:tc>
              <w:tc>
                <w:tcPr>
                  <w:tcW w:w="2136" w:type="pct"/>
                  <w:tcBorders>
                    <w:tl2br w:val="nil"/>
                    <w:tr2bl w:val="nil"/>
                  </w:tcBorders>
                  <w:shd w:val="clear" w:color="auto" w:fill="auto"/>
                  <w:noWrap w:val="0"/>
                  <w:vAlign w:val="center"/>
                </w:tcPr>
                <w:p w14:paraId="416AE135">
                  <w:pPr>
                    <w:adjustRightInd w:val="0"/>
                    <w:snapToGrid w:val="0"/>
                    <w:jc w:val="center"/>
                    <w:rPr>
                      <w:rFonts w:ascii="Times New Roman" w:hAnsi="Times New Roman"/>
                      <w:bCs/>
                      <w:color w:val="0000FF"/>
                      <w:szCs w:val="21"/>
                    </w:rPr>
                  </w:pPr>
                  <w:r>
                    <w:rPr>
                      <w:rFonts w:ascii="Times New Roman" w:hAnsi="Times New Roman"/>
                      <w:bCs/>
                      <w:color w:val="0000FF"/>
                      <w:szCs w:val="21"/>
                    </w:rPr>
                    <w:t>小于1%</w:t>
                  </w:r>
                </w:p>
              </w:tc>
            </w:tr>
          </w:tbl>
          <w:p w14:paraId="373DB62B">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lang w:val="en-US" w:eastAsia="zh-CN" w:bidi="ar-SA"/>
              </w:rPr>
            </w:pPr>
            <w:r>
              <w:rPr>
                <w:rFonts w:hint="eastAsia" w:ascii="Times New Roman" w:hAnsi="Times New Roman" w:eastAsia="宋体" w:cs="Times New Roman"/>
                <w:b w:val="0"/>
                <w:bCs w:val="0"/>
                <w:color w:val="0000FF"/>
                <w:kern w:val="2"/>
                <w:sz w:val="24"/>
                <w:szCs w:val="24"/>
                <w:lang w:val="en-US" w:eastAsia="zh-CN" w:bidi="ar-SA"/>
              </w:rPr>
              <w:t>（4）水泥熟料减产指标：使用替代燃料后不能影响熟料产质量。</w:t>
            </w:r>
          </w:p>
          <w:p w14:paraId="28FA2C77">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lang w:val="en-US" w:eastAsia="zh-CN" w:bidi="ar-SA"/>
              </w:rPr>
            </w:pPr>
            <w:r>
              <w:rPr>
                <w:rFonts w:hint="eastAsia" w:ascii="Times New Roman" w:hAnsi="Times New Roman" w:eastAsia="宋体" w:cs="Times New Roman"/>
                <w:b w:val="0"/>
                <w:bCs w:val="0"/>
                <w:color w:val="0000FF"/>
                <w:kern w:val="2"/>
                <w:sz w:val="24"/>
                <w:szCs w:val="24"/>
                <w:lang w:val="en-US" w:eastAsia="zh-CN" w:bidi="ar-SA"/>
              </w:rPr>
              <w:t>（5）相对窑转运率：≥95%（剔除断料、堵料等外部因素影响）。</w:t>
            </w:r>
          </w:p>
          <w:p w14:paraId="551ABEB3">
            <w:pPr>
              <w:pStyle w:val="10"/>
              <w:keepNext w:val="0"/>
              <w:keepLines w:val="0"/>
              <w:pageBreakBefore w:val="0"/>
              <w:kinsoku/>
              <w:wordWrap/>
              <w:overflowPunct/>
              <w:topLinePunct w:val="0"/>
              <w:bidi w:val="0"/>
              <w:spacing w:line="360" w:lineRule="auto"/>
              <w:ind w:right="0" w:firstLine="480" w:firstLineChars="200"/>
              <w:jc w:val="both"/>
              <w:textAlignment w:val="center"/>
              <w:rPr>
                <w:rFonts w:hint="default" w:ascii="Times New Roman" w:hAnsi="Times New Roman" w:cs="Times New Roman"/>
                <w:color w:val="0000FF"/>
                <w:szCs w:val="24"/>
              </w:rPr>
            </w:pPr>
            <w:r>
              <w:rPr>
                <w:rFonts w:hint="default" w:ascii="Times New Roman" w:hAnsi="Times New Roman" w:cs="Times New Roman"/>
                <w:b w:val="0"/>
                <w:bCs w:val="0"/>
                <w:color w:val="0000FF"/>
                <w:kern w:val="2"/>
                <w:sz w:val="24"/>
                <w:szCs w:val="24"/>
                <w:lang w:val="en-US" w:eastAsia="zh-CN" w:bidi="ar-SA"/>
              </w:rPr>
              <w:t>3、</w:t>
            </w:r>
            <w:r>
              <w:rPr>
                <w:rFonts w:hint="default" w:ascii="Times New Roman" w:hAnsi="Times New Roman" w:cs="Times New Roman"/>
                <w:color w:val="0000FF"/>
                <w:szCs w:val="24"/>
              </w:rPr>
              <w:t>工艺与设备的先进性</w:t>
            </w:r>
          </w:p>
          <w:p w14:paraId="3B0B825B">
            <w:pPr>
              <w:pStyle w:val="26"/>
              <w:keepNext w:val="0"/>
              <w:keepLines w:val="0"/>
              <w:pageBreakBefore w:val="0"/>
              <w:kinsoku/>
              <w:wordWrap/>
              <w:overflowPunct/>
              <w:topLinePunct w:val="0"/>
              <w:bidi w:val="0"/>
              <w:spacing w:before="0" w:after="0" w:line="360" w:lineRule="auto"/>
              <w:ind w:right="0" w:firstLine="480" w:firstLineChars="200"/>
              <w:jc w:val="both"/>
              <w:rPr>
                <w:rFonts w:hint="default" w:ascii="Times New Roman" w:hAnsi="Times New Roman" w:cs="Times New Roman"/>
                <w:color w:val="0000FF"/>
                <w:sz w:val="24"/>
              </w:rPr>
            </w:pPr>
            <w:r>
              <w:rPr>
                <w:rFonts w:hint="eastAsia" w:ascii="Times New Roman" w:hAnsi="Times New Roman" w:cs="Times New Roman"/>
                <w:color w:val="0000FF"/>
                <w:sz w:val="24"/>
                <w:lang w:eastAsia="zh-CN"/>
              </w:rPr>
              <w:t>淮北众城水泥有限责任公司现有</w:t>
            </w:r>
            <w:r>
              <w:rPr>
                <w:rFonts w:hint="eastAsia" w:ascii="Times New Roman" w:hAnsi="Times New Roman" w:cs="Times New Roman"/>
                <w:color w:val="0000FF"/>
                <w:sz w:val="24"/>
                <w:lang w:val="en-US" w:eastAsia="zh-CN"/>
              </w:rPr>
              <w:t>5000t/d</w:t>
            </w:r>
            <w:r>
              <w:rPr>
                <w:rFonts w:hint="default" w:ascii="Times New Roman" w:hAnsi="Times New Roman" w:cs="Times New Roman"/>
                <w:color w:val="0000FF"/>
                <w:sz w:val="24"/>
              </w:rPr>
              <w:t>新型干法水泥熟料生产线，与</w:t>
            </w:r>
            <w:r>
              <w:rPr>
                <w:rFonts w:hint="eastAsia" w:ascii="Times New Roman" w:hAnsi="Times New Roman" w:cs="Times New Roman"/>
                <w:color w:val="0000FF"/>
                <w:sz w:val="24"/>
                <w:lang w:eastAsia="zh-CN"/>
              </w:rPr>
              <w:t>其他</w:t>
            </w:r>
            <w:r>
              <w:rPr>
                <w:rFonts w:hint="default" w:ascii="Times New Roman" w:hAnsi="Times New Roman" w:cs="Times New Roman"/>
                <w:color w:val="0000FF"/>
                <w:sz w:val="24"/>
              </w:rPr>
              <w:t>干法窑、湿法窑和机立窑相比，在大大提高生产效率与产品质量的同时，还在工艺生产过程中采取了许多从源头削减污染的清洁生产措施，具体主要体现在以下几个方面：</w:t>
            </w:r>
          </w:p>
          <w:p w14:paraId="46B5F2B6">
            <w:pPr>
              <w:pStyle w:val="26"/>
              <w:keepNext w:val="0"/>
              <w:keepLines w:val="0"/>
              <w:pageBreakBefore w:val="0"/>
              <w:kinsoku/>
              <w:wordWrap/>
              <w:overflowPunct/>
              <w:topLinePunct w:val="0"/>
              <w:bidi w:val="0"/>
              <w:spacing w:before="0" w:after="0" w:line="360" w:lineRule="auto"/>
              <w:ind w:right="0" w:firstLine="480" w:firstLineChars="200"/>
              <w:jc w:val="both"/>
              <w:rPr>
                <w:rFonts w:hint="default" w:ascii="Times New Roman" w:hAnsi="Times New Roman" w:cs="Times New Roman"/>
                <w:color w:val="0000FF"/>
                <w:sz w:val="24"/>
              </w:rPr>
            </w:pPr>
            <w:r>
              <w:rPr>
                <w:rFonts w:hint="default" w:ascii="Times New Roman" w:hAnsi="Times New Roman" w:cs="Times New Roman"/>
                <w:color w:val="0000FF"/>
                <w:sz w:val="24"/>
              </w:rPr>
              <w:t>（1）石灰石破碎</w:t>
            </w:r>
          </w:p>
          <w:p w14:paraId="6B88B0E7">
            <w:pPr>
              <w:pStyle w:val="26"/>
              <w:keepNext w:val="0"/>
              <w:keepLines w:val="0"/>
              <w:pageBreakBefore w:val="0"/>
              <w:kinsoku/>
              <w:wordWrap/>
              <w:overflowPunct/>
              <w:topLinePunct w:val="0"/>
              <w:bidi w:val="0"/>
              <w:spacing w:before="0" w:after="0" w:line="360" w:lineRule="auto"/>
              <w:ind w:right="0" w:firstLine="480" w:firstLineChars="200"/>
              <w:jc w:val="both"/>
              <w:rPr>
                <w:rFonts w:hint="default" w:ascii="Times New Roman" w:hAnsi="Times New Roman" w:cs="Times New Roman"/>
                <w:color w:val="0000FF"/>
                <w:sz w:val="24"/>
              </w:rPr>
            </w:pPr>
            <w:r>
              <w:rPr>
                <w:rFonts w:hint="default" w:ascii="Times New Roman" w:hAnsi="Times New Roman" w:cs="Times New Roman"/>
                <w:color w:val="0000FF"/>
                <w:sz w:val="24"/>
              </w:rPr>
              <w:t>采用单段锤式破碎系统，可将大块原矿石一次破碎到符合入磨的粒度，与传统的两段破碎系统相比，具有生产流程简单、电耗低（仅为两段式电耗的60～66%）、投资及运行费用少等特点。</w:t>
            </w:r>
          </w:p>
          <w:p w14:paraId="69199E1F">
            <w:pPr>
              <w:pStyle w:val="26"/>
              <w:keepNext w:val="0"/>
              <w:keepLines w:val="0"/>
              <w:pageBreakBefore w:val="0"/>
              <w:kinsoku/>
              <w:wordWrap/>
              <w:overflowPunct/>
              <w:topLinePunct w:val="0"/>
              <w:bidi w:val="0"/>
              <w:spacing w:before="0" w:after="0" w:line="360" w:lineRule="auto"/>
              <w:ind w:right="0" w:firstLine="480" w:firstLineChars="200"/>
              <w:jc w:val="both"/>
              <w:rPr>
                <w:rFonts w:hint="default" w:ascii="Times New Roman" w:hAnsi="Times New Roman" w:cs="Times New Roman"/>
                <w:color w:val="0000FF"/>
                <w:sz w:val="24"/>
              </w:rPr>
            </w:pPr>
            <w:r>
              <w:rPr>
                <w:rFonts w:hint="default" w:ascii="Times New Roman" w:hAnsi="Times New Roman" w:cs="Times New Roman"/>
                <w:color w:val="0000FF"/>
                <w:sz w:val="24"/>
              </w:rPr>
              <w:t>（2）原料堆存</w:t>
            </w:r>
          </w:p>
          <w:p w14:paraId="17B7BC58">
            <w:pPr>
              <w:pStyle w:val="26"/>
              <w:keepNext w:val="0"/>
              <w:keepLines w:val="0"/>
              <w:pageBreakBefore w:val="0"/>
              <w:kinsoku/>
              <w:wordWrap/>
              <w:overflowPunct/>
              <w:topLinePunct w:val="0"/>
              <w:bidi w:val="0"/>
              <w:spacing w:before="0" w:after="0" w:line="360" w:lineRule="auto"/>
              <w:ind w:right="0" w:firstLine="480" w:firstLineChars="200"/>
              <w:jc w:val="both"/>
              <w:rPr>
                <w:rFonts w:hint="default" w:ascii="Times New Roman" w:hAnsi="Times New Roman" w:cs="Times New Roman"/>
                <w:color w:val="0000FF"/>
                <w:sz w:val="24"/>
              </w:rPr>
            </w:pPr>
            <w:r>
              <w:rPr>
                <w:rFonts w:hint="default" w:ascii="Times New Roman" w:hAnsi="Times New Roman" w:cs="Times New Roman"/>
                <w:color w:val="0000FF"/>
                <w:sz w:val="24"/>
              </w:rPr>
              <w:t>采用带屋盖的</w:t>
            </w:r>
            <w:r>
              <w:rPr>
                <w:rFonts w:hint="eastAsia" w:ascii="Times New Roman" w:hAnsi="Times New Roman" w:cs="Times New Roman"/>
                <w:color w:val="0000FF"/>
                <w:sz w:val="24"/>
                <w:lang w:eastAsia="zh-CN"/>
              </w:rPr>
              <w:t>圆形</w:t>
            </w:r>
            <w:r>
              <w:rPr>
                <w:rFonts w:hint="default" w:ascii="Times New Roman" w:hAnsi="Times New Roman" w:cs="Times New Roman"/>
                <w:color w:val="0000FF"/>
                <w:sz w:val="24"/>
              </w:rPr>
              <w:t>石灰石预均化堆场，无长形堆场的端堆效应，可有效抑制由于堆料机堆料产生的二次扬尘，并减少堆场占地，节约了建设投资。</w:t>
            </w:r>
          </w:p>
          <w:p w14:paraId="3034C1BA">
            <w:pPr>
              <w:pStyle w:val="26"/>
              <w:keepNext w:val="0"/>
              <w:keepLines w:val="0"/>
              <w:pageBreakBefore w:val="0"/>
              <w:kinsoku/>
              <w:wordWrap/>
              <w:overflowPunct/>
              <w:topLinePunct w:val="0"/>
              <w:bidi w:val="0"/>
              <w:spacing w:before="0" w:after="0" w:line="360" w:lineRule="auto"/>
              <w:ind w:right="0" w:firstLine="480" w:firstLineChars="200"/>
              <w:jc w:val="both"/>
              <w:rPr>
                <w:rFonts w:hint="default" w:ascii="Times New Roman" w:hAnsi="Times New Roman" w:cs="Times New Roman"/>
                <w:color w:val="0000FF"/>
                <w:sz w:val="24"/>
              </w:rPr>
            </w:pPr>
            <w:r>
              <w:rPr>
                <w:rFonts w:hint="default" w:ascii="Times New Roman" w:hAnsi="Times New Roman" w:cs="Times New Roman"/>
                <w:color w:val="0000FF"/>
                <w:sz w:val="24"/>
              </w:rPr>
              <w:t>（3）生料粉磨</w:t>
            </w:r>
          </w:p>
          <w:p w14:paraId="6DAF6939">
            <w:pPr>
              <w:pStyle w:val="26"/>
              <w:keepNext w:val="0"/>
              <w:keepLines w:val="0"/>
              <w:pageBreakBefore w:val="0"/>
              <w:kinsoku/>
              <w:wordWrap/>
              <w:overflowPunct/>
              <w:topLinePunct w:val="0"/>
              <w:bidi w:val="0"/>
              <w:spacing w:before="0" w:after="0" w:line="360" w:lineRule="auto"/>
              <w:ind w:right="0" w:firstLine="480" w:firstLineChars="200"/>
              <w:jc w:val="both"/>
              <w:rPr>
                <w:rFonts w:hint="default" w:ascii="Times New Roman" w:hAnsi="Times New Roman" w:cs="Times New Roman"/>
                <w:color w:val="0000FF"/>
                <w:sz w:val="24"/>
              </w:rPr>
            </w:pPr>
            <w:r>
              <w:rPr>
                <w:rFonts w:hint="default" w:ascii="Times New Roman" w:hAnsi="Times New Roman" w:cs="Times New Roman"/>
                <w:color w:val="0000FF"/>
                <w:sz w:val="24"/>
              </w:rPr>
              <w:t>采用中卸磨作为生料粉磨的主要系统，与传统的球磨相比，具有充分利用窑尾废热、工艺简单、集碎、粉磨、烘干、选粉等工序于一体，烘干能力大，电耗低等优点，有利于节能和废气的收集与净化。</w:t>
            </w:r>
          </w:p>
          <w:p w14:paraId="56B0B2CC">
            <w:pPr>
              <w:pStyle w:val="26"/>
              <w:keepNext w:val="0"/>
              <w:keepLines w:val="0"/>
              <w:pageBreakBefore w:val="0"/>
              <w:kinsoku/>
              <w:wordWrap/>
              <w:overflowPunct/>
              <w:topLinePunct w:val="0"/>
              <w:bidi w:val="0"/>
              <w:spacing w:before="0" w:after="0" w:line="360" w:lineRule="auto"/>
              <w:ind w:right="0" w:firstLine="480" w:firstLineChars="200"/>
              <w:jc w:val="both"/>
              <w:rPr>
                <w:rFonts w:hint="default" w:ascii="Times New Roman" w:hAnsi="Times New Roman" w:cs="Times New Roman"/>
                <w:color w:val="0000FF"/>
                <w:sz w:val="24"/>
              </w:rPr>
            </w:pPr>
            <w:r>
              <w:rPr>
                <w:rFonts w:hint="default" w:ascii="Times New Roman" w:hAnsi="Times New Roman" w:cs="Times New Roman"/>
                <w:color w:val="0000FF"/>
                <w:sz w:val="24"/>
              </w:rPr>
              <w:t>（4）烧成系统</w:t>
            </w:r>
          </w:p>
          <w:p w14:paraId="4B394D24">
            <w:pPr>
              <w:pStyle w:val="26"/>
              <w:keepNext w:val="0"/>
              <w:keepLines w:val="0"/>
              <w:pageBreakBefore w:val="0"/>
              <w:kinsoku/>
              <w:wordWrap/>
              <w:overflowPunct/>
              <w:topLinePunct w:val="0"/>
              <w:bidi w:val="0"/>
              <w:spacing w:before="0" w:after="0" w:line="360" w:lineRule="auto"/>
              <w:ind w:right="0" w:firstLine="480" w:firstLineChars="200"/>
              <w:jc w:val="both"/>
              <w:rPr>
                <w:rFonts w:hint="default" w:ascii="Times New Roman" w:hAnsi="Times New Roman" w:cs="Times New Roman"/>
                <w:color w:val="0000FF"/>
                <w:sz w:val="24"/>
              </w:rPr>
            </w:pPr>
            <w:r>
              <w:rPr>
                <w:rFonts w:hint="default" w:ascii="Times New Roman" w:hAnsi="Times New Roman" w:cs="Times New Roman"/>
                <w:color w:val="0000FF"/>
                <w:sz w:val="24"/>
              </w:rPr>
              <w:t>窑尾采用双系列五级旋风预热器和分解炉组成的CDC预分解系统，入窑物料分解率可达92%以上。燃煤装置采用新型多通道喷煤管，使风煤充分混合，可有效利用二次风，减少一次风用量10%左右，并可调节和控制火焰，达到改善窑内燃烧条件，提高燃烧效率、降低烧成煤耗和NO</w:t>
            </w:r>
            <w:r>
              <w:rPr>
                <w:rFonts w:hint="default" w:ascii="Times New Roman" w:hAnsi="Times New Roman" w:cs="Times New Roman"/>
                <w:color w:val="0000FF"/>
                <w:sz w:val="24"/>
                <w:vertAlign w:val="subscript"/>
              </w:rPr>
              <w:t>2</w:t>
            </w:r>
            <w:r>
              <w:rPr>
                <w:rFonts w:hint="default" w:ascii="Times New Roman" w:hAnsi="Times New Roman" w:cs="Times New Roman"/>
                <w:color w:val="0000FF"/>
                <w:sz w:val="24"/>
              </w:rPr>
              <w:t>产生的目的。</w:t>
            </w:r>
          </w:p>
          <w:p w14:paraId="2B7AF8D7">
            <w:pPr>
              <w:pStyle w:val="26"/>
              <w:keepNext w:val="0"/>
              <w:keepLines w:val="0"/>
              <w:pageBreakBefore w:val="0"/>
              <w:kinsoku/>
              <w:wordWrap/>
              <w:overflowPunct/>
              <w:topLinePunct w:val="0"/>
              <w:bidi w:val="0"/>
              <w:spacing w:before="0" w:after="0" w:line="360" w:lineRule="auto"/>
              <w:ind w:right="0" w:firstLine="480" w:firstLineChars="200"/>
              <w:jc w:val="both"/>
              <w:rPr>
                <w:rFonts w:hint="default" w:ascii="Times New Roman" w:hAnsi="Times New Roman" w:cs="Times New Roman"/>
                <w:color w:val="0000FF"/>
                <w:sz w:val="24"/>
              </w:rPr>
            </w:pPr>
            <w:r>
              <w:rPr>
                <w:rFonts w:hint="default" w:ascii="Times New Roman" w:hAnsi="Times New Roman" w:cs="Times New Roman"/>
                <w:color w:val="0000FF"/>
                <w:sz w:val="24"/>
              </w:rPr>
              <w:t>熟料冷却采用可控气流的第三代高效篦冷机，其具有熟料冷却效果好、热回收效率高的特点，较第二代空气梁篦冷机热效率可提高约10%，冷却空气量可减少约24%，提高二次风和三次风风温，减少单位熟料用风量，有利于分解炉内煤的燃烧，从而进一步降低了系统热耗、电耗及排气量。</w:t>
            </w:r>
          </w:p>
          <w:p w14:paraId="2357DB25">
            <w:pPr>
              <w:pStyle w:val="26"/>
              <w:keepNext w:val="0"/>
              <w:keepLines w:val="0"/>
              <w:pageBreakBefore w:val="0"/>
              <w:kinsoku/>
              <w:wordWrap/>
              <w:overflowPunct/>
              <w:topLinePunct w:val="0"/>
              <w:bidi w:val="0"/>
              <w:spacing w:before="0" w:after="0" w:line="360" w:lineRule="auto"/>
              <w:ind w:right="0" w:firstLine="480" w:firstLineChars="200"/>
              <w:jc w:val="both"/>
              <w:rPr>
                <w:rFonts w:hint="default" w:ascii="Times New Roman" w:hAnsi="Times New Roman" w:cs="Times New Roman"/>
                <w:color w:val="0000FF"/>
                <w:sz w:val="24"/>
              </w:rPr>
            </w:pPr>
            <w:r>
              <w:rPr>
                <w:rFonts w:hint="default" w:ascii="Times New Roman" w:hAnsi="Times New Roman" w:cs="Times New Roman"/>
                <w:color w:val="0000FF"/>
                <w:sz w:val="24"/>
              </w:rPr>
              <w:t>（5）物料输送</w:t>
            </w:r>
          </w:p>
          <w:p w14:paraId="72D8B335">
            <w:pPr>
              <w:pStyle w:val="26"/>
              <w:keepNext w:val="0"/>
              <w:keepLines w:val="0"/>
              <w:pageBreakBefore w:val="0"/>
              <w:kinsoku/>
              <w:wordWrap/>
              <w:overflowPunct/>
              <w:topLinePunct w:val="0"/>
              <w:bidi w:val="0"/>
              <w:spacing w:before="0" w:after="0" w:line="360" w:lineRule="auto"/>
              <w:ind w:right="0" w:firstLine="480" w:firstLineChars="200"/>
              <w:jc w:val="both"/>
              <w:rPr>
                <w:rFonts w:hint="default" w:ascii="Times New Roman" w:hAnsi="Times New Roman" w:cs="Times New Roman"/>
                <w:color w:val="0000FF"/>
                <w:sz w:val="24"/>
              </w:rPr>
            </w:pPr>
            <w:r>
              <w:rPr>
                <w:rFonts w:hint="default" w:ascii="Times New Roman" w:hAnsi="Times New Roman" w:cs="Times New Roman"/>
                <w:color w:val="0000FF"/>
                <w:sz w:val="24"/>
              </w:rPr>
              <w:t>工程物料除煤粉外多采用机械输送，该输送方式与气力输送方式相比，具有运转能耗小、产尘及处理含尘气体量少、可避免大量冷空气进入烧成系统而导致的热能耗增加等特点。</w:t>
            </w:r>
          </w:p>
          <w:p w14:paraId="647BC49F">
            <w:pPr>
              <w:pStyle w:val="26"/>
              <w:keepNext w:val="0"/>
              <w:keepLines w:val="0"/>
              <w:pageBreakBefore w:val="0"/>
              <w:kinsoku/>
              <w:wordWrap/>
              <w:overflowPunct/>
              <w:topLinePunct w:val="0"/>
              <w:bidi w:val="0"/>
              <w:spacing w:before="0" w:after="0" w:line="360" w:lineRule="auto"/>
              <w:ind w:right="0" w:firstLine="480" w:firstLineChars="200"/>
              <w:jc w:val="both"/>
              <w:rPr>
                <w:rFonts w:hint="default" w:ascii="Times New Roman" w:hAnsi="Times New Roman" w:cs="Times New Roman"/>
                <w:color w:val="0000FF"/>
                <w:sz w:val="24"/>
              </w:rPr>
            </w:pPr>
            <w:r>
              <w:rPr>
                <w:rFonts w:hint="default" w:ascii="Times New Roman" w:hAnsi="Times New Roman" w:cs="Times New Roman"/>
                <w:color w:val="0000FF"/>
                <w:sz w:val="24"/>
              </w:rPr>
              <w:t>（6）喂煤系统</w:t>
            </w:r>
          </w:p>
          <w:p w14:paraId="709E0FB8">
            <w:pPr>
              <w:pStyle w:val="26"/>
              <w:keepNext w:val="0"/>
              <w:keepLines w:val="0"/>
              <w:pageBreakBefore w:val="0"/>
              <w:kinsoku/>
              <w:wordWrap/>
              <w:overflowPunct/>
              <w:topLinePunct w:val="0"/>
              <w:bidi w:val="0"/>
              <w:spacing w:before="0" w:after="0" w:line="360" w:lineRule="auto"/>
              <w:ind w:right="0" w:firstLine="480" w:firstLineChars="200"/>
              <w:jc w:val="both"/>
              <w:rPr>
                <w:rFonts w:hint="default" w:ascii="Times New Roman" w:hAnsi="Times New Roman" w:cs="Times New Roman"/>
                <w:color w:val="0000FF"/>
                <w:sz w:val="24"/>
              </w:rPr>
            </w:pPr>
            <w:r>
              <w:rPr>
                <w:rFonts w:hint="default" w:ascii="Times New Roman" w:hAnsi="Times New Roman" w:cs="Times New Roman"/>
                <w:color w:val="0000FF"/>
                <w:sz w:val="24"/>
              </w:rPr>
              <w:t>回转窑及分解炉喂煤系统，引进精高度、运转可靠的计量控制设备，根据生产工艺要求可实现自动调节喂煤量，保证喂煤均匀，调整及时准确，并可防止窑尾废气的非正常排放。</w:t>
            </w:r>
          </w:p>
          <w:p w14:paraId="3CBCDE9A">
            <w:pPr>
              <w:pStyle w:val="26"/>
              <w:keepNext w:val="0"/>
              <w:keepLines w:val="0"/>
              <w:pageBreakBefore w:val="0"/>
              <w:kinsoku/>
              <w:wordWrap/>
              <w:overflowPunct/>
              <w:topLinePunct w:val="0"/>
              <w:bidi w:val="0"/>
              <w:spacing w:before="0" w:after="0" w:line="360" w:lineRule="auto"/>
              <w:ind w:right="0" w:firstLine="480" w:firstLineChars="200"/>
              <w:jc w:val="both"/>
              <w:rPr>
                <w:rFonts w:hint="default" w:ascii="Times New Roman" w:hAnsi="Times New Roman" w:cs="Times New Roman"/>
                <w:color w:val="0000FF"/>
                <w:sz w:val="24"/>
              </w:rPr>
            </w:pPr>
            <w:r>
              <w:rPr>
                <w:rFonts w:hint="default" w:ascii="Times New Roman" w:hAnsi="Times New Roman" w:cs="Times New Roman"/>
                <w:color w:val="0000FF"/>
                <w:sz w:val="24"/>
              </w:rPr>
              <w:t>（7）水泥粉磨与成品包装</w:t>
            </w:r>
          </w:p>
          <w:p w14:paraId="6F6D0416">
            <w:pPr>
              <w:pStyle w:val="26"/>
              <w:keepNext w:val="0"/>
              <w:keepLines w:val="0"/>
              <w:pageBreakBefore w:val="0"/>
              <w:kinsoku/>
              <w:wordWrap/>
              <w:overflowPunct/>
              <w:topLinePunct w:val="0"/>
              <w:bidi w:val="0"/>
              <w:spacing w:before="0" w:after="0" w:line="360" w:lineRule="auto"/>
              <w:ind w:right="0" w:firstLine="480" w:firstLineChars="200"/>
              <w:jc w:val="both"/>
              <w:rPr>
                <w:rFonts w:hint="default" w:ascii="Times New Roman" w:hAnsi="Times New Roman" w:cs="Times New Roman"/>
                <w:color w:val="0000FF"/>
                <w:sz w:val="24"/>
              </w:rPr>
            </w:pPr>
            <w:r>
              <w:rPr>
                <w:rFonts w:hint="default" w:ascii="Times New Roman" w:hAnsi="Times New Roman" w:cs="Times New Roman"/>
                <w:color w:val="0000FF"/>
                <w:sz w:val="24"/>
              </w:rPr>
              <w:t>水泥磨采用o-sepa选粉机，较常用的离心式或旋风式选粉机选粉效率高，提高产量7～20%，并较好的解决了粗细颗粒之间的夹带问题，提高了物料分散程度，有利产品质量提高，同时降低电耗。</w:t>
            </w:r>
          </w:p>
          <w:p w14:paraId="355F5535">
            <w:pPr>
              <w:pStyle w:val="26"/>
              <w:keepNext w:val="0"/>
              <w:keepLines w:val="0"/>
              <w:pageBreakBefore w:val="0"/>
              <w:kinsoku/>
              <w:wordWrap/>
              <w:overflowPunct/>
              <w:topLinePunct w:val="0"/>
              <w:bidi w:val="0"/>
              <w:spacing w:before="0" w:after="0" w:line="360" w:lineRule="auto"/>
              <w:ind w:right="0" w:firstLine="480" w:firstLineChars="200"/>
              <w:jc w:val="both"/>
              <w:rPr>
                <w:rFonts w:hint="default" w:ascii="Times New Roman" w:hAnsi="Times New Roman" w:cs="Times New Roman"/>
                <w:color w:val="0000FF"/>
                <w:sz w:val="24"/>
              </w:rPr>
            </w:pPr>
            <w:r>
              <w:rPr>
                <w:rFonts w:hint="default" w:ascii="Times New Roman" w:hAnsi="Times New Roman" w:cs="Times New Roman"/>
                <w:color w:val="0000FF"/>
                <w:sz w:val="24"/>
              </w:rPr>
              <w:t>成品包装采用新型回转式八嘴包装机，可实现自动包装，降低能耗。</w:t>
            </w:r>
          </w:p>
          <w:p w14:paraId="76D0A580">
            <w:pPr>
              <w:pStyle w:val="26"/>
              <w:keepNext w:val="0"/>
              <w:keepLines w:val="0"/>
              <w:pageBreakBefore w:val="0"/>
              <w:kinsoku/>
              <w:wordWrap/>
              <w:overflowPunct/>
              <w:topLinePunct w:val="0"/>
              <w:bidi w:val="0"/>
              <w:spacing w:before="0" w:after="0" w:line="360" w:lineRule="auto"/>
              <w:ind w:right="0" w:firstLine="480" w:firstLineChars="200"/>
              <w:jc w:val="both"/>
              <w:rPr>
                <w:rFonts w:hint="default" w:ascii="Times New Roman" w:hAnsi="Times New Roman" w:cs="Times New Roman"/>
                <w:color w:val="0000FF"/>
                <w:sz w:val="24"/>
              </w:rPr>
            </w:pPr>
            <w:r>
              <w:rPr>
                <w:rFonts w:hint="default" w:ascii="Times New Roman" w:hAnsi="Times New Roman" w:cs="Times New Roman"/>
                <w:color w:val="0000FF"/>
                <w:sz w:val="24"/>
              </w:rPr>
              <w:t>（8）自动化控制系统</w:t>
            </w:r>
          </w:p>
          <w:p w14:paraId="51931C72">
            <w:pPr>
              <w:pStyle w:val="26"/>
              <w:keepNext w:val="0"/>
              <w:keepLines w:val="0"/>
              <w:pageBreakBefore w:val="0"/>
              <w:kinsoku/>
              <w:wordWrap/>
              <w:overflowPunct/>
              <w:topLinePunct w:val="0"/>
              <w:bidi w:val="0"/>
              <w:spacing w:before="0" w:after="0" w:line="360" w:lineRule="auto"/>
              <w:ind w:right="0" w:firstLine="480" w:firstLineChars="200"/>
              <w:jc w:val="both"/>
              <w:rPr>
                <w:rFonts w:hint="default" w:ascii="Times New Roman" w:hAnsi="Times New Roman" w:cs="Times New Roman"/>
                <w:color w:val="0000FF"/>
                <w:sz w:val="24"/>
              </w:rPr>
            </w:pPr>
            <w:r>
              <w:rPr>
                <w:rFonts w:hint="default" w:ascii="Times New Roman" w:hAnsi="Times New Roman" w:cs="Times New Roman"/>
                <w:color w:val="0000FF"/>
                <w:sz w:val="24"/>
              </w:rPr>
              <w:t>采用新型控制系统，组成计算机生产管理、调度和污染控制管理系统，设置中央集中控制室，并设四个工作站通过中央集中控制，实现窑、磨统一控制和操作，包括单体有：原料配料、生料粉磨、废气处理、生料均化、烧成系统、熟料输送等，通过监控站进行系统组态编程、监视和控制，通过中控室计算机系统对生产流和的过程参数进行调节、控制、检测、报警以及图象、报表处理、打印等，可大大提高生产过程控制系统的可靠性、自动化水平和管理水平，提高劳动生产率和产品质量，降低能耗，保证生产安全，防止非正常污染物排放事故等</w:t>
            </w:r>
          </w:p>
          <w:p w14:paraId="192072BB">
            <w:pPr>
              <w:pStyle w:val="26"/>
              <w:keepNext w:val="0"/>
              <w:keepLines w:val="0"/>
              <w:pageBreakBefore w:val="0"/>
              <w:kinsoku/>
              <w:wordWrap/>
              <w:overflowPunct/>
              <w:topLinePunct w:val="0"/>
              <w:bidi w:val="0"/>
              <w:spacing w:before="0" w:after="0" w:line="360" w:lineRule="auto"/>
              <w:ind w:right="0" w:firstLine="480" w:firstLineChars="200"/>
              <w:jc w:val="both"/>
              <w:rPr>
                <w:rFonts w:hint="default" w:ascii="Times New Roman" w:hAnsi="Times New Roman" w:cs="Times New Roman"/>
                <w:color w:val="0000FF"/>
                <w:sz w:val="24"/>
              </w:rPr>
            </w:pPr>
            <w:r>
              <w:rPr>
                <w:rFonts w:hint="default" w:ascii="Times New Roman" w:hAnsi="Times New Roman" w:cs="Times New Roman"/>
                <w:color w:val="0000FF"/>
                <w:sz w:val="24"/>
              </w:rPr>
              <w:t>（9）废热利用、废气处理</w:t>
            </w:r>
          </w:p>
          <w:p w14:paraId="6B93FF01">
            <w:pPr>
              <w:pStyle w:val="26"/>
              <w:keepNext w:val="0"/>
              <w:keepLines w:val="0"/>
              <w:pageBreakBefore w:val="0"/>
              <w:kinsoku/>
              <w:wordWrap/>
              <w:overflowPunct/>
              <w:topLinePunct w:val="0"/>
              <w:bidi w:val="0"/>
              <w:spacing w:before="0" w:after="0" w:line="360" w:lineRule="auto"/>
              <w:ind w:right="0" w:firstLine="480" w:firstLineChars="200"/>
              <w:jc w:val="both"/>
              <w:rPr>
                <w:rFonts w:hint="default" w:ascii="Times New Roman" w:hAnsi="Times New Roman" w:cs="Times New Roman"/>
                <w:color w:val="0000FF"/>
                <w:sz w:val="24"/>
              </w:rPr>
            </w:pPr>
            <w:r>
              <w:rPr>
                <w:rFonts w:hint="default" w:ascii="Times New Roman" w:hAnsi="Times New Roman" w:cs="Times New Roman"/>
                <w:color w:val="0000FF"/>
                <w:sz w:val="24"/>
              </w:rPr>
              <w:t>以回转窑产出的高温废气用为生料磨和煤磨两系统烘干热源，同时利用熟料冷却机排出的高温废气部分作为窑头二次风、分解炉三次风，即充分回收了工程废气中的热量，同时也相对减少了工程废气处理与排放量。</w:t>
            </w:r>
          </w:p>
          <w:p w14:paraId="3F757ACD">
            <w:pPr>
              <w:pStyle w:val="26"/>
              <w:keepNext w:val="0"/>
              <w:keepLines w:val="0"/>
              <w:pageBreakBefore w:val="0"/>
              <w:kinsoku/>
              <w:wordWrap/>
              <w:overflowPunct/>
              <w:topLinePunct w:val="0"/>
              <w:bidi w:val="0"/>
              <w:spacing w:before="0" w:after="0" w:line="360" w:lineRule="auto"/>
              <w:ind w:right="0" w:firstLine="480" w:firstLineChars="200"/>
              <w:jc w:val="both"/>
              <w:rPr>
                <w:rFonts w:hint="default" w:ascii="Times New Roman" w:hAnsi="Times New Roman" w:cs="Times New Roman"/>
                <w:color w:val="0000FF"/>
                <w:sz w:val="24"/>
              </w:rPr>
            </w:pPr>
            <w:r>
              <w:rPr>
                <w:rFonts w:hint="default" w:ascii="Times New Roman" w:hAnsi="Times New Roman" w:cs="Times New Roman"/>
                <w:color w:val="0000FF"/>
                <w:sz w:val="24"/>
              </w:rPr>
              <w:t>（10）污染源控制</w:t>
            </w:r>
          </w:p>
          <w:p w14:paraId="267721A6">
            <w:pPr>
              <w:pStyle w:val="26"/>
              <w:keepNext w:val="0"/>
              <w:keepLines w:val="0"/>
              <w:pageBreakBefore w:val="0"/>
              <w:kinsoku/>
              <w:wordWrap/>
              <w:overflowPunct/>
              <w:topLinePunct w:val="0"/>
              <w:bidi w:val="0"/>
              <w:spacing w:before="0" w:after="0" w:line="360" w:lineRule="auto"/>
              <w:ind w:right="0" w:firstLine="480" w:firstLineChars="200"/>
              <w:jc w:val="both"/>
              <w:rPr>
                <w:rFonts w:hint="default" w:ascii="Times New Roman" w:hAnsi="Times New Roman" w:cs="Times New Roman"/>
                <w:color w:val="0000FF"/>
                <w:sz w:val="24"/>
              </w:rPr>
            </w:pPr>
            <w:r>
              <w:rPr>
                <w:rFonts w:hint="default" w:ascii="Times New Roman" w:hAnsi="Times New Roman" w:cs="Times New Roman"/>
                <w:color w:val="0000FF"/>
                <w:sz w:val="24"/>
              </w:rPr>
              <w:t>采取以防为主的方针，从工艺设计上尽量减少生产中的扬尘环节，选择扬尘少的设备，对有组织的产尘点均设置袋收尘器，即控制了粉尘的外逸。石灰石采用皮带廊运输进厂；对生料、熟料、煤粉等物料输送采用斜槽、螺旋输送机等密闭式输送设备；对于需胶带机输送的物料尽量降低物料的落差，加强密闭，减少粉尘外逸；生料等物料储存采用密闭圆库，厂内物料堆场采取封闭或半封闭措施，减少扬尘。</w:t>
            </w:r>
          </w:p>
          <w:p w14:paraId="0499A00A">
            <w:pPr>
              <w:pStyle w:val="26"/>
              <w:keepNext w:val="0"/>
              <w:keepLines w:val="0"/>
              <w:pageBreakBefore w:val="0"/>
              <w:kinsoku/>
              <w:wordWrap/>
              <w:overflowPunct/>
              <w:topLinePunct w:val="0"/>
              <w:bidi w:val="0"/>
              <w:spacing w:before="0" w:after="0" w:line="360" w:lineRule="auto"/>
              <w:ind w:right="0" w:firstLine="480" w:firstLineChars="200"/>
              <w:jc w:val="both"/>
              <w:rPr>
                <w:rFonts w:hint="default" w:ascii="Times New Roman" w:hAnsi="Times New Roman" w:cs="Times New Roman"/>
                <w:color w:val="0000FF"/>
                <w:sz w:val="24"/>
              </w:rPr>
            </w:pPr>
            <w:r>
              <w:rPr>
                <w:rFonts w:hint="default" w:ascii="Times New Roman" w:hAnsi="Times New Roman" w:cs="Times New Roman"/>
                <w:color w:val="0000FF"/>
                <w:sz w:val="24"/>
              </w:rPr>
              <w:t>采用窑外分解技术，使生产中物料与气体接触充分，燃料燃烧所产大部分SO</w:t>
            </w:r>
            <w:r>
              <w:rPr>
                <w:rFonts w:hint="default" w:ascii="Times New Roman" w:hAnsi="Times New Roman" w:cs="Times New Roman"/>
                <w:color w:val="0000FF"/>
                <w:sz w:val="24"/>
                <w:vertAlign w:val="subscript"/>
              </w:rPr>
              <w:t>2</w:t>
            </w:r>
            <w:r>
              <w:rPr>
                <w:rFonts w:hint="default" w:ascii="Times New Roman" w:hAnsi="Times New Roman" w:cs="Times New Roman"/>
                <w:color w:val="0000FF"/>
                <w:sz w:val="24"/>
              </w:rPr>
              <w:t>被物料中的氧化钙和碱性氧化物吸滞留在熟料中，滞硫率达98%以上。并使50～60％的煤在温度较低的分解炉内燃烧，同时增大二次风和三次风的比例，并使用多通道喷煤嘴，因而NO</w:t>
            </w:r>
            <w:r>
              <w:rPr>
                <w:rFonts w:hint="default" w:ascii="Times New Roman" w:hAnsi="Times New Roman" w:cs="Times New Roman"/>
                <w:color w:val="0000FF"/>
                <w:sz w:val="24"/>
                <w:vertAlign w:val="subscript"/>
              </w:rPr>
              <w:t>2</w:t>
            </w:r>
            <w:r>
              <w:rPr>
                <w:rFonts w:hint="default" w:ascii="Times New Roman" w:hAnsi="Times New Roman" w:cs="Times New Roman"/>
                <w:color w:val="0000FF"/>
                <w:sz w:val="24"/>
              </w:rPr>
              <w:t>的生成量较低，并对NO</w:t>
            </w:r>
            <w:r>
              <w:rPr>
                <w:rFonts w:hint="default" w:ascii="Times New Roman" w:hAnsi="Times New Roman" w:cs="Times New Roman"/>
                <w:color w:val="0000FF"/>
                <w:sz w:val="24"/>
                <w:vertAlign w:val="subscript"/>
              </w:rPr>
              <w:t>2</w:t>
            </w:r>
            <w:r>
              <w:rPr>
                <w:rFonts w:hint="default" w:ascii="Times New Roman" w:hAnsi="Times New Roman" w:cs="Times New Roman"/>
                <w:color w:val="0000FF"/>
                <w:sz w:val="24"/>
              </w:rPr>
              <w:t>采用</w:t>
            </w:r>
            <w:r>
              <w:rPr>
                <w:rFonts w:hint="eastAsia" w:ascii="Times New Roman" w:hAnsi="Times New Roman" w:cs="Times New Roman"/>
                <w:color w:val="0000FF"/>
                <w:sz w:val="24"/>
                <w:lang w:eastAsia="zh-CN"/>
              </w:rPr>
              <w:t>SNCR</w:t>
            </w:r>
            <w:r>
              <w:rPr>
                <w:rFonts w:hint="default" w:ascii="Times New Roman" w:hAnsi="Times New Roman" w:cs="Times New Roman"/>
                <w:color w:val="0000FF"/>
                <w:sz w:val="24"/>
              </w:rPr>
              <w:t>非催化还原技术进行脱硝，SO</w:t>
            </w:r>
            <w:r>
              <w:rPr>
                <w:rFonts w:hint="default" w:ascii="Times New Roman" w:hAnsi="Times New Roman" w:cs="Times New Roman"/>
                <w:color w:val="0000FF"/>
                <w:sz w:val="24"/>
                <w:vertAlign w:val="subscript"/>
              </w:rPr>
              <w:t>2</w:t>
            </w:r>
            <w:r>
              <w:rPr>
                <w:rFonts w:hint="default" w:ascii="Times New Roman" w:hAnsi="Times New Roman" w:cs="Times New Roman"/>
                <w:color w:val="0000FF"/>
                <w:sz w:val="24"/>
              </w:rPr>
              <w:t xml:space="preserve"> 和NO</w:t>
            </w:r>
            <w:r>
              <w:rPr>
                <w:rFonts w:hint="default" w:ascii="Times New Roman" w:hAnsi="Times New Roman" w:cs="Times New Roman"/>
                <w:color w:val="0000FF"/>
                <w:sz w:val="24"/>
                <w:vertAlign w:val="subscript"/>
              </w:rPr>
              <w:t>2</w:t>
            </w:r>
            <w:r>
              <w:rPr>
                <w:rFonts w:hint="default" w:ascii="Times New Roman" w:hAnsi="Times New Roman" w:cs="Times New Roman"/>
                <w:color w:val="0000FF"/>
                <w:sz w:val="24"/>
              </w:rPr>
              <w:t>排放浓度均符合安徽省地方标准《水泥工业大气污染排放标准》（DB34/ 3576-2020）</w:t>
            </w:r>
            <w:r>
              <w:rPr>
                <w:rFonts w:hint="eastAsia" w:ascii="Times New Roman" w:hAnsi="Times New Roman" w:cs="Times New Roman"/>
                <w:color w:val="0000FF"/>
                <w:sz w:val="24"/>
                <w:lang w:eastAsia="zh-CN"/>
              </w:rPr>
              <w:t>以及</w:t>
            </w:r>
            <w:r>
              <w:rPr>
                <w:rFonts w:hint="default" w:ascii="Times New Roman" w:hAnsi="Times New Roman" w:cs="Times New Roman"/>
                <w:color w:val="0000FF"/>
                <w:sz w:val="24"/>
              </w:rPr>
              <w:t>《水泥工业大气污染物排放标准》（GB</w:t>
            </w:r>
            <w:r>
              <w:rPr>
                <w:rFonts w:hint="eastAsia" w:ascii="Times New Roman" w:hAnsi="Times New Roman" w:cs="Times New Roman"/>
                <w:color w:val="0000FF"/>
                <w:sz w:val="24"/>
                <w:lang w:val="en-US" w:eastAsia="zh-CN"/>
              </w:rPr>
              <w:t xml:space="preserve"> </w:t>
            </w:r>
            <w:r>
              <w:rPr>
                <w:rFonts w:hint="default" w:ascii="Times New Roman" w:hAnsi="Times New Roman" w:cs="Times New Roman"/>
                <w:color w:val="0000FF"/>
                <w:sz w:val="24"/>
              </w:rPr>
              <w:t>4915-</w:t>
            </w:r>
            <w:r>
              <w:rPr>
                <w:rFonts w:hint="eastAsia" w:ascii="Times New Roman" w:hAnsi="Times New Roman" w:cs="Times New Roman"/>
                <w:color w:val="0000FF"/>
                <w:sz w:val="24"/>
                <w:lang w:val="en-US" w:eastAsia="zh-CN"/>
              </w:rPr>
              <w:t>2013</w:t>
            </w:r>
            <w:r>
              <w:rPr>
                <w:rFonts w:hint="default" w:ascii="Times New Roman" w:hAnsi="Times New Roman" w:cs="Times New Roman"/>
                <w:color w:val="0000FF"/>
                <w:sz w:val="24"/>
              </w:rPr>
              <w:t>）限值要求。</w:t>
            </w:r>
          </w:p>
          <w:p w14:paraId="4DE43A4C">
            <w:pPr>
              <w:pStyle w:val="26"/>
              <w:keepNext w:val="0"/>
              <w:keepLines w:val="0"/>
              <w:pageBreakBefore w:val="0"/>
              <w:numPr>
                <w:ilvl w:val="0"/>
                <w:numId w:val="0"/>
              </w:numPr>
              <w:kinsoku/>
              <w:wordWrap/>
              <w:overflowPunct/>
              <w:topLinePunct w:val="0"/>
              <w:bidi w:val="0"/>
              <w:spacing w:before="0" w:after="0" w:line="360" w:lineRule="auto"/>
              <w:ind w:right="0" w:rightChars="0" w:firstLine="480" w:firstLineChars="200"/>
              <w:jc w:val="both"/>
              <w:rPr>
                <w:rFonts w:hint="default" w:ascii="Times New Roman" w:hAnsi="Times New Roman" w:cs="Times New Roman"/>
                <w:color w:val="0000FF"/>
                <w:sz w:val="24"/>
              </w:rPr>
            </w:pPr>
            <w:r>
              <w:rPr>
                <w:rFonts w:hint="default" w:ascii="Times New Roman" w:hAnsi="Times New Roman" w:eastAsia="宋体" w:cs="Times New Roman"/>
                <w:color w:val="0000FF"/>
                <w:kern w:val="0"/>
                <w:sz w:val="24"/>
                <w:szCs w:val="20"/>
                <w:lang w:val="en-US" w:eastAsia="zh-CN" w:bidi="ar-SA"/>
              </w:rPr>
              <w:t>（11）</w:t>
            </w:r>
            <w:r>
              <w:rPr>
                <w:rFonts w:hint="default" w:ascii="Times New Roman" w:hAnsi="Times New Roman" w:cs="Times New Roman"/>
                <w:color w:val="0000FF"/>
                <w:sz w:val="24"/>
              </w:rPr>
              <w:t>固废综合利用</w:t>
            </w:r>
          </w:p>
          <w:p w14:paraId="0D5D06AB">
            <w:pPr>
              <w:pStyle w:val="26"/>
              <w:keepNext w:val="0"/>
              <w:keepLines w:val="0"/>
              <w:pageBreakBefore w:val="0"/>
              <w:numPr>
                <w:ilvl w:val="0"/>
                <w:numId w:val="0"/>
              </w:numPr>
              <w:kinsoku/>
              <w:wordWrap/>
              <w:overflowPunct/>
              <w:topLinePunct w:val="0"/>
              <w:bidi w:val="0"/>
              <w:spacing w:before="0" w:after="0" w:line="360" w:lineRule="auto"/>
              <w:ind w:right="0" w:rightChars="0" w:firstLine="480" w:firstLineChars="200"/>
              <w:jc w:val="both"/>
              <w:rPr>
                <w:rFonts w:hint="default" w:ascii="Times New Roman" w:hAnsi="Times New Roman" w:eastAsia="宋体" w:cs="Times New Roman"/>
                <w:color w:val="0000FF"/>
                <w:kern w:val="0"/>
                <w:sz w:val="24"/>
                <w:szCs w:val="20"/>
                <w:lang w:val="en-US" w:eastAsia="zh-CN" w:bidi="ar-SA"/>
              </w:rPr>
            </w:pPr>
            <w:r>
              <w:rPr>
                <w:rFonts w:hint="default" w:ascii="Times New Roman" w:hAnsi="Times New Roman" w:cs="Times New Roman"/>
                <w:color w:val="0000FF"/>
                <w:sz w:val="24"/>
              </w:rPr>
              <w:t>生产所用的粉煤灰和铁尾矿采用项目区域内的工业废渣，为区域废渣的综合治理提供了有效途径。水泥生产线收尘器收集的粉尘全部返回生产工艺，不外排，即避免了资源</w:t>
            </w:r>
            <w:r>
              <w:rPr>
                <w:rFonts w:hint="default" w:ascii="Times New Roman" w:hAnsi="Times New Roman" w:eastAsia="宋体" w:cs="Times New Roman"/>
                <w:color w:val="0000FF"/>
                <w:kern w:val="0"/>
                <w:sz w:val="24"/>
                <w:szCs w:val="20"/>
                <w:lang w:val="en-US" w:eastAsia="zh-CN" w:bidi="ar-SA"/>
              </w:rPr>
              <w:t>浪费，又保护了当地环境。工程固废物的综合利用，极大程度上的实现了环境效益、社会效益和经济效益的统一。</w:t>
            </w:r>
          </w:p>
          <w:p w14:paraId="2CC548EF">
            <w:pPr>
              <w:pStyle w:val="26"/>
              <w:keepNext w:val="0"/>
              <w:keepLines w:val="0"/>
              <w:pageBreakBefore w:val="0"/>
              <w:numPr>
                <w:ilvl w:val="0"/>
                <w:numId w:val="0"/>
              </w:numPr>
              <w:kinsoku/>
              <w:wordWrap/>
              <w:overflowPunct/>
              <w:topLinePunct w:val="0"/>
              <w:bidi w:val="0"/>
              <w:spacing w:before="0" w:after="0" w:line="360" w:lineRule="auto"/>
              <w:ind w:right="0" w:rightChars="0" w:firstLine="480" w:firstLineChars="200"/>
              <w:jc w:val="both"/>
              <w:rPr>
                <w:rFonts w:hint="default" w:ascii="Times New Roman" w:hAnsi="Times New Roman" w:eastAsia="宋体" w:cs="Times New Roman"/>
                <w:color w:val="0000FF"/>
                <w:kern w:val="0"/>
                <w:sz w:val="24"/>
                <w:szCs w:val="20"/>
                <w:lang w:val="en-US" w:eastAsia="zh-CN" w:bidi="ar-SA"/>
              </w:rPr>
            </w:pPr>
            <w:r>
              <w:rPr>
                <w:rFonts w:hint="default" w:ascii="Times New Roman" w:hAnsi="Times New Roman" w:eastAsia="宋体" w:cs="Times New Roman"/>
                <w:color w:val="0000FF"/>
                <w:kern w:val="0"/>
                <w:sz w:val="24"/>
                <w:szCs w:val="20"/>
                <w:lang w:val="en-US" w:eastAsia="zh-CN" w:bidi="ar-SA"/>
              </w:rPr>
              <w:t>4、设备与产能匹配性分析</w:t>
            </w:r>
          </w:p>
          <w:p w14:paraId="1EE3D0AD">
            <w:pPr>
              <w:pStyle w:val="26"/>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jc w:val="both"/>
              <w:textAlignment w:val="auto"/>
              <w:rPr>
                <w:rFonts w:hint="eastAsia" w:ascii="Times New Roman" w:hAnsi="Times New Roman" w:eastAsia="宋体" w:cs="Times New Roman"/>
                <w:color w:val="0000FF"/>
                <w:kern w:val="0"/>
                <w:sz w:val="24"/>
                <w:szCs w:val="20"/>
                <w:lang w:val="en-US" w:eastAsia="zh-CN" w:bidi="ar-SA"/>
              </w:rPr>
            </w:pPr>
            <w:r>
              <w:rPr>
                <w:rFonts w:hint="eastAsia" w:cs="Times New Roman"/>
                <w:color w:val="0000FF"/>
                <w:kern w:val="0"/>
                <w:sz w:val="24"/>
                <w:szCs w:val="20"/>
                <w:lang w:val="en-US" w:eastAsia="zh-CN" w:bidi="ar-SA"/>
              </w:rPr>
              <w:t>（1）</w:t>
            </w:r>
            <w:r>
              <w:rPr>
                <w:rFonts w:hint="eastAsia" w:ascii="Times New Roman" w:hAnsi="Times New Roman" w:eastAsia="宋体" w:cs="Times New Roman"/>
                <w:color w:val="0000FF"/>
                <w:kern w:val="0"/>
                <w:sz w:val="24"/>
                <w:szCs w:val="20"/>
                <w:lang w:val="en-US" w:eastAsia="zh-CN" w:bidi="ar-SA"/>
              </w:rPr>
              <w:t>设备选择与产能需求相匹配</w:t>
            </w:r>
          </w:p>
          <w:p w14:paraId="574EFCC1">
            <w:pPr>
              <w:pStyle w:val="26"/>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jc w:val="both"/>
              <w:textAlignment w:val="auto"/>
              <w:rPr>
                <w:rFonts w:hint="eastAsia" w:ascii="Times New Roman" w:hAnsi="Times New Roman" w:eastAsia="宋体" w:cs="Times New Roman"/>
                <w:color w:val="0000FF"/>
                <w:kern w:val="0"/>
                <w:sz w:val="24"/>
                <w:szCs w:val="20"/>
                <w:lang w:val="en-US" w:eastAsia="zh-CN" w:bidi="ar-SA"/>
              </w:rPr>
            </w:pPr>
            <w:r>
              <w:rPr>
                <w:rFonts w:hint="eastAsia" w:ascii="Times New Roman" w:hAnsi="Times New Roman" w:eastAsia="宋体" w:cs="Times New Roman"/>
                <w:color w:val="0000FF"/>
                <w:kern w:val="0"/>
                <w:sz w:val="24"/>
                <w:szCs w:val="20"/>
                <w:lang w:val="en-US" w:eastAsia="zh-CN" w:bidi="ar-SA"/>
              </w:rPr>
              <w:t>本项目在满足工艺要求的前提下，选用了高效、节能、运转可靠的设备。主要设备包括替代燃料暂存设施、运输设备、喂料及计量系统、阶梯炉以及水泥熟料生产线</w:t>
            </w:r>
            <w:r>
              <w:rPr>
                <w:rFonts w:hint="eastAsia" w:cs="Times New Roman"/>
                <w:color w:val="0000FF"/>
                <w:kern w:val="0"/>
                <w:sz w:val="24"/>
                <w:szCs w:val="20"/>
                <w:lang w:val="en-US" w:eastAsia="zh-CN" w:bidi="ar-SA"/>
              </w:rPr>
              <w:t>配套</w:t>
            </w:r>
            <w:r>
              <w:rPr>
                <w:rFonts w:hint="eastAsia" w:ascii="Times New Roman" w:hAnsi="Times New Roman" w:eastAsia="宋体" w:cs="Times New Roman"/>
                <w:color w:val="0000FF"/>
                <w:kern w:val="0"/>
                <w:sz w:val="24"/>
                <w:szCs w:val="20"/>
                <w:lang w:val="en-US" w:eastAsia="zh-CN" w:bidi="ar-SA"/>
              </w:rPr>
              <w:t>设备等。这些设备的选择均基于产能需求和技术要求，确保了设备性能与产能的匹配性。</w:t>
            </w:r>
          </w:p>
          <w:p w14:paraId="628030FF">
            <w:pPr>
              <w:pStyle w:val="26"/>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jc w:val="both"/>
              <w:textAlignment w:val="auto"/>
              <w:rPr>
                <w:rFonts w:hint="eastAsia" w:ascii="Times New Roman" w:hAnsi="Times New Roman" w:eastAsia="宋体" w:cs="Times New Roman"/>
                <w:color w:val="0000FF"/>
                <w:kern w:val="0"/>
                <w:sz w:val="24"/>
                <w:szCs w:val="20"/>
                <w:lang w:val="en-US" w:eastAsia="zh-CN" w:bidi="ar-SA"/>
              </w:rPr>
            </w:pPr>
            <w:r>
              <w:rPr>
                <w:rFonts w:hint="eastAsia" w:cs="Times New Roman"/>
                <w:color w:val="0000FF"/>
                <w:kern w:val="0"/>
                <w:sz w:val="24"/>
                <w:szCs w:val="20"/>
                <w:lang w:val="en-US" w:eastAsia="zh-CN" w:bidi="ar-SA"/>
              </w:rPr>
              <w:t>（2）</w:t>
            </w:r>
            <w:r>
              <w:rPr>
                <w:rFonts w:hint="eastAsia" w:ascii="Times New Roman" w:hAnsi="Times New Roman" w:eastAsia="宋体" w:cs="Times New Roman"/>
                <w:color w:val="0000FF"/>
                <w:kern w:val="0"/>
                <w:sz w:val="24"/>
                <w:szCs w:val="20"/>
                <w:lang w:val="en-US" w:eastAsia="zh-CN" w:bidi="ar-SA"/>
              </w:rPr>
              <w:t>阶梯炉的焚烧能力与替代燃料量相匹配</w:t>
            </w:r>
          </w:p>
          <w:p w14:paraId="28032422">
            <w:pPr>
              <w:pStyle w:val="26"/>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jc w:val="both"/>
              <w:textAlignment w:val="auto"/>
              <w:rPr>
                <w:rFonts w:hint="eastAsia" w:ascii="Times New Roman" w:hAnsi="Times New Roman" w:eastAsia="宋体" w:cs="Times New Roman"/>
                <w:color w:val="0000FF"/>
                <w:kern w:val="0"/>
                <w:sz w:val="24"/>
                <w:szCs w:val="20"/>
                <w:lang w:val="en-US" w:eastAsia="zh-CN" w:bidi="ar-SA"/>
              </w:rPr>
            </w:pPr>
            <w:r>
              <w:rPr>
                <w:rFonts w:hint="eastAsia" w:ascii="Times New Roman" w:hAnsi="Times New Roman" w:eastAsia="宋体" w:cs="Times New Roman"/>
                <w:color w:val="0000FF"/>
                <w:kern w:val="0"/>
                <w:sz w:val="24"/>
                <w:szCs w:val="20"/>
                <w:lang w:val="en-US" w:eastAsia="zh-CN" w:bidi="ar-SA"/>
              </w:rPr>
              <w:t>本项目选用的阶梯炉</w:t>
            </w:r>
            <w:r>
              <w:rPr>
                <w:rFonts w:hint="eastAsia" w:cs="Times New Roman"/>
                <w:color w:val="0000FF"/>
                <w:kern w:val="0"/>
                <w:sz w:val="24"/>
                <w:szCs w:val="20"/>
                <w:lang w:val="en-US" w:eastAsia="zh-CN" w:bidi="ar-SA"/>
              </w:rPr>
              <w:t>日</w:t>
            </w:r>
            <w:r>
              <w:rPr>
                <w:rFonts w:hint="eastAsia" w:ascii="Times New Roman" w:hAnsi="Times New Roman" w:eastAsia="宋体" w:cs="Times New Roman"/>
                <w:color w:val="0000FF"/>
                <w:kern w:val="0"/>
                <w:sz w:val="24"/>
                <w:szCs w:val="20"/>
                <w:lang w:val="en-US" w:eastAsia="zh-CN" w:bidi="ar-SA"/>
              </w:rPr>
              <w:t>焚烧能力不低于300</w:t>
            </w:r>
            <w:r>
              <w:rPr>
                <w:rFonts w:hint="eastAsia" w:cs="Times New Roman"/>
                <w:color w:val="0000FF"/>
                <w:kern w:val="0"/>
                <w:sz w:val="24"/>
                <w:szCs w:val="20"/>
                <w:lang w:val="en-US" w:eastAsia="zh-CN" w:bidi="ar-SA"/>
              </w:rPr>
              <w:t>吨，</w:t>
            </w:r>
            <w:r>
              <w:rPr>
                <w:rFonts w:hint="eastAsia" w:ascii="Times New Roman" w:hAnsi="Times New Roman" w:eastAsia="宋体" w:cs="Times New Roman"/>
                <w:color w:val="0000FF"/>
                <w:kern w:val="0"/>
                <w:sz w:val="24"/>
                <w:szCs w:val="20"/>
                <w:lang w:val="en-US" w:eastAsia="zh-CN" w:bidi="ar-SA"/>
              </w:rPr>
              <w:t>这一设计产能与本项目年处置废纺和木屑各5万吨的替代燃料需求相匹配。阶梯炉的焚烧能力能够保证替代燃料的充分燃烧，同时满足水泥生产线的稳定运行和产能需求。</w:t>
            </w:r>
          </w:p>
          <w:p w14:paraId="051ADC2C">
            <w:pPr>
              <w:pStyle w:val="26"/>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jc w:val="both"/>
              <w:textAlignment w:val="auto"/>
              <w:rPr>
                <w:rFonts w:hint="eastAsia" w:ascii="Times New Roman" w:hAnsi="Times New Roman" w:eastAsia="宋体" w:cs="Times New Roman"/>
                <w:color w:val="0000FF"/>
                <w:kern w:val="0"/>
                <w:sz w:val="24"/>
                <w:szCs w:val="20"/>
                <w:lang w:val="en-US" w:eastAsia="zh-CN" w:bidi="ar-SA"/>
              </w:rPr>
            </w:pPr>
            <w:r>
              <w:rPr>
                <w:rFonts w:hint="eastAsia" w:cs="Times New Roman"/>
                <w:color w:val="0000FF"/>
                <w:kern w:val="0"/>
                <w:sz w:val="24"/>
                <w:szCs w:val="20"/>
                <w:lang w:val="en-US" w:eastAsia="zh-CN" w:bidi="ar-SA"/>
              </w:rPr>
              <w:t>（3）</w:t>
            </w:r>
            <w:r>
              <w:rPr>
                <w:rFonts w:hint="eastAsia" w:ascii="Times New Roman" w:hAnsi="Times New Roman" w:eastAsia="宋体" w:cs="Times New Roman"/>
                <w:color w:val="0000FF"/>
                <w:kern w:val="0"/>
                <w:sz w:val="24"/>
                <w:szCs w:val="20"/>
                <w:lang w:val="en-US" w:eastAsia="zh-CN" w:bidi="ar-SA"/>
              </w:rPr>
              <w:t>水泥熟料生产线稳定性与替代燃料适应性相匹配</w:t>
            </w:r>
          </w:p>
          <w:p w14:paraId="2DB4520D">
            <w:pPr>
              <w:pStyle w:val="26"/>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jc w:val="both"/>
              <w:textAlignment w:val="auto"/>
              <w:rPr>
                <w:rFonts w:hint="eastAsia" w:ascii="Times New Roman" w:hAnsi="Times New Roman" w:eastAsia="宋体" w:cs="Times New Roman"/>
                <w:color w:val="0000FF"/>
                <w:kern w:val="0"/>
                <w:sz w:val="24"/>
                <w:szCs w:val="20"/>
                <w:lang w:val="en-US" w:eastAsia="zh-CN" w:bidi="ar-SA"/>
              </w:rPr>
            </w:pPr>
            <w:r>
              <w:rPr>
                <w:rFonts w:hint="eastAsia" w:ascii="Times New Roman" w:hAnsi="Times New Roman" w:eastAsia="宋体" w:cs="Times New Roman"/>
                <w:color w:val="0000FF"/>
                <w:kern w:val="0"/>
                <w:sz w:val="24"/>
                <w:szCs w:val="20"/>
                <w:lang w:val="en-US" w:eastAsia="zh-CN" w:bidi="ar-SA"/>
              </w:rPr>
              <w:t>本项目依托的5000t/d熟料生产线具有高度的稳定性和连续性，能够适应替代燃料的投入。通过精确配料和自动化控制系统，可以确保替代燃料与原生料的合理配比，从而保持水泥熟料生产线的稳定运行和产品质量。此外，根据重金属投加量、入窑氟（F）元素、氯（Cl）元素投加量、入窑硫（S）元素投加量的计算结果，均满足相关规范要求，进一步证明了设备与产能的匹配性。</w:t>
            </w:r>
          </w:p>
          <w:p w14:paraId="5B81B202">
            <w:pPr>
              <w:pStyle w:val="26"/>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jc w:val="both"/>
              <w:textAlignment w:val="auto"/>
              <w:rPr>
                <w:rFonts w:hint="eastAsia" w:ascii="Times New Roman" w:hAnsi="Times New Roman" w:eastAsia="宋体" w:cs="Times New Roman"/>
                <w:color w:val="0000FF"/>
                <w:kern w:val="0"/>
                <w:sz w:val="24"/>
                <w:szCs w:val="20"/>
                <w:lang w:val="en-US" w:eastAsia="zh-CN" w:bidi="ar-SA"/>
              </w:rPr>
            </w:pPr>
            <w:r>
              <w:rPr>
                <w:rFonts w:hint="eastAsia" w:cs="Times New Roman"/>
                <w:color w:val="0000FF"/>
                <w:kern w:val="0"/>
                <w:sz w:val="24"/>
                <w:szCs w:val="20"/>
                <w:lang w:val="en-US" w:eastAsia="zh-CN" w:bidi="ar-SA"/>
              </w:rPr>
              <w:t>（4）</w:t>
            </w:r>
            <w:r>
              <w:rPr>
                <w:rFonts w:hint="eastAsia" w:ascii="Times New Roman" w:hAnsi="Times New Roman" w:eastAsia="宋体" w:cs="Times New Roman"/>
                <w:color w:val="0000FF"/>
                <w:kern w:val="0"/>
                <w:sz w:val="24"/>
                <w:szCs w:val="20"/>
                <w:lang w:val="en-US" w:eastAsia="zh-CN" w:bidi="ar-SA"/>
              </w:rPr>
              <w:t>环保设施与减排目标相匹配</w:t>
            </w:r>
          </w:p>
          <w:p w14:paraId="746D0173">
            <w:pPr>
              <w:pStyle w:val="26"/>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jc w:val="both"/>
              <w:textAlignment w:val="auto"/>
              <w:rPr>
                <w:rFonts w:hint="eastAsia" w:ascii="Times New Roman" w:hAnsi="Times New Roman" w:eastAsia="宋体" w:cs="Times New Roman"/>
                <w:color w:val="0000FF"/>
                <w:kern w:val="0"/>
                <w:sz w:val="24"/>
                <w:szCs w:val="20"/>
                <w:lang w:val="en-US" w:eastAsia="zh-CN" w:bidi="ar-SA"/>
              </w:rPr>
            </w:pPr>
            <w:r>
              <w:rPr>
                <w:rFonts w:hint="eastAsia" w:ascii="Times New Roman" w:hAnsi="Times New Roman" w:eastAsia="宋体" w:cs="Times New Roman"/>
                <w:color w:val="0000FF"/>
                <w:kern w:val="0"/>
                <w:sz w:val="24"/>
                <w:szCs w:val="20"/>
                <w:lang w:val="en-US" w:eastAsia="zh-CN" w:bidi="ar-SA"/>
              </w:rPr>
              <w:t>本项目在利用替代燃料的同时，充分依托了水泥厂现有的环保设施，包括窑尾烟气净化系统（SNCR+布袋除尘器）等。这些环保设施能够有效处理窑尾废气污染物，确保排放达标。通过水泥窑内物料对酸性气体的吸收、重金属的固化以及二噁英类污染物的抑制等措施，本项目能够实现显著的减排效果，与节能减排的技改目标相匹配。</w:t>
            </w:r>
          </w:p>
          <w:p w14:paraId="069C3C2A">
            <w:pPr>
              <w:pStyle w:val="26"/>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jc w:val="both"/>
              <w:textAlignment w:val="auto"/>
              <w:rPr>
                <w:rFonts w:hint="eastAsia" w:ascii="Times New Roman" w:hAnsi="Times New Roman" w:eastAsia="宋体" w:cs="Times New Roman"/>
                <w:color w:val="0000FF"/>
                <w:kern w:val="0"/>
                <w:sz w:val="24"/>
                <w:szCs w:val="20"/>
                <w:lang w:val="en-US" w:eastAsia="zh-CN" w:bidi="ar-SA"/>
              </w:rPr>
            </w:pPr>
            <w:r>
              <w:rPr>
                <w:rFonts w:hint="eastAsia" w:ascii="Times New Roman" w:hAnsi="Times New Roman" w:eastAsia="宋体" w:cs="Times New Roman"/>
                <w:color w:val="0000FF"/>
                <w:kern w:val="0"/>
                <w:sz w:val="24"/>
                <w:szCs w:val="20"/>
                <w:lang w:val="en-US" w:eastAsia="zh-CN" w:bidi="ar-SA"/>
              </w:rPr>
              <w:t>综上所述，本项目设备与产能匹配性良好，选用的设备能够满足产能需求和技术要求，同时保证了水泥生产线的稳定运行和产品质量。通过精确配料、自动化控制以及环保设施的有效运行，本项目能够实现节能减排的目标，促进企业的可持续发展。</w:t>
            </w:r>
          </w:p>
          <w:bookmarkEnd w:id="74"/>
          <w:p w14:paraId="1C6CB31C">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0000FF"/>
                <w:kern w:val="2"/>
                <w:sz w:val="24"/>
                <w:szCs w:val="24"/>
                <w:lang w:val="en-US" w:eastAsia="zh-CN" w:bidi="ar-SA"/>
              </w:rPr>
            </w:pPr>
            <w:bookmarkStart w:id="75" w:name="OLE_LINK88"/>
            <w:r>
              <w:rPr>
                <w:rFonts w:hint="eastAsia" w:ascii="Times New Roman" w:hAnsi="Times New Roman" w:eastAsia="宋体" w:cs="Times New Roman"/>
                <w:b/>
                <w:bCs/>
                <w:color w:val="0000FF"/>
                <w:kern w:val="2"/>
                <w:sz w:val="24"/>
                <w:szCs w:val="24"/>
                <w:lang w:val="en-US" w:eastAsia="zh-CN" w:bidi="ar-SA"/>
              </w:rPr>
              <w:t>八、本项目固废准入控制措施</w:t>
            </w:r>
          </w:p>
          <w:bookmarkEnd w:id="75"/>
          <w:p w14:paraId="5C81B360">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lang w:val="en-US" w:eastAsia="zh-CN" w:bidi="ar-SA"/>
              </w:rPr>
            </w:pPr>
            <w:r>
              <w:rPr>
                <w:rFonts w:hint="eastAsia" w:ascii="Times New Roman" w:hAnsi="Times New Roman" w:eastAsia="宋体" w:cs="Times New Roman"/>
                <w:b w:val="0"/>
                <w:bCs w:val="0"/>
                <w:color w:val="0000FF"/>
                <w:kern w:val="2"/>
                <w:sz w:val="24"/>
                <w:szCs w:val="24"/>
                <w:lang w:val="en-US" w:eastAsia="zh-CN" w:bidi="ar-SA"/>
              </w:rPr>
              <w:t>1、固体废物的准入评估</w:t>
            </w:r>
          </w:p>
          <w:p w14:paraId="49B42A07">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lang w:val="en-US" w:eastAsia="zh-CN" w:bidi="ar-SA"/>
              </w:rPr>
            </w:pPr>
            <w:r>
              <w:rPr>
                <w:rFonts w:hint="eastAsia" w:ascii="Times New Roman" w:hAnsi="Times New Roman" w:eastAsia="宋体" w:cs="Times New Roman"/>
                <w:b w:val="0"/>
                <w:bCs w:val="0"/>
                <w:color w:val="0000FF"/>
                <w:kern w:val="2"/>
                <w:sz w:val="24"/>
                <w:szCs w:val="24"/>
                <w:lang w:val="en-US" w:eastAsia="zh-CN" w:bidi="ar-SA"/>
              </w:rPr>
              <w:t>（1）为保证协同处置过程不影响水泥生产过程和操作安全，确保烟气排放达标，在协同处置企业与固体废物产生企业签订协同处置合同及固体废物运输到协同处置企业之前，协同处置项目建设单位将对拟协同处置的固体废物进行取样检测及特性分析。</w:t>
            </w:r>
          </w:p>
          <w:p w14:paraId="6C56B73B">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lang w:val="en-US" w:eastAsia="zh-CN" w:bidi="ar-SA"/>
              </w:rPr>
            </w:pPr>
            <w:r>
              <w:rPr>
                <w:rFonts w:hint="eastAsia" w:ascii="Times New Roman" w:hAnsi="Times New Roman" w:eastAsia="宋体" w:cs="Times New Roman"/>
                <w:b w:val="0"/>
                <w:bCs w:val="0"/>
                <w:color w:val="0000FF"/>
                <w:kern w:val="2"/>
                <w:sz w:val="24"/>
                <w:szCs w:val="24"/>
                <w:lang w:val="en-US" w:eastAsia="zh-CN" w:bidi="ar-SA"/>
              </w:rPr>
              <w:t>（2）在对拟协同处置的固体废物进行取样和特性分析前，协同处置项目建设单位将对该固体废物产生过程进行调查分析，在此基础上制定取样分析方案：样品采集完成后，开展分析测试。固体废物特性经双方确认后在协同处置合同中注明。取样频率和取样方法按照现行《工业固体废物采样制样技术规范》（HJ/T 20-1998）要求执行。</w:t>
            </w:r>
          </w:p>
          <w:p w14:paraId="29F9E82C">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lang w:val="en-US" w:eastAsia="zh-CN" w:bidi="ar-SA"/>
              </w:rPr>
            </w:pPr>
            <w:r>
              <w:rPr>
                <w:rFonts w:hint="eastAsia" w:ascii="Times New Roman" w:hAnsi="Times New Roman" w:eastAsia="宋体" w:cs="Times New Roman"/>
                <w:b w:val="0"/>
                <w:bCs w:val="0"/>
                <w:color w:val="0000FF"/>
                <w:kern w:val="2"/>
                <w:sz w:val="24"/>
                <w:szCs w:val="24"/>
                <w:lang w:val="en-US" w:eastAsia="zh-CN" w:bidi="ar-SA"/>
              </w:rPr>
              <w:t>（3）在完成样品分析测试以后，根据下列要求对固体废物是否可以进场协同处置进行判断：</w:t>
            </w:r>
          </w:p>
          <w:p w14:paraId="397CE44A">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①</w:t>
            </w:r>
            <w:r>
              <w:rPr>
                <w:rFonts w:hint="eastAsia" w:ascii="Times New Roman" w:hAnsi="Times New Roman" w:eastAsia="宋体" w:cs="Times New Roman"/>
                <w:b w:val="0"/>
                <w:bCs w:val="0"/>
                <w:color w:val="0000FF"/>
                <w:kern w:val="2"/>
                <w:sz w:val="24"/>
                <w:szCs w:val="24"/>
                <w:lang w:val="en-US" w:eastAsia="zh-CN" w:bidi="ar-SA"/>
              </w:rPr>
              <w:t>该类固体废物不属于禁止进入水泥窑协同处置的废物类别，不属于危险废物，满足国家和当地的相关法律法规。</w:t>
            </w:r>
          </w:p>
          <w:p w14:paraId="315E4D82">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②</w:t>
            </w:r>
            <w:r>
              <w:rPr>
                <w:rFonts w:hint="eastAsia" w:ascii="Times New Roman" w:hAnsi="Times New Roman" w:eastAsia="宋体" w:cs="Times New Roman"/>
                <w:b w:val="0"/>
                <w:bCs w:val="0"/>
                <w:color w:val="0000FF"/>
                <w:kern w:val="2"/>
                <w:sz w:val="24"/>
                <w:szCs w:val="24"/>
                <w:lang w:val="en-US" w:eastAsia="zh-CN" w:bidi="ar-SA"/>
              </w:rPr>
              <w:t>本项目具有协同处置该类固体废物的能力，协同处置过程中的人员健康和环境安全风险能够得到有效控制。</w:t>
            </w:r>
          </w:p>
          <w:p w14:paraId="7754E3CD">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③</w:t>
            </w:r>
            <w:r>
              <w:rPr>
                <w:rFonts w:hint="eastAsia" w:ascii="Times New Roman" w:hAnsi="Times New Roman" w:eastAsia="宋体" w:cs="Times New Roman"/>
                <w:b w:val="0"/>
                <w:bCs w:val="0"/>
                <w:color w:val="0000FF"/>
                <w:kern w:val="2"/>
                <w:sz w:val="24"/>
                <w:szCs w:val="24"/>
                <w:lang w:val="en-US" w:eastAsia="zh-CN" w:bidi="ar-SA"/>
              </w:rPr>
              <w:t>该类固体废物的协同处置不会对水泥的稳定生产、烟气排放、水泥产品质量产生不利影响。</w:t>
            </w:r>
          </w:p>
          <w:p w14:paraId="00B2A151">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lang w:val="en-US" w:eastAsia="zh-CN" w:bidi="ar-SA"/>
              </w:rPr>
            </w:pPr>
            <w:r>
              <w:rPr>
                <w:rFonts w:hint="eastAsia" w:ascii="Times New Roman" w:hAnsi="Times New Roman" w:eastAsia="宋体" w:cs="Times New Roman"/>
                <w:b w:val="0"/>
                <w:bCs w:val="0"/>
                <w:color w:val="0000FF"/>
                <w:kern w:val="2"/>
                <w:sz w:val="24"/>
                <w:szCs w:val="24"/>
                <w:lang w:val="en-US" w:eastAsia="zh-CN" w:bidi="ar-SA"/>
              </w:rPr>
              <w:t>（4）对于同一产废单位同一生产工艺产生的不同批次固体废物，在生产工艺操作参数未改变的前提下，可以仅对首批次固体废物进行采样分析，其后产生的固体废物采样分析在制定处置方案时进行。</w:t>
            </w:r>
          </w:p>
          <w:p w14:paraId="5902AA53">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lang w:val="en-US" w:eastAsia="zh-CN" w:bidi="ar-SA"/>
              </w:rPr>
            </w:pPr>
            <w:r>
              <w:rPr>
                <w:rFonts w:hint="default" w:ascii="Times New Roman" w:hAnsi="Times New Roman" w:eastAsia="宋体" w:cs="Times New Roman"/>
                <w:b w:val="0"/>
                <w:bCs w:val="0"/>
                <w:color w:val="0000FF"/>
                <w:kern w:val="2"/>
                <w:sz w:val="24"/>
                <w:szCs w:val="24"/>
                <w:lang w:val="en-US" w:eastAsia="zh-CN" w:bidi="ar-SA"/>
              </w:rPr>
              <w:t>（5）</w:t>
            </w:r>
            <w:r>
              <w:rPr>
                <w:rFonts w:hint="eastAsia" w:ascii="Times New Roman" w:hAnsi="Times New Roman" w:eastAsia="宋体" w:cs="Times New Roman"/>
                <w:b w:val="0"/>
                <w:bCs w:val="0"/>
                <w:color w:val="0000FF"/>
                <w:kern w:val="2"/>
                <w:sz w:val="24"/>
                <w:szCs w:val="24"/>
                <w:lang w:val="en-US" w:eastAsia="zh-CN" w:bidi="ar-SA"/>
              </w:rPr>
              <w:t>对入厂前固体废物采集分析的样品，经双方确认后封装保存，用于事故和纠纷的调查。备份样品应该保存到停止协同处置该种固体废物之后。如果在保存期间备份样品的特性发生变化，应更换备份样品，保证备份样品特性与所协同处置固体废物特性一致。</w:t>
            </w:r>
          </w:p>
          <w:p w14:paraId="071FE21F">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lang w:val="en-US" w:eastAsia="zh-CN" w:bidi="ar-SA"/>
              </w:rPr>
            </w:pPr>
            <w:r>
              <w:rPr>
                <w:rFonts w:hint="eastAsia" w:ascii="Times New Roman" w:hAnsi="Times New Roman" w:eastAsia="宋体" w:cs="Times New Roman"/>
                <w:b w:val="0"/>
                <w:bCs w:val="0"/>
                <w:color w:val="0000FF"/>
                <w:kern w:val="2"/>
                <w:sz w:val="24"/>
                <w:szCs w:val="24"/>
                <w:lang w:val="en-US" w:eastAsia="zh-CN" w:bidi="ar-SA"/>
              </w:rPr>
              <w:t>2、固体废物入厂控制</w:t>
            </w:r>
          </w:p>
          <w:p w14:paraId="62C84213">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lang w:val="en-US" w:eastAsia="zh-CN" w:bidi="ar-SA"/>
              </w:rPr>
            </w:pPr>
            <w:r>
              <w:rPr>
                <w:rFonts w:hint="eastAsia" w:ascii="Times New Roman" w:hAnsi="Times New Roman" w:eastAsia="宋体" w:cs="Times New Roman"/>
                <w:b w:val="0"/>
                <w:bCs w:val="0"/>
                <w:color w:val="0000FF"/>
                <w:kern w:val="2"/>
                <w:sz w:val="24"/>
                <w:szCs w:val="24"/>
                <w:lang w:val="en-US" w:eastAsia="zh-CN" w:bidi="ar-SA"/>
              </w:rPr>
              <w:t>本项目固体废物的接收、运输均第三方物流公司负责，从源头上杜绝属性不明废物混入厂区风险，建设单位拟采取的主要控制措施如下：</w:t>
            </w:r>
          </w:p>
          <w:p w14:paraId="204C905C">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lang w:val="en-US" w:eastAsia="zh-CN" w:bidi="ar-SA"/>
              </w:rPr>
            </w:pPr>
            <w:bookmarkStart w:id="76" w:name="OLE_LINK83"/>
            <w:r>
              <w:rPr>
                <w:rFonts w:hint="eastAsia" w:ascii="Times New Roman" w:hAnsi="Times New Roman" w:eastAsia="宋体" w:cs="Times New Roman"/>
                <w:b w:val="0"/>
                <w:bCs w:val="0"/>
                <w:color w:val="0000FF"/>
                <w:kern w:val="2"/>
                <w:sz w:val="24"/>
                <w:szCs w:val="24"/>
                <w:lang w:val="en-US" w:eastAsia="zh-CN" w:bidi="ar-SA"/>
              </w:rPr>
              <w:t>（1）对于未通过准入评估的固废，建设单位不予处理。</w:t>
            </w:r>
          </w:p>
          <w:p w14:paraId="1A59D06D">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lang w:val="en-US" w:eastAsia="zh-CN" w:bidi="ar-SA"/>
              </w:rPr>
            </w:pPr>
            <w:r>
              <w:rPr>
                <w:rFonts w:hint="eastAsia" w:ascii="Times New Roman" w:hAnsi="Times New Roman" w:eastAsia="宋体" w:cs="Times New Roman"/>
                <w:b w:val="0"/>
                <w:bCs w:val="0"/>
                <w:color w:val="0000FF"/>
                <w:kern w:val="2"/>
                <w:sz w:val="24"/>
                <w:szCs w:val="24"/>
                <w:lang w:val="en-US" w:eastAsia="zh-CN" w:bidi="ar-SA"/>
              </w:rPr>
              <w:t>（2）</w:t>
            </w:r>
            <w:bookmarkEnd w:id="76"/>
            <w:r>
              <w:rPr>
                <w:rFonts w:hint="eastAsia" w:ascii="Times New Roman" w:hAnsi="Times New Roman" w:eastAsia="宋体" w:cs="Times New Roman"/>
                <w:b w:val="0"/>
                <w:bCs w:val="0"/>
                <w:color w:val="0000FF"/>
                <w:kern w:val="2"/>
                <w:sz w:val="24"/>
                <w:szCs w:val="24"/>
                <w:lang w:val="en-US" w:eastAsia="zh-CN" w:bidi="ar-SA"/>
              </w:rPr>
              <w:t>对于通过准入评估的固废，建设单位与固废产生企业签订处置合同后由建设单位安排第三方车辆进入固废产生企业准备装运。在固体废物装车前，首先通过表观和气味，初步判定装车固体废物是否与签订的合同标注的固体废物类别一致，并对固体废物进行称重，确认符合签订的合同。在完成上述检查并确认符合各项要求后，固体废物方可装车。</w:t>
            </w:r>
          </w:p>
          <w:p w14:paraId="4D96A82F">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lang w:val="en-US" w:eastAsia="zh-CN" w:bidi="ar-SA"/>
              </w:rPr>
            </w:pPr>
            <w:r>
              <w:rPr>
                <w:rFonts w:hint="eastAsia" w:ascii="Times New Roman" w:hAnsi="Times New Roman" w:eastAsia="宋体" w:cs="Times New Roman"/>
                <w:b w:val="0"/>
                <w:bCs w:val="0"/>
                <w:color w:val="0000FF"/>
                <w:kern w:val="2"/>
                <w:sz w:val="24"/>
                <w:szCs w:val="24"/>
                <w:lang w:val="en-US" w:eastAsia="zh-CN" w:bidi="ar-SA"/>
              </w:rPr>
              <w:t>（3）在按照上述规定进行检查后，若拟装车固体废物与所签订合同的标注的废物类别有异，应立即与固体废物产生单位、运输单位和运输责任人联系，共同进行现场判定。</w:t>
            </w:r>
          </w:p>
          <w:p w14:paraId="7A7974D4">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lang w:val="en-US" w:eastAsia="zh-CN" w:bidi="ar-SA"/>
              </w:rPr>
            </w:pPr>
            <w:r>
              <w:rPr>
                <w:rFonts w:hint="eastAsia" w:ascii="Times New Roman" w:hAnsi="Times New Roman" w:eastAsia="宋体" w:cs="Times New Roman"/>
                <w:b w:val="0"/>
                <w:bCs w:val="0"/>
                <w:color w:val="0000FF"/>
                <w:kern w:val="2"/>
                <w:sz w:val="24"/>
                <w:szCs w:val="24"/>
                <w:lang w:val="en-US" w:eastAsia="zh-CN" w:bidi="ar-SA"/>
              </w:rPr>
              <w:t>（4）如果确定该批次固体废物与合同签订不一致，应立即停止装车。并视情况重新取样，重新进行固废准入评估，并根据评估结果，对该批次固废不予处理或重新签订处置合同。</w:t>
            </w:r>
          </w:p>
          <w:p w14:paraId="6C9A55D2">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lang w:val="en-US" w:eastAsia="zh-CN" w:bidi="ar-SA"/>
              </w:rPr>
            </w:pPr>
            <w:r>
              <w:rPr>
                <w:rFonts w:hint="eastAsia" w:ascii="Times New Roman" w:hAnsi="Times New Roman" w:eastAsia="宋体" w:cs="Times New Roman"/>
                <w:b w:val="0"/>
                <w:bCs w:val="0"/>
                <w:color w:val="0000FF"/>
                <w:kern w:val="2"/>
                <w:sz w:val="24"/>
                <w:szCs w:val="24"/>
                <w:lang w:val="en-US" w:eastAsia="zh-CN" w:bidi="ar-SA"/>
              </w:rPr>
              <w:t>本项目协同处置固体废物控制性规定具体见下表。</w:t>
            </w:r>
          </w:p>
          <w:p w14:paraId="7CB37540">
            <w:pPr>
              <w:autoSpaceDE w:val="0"/>
              <w:autoSpaceDN w:val="0"/>
              <w:adjustRightInd w:val="0"/>
              <w:jc w:val="center"/>
              <w:rPr>
                <w:rFonts w:hint="eastAsia" w:ascii="Times New Roman" w:hAnsi="Times New Roman" w:cs="Times New Roman"/>
                <w:b/>
                <w:color w:val="0000FF"/>
                <w:lang w:eastAsia="zh-CN"/>
              </w:rPr>
            </w:pPr>
            <w:r>
              <w:rPr>
                <w:rFonts w:hint="eastAsia" w:ascii="Times New Roman" w:hAnsi="Times New Roman" w:cs="Times New Roman"/>
                <w:b/>
                <w:color w:val="0000FF"/>
              </w:rPr>
              <w:t>表</w:t>
            </w:r>
            <w:r>
              <w:rPr>
                <w:rFonts w:ascii="Times New Roman" w:hAnsi="Times New Roman" w:cs="Times New Roman"/>
                <w:b/>
                <w:color w:val="0000FF"/>
              </w:rPr>
              <w:t>2</w:t>
            </w:r>
            <w:r>
              <w:rPr>
                <w:rFonts w:hint="eastAsia" w:ascii="Times New Roman" w:hAnsi="Times New Roman" w:cs="Times New Roman"/>
                <w:b/>
                <w:color w:val="0000FF"/>
                <w:lang w:val="en-US" w:eastAsia="zh-CN"/>
              </w:rPr>
              <w:t>-</w:t>
            </w:r>
            <w:r>
              <w:rPr>
                <w:rFonts w:hint="eastAsia" w:cs="Times New Roman"/>
                <w:b/>
                <w:color w:val="0000FF"/>
                <w:lang w:val="en-US" w:eastAsia="zh-CN"/>
              </w:rPr>
              <w:t>20</w:t>
            </w:r>
            <w:r>
              <w:rPr>
                <w:rFonts w:ascii="Times New Roman" w:hAnsi="Times New Roman" w:cs="Times New Roman"/>
                <w:b/>
                <w:color w:val="0000FF"/>
              </w:rPr>
              <w:t xml:space="preserve"> </w:t>
            </w:r>
            <w:r>
              <w:rPr>
                <w:rFonts w:hint="eastAsia" w:ascii="Times New Roman" w:hAnsi="Times New Roman" w:cs="Times New Roman"/>
                <w:b/>
                <w:color w:val="0000FF"/>
                <w:lang w:eastAsia="zh-CN"/>
              </w:rPr>
              <w:t>协同处置固体废物控制性规定</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8"/>
              <w:gridCol w:w="2775"/>
              <w:gridCol w:w="2528"/>
              <w:gridCol w:w="2293"/>
            </w:tblGrid>
            <w:tr w14:paraId="0B1A7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8" w:type="dxa"/>
                  <w:vAlign w:val="center"/>
                </w:tcPr>
                <w:p w14:paraId="123E151B">
                  <w:pPr>
                    <w:adjustRightInd w:val="0"/>
                    <w:snapToGrid w:val="0"/>
                    <w:jc w:val="center"/>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标准来源</w:t>
                  </w:r>
                </w:p>
              </w:tc>
              <w:tc>
                <w:tcPr>
                  <w:tcW w:w="2775" w:type="dxa"/>
                  <w:vAlign w:val="center"/>
                </w:tcPr>
                <w:p w14:paraId="14C2D255">
                  <w:pPr>
                    <w:adjustRightInd w:val="0"/>
                    <w:snapToGrid w:val="0"/>
                    <w:jc w:val="center"/>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基本要求</w:t>
                  </w:r>
                </w:p>
              </w:tc>
              <w:tc>
                <w:tcPr>
                  <w:tcW w:w="2528" w:type="dxa"/>
                  <w:vAlign w:val="center"/>
                </w:tcPr>
                <w:p w14:paraId="48B80174">
                  <w:pPr>
                    <w:adjustRightInd w:val="0"/>
                    <w:snapToGrid w:val="0"/>
                    <w:jc w:val="center"/>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其他要求</w:t>
                  </w:r>
                </w:p>
              </w:tc>
              <w:tc>
                <w:tcPr>
                  <w:tcW w:w="2293" w:type="dxa"/>
                  <w:vAlign w:val="center"/>
                </w:tcPr>
                <w:p w14:paraId="1ACC4938">
                  <w:pPr>
                    <w:adjustRightInd w:val="0"/>
                    <w:snapToGrid w:val="0"/>
                    <w:jc w:val="center"/>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本项目情况</w:t>
                  </w:r>
                </w:p>
              </w:tc>
            </w:tr>
            <w:tr w14:paraId="597FA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8" w:type="dxa"/>
                  <w:vMerge w:val="restart"/>
                  <w:vAlign w:val="center"/>
                </w:tcPr>
                <w:p w14:paraId="3A105562">
                  <w:pPr>
                    <w:adjustRightInd w:val="0"/>
                    <w:snapToGrid w:val="0"/>
                    <w:jc w:val="center"/>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HJ 662-2013</w:t>
                  </w:r>
                </w:p>
              </w:tc>
              <w:tc>
                <w:tcPr>
                  <w:tcW w:w="2775" w:type="dxa"/>
                  <w:vAlign w:val="center"/>
                </w:tcPr>
                <w:p w14:paraId="6AF55574">
                  <w:pPr>
                    <w:adjustRightInd w:val="0"/>
                    <w:snapToGrid w:val="0"/>
                    <w:jc w:val="both"/>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入窑固体废物应具有稳定的化学组成和物理特性，其化学组成、理化性质等不应对水泥生产过程和水泥产品质量产生不利影响</w:t>
                  </w:r>
                </w:p>
              </w:tc>
              <w:tc>
                <w:tcPr>
                  <w:tcW w:w="2528" w:type="dxa"/>
                  <w:vAlign w:val="center"/>
                </w:tcPr>
                <w:p w14:paraId="5AB47D4A">
                  <w:pPr>
                    <w:adjustRightInd w:val="0"/>
                    <w:snapToGrid w:val="0"/>
                    <w:jc w:val="both"/>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如果水泥生产运行异常引起水泥熟料质量不合格的，应立即停止投加入窑固废，待水泥生产正常后，恢复固废入窑；已排除因水泥生产运行异常引起水泥熟料质量不合格的，可减量或停止投加固废</w:t>
                  </w:r>
                </w:p>
              </w:tc>
              <w:tc>
                <w:tcPr>
                  <w:tcW w:w="2293" w:type="dxa"/>
                  <w:vAlign w:val="center"/>
                </w:tcPr>
                <w:p w14:paraId="10B3CF8D">
                  <w:pPr>
                    <w:adjustRightInd w:val="0"/>
                    <w:snapToGrid w:val="0"/>
                    <w:jc w:val="both"/>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本项目</w:t>
                  </w:r>
                  <w:r>
                    <w:rPr>
                      <w:rFonts w:hint="eastAsia" w:cs="Times New Roman"/>
                      <w:bCs/>
                      <w:color w:val="0000FF"/>
                      <w:szCs w:val="21"/>
                      <w:lang w:val="en-US" w:eastAsia="zh-CN"/>
                    </w:rPr>
                    <w:t>拟</w:t>
                  </w:r>
                  <w:r>
                    <w:rPr>
                      <w:rFonts w:hint="eastAsia" w:ascii="Times New Roman" w:hAnsi="Times New Roman" w:eastAsia="宋体" w:cs="Times New Roman"/>
                      <w:bCs/>
                      <w:color w:val="0000FF"/>
                      <w:szCs w:val="21"/>
                      <w:lang w:val="en-US" w:eastAsia="zh-CN"/>
                    </w:rPr>
                    <w:t>处置一般固废为废纺及</w:t>
                  </w:r>
                  <w:r>
                    <w:rPr>
                      <w:rFonts w:hint="eastAsia" w:cs="Times New Roman"/>
                      <w:bCs/>
                      <w:color w:val="0000FF"/>
                      <w:szCs w:val="21"/>
                      <w:lang w:val="en-US" w:eastAsia="zh-CN"/>
                    </w:rPr>
                    <w:t>生物质（木屑）</w:t>
                  </w:r>
                  <w:r>
                    <w:rPr>
                      <w:rFonts w:hint="eastAsia" w:ascii="Times New Roman" w:hAnsi="Times New Roman" w:eastAsia="宋体" w:cs="Times New Roman"/>
                      <w:bCs/>
                      <w:color w:val="0000FF"/>
                      <w:szCs w:val="21"/>
                      <w:lang w:val="en-US" w:eastAsia="zh-CN"/>
                    </w:rPr>
                    <w:t>，其化学组成以及物理特性均稳定，且不会对水泥产品质量产生不利影响</w:t>
                  </w:r>
                </w:p>
              </w:tc>
            </w:tr>
            <w:tr w14:paraId="7C013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8" w:type="dxa"/>
                  <w:vMerge w:val="continue"/>
                  <w:vAlign w:val="center"/>
                </w:tcPr>
                <w:p w14:paraId="1DBFA041">
                  <w:pPr>
                    <w:adjustRightInd w:val="0"/>
                    <w:snapToGrid w:val="0"/>
                    <w:jc w:val="center"/>
                    <w:rPr>
                      <w:rFonts w:hint="eastAsia" w:ascii="Times New Roman" w:hAnsi="Times New Roman" w:eastAsia="宋体" w:cs="Times New Roman"/>
                      <w:bCs/>
                      <w:color w:val="0000FF"/>
                      <w:szCs w:val="21"/>
                      <w:lang w:val="en-US" w:eastAsia="zh-CN"/>
                    </w:rPr>
                  </w:pPr>
                  <w:bookmarkStart w:id="77" w:name="OLE_LINK86" w:colFirst="0" w:colLast="0"/>
                </w:p>
              </w:tc>
              <w:tc>
                <w:tcPr>
                  <w:tcW w:w="2775" w:type="dxa"/>
                  <w:vAlign w:val="center"/>
                </w:tcPr>
                <w:p w14:paraId="2FCCCB90">
                  <w:pPr>
                    <w:adjustRightInd w:val="0"/>
                    <w:snapToGrid w:val="0"/>
                    <w:jc w:val="both"/>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入窑固体废物中如含有HJ 662中表所列重金属成分，其含量应该满足HJ 662第6.6.7条的要求，入窑物料中氟元素含量不应大于0.5%，氯元素含量不应大于0.04%</w:t>
                  </w:r>
                </w:p>
              </w:tc>
              <w:tc>
                <w:tcPr>
                  <w:tcW w:w="2528" w:type="dxa"/>
                  <w:vMerge w:val="restart"/>
                  <w:vAlign w:val="center"/>
                </w:tcPr>
                <w:p w14:paraId="25F0AFE8">
                  <w:pPr>
                    <w:adjustRightInd w:val="0"/>
                    <w:snapToGrid w:val="0"/>
                    <w:jc w:val="both"/>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对进厂的固废每批次进行检测，若超过前述入窑物料重金属、F、Cl、S元素计算结果或HJ 662-2013要求，应重新计算配比，减少入窑物料投加量</w:t>
                  </w:r>
                </w:p>
              </w:tc>
              <w:tc>
                <w:tcPr>
                  <w:tcW w:w="2293" w:type="dxa"/>
                  <w:vAlign w:val="center"/>
                </w:tcPr>
                <w:p w14:paraId="1B26726E">
                  <w:pPr>
                    <w:adjustRightInd w:val="0"/>
                    <w:snapToGrid w:val="0"/>
                    <w:jc w:val="both"/>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根据核算，</w:t>
                  </w:r>
                  <w:r>
                    <w:rPr>
                      <w:rFonts w:hint="eastAsia" w:cs="Times New Roman"/>
                      <w:bCs/>
                      <w:color w:val="0000FF"/>
                      <w:szCs w:val="21"/>
                      <w:lang w:val="en-US" w:eastAsia="zh-CN"/>
                    </w:rPr>
                    <w:t>本项目</w:t>
                  </w:r>
                  <w:r>
                    <w:rPr>
                      <w:rFonts w:hint="eastAsia" w:ascii="Times New Roman" w:hAnsi="Times New Roman" w:eastAsia="宋体" w:cs="Times New Roman"/>
                      <w:bCs/>
                      <w:color w:val="0000FF"/>
                      <w:szCs w:val="21"/>
                      <w:lang w:val="en-US" w:eastAsia="zh-CN"/>
                    </w:rPr>
                    <w:t>入窑</w:t>
                  </w:r>
                  <w:r>
                    <w:rPr>
                      <w:rFonts w:hint="eastAsia" w:cs="Times New Roman"/>
                      <w:bCs/>
                      <w:color w:val="0000FF"/>
                      <w:szCs w:val="21"/>
                      <w:lang w:val="en-US" w:eastAsia="zh-CN"/>
                    </w:rPr>
                    <w:t>固体废物</w:t>
                  </w:r>
                  <w:r>
                    <w:rPr>
                      <w:rFonts w:hint="eastAsia" w:ascii="Times New Roman" w:hAnsi="Times New Roman" w:eastAsia="宋体" w:cs="Times New Roman"/>
                      <w:bCs/>
                      <w:color w:val="0000FF"/>
                      <w:szCs w:val="21"/>
                      <w:lang w:val="en-US" w:eastAsia="zh-CN"/>
                    </w:rPr>
                    <w:t>氟元素含量为0.0000376%、氯元素含量为0.00053%，均符合要求</w:t>
                  </w:r>
                </w:p>
              </w:tc>
            </w:tr>
            <w:bookmarkEnd w:id="77"/>
            <w:tr w14:paraId="21A61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8" w:type="dxa"/>
                  <w:vMerge w:val="continue"/>
                  <w:vAlign w:val="center"/>
                </w:tcPr>
                <w:p w14:paraId="3519A0D1">
                  <w:pPr>
                    <w:adjustRightInd w:val="0"/>
                    <w:snapToGrid w:val="0"/>
                    <w:jc w:val="center"/>
                    <w:rPr>
                      <w:rFonts w:hint="eastAsia" w:ascii="Times New Roman" w:hAnsi="Times New Roman" w:eastAsia="宋体" w:cs="Times New Roman"/>
                      <w:bCs/>
                      <w:color w:val="0000FF"/>
                      <w:szCs w:val="21"/>
                      <w:lang w:val="en-US" w:eastAsia="zh-CN"/>
                    </w:rPr>
                  </w:pPr>
                </w:p>
              </w:tc>
              <w:tc>
                <w:tcPr>
                  <w:tcW w:w="2775" w:type="dxa"/>
                  <w:vAlign w:val="center"/>
                </w:tcPr>
                <w:p w14:paraId="6DE359D5">
                  <w:pPr>
                    <w:adjustRightInd w:val="0"/>
                    <w:snapToGrid w:val="0"/>
                    <w:jc w:val="both"/>
                    <w:rPr>
                      <w:rFonts w:hint="default" w:ascii="Times New Roman" w:hAnsi="Times New Roman" w:eastAsia="宋体" w:cs="Times New Roman"/>
                      <w:bCs/>
                      <w:color w:val="0000FF"/>
                      <w:szCs w:val="21"/>
                      <w:lang w:val="en-US" w:eastAsia="zh-CN"/>
                    </w:rPr>
                  </w:pPr>
                  <w:bookmarkStart w:id="78" w:name="OLE_LINK85"/>
                  <w:r>
                    <w:rPr>
                      <w:rFonts w:hint="eastAsia" w:ascii="Times New Roman" w:hAnsi="Times New Roman" w:eastAsia="宋体" w:cs="Times New Roman"/>
                      <w:bCs/>
                      <w:color w:val="0000FF"/>
                      <w:szCs w:val="21"/>
                      <w:lang w:val="en-US" w:eastAsia="zh-CN"/>
                    </w:rPr>
                    <w:t>通过配料系统投加的物料中硫化物硫与有机硫总含量不应大于0.014%</w:t>
                  </w:r>
                  <w:bookmarkEnd w:id="78"/>
                  <w:r>
                    <w:rPr>
                      <w:rFonts w:hint="eastAsia" w:ascii="Times New Roman" w:hAnsi="Times New Roman" w:eastAsia="宋体" w:cs="Times New Roman"/>
                      <w:bCs/>
                      <w:color w:val="0000FF"/>
                      <w:szCs w:val="21"/>
                      <w:lang w:val="en-US" w:eastAsia="zh-CN"/>
                    </w:rPr>
                    <w:t>；从窑头、窑尾高温区投加的全硫与配料系统投加的硫酸盐硫总投加量不应大于3000</w:t>
                  </w:r>
                  <w:bookmarkStart w:id="79" w:name="OLE_LINK87"/>
                  <w:r>
                    <w:rPr>
                      <w:rFonts w:hint="eastAsia" w:ascii="Times New Roman" w:hAnsi="Times New Roman" w:eastAsia="宋体" w:cs="Times New Roman"/>
                      <w:bCs/>
                      <w:color w:val="0000FF"/>
                      <w:szCs w:val="21"/>
                      <w:lang w:val="en-US" w:eastAsia="zh-CN"/>
                    </w:rPr>
                    <w:t>mg/kg-cli</w:t>
                  </w:r>
                  <w:bookmarkEnd w:id="79"/>
                </w:p>
              </w:tc>
              <w:tc>
                <w:tcPr>
                  <w:tcW w:w="2528" w:type="dxa"/>
                  <w:vMerge w:val="continue"/>
                  <w:vAlign w:val="center"/>
                </w:tcPr>
                <w:p w14:paraId="23188604">
                  <w:pPr>
                    <w:adjustRightInd w:val="0"/>
                    <w:snapToGrid w:val="0"/>
                    <w:jc w:val="both"/>
                    <w:rPr>
                      <w:rFonts w:hint="eastAsia" w:ascii="Times New Roman" w:hAnsi="Times New Roman" w:eastAsia="宋体" w:cs="Times New Roman"/>
                      <w:bCs/>
                      <w:color w:val="0000FF"/>
                      <w:szCs w:val="21"/>
                      <w:lang w:val="en-US" w:eastAsia="zh-CN"/>
                    </w:rPr>
                  </w:pPr>
                </w:p>
              </w:tc>
              <w:tc>
                <w:tcPr>
                  <w:tcW w:w="2293" w:type="dxa"/>
                  <w:vAlign w:val="center"/>
                </w:tcPr>
                <w:p w14:paraId="3B76A8AD">
                  <w:pPr>
                    <w:adjustRightInd w:val="0"/>
                    <w:snapToGrid w:val="0"/>
                    <w:jc w:val="both"/>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根据核算，入窑物料中硫化物硫与有机硫含量为0.0007%、全硫与硫酸盐硫含量为0.536mg/kg-cli，均符合要求</w:t>
                  </w:r>
                </w:p>
              </w:tc>
            </w:tr>
            <w:tr w14:paraId="1E6CD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8" w:type="dxa"/>
                  <w:vMerge w:val="continue"/>
                  <w:vAlign w:val="center"/>
                </w:tcPr>
                <w:p w14:paraId="3B878AD5">
                  <w:pPr>
                    <w:adjustRightInd w:val="0"/>
                    <w:snapToGrid w:val="0"/>
                    <w:jc w:val="center"/>
                    <w:rPr>
                      <w:rFonts w:hint="eastAsia" w:ascii="Times New Roman" w:hAnsi="Times New Roman" w:eastAsia="宋体" w:cs="Times New Roman"/>
                      <w:bCs/>
                      <w:color w:val="0000FF"/>
                      <w:szCs w:val="21"/>
                      <w:lang w:val="en-US" w:eastAsia="zh-CN"/>
                    </w:rPr>
                  </w:pPr>
                </w:p>
              </w:tc>
              <w:tc>
                <w:tcPr>
                  <w:tcW w:w="2775" w:type="dxa"/>
                  <w:vAlign w:val="center"/>
                </w:tcPr>
                <w:p w14:paraId="572D7150">
                  <w:pPr>
                    <w:adjustRightInd w:val="0"/>
                    <w:snapToGrid w:val="0"/>
                    <w:jc w:val="both"/>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具有腐蚀性的固体废物，应经过预处理降低废物腐蚀性或对设施进行防腐性改造，确保不对设施造成腐蚀后方可进行协同处置</w:t>
                  </w:r>
                </w:p>
              </w:tc>
              <w:tc>
                <w:tcPr>
                  <w:tcW w:w="2528" w:type="dxa"/>
                  <w:vMerge w:val="continue"/>
                  <w:vAlign w:val="center"/>
                </w:tcPr>
                <w:p w14:paraId="3EA682A2">
                  <w:pPr>
                    <w:adjustRightInd w:val="0"/>
                    <w:snapToGrid w:val="0"/>
                    <w:jc w:val="both"/>
                    <w:rPr>
                      <w:rFonts w:hint="eastAsia" w:ascii="Times New Roman" w:hAnsi="Times New Roman" w:eastAsia="宋体" w:cs="Times New Roman"/>
                      <w:bCs/>
                      <w:color w:val="0000FF"/>
                      <w:szCs w:val="21"/>
                      <w:lang w:val="en-US" w:eastAsia="zh-CN"/>
                    </w:rPr>
                  </w:pPr>
                </w:p>
              </w:tc>
              <w:tc>
                <w:tcPr>
                  <w:tcW w:w="2293" w:type="dxa"/>
                  <w:vAlign w:val="center"/>
                </w:tcPr>
                <w:p w14:paraId="7605C0DF">
                  <w:pPr>
                    <w:adjustRightInd w:val="0"/>
                    <w:snapToGrid w:val="0"/>
                    <w:jc w:val="both"/>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本项目</w:t>
                  </w:r>
                  <w:r>
                    <w:rPr>
                      <w:rFonts w:hint="eastAsia" w:cs="Times New Roman"/>
                      <w:bCs/>
                      <w:color w:val="0000FF"/>
                      <w:szCs w:val="21"/>
                      <w:lang w:val="en-US" w:eastAsia="zh-CN"/>
                    </w:rPr>
                    <w:t>不涉及具有腐蚀性的固体废物，拟</w:t>
                  </w:r>
                  <w:r>
                    <w:rPr>
                      <w:rFonts w:hint="eastAsia" w:ascii="Times New Roman" w:hAnsi="Times New Roman" w:eastAsia="宋体" w:cs="Times New Roman"/>
                      <w:bCs/>
                      <w:color w:val="0000FF"/>
                      <w:szCs w:val="21"/>
                      <w:lang w:val="en-US" w:eastAsia="zh-CN"/>
                    </w:rPr>
                    <w:t>处置固废不会腐蚀设备</w:t>
                  </w:r>
                </w:p>
              </w:tc>
            </w:tr>
            <w:tr w14:paraId="6A633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8" w:type="dxa"/>
                  <w:vAlign w:val="center"/>
                </w:tcPr>
                <w:p w14:paraId="4F12C3AD">
                  <w:pPr>
                    <w:adjustRightInd w:val="0"/>
                    <w:snapToGrid w:val="0"/>
                    <w:jc w:val="center"/>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GB 30485-2013</w:t>
                  </w:r>
                </w:p>
              </w:tc>
              <w:tc>
                <w:tcPr>
                  <w:tcW w:w="2775" w:type="dxa"/>
                  <w:vAlign w:val="center"/>
                </w:tcPr>
                <w:p w14:paraId="5591EAC9">
                  <w:pPr>
                    <w:adjustRightInd w:val="0"/>
                    <w:snapToGrid w:val="0"/>
                    <w:jc w:val="both"/>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入窑固体废物应具有相对稳定的化学组成和物理特性，其重金属以及氯、氟、硫等有害元素的含量及投加量应满足HJ 662的要求</w:t>
                  </w:r>
                </w:p>
              </w:tc>
              <w:tc>
                <w:tcPr>
                  <w:tcW w:w="2528" w:type="dxa"/>
                  <w:vMerge w:val="continue"/>
                  <w:vAlign w:val="center"/>
                </w:tcPr>
                <w:p w14:paraId="7646D556">
                  <w:pPr>
                    <w:adjustRightInd w:val="0"/>
                    <w:snapToGrid w:val="0"/>
                    <w:jc w:val="both"/>
                    <w:rPr>
                      <w:rFonts w:hint="eastAsia" w:ascii="Times New Roman" w:hAnsi="Times New Roman" w:eastAsia="宋体" w:cs="Times New Roman"/>
                      <w:bCs/>
                      <w:color w:val="0000FF"/>
                      <w:szCs w:val="21"/>
                      <w:lang w:val="en-US" w:eastAsia="zh-CN"/>
                    </w:rPr>
                  </w:pPr>
                </w:p>
              </w:tc>
              <w:tc>
                <w:tcPr>
                  <w:tcW w:w="2293" w:type="dxa"/>
                  <w:vAlign w:val="center"/>
                </w:tcPr>
                <w:p w14:paraId="7AE3FBF6">
                  <w:pPr>
                    <w:adjustRightInd w:val="0"/>
                    <w:snapToGrid w:val="0"/>
                    <w:jc w:val="both"/>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本项目入窑固废均具有稳定化学组成和物理特性，且重金属以及氯、氟、硫等有害元素的含量均符合要求</w:t>
                  </w:r>
                </w:p>
              </w:tc>
            </w:tr>
            <w:tr w14:paraId="42802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8" w:type="dxa"/>
                  <w:vAlign w:val="center"/>
                </w:tcPr>
                <w:p w14:paraId="35BD2B84">
                  <w:pPr>
                    <w:adjustRightInd w:val="0"/>
                    <w:snapToGrid w:val="0"/>
                    <w:jc w:val="center"/>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GB 50634-2010</w:t>
                  </w:r>
                </w:p>
              </w:tc>
              <w:tc>
                <w:tcPr>
                  <w:tcW w:w="5303" w:type="dxa"/>
                  <w:gridSpan w:val="2"/>
                  <w:vAlign w:val="center"/>
                </w:tcPr>
                <w:p w14:paraId="0631208D">
                  <w:pPr>
                    <w:adjustRightInd w:val="0"/>
                    <w:snapToGrid w:val="0"/>
                    <w:jc w:val="both"/>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水泥窑不宜处置的工业废物包括：电子废物、电池、医疗废物、腐蚀剂、爆炸物、放射性废物</w:t>
                  </w:r>
                </w:p>
              </w:tc>
              <w:tc>
                <w:tcPr>
                  <w:tcW w:w="2293" w:type="dxa"/>
                  <w:vAlign w:val="center"/>
                </w:tcPr>
                <w:p w14:paraId="38440BF7">
                  <w:pPr>
                    <w:adjustRightInd w:val="0"/>
                    <w:snapToGrid w:val="0"/>
                    <w:jc w:val="both"/>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本项目不涉及水泥窑不宜处置的工业废物</w:t>
                  </w:r>
                </w:p>
              </w:tc>
            </w:tr>
          </w:tbl>
          <w:p w14:paraId="2DBF308B">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lang w:val="en-US" w:eastAsia="zh-CN" w:bidi="ar-SA"/>
              </w:rPr>
            </w:pPr>
            <w:r>
              <w:rPr>
                <w:rFonts w:hint="eastAsia" w:ascii="Times New Roman" w:hAnsi="Times New Roman" w:eastAsia="宋体" w:cs="Times New Roman"/>
                <w:b w:val="0"/>
                <w:bCs w:val="0"/>
                <w:color w:val="0000FF"/>
                <w:kern w:val="2"/>
                <w:sz w:val="24"/>
                <w:szCs w:val="24"/>
                <w:lang w:val="en-US" w:eastAsia="zh-CN" w:bidi="ar-SA"/>
              </w:rPr>
              <w:t>3、固废来源、属性及消耗</w:t>
            </w:r>
          </w:p>
          <w:p w14:paraId="3FDDA8EF">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lang w:val="en-US" w:eastAsia="zh-CN" w:bidi="ar-SA"/>
              </w:rPr>
            </w:pPr>
            <w:r>
              <w:rPr>
                <w:rFonts w:hint="eastAsia" w:ascii="Times New Roman" w:hAnsi="Times New Roman" w:eastAsia="宋体" w:cs="Times New Roman"/>
                <w:b w:val="0"/>
                <w:bCs w:val="0"/>
                <w:color w:val="0000FF"/>
                <w:kern w:val="2"/>
                <w:sz w:val="24"/>
                <w:szCs w:val="24"/>
                <w:lang w:val="en-US" w:eastAsia="zh-CN" w:bidi="ar-SA"/>
              </w:rPr>
              <w:t>（1）固废来源</w:t>
            </w:r>
          </w:p>
          <w:p w14:paraId="646054BD">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vertAlign w:val="baseline"/>
                <w:lang w:val="en-US" w:eastAsia="zh-CN" w:bidi="ar-SA"/>
              </w:rPr>
            </w:pPr>
            <w:r>
              <w:rPr>
                <w:rFonts w:hint="eastAsia" w:ascii="Times New Roman" w:hAnsi="Times New Roman" w:eastAsia="宋体" w:cs="Times New Roman"/>
                <w:b w:val="0"/>
                <w:bCs w:val="0"/>
                <w:color w:val="0000FF"/>
                <w:kern w:val="2"/>
                <w:sz w:val="24"/>
                <w:szCs w:val="24"/>
                <w:lang w:val="en-US" w:eastAsia="zh-CN" w:bidi="ar-SA"/>
              </w:rPr>
              <w:t>本项目处置废</w:t>
            </w:r>
            <w:r>
              <w:rPr>
                <w:rFonts w:hint="eastAsia" w:ascii="Times New Roman" w:hAnsi="Times New Roman" w:eastAsia="宋体" w:cs="Times New Roman"/>
                <w:b w:val="0"/>
                <w:bCs w:val="0"/>
                <w:color w:val="0000FF"/>
                <w:kern w:val="2"/>
                <w:sz w:val="24"/>
                <w:szCs w:val="24"/>
                <w:vertAlign w:val="baseline"/>
                <w:lang w:val="en-US" w:eastAsia="zh-CN" w:bidi="ar-SA"/>
              </w:rPr>
              <w:t>纺为外购，废纺进厂时，由公司人员对其进行检查，并对每一批次进行抽取化验，确保所处置固体废物符合处置要求。</w:t>
            </w:r>
          </w:p>
          <w:p w14:paraId="0DC8E388">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vertAlign w:val="baseline"/>
                <w:lang w:val="en-US" w:eastAsia="zh-CN" w:bidi="ar-SA"/>
              </w:rPr>
            </w:pPr>
            <w:r>
              <w:rPr>
                <w:rFonts w:hint="eastAsia" w:ascii="Times New Roman" w:hAnsi="Times New Roman" w:eastAsia="宋体" w:cs="Times New Roman"/>
                <w:b w:val="0"/>
                <w:bCs w:val="0"/>
                <w:color w:val="0000FF"/>
                <w:kern w:val="2"/>
                <w:sz w:val="24"/>
                <w:szCs w:val="24"/>
                <w:vertAlign w:val="baseline"/>
                <w:lang w:val="en-US" w:eastAsia="zh-CN" w:bidi="ar-SA"/>
              </w:rPr>
              <w:t>根据《</w:t>
            </w:r>
            <w:bookmarkStart w:id="80" w:name="OLE_LINK94"/>
            <w:r>
              <w:rPr>
                <w:rFonts w:hint="eastAsia" w:ascii="Times New Roman" w:hAnsi="Times New Roman" w:eastAsia="宋体" w:cs="Times New Roman"/>
                <w:b w:val="0"/>
                <w:bCs w:val="0"/>
                <w:color w:val="0000FF"/>
                <w:kern w:val="2"/>
                <w:sz w:val="24"/>
                <w:szCs w:val="24"/>
                <w:vertAlign w:val="baseline"/>
                <w:lang w:val="en-US" w:eastAsia="zh-CN" w:bidi="ar-SA"/>
              </w:rPr>
              <w:t>水泥窑协同处置工业废物设计规范</w:t>
            </w:r>
            <w:bookmarkEnd w:id="80"/>
            <w:r>
              <w:rPr>
                <w:rFonts w:hint="eastAsia" w:ascii="Times New Roman" w:hAnsi="Times New Roman" w:eastAsia="宋体" w:cs="Times New Roman"/>
                <w:b w:val="0"/>
                <w:bCs w:val="0"/>
                <w:color w:val="0000FF"/>
                <w:kern w:val="2"/>
                <w:sz w:val="24"/>
                <w:szCs w:val="24"/>
                <w:vertAlign w:val="baseline"/>
                <w:lang w:val="en-US" w:eastAsia="zh-CN" w:bidi="ar-SA"/>
              </w:rPr>
              <w:t>（2015</w:t>
            </w:r>
            <w:r>
              <w:rPr>
                <w:rFonts w:hint="eastAsia" w:cs="Times New Roman"/>
                <w:b w:val="0"/>
                <w:bCs w:val="0"/>
                <w:color w:val="0000FF"/>
                <w:kern w:val="2"/>
                <w:sz w:val="24"/>
                <w:szCs w:val="24"/>
                <w:vertAlign w:val="baseline"/>
                <w:lang w:val="en-US" w:eastAsia="zh-CN" w:bidi="ar-SA"/>
              </w:rPr>
              <w:t>年</w:t>
            </w:r>
            <w:r>
              <w:rPr>
                <w:rFonts w:hint="eastAsia" w:ascii="Times New Roman" w:hAnsi="Times New Roman" w:eastAsia="宋体" w:cs="Times New Roman"/>
                <w:b w:val="0"/>
                <w:bCs w:val="0"/>
                <w:color w:val="0000FF"/>
                <w:kern w:val="2"/>
                <w:sz w:val="24"/>
                <w:szCs w:val="24"/>
                <w:vertAlign w:val="baseline"/>
                <w:lang w:val="en-US" w:eastAsia="zh-CN" w:bidi="ar-SA"/>
              </w:rPr>
              <w:t>版）》（GB 50634-2010）附录A，水泥窑可处置的工业固废种类，具体见下表</w:t>
            </w:r>
            <w:r>
              <w:rPr>
                <w:rFonts w:hint="eastAsia" w:cs="Times New Roman"/>
                <w:b w:val="0"/>
                <w:bCs w:val="0"/>
                <w:color w:val="0000FF"/>
                <w:kern w:val="2"/>
                <w:sz w:val="24"/>
                <w:szCs w:val="24"/>
                <w:vertAlign w:val="baseline"/>
                <w:lang w:val="en-US" w:eastAsia="zh-CN" w:bidi="ar-SA"/>
              </w:rPr>
              <w:t>。</w:t>
            </w:r>
          </w:p>
          <w:p w14:paraId="3EF6F64B">
            <w:pPr>
              <w:autoSpaceDE w:val="0"/>
              <w:autoSpaceDN w:val="0"/>
              <w:adjustRightInd w:val="0"/>
              <w:jc w:val="center"/>
              <w:rPr>
                <w:rFonts w:hint="eastAsia" w:ascii="Times New Roman" w:hAnsi="Times New Roman" w:cs="Times New Roman"/>
                <w:b/>
                <w:color w:val="0000FF"/>
                <w:lang w:eastAsia="zh-CN"/>
              </w:rPr>
            </w:pPr>
            <w:r>
              <w:rPr>
                <w:rFonts w:hint="eastAsia" w:ascii="Times New Roman" w:hAnsi="Times New Roman" w:cs="Times New Roman"/>
                <w:b/>
                <w:color w:val="0000FF"/>
              </w:rPr>
              <w:t>表</w:t>
            </w:r>
            <w:r>
              <w:rPr>
                <w:rFonts w:ascii="Times New Roman" w:hAnsi="Times New Roman" w:cs="Times New Roman"/>
                <w:b/>
                <w:color w:val="0000FF"/>
              </w:rPr>
              <w:t>2</w:t>
            </w:r>
            <w:r>
              <w:rPr>
                <w:rFonts w:hint="eastAsia" w:ascii="Times New Roman" w:hAnsi="Times New Roman" w:cs="Times New Roman"/>
                <w:b/>
                <w:color w:val="0000FF"/>
                <w:lang w:val="en-US" w:eastAsia="zh-CN"/>
              </w:rPr>
              <w:t>-</w:t>
            </w:r>
            <w:r>
              <w:rPr>
                <w:rFonts w:hint="eastAsia" w:cs="Times New Roman"/>
                <w:b/>
                <w:color w:val="0000FF"/>
                <w:lang w:val="en-US" w:eastAsia="zh-CN"/>
              </w:rPr>
              <w:t>21</w:t>
            </w:r>
            <w:r>
              <w:rPr>
                <w:rFonts w:ascii="Times New Roman" w:hAnsi="Times New Roman" w:cs="Times New Roman"/>
                <w:b/>
                <w:color w:val="0000FF"/>
              </w:rPr>
              <w:t xml:space="preserve"> </w:t>
            </w:r>
            <w:r>
              <w:rPr>
                <w:rFonts w:hint="eastAsia" w:ascii="Times New Roman" w:hAnsi="Times New Roman" w:cs="Times New Roman"/>
                <w:b/>
                <w:color w:val="0000FF"/>
                <w:lang w:eastAsia="zh-CN"/>
              </w:rPr>
              <w:t>水泥生产中作为替代燃料的工业废物种类</w:t>
            </w:r>
          </w:p>
          <w:tbl>
            <w:tblPr>
              <w:tblStyle w:val="2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4935"/>
              <w:gridCol w:w="1573"/>
              <w:gridCol w:w="1127"/>
            </w:tblGrid>
            <w:tr w14:paraId="396EC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4" w:type="pct"/>
                  <w:vMerge w:val="restart"/>
                  <w:vAlign w:val="center"/>
                </w:tcPr>
                <w:p w14:paraId="3356087D">
                  <w:pPr>
                    <w:adjustRightInd w:val="0"/>
                    <w:snapToGrid w:val="0"/>
                    <w:jc w:val="center"/>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替代类型</w:t>
                  </w:r>
                </w:p>
              </w:tc>
              <w:tc>
                <w:tcPr>
                  <w:tcW w:w="2679" w:type="pct"/>
                  <w:vMerge w:val="restart"/>
                  <w:vAlign w:val="center"/>
                </w:tcPr>
                <w:p w14:paraId="466C6B7F">
                  <w:pPr>
                    <w:adjustRightInd w:val="0"/>
                    <w:snapToGrid w:val="0"/>
                    <w:jc w:val="center"/>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工业废物名称</w:t>
                  </w:r>
                </w:p>
              </w:tc>
              <w:tc>
                <w:tcPr>
                  <w:tcW w:w="1466" w:type="pct"/>
                  <w:gridSpan w:val="2"/>
                  <w:vAlign w:val="center"/>
                </w:tcPr>
                <w:p w14:paraId="74E95760">
                  <w:pPr>
                    <w:adjustRightInd w:val="0"/>
                    <w:snapToGrid w:val="0"/>
                    <w:jc w:val="center"/>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工业废物类型</w:t>
                  </w:r>
                </w:p>
              </w:tc>
            </w:tr>
            <w:tr w14:paraId="5C4AB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4" w:type="pct"/>
                  <w:vMerge w:val="continue"/>
                  <w:vAlign w:val="center"/>
                </w:tcPr>
                <w:p w14:paraId="17858265">
                  <w:pPr>
                    <w:adjustRightInd w:val="0"/>
                    <w:snapToGrid w:val="0"/>
                    <w:jc w:val="center"/>
                    <w:rPr>
                      <w:rFonts w:hint="default" w:ascii="Times New Roman" w:hAnsi="Times New Roman" w:eastAsia="宋体" w:cs="Times New Roman"/>
                      <w:bCs/>
                      <w:color w:val="0000FF"/>
                      <w:szCs w:val="21"/>
                      <w:lang w:val="en-US" w:eastAsia="zh-CN"/>
                    </w:rPr>
                  </w:pPr>
                </w:p>
              </w:tc>
              <w:tc>
                <w:tcPr>
                  <w:tcW w:w="2679" w:type="pct"/>
                  <w:vMerge w:val="continue"/>
                  <w:vAlign w:val="center"/>
                </w:tcPr>
                <w:p w14:paraId="3D1F26FC">
                  <w:pPr>
                    <w:adjustRightInd w:val="0"/>
                    <w:snapToGrid w:val="0"/>
                    <w:jc w:val="center"/>
                    <w:rPr>
                      <w:rFonts w:hint="default" w:ascii="Times New Roman" w:hAnsi="Times New Roman" w:eastAsia="宋体" w:cs="Times New Roman"/>
                      <w:bCs/>
                      <w:color w:val="0000FF"/>
                      <w:szCs w:val="21"/>
                      <w:lang w:val="en-US" w:eastAsia="zh-CN"/>
                    </w:rPr>
                  </w:pPr>
                </w:p>
              </w:tc>
              <w:tc>
                <w:tcPr>
                  <w:tcW w:w="854" w:type="pct"/>
                  <w:vAlign w:val="center"/>
                </w:tcPr>
                <w:p w14:paraId="1D88CD8E">
                  <w:pPr>
                    <w:adjustRightInd w:val="0"/>
                    <w:snapToGrid w:val="0"/>
                    <w:jc w:val="center"/>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一般工业废物</w:t>
                  </w:r>
                </w:p>
              </w:tc>
              <w:tc>
                <w:tcPr>
                  <w:tcW w:w="611" w:type="pct"/>
                  <w:vAlign w:val="center"/>
                </w:tcPr>
                <w:p w14:paraId="1CC1E959">
                  <w:pPr>
                    <w:adjustRightInd w:val="0"/>
                    <w:snapToGrid w:val="0"/>
                    <w:jc w:val="center"/>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危险废物</w:t>
                  </w:r>
                </w:p>
              </w:tc>
            </w:tr>
            <w:tr w14:paraId="015E1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4" w:type="pct"/>
                  <w:vMerge w:val="restart"/>
                  <w:vAlign w:val="center"/>
                </w:tcPr>
                <w:p w14:paraId="01597CBB">
                  <w:pPr>
                    <w:adjustRightInd w:val="0"/>
                    <w:snapToGrid w:val="0"/>
                    <w:jc w:val="center"/>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固态、半固态</w:t>
                  </w:r>
                </w:p>
              </w:tc>
              <w:tc>
                <w:tcPr>
                  <w:tcW w:w="2679" w:type="pct"/>
                  <w:vAlign w:val="center"/>
                </w:tcPr>
                <w:p w14:paraId="12742E88">
                  <w:pPr>
                    <w:adjustRightInd w:val="0"/>
                    <w:snapToGrid w:val="0"/>
                    <w:jc w:val="center"/>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秸秆</w:t>
                  </w:r>
                </w:p>
              </w:tc>
              <w:tc>
                <w:tcPr>
                  <w:tcW w:w="854" w:type="pct"/>
                  <w:vAlign w:val="center"/>
                </w:tcPr>
                <w:p w14:paraId="5877A59A">
                  <w:pPr>
                    <w:adjustRightInd w:val="0"/>
                    <w:snapToGrid w:val="0"/>
                    <w:jc w:val="center"/>
                    <w:rPr>
                      <w:rFonts w:hint="eastAsia" w:ascii="Times New Roman" w:hAnsi="Times New Roman" w:eastAsia="宋体" w:cs="Times New Roman"/>
                      <w:bCs/>
                      <w:color w:val="0000FF"/>
                      <w:szCs w:val="21"/>
                      <w:lang w:val="en-US" w:eastAsia="zh-CN"/>
                    </w:rPr>
                  </w:pPr>
                  <w:r>
                    <w:rPr>
                      <w:rFonts w:hint="default" w:ascii="Times New Roman" w:hAnsi="Times New Roman" w:eastAsia="宋体" w:cs="Times New Roman"/>
                      <w:bCs/>
                      <w:color w:val="0000FF"/>
                      <w:szCs w:val="21"/>
                      <w:lang w:val="en-US" w:eastAsia="zh-CN"/>
                    </w:rPr>
                    <w:t>√</w:t>
                  </w:r>
                </w:p>
              </w:tc>
              <w:tc>
                <w:tcPr>
                  <w:tcW w:w="611" w:type="pct"/>
                  <w:vAlign w:val="center"/>
                </w:tcPr>
                <w:p w14:paraId="6D9B0BCE">
                  <w:pPr>
                    <w:adjustRightInd w:val="0"/>
                    <w:snapToGrid w:val="0"/>
                    <w:jc w:val="center"/>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w:t>
                  </w:r>
                </w:p>
              </w:tc>
            </w:tr>
            <w:tr w14:paraId="3DDCB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4" w:type="pct"/>
                  <w:vMerge w:val="continue"/>
                  <w:vAlign w:val="center"/>
                </w:tcPr>
                <w:p w14:paraId="0404F447">
                  <w:pPr>
                    <w:adjustRightInd w:val="0"/>
                    <w:snapToGrid w:val="0"/>
                    <w:jc w:val="center"/>
                    <w:rPr>
                      <w:rFonts w:hint="default" w:ascii="Times New Roman" w:hAnsi="Times New Roman" w:eastAsia="宋体" w:cs="Times New Roman"/>
                      <w:bCs/>
                      <w:color w:val="0000FF"/>
                      <w:szCs w:val="21"/>
                      <w:lang w:val="en-US" w:eastAsia="zh-CN"/>
                    </w:rPr>
                  </w:pPr>
                </w:p>
              </w:tc>
              <w:tc>
                <w:tcPr>
                  <w:tcW w:w="2679" w:type="pct"/>
                  <w:vAlign w:val="center"/>
                </w:tcPr>
                <w:p w14:paraId="19035A30">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木屑</w:t>
                  </w:r>
                </w:p>
              </w:tc>
              <w:tc>
                <w:tcPr>
                  <w:tcW w:w="854" w:type="pct"/>
                  <w:vAlign w:val="center"/>
                </w:tcPr>
                <w:p w14:paraId="2755C4E2">
                  <w:pPr>
                    <w:adjustRightInd w:val="0"/>
                    <w:snapToGrid w:val="0"/>
                    <w:jc w:val="center"/>
                    <w:rPr>
                      <w:rFonts w:hint="default" w:ascii="Times New Roman" w:hAnsi="Times New Roman" w:eastAsia="宋体" w:cs="Times New Roman"/>
                      <w:bCs/>
                      <w:color w:val="0000FF"/>
                      <w:szCs w:val="21"/>
                      <w:lang w:val="en-US" w:eastAsia="zh-CN"/>
                    </w:rPr>
                  </w:pPr>
                  <w:r>
                    <w:rPr>
                      <w:rFonts w:hint="default" w:ascii="Times New Roman" w:hAnsi="Times New Roman" w:eastAsia="宋体" w:cs="Times New Roman"/>
                      <w:bCs/>
                      <w:color w:val="0000FF"/>
                      <w:szCs w:val="21"/>
                      <w:lang w:val="en-US" w:eastAsia="zh-CN"/>
                    </w:rPr>
                    <w:t>√</w:t>
                  </w:r>
                </w:p>
              </w:tc>
              <w:tc>
                <w:tcPr>
                  <w:tcW w:w="611" w:type="pct"/>
                  <w:vAlign w:val="center"/>
                </w:tcPr>
                <w:p w14:paraId="61CF2CD3">
                  <w:pPr>
                    <w:adjustRightInd w:val="0"/>
                    <w:snapToGrid w:val="0"/>
                    <w:jc w:val="center"/>
                    <w:rPr>
                      <w:rFonts w:hint="eastAsia" w:ascii="Times New Roman" w:hAnsi="Times New Roman" w:eastAsia="宋体" w:cs="Times New Roman"/>
                      <w:bCs/>
                      <w:color w:val="0000FF"/>
                      <w:szCs w:val="21"/>
                      <w:lang w:val="en-US" w:eastAsia="zh-CN"/>
                    </w:rPr>
                  </w:pPr>
                  <w:r>
                    <w:rPr>
                      <w:rFonts w:hint="default" w:ascii="Times New Roman" w:hAnsi="Times New Roman" w:eastAsia="宋体" w:cs="Times New Roman"/>
                      <w:bCs/>
                      <w:color w:val="0000FF"/>
                      <w:szCs w:val="21"/>
                      <w:lang w:val="en-US" w:eastAsia="zh-CN"/>
                    </w:rPr>
                    <w:t>√</w:t>
                  </w:r>
                </w:p>
              </w:tc>
            </w:tr>
            <w:tr w14:paraId="105B5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4" w:type="pct"/>
                  <w:vMerge w:val="continue"/>
                  <w:vAlign w:val="center"/>
                </w:tcPr>
                <w:p w14:paraId="4D6D365E">
                  <w:pPr>
                    <w:adjustRightInd w:val="0"/>
                    <w:snapToGrid w:val="0"/>
                    <w:jc w:val="center"/>
                    <w:rPr>
                      <w:rFonts w:hint="default" w:ascii="Times New Roman" w:hAnsi="Times New Roman" w:eastAsia="宋体" w:cs="Times New Roman"/>
                      <w:bCs/>
                      <w:color w:val="0000FF"/>
                      <w:szCs w:val="21"/>
                      <w:lang w:val="en-US" w:eastAsia="zh-CN"/>
                    </w:rPr>
                  </w:pPr>
                </w:p>
              </w:tc>
              <w:tc>
                <w:tcPr>
                  <w:tcW w:w="2679" w:type="pct"/>
                  <w:vAlign w:val="center"/>
                </w:tcPr>
                <w:p w14:paraId="7E5A3329">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屠宰业废料</w:t>
                  </w:r>
                </w:p>
              </w:tc>
              <w:tc>
                <w:tcPr>
                  <w:tcW w:w="854" w:type="pct"/>
                  <w:vAlign w:val="center"/>
                </w:tcPr>
                <w:p w14:paraId="18E074AF">
                  <w:pPr>
                    <w:adjustRightInd w:val="0"/>
                    <w:snapToGrid w:val="0"/>
                    <w:jc w:val="center"/>
                    <w:rPr>
                      <w:rFonts w:hint="default" w:ascii="Times New Roman" w:hAnsi="Times New Roman" w:eastAsia="宋体" w:cs="Times New Roman"/>
                      <w:bCs/>
                      <w:color w:val="0000FF"/>
                      <w:szCs w:val="21"/>
                      <w:lang w:val="en-US" w:eastAsia="zh-CN"/>
                    </w:rPr>
                  </w:pPr>
                  <w:r>
                    <w:rPr>
                      <w:rFonts w:hint="default" w:ascii="Times New Roman" w:hAnsi="Times New Roman" w:eastAsia="宋体" w:cs="Times New Roman"/>
                      <w:bCs/>
                      <w:color w:val="0000FF"/>
                      <w:szCs w:val="21"/>
                      <w:lang w:val="en-US" w:eastAsia="zh-CN"/>
                    </w:rPr>
                    <w:t>√</w:t>
                  </w:r>
                </w:p>
              </w:tc>
              <w:tc>
                <w:tcPr>
                  <w:tcW w:w="611" w:type="pct"/>
                  <w:vAlign w:val="center"/>
                </w:tcPr>
                <w:p w14:paraId="241253BE">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w:t>
                  </w:r>
                </w:p>
              </w:tc>
            </w:tr>
            <w:tr w14:paraId="3310E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4" w:type="pct"/>
                  <w:vMerge w:val="continue"/>
                  <w:vAlign w:val="center"/>
                </w:tcPr>
                <w:p w14:paraId="281DD0DF">
                  <w:pPr>
                    <w:adjustRightInd w:val="0"/>
                    <w:snapToGrid w:val="0"/>
                    <w:jc w:val="center"/>
                    <w:rPr>
                      <w:rFonts w:hint="default" w:ascii="Times New Roman" w:hAnsi="Times New Roman" w:eastAsia="宋体" w:cs="Times New Roman"/>
                      <w:bCs/>
                      <w:color w:val="0000FF"/>
                      <w:szCs w:val="21"/>
                      <w:lang w:val="en-US" w:eastAsia="zh-CN"/>
                    </w:rPr>
                  </w:pPr>
                </w:p>
              </w:tc>
              <w:tc>
                <w:tcPr>
                  <w:tcW w:w="2679" w:type="pct"/>
                  <w:vAlign w:val="center"/>
                </w:tcPr>
                <w:p w14:paraId="7BB90095">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稻米壳</w:t>
                  </w:r>
                </w:p>
              </w:tc>
              <w:tc>
                <w:tcPr>
                  <w:tcW w:w="854" w:type="pct"/>
                  <w:vAlign w:val="center"/>
                </w:tcPr>
                <w:p w14:paraId="49708525">
                  <w:pPr>
                    <w:adjustRightInd w:val="0"/>
                    <w:snapToGrid w:val="0"/>
                    <w:jc w:val="center"/>
                    <w:rPr>
                      <w:rFonts w:hint="default" w:ascii="Times New Roman" w:hAnsi="Times New Roman" w:eastAsia="宋体" w:cs="Times New Roman"/>
                      <w:bCs/>
                      <w:color w:val="0000FF"/>
                      <w:szCs w:val="21"/>
                      <w:lang w:val="en-US" w:eastAsia="zh-CN"/>
                    </w:rPr>
                  </w:pPr>
                  <w:r>
                    <w:rPr>
                      <w:rFonts w:hint="default" w:ascii="Times New Roman" w:hAnsi="Times New Roman" w:eastAsia="宋体" w:cs="Times New Roman"/>
                      <w:bCs/>
                      <w:color w:val="0000FF"/>
                      <w:szCs w:val="21"/>
                      <w:lang w:val="en-US" w:eastAsia="zh-CN"/>
                    </w:rPr>
                    <w:t>√</w:t>
                  </w:r>
                </w:p>
              </w:tc>
              <w:tc>
                <w:tcPr>
                  <w:tcW w:w="611" w:type="pct"/>
                  <w:vAlign w:val="center"/>
                </w:tcPr>
                <w:p w14:paraId="5954B9EB">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w:t>
                  </w:r>
                </w:p>
              </w:tc>
            </w:tr>
            <w:tr w14:paraId="77201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4" w:type="pct"/>
                  <w:vMerge w:val="continue"/>
                  <w:vAlign w:val="center"/>
                </w:tcPr>
                <w:p w14:paraId="1EA62FBE">
                  <w:pPr>
                    <w:adjustRightInd w:val="0"/>
                    <w:snapToGrid w:val="0"/>
                    <w:jc w:val="center"/>
                    <w:rPr>
                      <w:rFonts w:hint="default" w:ascii="Times New Roman" w:hAnsi="Times New Roman" w:eastAsia="宋体" w:cs="Times New Roman"/>
                      <w:bCs/>
                      <w:color w:val="0000FF"/>
                      <w:szCs w:val="21"/>
                      <w:lang w:val="en-US" w:eastAsia="zh-CN"/>
                    </w:rPr>
                  </w:pPr>
                </w:p>
              </w:tc>
              <w:tc>
                <w:tcPr>
                  <w:tcW w:w="2679" w:type="pct"/>
                  <w:vAlign w:val="center"/>
                </w:tcPr>
                <w:p w14:paraId="60CF0578">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棕榈壳</w:t>
                  </w:r>
                </w:p>
              </w:tc>
              <w:tc>
                <w:tcPr>
                  <w:tcW w:w="854" w:type="pct"/>
                  <w:vAlign w:val="center"/>
                </w:tcPr>
                <w:p w14:paraId="6B58C2EF">
                  <w:pPr>
                    <w:adjustRightInd w:val="0"/>
                    <w:snapToGrid w:val="0"/>
                    <w:jc w:val="center"/>
                    <w:rPr>
                      <w:rFonts w:hint="default" w:ascii="Times New Roman" w:hAnsi="Times New Roman" w:eastAsia="宋体" w:cs="Times New Roman"/>
                      <w:bCs/>
                      <w:color w:val="0000FF"/>
                      <w:szCs w:val="21"/>
                      <w:lang w:val="en-US" w:eastAsia="zh-CN"/>
                    </w:rPr>
                  </w:pPr>
                  <w:r>
                    <w:rPr>
                      <w:rFonts w:hint="default" w:ascii="Times New Roman" w:hAnsi="Times New Roman" w:eastAsia="宋体" w:cs="Times New Roman"/>
                      <w:bCs/>
                      <w:color w:val="0000FF"/>
                      <w:szCs w:val="21"/>
                      <w:lang w:val="en-US" w:eastAsia="zh-CN"/>
                    </w:rPr>
                    <w:t>√</w:t>
                  </w:r>
                </w:p>
              </w:tc>
              <w:tc>
                <w:tcPr>
                  <w:tcW w:w="611" w:type="pct"/>
                  <w:vAlign w:val="center"/>
                </w:tcPr>
                <w:p w14:paraId="0ADB6FC0">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w:t>
                  </w:r>
                </w:p>
              </w:tc>
            </w:tr>
            <w:tr w14:paraId="34698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4" w:type="pct"/>
                  <w:vMerge w:val="continue"/>
                  <w:vAlign w:val="center"/>
                </w:tcPr>
                <w:p w14:paraId="53C04626">
                  <w:pPr>
                    <w:adjustRightInd w:val="0"/>
                    <w:snapToGrid w:val="0"/>
                    <w:jc w:val="center"/>
                    <w:rPr>
                      <w:rFonts w:hint="default" w:ascii="Times New Roman" w:hAnsi="Times New Roman" w:eastAsia="宋体" w:cs="Times New Roman"/>
                      <w:bCs/>
                      <w:color w:val="0000FF"/>
                      <w:szCs w:val="21"/>
                      <w:lang w:val="en-US" w:eastAsia="zh-CN"/>
                    </w:rPr>
                  </w:pPr>
                </w:p>
              </w:tc>
              <w:tc>
                <w:tcPr>
                  <w:tcW w:w="2679" w:type="pct"/>
                  <w:vAlign w:val="center"/>
                </w:tcPr>
                <w:p w14:paraId="5136498A">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废旧轮胎</w:t>
                  </w:r>
                </w:p>
              </w:tc>
              <w:tc>
                <w:tcPr>
                  <w:tcW w:w="854" w:type="pct"/>
                  <w:vAlign w:val="center"/>
                </w:tcPr>
                <w:p w14:paraId="615BC09A">
                  <w:pPr>
                    <w:adjustRightInd w:val="0"/>
                    <w:snapToGrid w:val="0"/>
                    <w:jc w:val="center"/>
                    <w:rPr>
                      <w:rFonts w:hint="default" w:ascii="Times New Roman" w:hAnsi="Times New Roman" w:eastAsia="宋体" w:cs="Times New Roman"/>
                      <w:bCs/>
                      <w:color w:val="0000FF"/>
                      <w:szCs w:val="21"/>
                      <w:lang w:val="en-US" w:eastAsia="zh-CN"/>
                    </w:rPr>
                  </w:pPr>
                  <w:r>
                    <w:rPr>
                      <w:rFonts w:hint="default" w:ascii="Times New Roman" w:hAnsi="Times New Roman" w:eastAsia="宋体" w:cs="Times New Roman"/>
                      <w:bCs/>
                      <w:color w:val="0000FF"/>
                      <w:szCs w:val="21"/>
                      <w:lang w:val="en-US" w:eastAsia="zh-CN"/>
                    </w:rPr>
                    <w:t>√</w:t>
                  </w:r>
                </w:p>
              </w:tc>
              <w:tc>
                <w:tcPr>
                  <w:tcW w:w="611" w:type="pct"/>
                  <w:vAlign w:val="center"/>
                </w:tcPr>
                <w:p w14:paraId="649B976B">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w:t>
                  </w:r>
                </w:p>
              </w:tc>
            </w:tr>
            <w:tr w14:paraId="301DC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4" w:type="pct"/>
                  <w:vMerge w:val="continue"/>
                  <w:vAlign w:val="center"/>
                </w:tcPr>
                <w:p w14:paraId="5159A26F">
                  <w:pPr>
                    <w:adjustRightInd w:val="0"/>
                    <w:snapToGrid w:val="0"/>
                    <w:jc w:val="center"/>
                    <w:rPr>
                      <w:rFonts w:hint="default" w:ascii="Times New Roman" w:hAnsi="Times New Roman" w:eastAsia="宋体" w:cs="Times New Roman"/>
                      <w:bCs/>
                      <w:color w:val="0000FF"/>
                      <w:szCs w:val="21"/>
                      <w:lang w:val="en-US" w:eastAsia="zh-CN"/>
                    </w:rPr>
                  </w:pPr>
                </w:p>
              </w:tc>
              <w:tc>
                <w:tcPr>
                  <w:tcW w:w="2679" w:type="pct"/>
                  <w:vAlign w:val="center"/>
                </w:tcPr>
                <w:p w14:paraId="2081A553">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废塑料</w:t>
                  </w:r>
                </w:p>
              </w:tc>
              <w:tc>
                <w:tcPr>
                  <w:tcW w:w="854" w:type="pct"/>
                  <w:vAlign w:val="center"/>
                </w:tcPr>
                <w:p w14:paraId="0B316F3A">
                  <w:pPr>
                    <w:adjustRightInd w:val="0"/>
                    <w:snapToGrid w:val="0"/>
                    <w:jc w:val="center"/>
                    <w:rPr>
                      <w:rFonts w:hint="default" w:ascii="Times New Roman" w:hAnsi="Times New Roman" w:eastAsia="宋体" w:cs="Times New Roman"/>
                      <w:bCs/>
                      <w:color w:val="0000FF"/>
                      <w:szCs w:val="21"/>
                      <w:lang w:val="en-US" w:eastAsia="zh-CN"/>
                    </w:rPr>
                  </w:pPr>
                  <w:r>
                    <w:rPr>
                      <w:rFonts w:hint="default" w:ascii="Times New Roman" w:hAnsi="Times New Roman" w:eastAsia="宋体" w:cs="Times New Roman"/>
                      <w:bCs/>
                      <w:color w:val="0000FF"/>
                      <w:szCs w:val="21"/>
                      <w:lang w:val="en-US" w:eastAsia="zh-CN"/>
                    </w:rPr>
                    <w:t>√</w:t>
                  </w:r>
                </w:p>
              </w:tc>
              <w:tc>
                <w:tcPr>
                  <w:tcW w:w="611" w:type="pct"/>
                  <w:vAlign w:val="center"/>
                </w:tcPr>
                <w:p w14:paraId="5E513C2E">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w:t>
                  </w:r>
                </w:p>
              </w:tc>
            </w:tr>
            <w:tr w14:paraId="767D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4" w:type="pct"/>
                  <w:vMerge w:val="continue"/>
                  <w:vAlign w:val="center"/>
                </w:tcPr>
                <w:p w14:paraId="2F69F67D">
                  <w:pPr>
                    <w:adjustRightInd w:val="0"/>
                    <w:snapToGrid w:val="0"/>
                    <w:jc w:val="center"/>
                    <w:rPr>
                      <w:rFonts w:hint="default" w:ascii="Times New Roman" w:hAnsi="Times New Roman" w:eastAsia="宋体" w:cs="Times New Roman"/>
                      <w:bCs/>
                      <w:color w:val="0000FF"/>
                      <w:szCs w:val="21"/>
                      <w:lang w:val="en-US" w:eastAsia="zh-CN"/>
                    </w:rPr>
                  </w:pPr>
                </w:p>
              </w:tc>
              <w:tc>
                <w:tcPr>
                  <w:tcW w:w="2679" w:type="pct"/>
                  <w:vAlign w:val="center"/>
                </w:tcPr>
                <w:p w14:paraId="1132CD30">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纺织废料</w:t>
                  </w:r>
                </w:p>
              </w:tc>
              <w:tc>
                <w:tcPr>
                  <w:tcW w:w="854" w:type="pct"/>
                  <w:vAlign w:val="center"/>
                </w:tcPr>
                <w:p w14:paraId="7BDD7341">
                  <w:pPr>
                    <w:adjustRightInd w:val="0"/>
                    <w:snapToGrid w:val="0"/>
                    <w:jc w:val="center"/>
                    <w:rPr>
                      <w:rFonts w:hint="default" w:ascii="Times New Roman" w:hAnsi="Times New Roman" w:eastAsia="宋体" w:cs="Times New Roman"/>
                      <w:bCs/>
                      <w:color w:val="0000FF"/>
                      <w:szCs w:val="21"/>
                      <w:lang w:val="en-US" w:eastAsia="zh-CN"/>
                    </w:rPr>
                  </w:pPr>
                  <w:r>
                    <w:rPr>
                      <w:rFonts w:hint="default" w:ascii="Times New Roman" w:hAnsi="Times New Roman" w:eastAsia="宋体" w:cs="Times New Roman"/>
                      <w:bCs/>
                      <w:color w:val="0000FF"/>
                      <w:szCs w:val="21"/>
                      <w:lang w:val="en-US" w:eastAsia="zh-CN"/>
                    </w:rPr>
                    <w:t>√</w:t>
                  </w:r>
                </w:p>
              </w:tc>
              <w:tc>
                <w:tcPr>
                  <w:tcW w:w="611" w:type="pct"/>
                  <w:vAlign w:val="center"/>
                </w:tcPr>
                <w:p w14:paraId="360EA9FA">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w:t>
                  </w:r>
                </w:p>
              </w:tc>
            </w:tr>
            <w:tr w14:paraId="2A3BE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4" w:type="pct"/>
                  <w:vMerge w:val="continue"/>
                  <w:vAlign w:val="center"/>
                </w:tcPr>
                <w:p w14:paraId="0D4E075B">
                  <w:pPr>
                    <w:adjustRightInd w:val="0"/>
                    <w:snapToGrid w:val="0"/>
                    <w:jc w:val="center"/>
                    <w:rPr>
                      <w:rFonts w:hint="default" w:ascii="Times New Roman" w:hAnsi="Times New Roman" w:eastAsia="宋体" w:cs="Times New Roman"/>
                      <w:bCs/>
                      <w:color w:val="0000FF"/>
                      <w:szCs w:val="21"/>
                      <w:lang w:val="en-US" w:eastAsia="zh-CN"/>
                    </w:rPr>
                  </w:pPr>
                </w:p>
              </w:tc>
              <w:tc>
                <w:tcPr>
                  <w:tcW w:w="2679" w:type="pct"/>
                  <w:vAlign w:val="center"/>
                </w:tcPr>
                <w:p w14:paraId="18046106">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废油墨</w:t>
                  </w:r>
                </w:p>
              </w:tc>
              <w:tc>
                <w:tcPr>
                  <w:tcW w:w="854" w:type="pct"/>
                  <w:vAlign w:val="center"/>
                </w:tcPr>
                <w:p w14:paraId="12F712AE">
                  <w:pPr>
                    <w:adjustRightInd w:val="0"/>
                    <w:snapToGrid w:val="0"/>
                    <w:jc w:val="center"/>
                    <w:rPr>
                      <w:rFonts w:hint="default" w:ascii="Times New Roman" w:hAnsi="Times New Roman" w:eastAsia="宋体" w:cs="Times New Roman"/>
                      <w:bCs/>
                      <w:color w:val="0000FF"/>
                      <w:szCs w:val="21"/>
                      <w:lang w:val="en-US" w:eastAsia="zh-CN"/>
                    </w:rPr>
                  </w:pPr>
                  <w:r>
                    <w:rPr>
                      <w:rFonts w:hint="default" w:ascii="Times New Roman" w:hAnsi="Times New Roman" w:eastAsia="宋体" w:cs="Times New Roman"/>
                      <w:bCs/>
                      <w:color w:val="0000FF"/>
                      <w:szCs w:val="21"/>
                      <w:lang w:val="en-US" w:eastAsia="zh-CN"/>
                    </w:rPr>
                    <w:t>√</w:t>
                  </w:r>
                </w:p>
              </w:tc>
              <w:tc>
                <w:tcPr>
                  <w:tcW w:w="611" w:type="pct"/>
                  <w:vAlign w:val="center"/>
                </w:tcPr>
                <w:p w14:paraId="004CA699">
                  <w:pPr>
                    <w:adjustRightInd w:val="0"/>
                    <w:snapToGrid w:val="0"/>
                    <w:jc w:val="center"/>
                    <w:rPr>
                      <w:rFonts w:hint="eastAsia" w:ascii="Times New Roman" w:hAnsi="Times New Roman" w:eastAsia="宋体" w:cs="Times New Roman"/>
                      <w:bCs/>
                      <w:color w:val="0000FF"/>
                      <w:szCs w:val="21"/>
                      <w:lang w:val="en-US" w:eastAsia="zh-CN"/>
                    </w:rPr>
                  </w:pPr>
                  <w:r>
                    <w:rPr>
                      <w:rFonts w:hint="default" w:ascii="Times New Roman" w:hAnsi="Times New Roman" w:eastAsia="宋体" w:cs="Times New Roman"/>
                      <w:bCs/>
                      <w:color w:val="0000FF"/>
                      <w:szCs w:val="21"/>
                      <w:lang w:val="en-US" w:eastAsia="zh-CN"/>
                    </w:rPr>
                    <w:t>√</w:t>
                  </w:r>
                </w:p>
              </w:tc>
            </w:tr>
            <w:tr w14:paraId="37A31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4" w:type="pct"/>
                  <w:vMerge w:val="continue"/>
                  <w:vAlign w:val="center"/>
                </w:tcPr>
                <w:p w14:paraId="470A5455">
                  <w:pPr>
                    <w:adjustRightInd w:val="0"/>
                    <w:snapToGrid w:val="0"/>
                    <w:jc w:val="center"/>
                    <w:rPr>
                      <w:rFonts w:hint="default" w:ascii="Times New Roman" w:hAnsi="Times New Roman" w:eastAsia="宋体" w:cs="Times New Roman"/>
                      <w:bCs/>
                      <w:color w:val="0000FF"/>
                      <w:szCs w:val="21"/>
                      <w:lang w:val="en-US" w:eastAsia="zh-CN"/>
                    </w:rPr>
                  </w:pPr>
                </w:p>
              </w:tc>
              <w:tc>
                <w:tcPr>
                  <w:tcW w:w="2679" w:type="pct"/>
                  <w:vAlign w:val="center"/>
                </w:tcPr>
                <w:p w14:paraId="049EBDA7">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废油漆</w:t>
                  </w:r>
                </w:p>
              </w:tc>
              <w:tc>
                <w:tcPr>
                  <w:tcW w:w="854" w:type="pct"/>
                  <w:vAlign w:val="center"/>
                </w:tcPr>
                <w:p w14:paraId="4D20307F">
                  <w:pPr>
                    <w:adjustRightInd w:val="0"/>
                    <w:snapToGrid w:val="0"/>
                    <w:jc w:val="center"/>
                    <w:rPr>
                      <w:rFonts w:hint="default" w:ascii="Times New Roman" w:hAnsi="Times New Roman" w:eastAsia="宋体" w:cs="Times New Roman"/>
                      <w:bCs/>
                      <w:color w:val="0000FF"/>
                      <w:szCs w:val="21"/>
                      <w:lang w:val="en-US" w:eastAsia="zh-CN"/>
                    </w:rPr>
                  </w:pPr>
                  <w:r>
                    <w:rPr>
                      <w:rFonts w:hint="default" w:ascii="Times New Roman" w:hAnsi="Times New Roman" w:eastAsia="宋体" w:cs="Times New Roman"/>
                      <w:bCs/>
                      <w:color w:val="0000FF"/>
                      <w:szCs w:val="21"/>
                      <w:lang w:val="en-US" w:eastAsia="zh-CN"/>
                    </w:rPr>
                    <w:t>√</w:t>
                  </w:r>
                </w:p>
              </w:tc>
              <w:tc>
                <w:tcPr>
                  <w:tcW w:w="611" w:type="pct"/>
                  <w:vAlign w:val="center"/>
                </w:tcPr>
                <w:p w14:paraId="2723FCBC">
                  <w:pPr>
                    <w:adjustRightInd w:val="0"/>
                    <w:snapToGrid w:val="0"/>
                    <w:jc w:val="center"/>
                    <w:rPr>
                      <w:rFonts w:hint="eastAsia" w:ascii="Times New Roman" w:hAnsi="Times New Roman" w:eastAsia="宋体" w:cs="Times New Roman"/>
                      <w:bCs/>
                      <w:color w:val="0000FF"/>
                      <w:szCs w:val="21"/>
                      <w:lang w:val="en-US" w:eastAsia="zh-CN"/>
                    </w:rPr>
                  </w:pPr>
                  <w:r>
                    <w:rPr>
                      <w:rFonts w:hint="default" w:ascii="Times New Roman" w:hAnsi="Times New Roman" w:eastAsia="宋体" w:cs="Times New Roman"/>
                      <w:bCs/>
                      <w:color w:val="0000FF"/>
                      <w:szCs w:val="21"/>
                      <w:lang w:val="en-US" w:eastAsia="zh-CN"/>
                    </w:rPr>
                    <w:t>√</w:t>
                  </w:r>
                </w:p>
              </w:tc>
            </w:tr>
            <w:tr w14:paraId="74C22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4" w:type="pct"/>
                  <w:vMerge w:val="continue"/>
                  <w:vAlign w:val="center"/>
                </w:tcPr>
                <w:p w14:paraId="321D0954">
                  <w:pPr>
                    <w:adjustRightInd w:val="0"/>
                    <w:snapToGrid w:val="0"/>
                    <w:jc w:val="center"/>
                    <w:rPr>
                      <w:rFonts w:hint="default" w:ascii="Times New Roman" w:hAnsi="Times New Roman" w:eastAsia="宋体" w:cs="Times New Roman"/>
                      <w:bCs/>
                      <w:color w:val="0000FF"/>
                      <w:szCs w:val="21"/>
                      <w:lang w:val="en-US" w:eastAsia="zh-CN"/>
                    </w:rPr>
                  </w:pPr>
                </w:p>
              </w:tc>
              <w:tc>
                <w:tcPr>
                  <w:tcW w:w="2679" w:type="pct"/>
                  <w:vAlign w:val="center"/>
                </w:tcPr>
                <w:p w14:paraId="658662D1">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非放射性废白土</w:t>
                  </w:r>
                </w:p>
              </w:tc>
              <w:tc>
                <w:tcPr>
                  <w:tcW w:w="854" w:type="pct"/>
                  <w:vAlign w:val="center"/>
                </w:tcPr>
                <w:p w14:paraId="57CA9A92">
                  <w:pPr>
                    <w:adjustRightInd w:val="0"/>
                    <w:snapToGrid w:val="0"/>
                    <w:jc w:val="center"/>
                    <w:rPr>
                      <w:rFonts w:hint="default" w:ascii="Times New Roman" w:hAnsi="Times New Roman" w:eastAsia="宋体" w:cs="Times New Roman"/>
                      <w:bCs/>
                      <w:color w:val="0000FF"/>
                      <w:szCs w:val="21"/>
                      <w:lang w:val="en-US" w:eastAsia="zh-CN"/>
                    </w:rPr>
                  </w:pPr>
                  <w:r>
                    <w:rPr>
                      <w:rFonts w:hint="default" w:ascii="Times New Roman" w:hAnsi="Times New Roman" w:eastAsia="宋体" w:cs="Times New Roman"/>
                      <w:bCs/>
                      <w:color w:val="0000FF"/>
                      <w:szCs w:val="21"/>
                      <w:lang w:val="en-US" w:eastAsia="zh-CN"/>
                    </w:rPr>
                    <w:t>√</w:t>
                  </w:r>
                </w:p>
              </w:tc>
              <w:tc>
                <w:tcPr>
                  <w:tcW w:w="611" w:type="pct"/>
                  <w:vAlign w:val="center"/>
                </w:tcPr>
                <w:p w14:paraId="5450C8ED">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w:t>
                  </w:r>
                </w:p>
              </w:tc>
            </w:tr>
            <w:tr w14:paraId="6B025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4" w:type="pct"/>
                  <w:vMerge w:val="continue"/>
                  <w:vAlign w:val="center"/>
                </w:tcPr>
                <w:p w14:paraId="6D7E556E">
                  <w:pPr>
                    <w:adjustRightInd w:val="0"/>
                    <w:snapToGrid w:val="0"/>
                    <w:jc w:val="center"/>
                    <w:rPr>
                      <w:rFonts w:hint="default" w:ascii="Times New Roman" w:hAnsi="Times New Roman" w:eastAsia="宋体" w:cs="Times New Roman"/>
                      <w:bCs/>
                      <w:color w:val="0000FF"/>
                      <w:szCs w:val="21"/>
                      <w:lang w:val="en-US" w:eastAsia="zh-CN"/>
                    </w:rPr>
                  </w:pPr>
                </w:p>
              </w:tc>
              <w:tc>
                <w:tcPr>
                  <w:tcW w:w="2679" w:type="pct"/>
                  <w:vAlign w:val="center"/>
                </w:tcPr>
                <w:p w14:paraId="68201F26">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干化后污泥</w:t>
                  </w:r>
                </w:p>
              </w:tc>
              <w:tc>
                <w:tcPr>
                  <w:tcW w:w="854" w:type="pct"/>
                  <w:vAlign w:val="center"/>
                </w:tcPr>
                <w:p w14:paraId="6C2AE7DB">
                  <w:pPr>
                    <w:adjustRightInd w:val="0"/>
                    <w:snapToGrid w:val="0"/>
                    <w:jc w:val="center"/>
                    <w:rPr>
                      <w:rFonts w:hint="default" w:ascii="Times New Roman" w:hAnsi="Times New Roman" w:eastAsia="宋体" w:cs="Times New Roman"/>
                      <w:bCs/>
                      <w:color w:val="0000FF"/>
                      <w:szCs w:val="21"/>
                      <w:lang w:val="en-US" w:eastAsia="zh-CN"/>
                    </w:rPr>
                  </w:pPr>
                  <w:r>
                    <w:rPr>
                      <w:rFonts w:hint="default" w:ascii="Times New Roman" w:hAnsi="Times New Roman" w:eastAsia="宋体" w:cs="Times New Roman"/>
                      <w:bCs/>
                      <w:color w:val="0000FF"/>
                      <w:szCs w:val="21"/>
                      <w:lang w:val="en-US" w:eastAsia="zh-CN"/>
                    </w:rPr>
                    <w:t>√</w:t>
                  </w:r>
                </w:p>
              </w:tc>
              <w:tc>
                <w:tcPr>
                  <w:tcW w:w="611" w:type="pct"/>
                  <w:vAlign w:val="center"/>
                </w:tcPr>
                <w:p w14:paraId="440A8872">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w:t>
                  </w:r>
                </w:p>
              </w:tc>
            </w:tr>
            <w:tr w14:paraId="7EDDB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4" w:type="pct"/>
                  <w:vMerge w:val="continue"/>
                  <w:vAlign w:val="center"/>
                </w:tcPr>
                <w:p w14:paraId="318AE0FB">
                  <w:pPr>
                    <w:adjustRightInd w:val="0"/>
                    <w:snapToGrid w:val="0"/>
                    <w:jc w:val="center"/>
                    <w:rPr>
                      <w:rFonts w:hint="default" w:ascii="Times New Roman" w:hAnsi="Times New Roman" w:eastAsia="宋体" w:cs="Times New Roman"/>
                      <w:bCs/>
                      <w:color w:val="0000FF"/>
                      <w:szCs w:val="21"/>
                      <w:lang w:val="en-US" w:eastAsia="zh-CN"/>
                    </w:rPr>
                  </w:pPr>
                </w:p>
              </w:tc>
              <w:tc>
                <w:tcPr>
                  <w:tcW w:w="2679" w:type="pct"/>
                  <w:vAlign w:val="center"/>
                </w:tcPr>
                <w:p w14:paraId="1F447B4F">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废纸</w:t>
                  </w:r>
                </w:p>
              </w:tc>
              <w:tc>
                <w:tcPr>
                  <w:tcW w:w="854" w:type="pct"/>
                  <w:vAlign w:val="center"/>
                </w:tcPr>
                <w:p w14:paraId="39A7CD01">
                  <w:pPr>
                    <w:adjustRightInd w:val="0"/>
                    <w:snapToGrid w:val="0"/>
                    <w:jc w:val="center"/>
                    <w:rPr>
                      <w:rFonts w:hint="default" w:ascii="Times New Roman" w:hAnsi="Times New Roman" w:eastAsia="宋体" w:cs="Times New Roman"/>
                      <w:bCs/>
                      <w:color w:val="0000FF"/>
                      <w:szCs w:val="21"/>
                      <w:lang w:val="en-US" w:eastAsia="zh-CN"/>
                    </w:rPr>
                  </w:pPr>
                  <w:r>
                    <w:rPr>
                      <w:rFonts w:hint="default" w:ascii="Times New Roman" w:hAnsi="Times New Roman" w:eastAsia="宋体" w:cs="Times New Roman"/>
                      <w:bCs/>
                      <w:color w:val="0000FF"/>
                      <w:szCs w:val="21"/>
                      <w:lang w:val="en-US" w:eastAsia="zh-CN"/>
                    </w:rPr>
                    <w:t>√</w:t>
                  </w:r>
                </w:p>
              </w:tc>
              <w:tc>
                <w:tcPr>
                  <w:tcW w:w="611" w:type="pct"/>
                  <w:vAlign w:val="center"/>
                </w:tcPr>
                <w:p w14:paraId="2EFECB7D">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w:t>
                  </w:r>
                </w:p>
              </w:tc>
            </w:tr>
            <w:tr w14:paraId="72C3E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4" w:type="pct"/>
                  <w:vMerge w:val="continue"/>
                  <w:vAlign w:val="center"/>
                </w:tcPr>
                <w:p w14:paraId="6E946373">
                  <w:pPr>
                    <w:adjustRightInd w:val="0"/>
                    <w:snapToGrid w:val="0"/>
                    <w:jc w:val="center"/>
                    <w:rPr>
                      <w:rFonts w:hint="default" w:ascii="Times New Roman" w:hAnsi="Times New Roman" w:eastAsia="宋体" w:cs="Times New Roman"/>
                      <w:bCs/>
                      <w:color w:val="0000FF"/>
                      <w:szCs w:val="21"/>
                      <w:lang w:val="en-US" w:eastAsia="zh-CN"/>
                    </w:rPr>
                  </w:pPr>
                </w:p>
              </w:tc>
              <w:tc>
                <w:tcPr>
                  <w:tcW w:w="2679" w:type="pct"/>
                  <w:vAlign w:val="center"/>
                </w:tcPr>
                <w:p w14:paraId="50BDE277">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纸板</w:t>
                  </w:r>
                </w:p>
              </w:tc>
              <w:tc>
                <w:tcPr>
                  <w:tcW w:w="854" w:type="pct"/>
                  <w:vAlign w:val="center"/>
                </w:tcPr>
                <w:p w14:paraId="43043E29">
                  <w:pPr>
                    <w:adjustRightInd w:val="0"/>
                    <w:snapToGrid w:val="0"/>
                    <w:jc w:val="center"/>
                    <w:rPr>
                      <w:rFonts w:hint="default" w:ascii="Times New Roman" w:hAnsi="Times New Roman" w:eastAsia="宋体" w:cs="Times New Roman"/>
                      <w:bCs/>
                      <w:color w:val="0000FF"/>
                      <w:szCs w:val="21"/>
                      <w:lang w:val="en-US" w:eastAsia="zh-CN"/>
                    </w:rPr>
                  </w:pPr>
                  <w:r>
                    <w:rPr>
                      <w:rFonts w:hint="default" w:ascii="Times New Roman" w:hAnsi="Times New Roman" w:eastAsia="宋体" w:cs="Times New Roman"/>
                      <w:bCs/>
                      <w:color w:val="0000FF"/>
                      <w:szCs w:val="21"/>
                      <w:lang w:val="en-US" w:eastAsia="zh-CN"/>
                    </w:rPr>
                    <w:t>√</w:t>
                  </w:r>
                </w:p>
              </w:tc>
              <w:tc>
                <w:tcPr>
                  <w:tcW w:w="611" w:type="pct"/>
                  <w:vAlign w:val="center"/>
                </w:tcPr>
                <w:p w14:paraId="039E6A5F">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w:t>
                  </w:r>
                </w:p>
              </w:tc>
            </w:tr>
            <w:tr w14:paraId="1C882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4" w:type="pct"/>
                  <w:vMerge w:val="continue"/>
                  <w:vAlign w:val="center"/>
                </w:tcPr>
                <w:p w14:paraId="77729B04">
                  <w:pPr>
                    <w:adjustRightInd w:val="0"/>
                    <w:snapToGrid w:val="0"/>
                    <w:jc w:val="center"/>
                    <w:rPr>
                      <w:rFonts w:hint="default" w:ascii="Times New Roman" w:hAnsi="Times New Roman" w:eastAsia="宋体" w:cs="Times New Roman"/>
                      <w:bCs/>
                      <w:color w:val="0000FF"/>
                      <w:szCs w:val="21"/>
                      <w:lang w:val="en-US" w:eastAsia="zh-CN"/>
                    </w:rPr>
                  </w:pPr>
                </w:p>
              </w:tc>
              <w:tc>
                <w:tcPr>
                  <w:tcW w:w="2679" w:type="pct"/>
                  <w:vAlign w:val="center"/>
                </w:tcPr>
                <w:p w14:paraId="054F8E9B">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纺织品</w:t>
                  </w:r>
                </w:p>
              </w:tc>
              <w:tc>
                <w:tcPr>
                  <w:tcW w:w="854" w:type="pct"/>
                  <w:vAlign w:val="center"/>
                </w:tcPr>
                <w:p w14:paraId="64F06CAC">
                  <w:pPr>
                    <w:adjustRightInd w:val="0"/>
                    <w:snapToGrid w:val="0"/>
                    <w:jc w:val="center"/>
                    <w:rPr>
                      <w:rFonts w:hint="default" w:ascii="Times New Roman" w:hAnsi="Times New Roman" w:eastAsia="宋体" w:cs="Times New Roman"/>
                      <w:bCs/>
                      <w:color w:val="0000FF"/>
                      <w:szCs w:val="21"/>
                      <w:lang w:val="en-US" w:eastAsia="zh-CN"/>
                    </w:rPr>
                  </w:pPr>
                  <w:r>
                    <w:rPr>
                      <w:rFonts w:hint="default" w:ascii="Times New Roman" w:hAnsi="Times New Roman" w:eastAsia="宋体" w:cs="Times New Roman"/>
                      <w:bCs/>
                      <w:color w:val="0000FF"/>
                      <w:szCs w:val="21"/>
                      <w:lang w:val="en-US" w:eastAsia="zh-CN"/>
                    </w:rPr>
                    <w:t>√</w:t>
                  </w:r>
                </w:p>
              </w:tc>
              <w:tc>
                <w:tcPr>
                  <w:tcW w:w="611" w:type="pct"/>
                  <w:vAlign w:val="center"/>
                </w:tcPr>
                <w:p w14:paraId="715A7495">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w:t>
                  </w:r>
                </w:p>
              </w:tc>
            </w:tr>
            <w:tr w14:paraId="597E2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4" w:type="pct"/>
                  <w:vMerge w:val="continue"/>
                  <w:vAlign w:val="center"/>
                </w:tcPr>
                <w:p w14:paraId="05C011BB">
                  <w:pPr>
                    <w:adjustRightInd w:val="0"/>
                    <w:snapToGrid w:val="0"/>
                    <w:jc w:val="center"/>
                    <w:rPr>
                      <w:rFonts w:hint="default" w:ascii="Times New Roman" w:hAnsi="Times New Roman" w:eastAsia="宋体" w:cs="Times New Roman"/>
                      <w:bCs/>
                      <w:color w:val="0000FF"/>
                      <w:szCs w:val="21"/>
                      <w:lang w:val="en-US" w:eastAsia="zh-CN"/>
                    </w:rPr>
                  </w:pPr>
                </w:p>
              </w:tc>
              <w:tc>
                <w:tcPr>
                  <w:tcW w:w="2679" w:type="pct"/>
                  <w:vAlign w:val="center"/>
                </w:tcPr>
                <w:p w14:paraId="78D7307C">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包装材料</w:t>
                  </w:r>
                </w:p>
              </w:tc>
              <w:tc>
                <w:tcPr>
                  <w:tcW w:w="854" w:type="pct"/>
                  <w:vAlign w:val="center"/>
                </w:tcPr>
                <w:p w14:paraId="65C9A69E">
                  <w:pPr>
                    <w:adjustRightInd w:val="0"/>
                    <w:snapToGrid w:val="0"/>
                    <w:jc w:val="center"/>
                    <w:rPr>
                      <w:rFonts w:hint="default" w:ascii="Times New Roman" w:hAnsi="Times New Roman" w:eastAsia="宋体" w:cs="Times New Roman"/>
                      <w:bCs/>
                      <w:color w:val="0000FF"/>
                      <w:szCs w:val="21"/>
                      <w:lang w:val="en-US" w:eastAsia="zh-CN"/>
                    </w:rPr>
                  </w:pPr>
                  <w:r>
                    <w:rPr>
                      <w:rFonts w:hint="default" w:ascii="Times New Roman" w:hAnsi="Times New Roman" w:eastAsia="宋体" w:cs="Times New Roman"/>
                      <w:bCs/>
                      <w:color w:val="0000FF"/>
                      <w:szCs w:val="21"/>
                      <w:lang w:val="en-US" w:eastAsia="zh-CN"/>
                    </w:rPr>
                    <w:t>√</w:t>
                  </w:r>
                </w:p>
              </w:tc>
              <w:tc>
                <w:tcPr>
                  <w:tcW w:w="611" w:type="pct"/>
                  <w:vAlign w:val="center"/>
                </w:tcPr>
                <w:p w14:paraId="207F2A85">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w:t>
                  </w:r>
                </w:p>
              </w:tc>
            </w:tr>
            <w:tr w14:paraId="25F4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4" w:type="pct"/>
                  <w:vMerge w:val="continue"/>
                  <w:vAlign w:val="center"/>
                </w:tcPr>
                <w:p w14:paraId="3A5B30C1">
                  <w:pPr>
                    <w:adjustRightInd w:val="0"/>
                    <w:snapToGrid w:val="0"/>
                    <w:jc w:val="center"/>
                    <w:rPr>
                      <w:rFonts w:hint="default" w:ascii="Times New Roman" w:hAnsi="Times New Roman" w:eastAsia="宋体" w:cs="Times New Roman"/>
                      <w:bCs/>
                      <w:color w:val="0000FF"/>
                      <w:szCs w:val="21"/>
                      <w:lang w:val="en-US" w:eastAsia="zh-CN"/>
                    </w:rPr>
                  </w:pPr>
                </w:p>
              </w:tc>
              <w:tc>
                <w:tcPr>
                  <w:tcW w:w="2679" w:type="pct"/>
                  <w:vAlign w:val="center"/>
                </w:tcPr>
                <w:p w14:paraId="24FB811E">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来自家庭、商业或生产和服务业的经分拣的废物</w:t>
                  </w:r>
                </w:p>
              </w:tc>
              <w:tc>
                <w:tcPr>
                  <w:tcW w:w="854" w:type="pct"/>
                  <w:vAlign w:val="center"/>
                </w:tcPr>
                <w:p w14:paraId="5C7228D9">
                  <w:pPr>
                    <w:adjustRightInd w:val="0"/>
                    <w:snapToGrid w:val="0"/>
                    <w:jc w:val="center"/>
                    <w:rPr>
                      <w:rFonts w:hint="default" w:ascii="Times New Roman" w:hAnsi="Times New Roman" w:eastAsia="宋体" w:cs="Times New Roman"/>
                      <w:bCs/>
                      <w:color w:val="0000FF"/>
                      <w:szCs w:val="21"/>
                      <w:lang w:val="en-US" w:eastAsia="zh-CN"/>
                    </w:rPr>
                  </w:pPr>
                  <w:r>
                    <w:rPr>
                      <w:rFonts w:hint="default" w:ascii="Times New Roman" w:hAnsi="Times New Roman" w:eastAsia="宋体" w:cs="Times New Roman"/>
                      <w:bCs/>
                      <w:color w:val="0000FF"/>
                      <w:szCs w:val="21"/>
                      <w:lang w:val="en-US" w:eastAsia="zh-CN"/>
                    </w:rPr>
                    <w:t>√</w:t>
                  </w:r>
                </w:p>
              </w:tc>
              <w:tc>
                <w:tcPr>
                  <w:tcW w:w="611" w:type="pct"/>
                  <w:vAlign w:val="center"/>
                </w:tcPr>
                <w:p w14:paraId="2DE1FF31">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w:t>
                  </w:r>
                </w:p>
              </w:tc>
            </w:tr>
          </w:tbl>
          <w:p w14:paraId="235156F8">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vertAlign w:val="baseline"/>
                <w:lang w:val="en-US" w:eastAsia="zh-CN" w:bidi="ar-SA"/>
              </w:rPr>
            </w:pPr>
            <w:r>
              <w:rPr>
                <w:rFonts w:hint="eastAsia" w:ascii="Times New Roman" w:hAnsi="Times New Roman" w:eastAsia="宋体" w:cs="Times New Roman"/>
                <w:b w:val="0"/>
                <w:bCs w:val="0"/>
                <w:color w:val="0000FF"/>
                <w:kern w:val="2"/>
                <w:sz w:val="24"/>
                <w:szCs w:val="24"/>
                <w:vertAlign w:val="baseline"/>
                <w:lang w:val="en-US" w:eastAsia="zh-CN" w:bidi="ar-SA"/>
              </w:rPr>
              <w:t>根据建设单位所提供资料，本项目协同处置废纺</w:t>
            </w:r>
            <w:r>
              <w:rPr>
                <w:rFonts w:hint="eastAsia" w:cs="Times New Roman"/>
                <w:b w:val="0"/>
                <w:bCs w:val="0"/>
                <w:color w:val="0000FF"/>
                <w:kern w:val="2"/>
                <w:sz w:val="24"/>
                <w:szCs w:val="24"/>
                <w:vertAlign w:val="baseline"/>
                <w:lang w:val="en-US" w:eastAsia="zh-CN" w:bidi="ar-SA"/>
              </w:rPr>
              <w:t>、木屑</w:t>
            </w:r>
            <w:r>
              <w:rPr>
                <w:rFonts w:hint="eastAsia" w:ascii="Times New Roman" w:hAnsi="Times New Roman" w:eastAsia="宋体" w:cs="Times New Roman"/>
                <w:b w:val="0"/>
                <w:bCs w:val="0"/>
                <w:color w:val="0000FF"/>
                <w:kern w:val="2"/>
                <w:sz w:val="24"/>
                <w:szCs w:val="24"/>
                <w:vertAlign w:val="baseline"/>
                <w:lang w:val="en-US" w:eastAsia="zh-CN" w:bidi="ar-SA"/>
              </w:rPr>
              <w:t>属于水泥生产中作为替代燃料的工业废物种类，来自工业企业产生的一般固废。满足《水泥窑协同处置工业废物设计规范（2015</w:t>
            </w:r>
            <w:r>
              <w:rPr>
                <w:rFonts w:hint="eastAsia" w:cs="Times New Roman"/>
                <w:b w:val="0"/>
                <w:bCs w:val="0"/>
                <w:color w:val="0000FF"/>
                <w:kern w:val="2"/>
                <w:sz w:val="24"/>
                <w:szCs w:val="24"/>
                <w:vertAlign w:val="baseline"/>
                <w:lang w:val="en-US" w:eastAsia="zh-CN" w:bidi="ar-SA"/>
              </w:rPr>
              <w:t>年</w:t>
            </w:r>
            <w:r>
              <w:rPr>
                <w:rFonts w:hint="eastAsia" w:ascii="Times New Roman" w:hAnsi="Times New Roman" w:eastAsia="宋体" w:cs="Times New Roman"/>
                <w:b w:val="0"/>
                <w:bCs w:val="0"/>
                <w:color w:val="0000FF"/>
                <w:kern w:val="2"/>
                <w:sz w:val="24"/>
                <w:szCs w:val="24"/>
                <w:vertAlign w:val="baseline"/>
                <w:lang w:val="en-US" w:eastAsia="zh-CN" w:bidi="ar-SA"/>
              </w:rPr>
              <w:t>版）》（GB 50634-2010）附录A相关要求。</w:t>
            </w:r>
          </w:p>
          <w:p w14:paraId="7364534F">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vertAlign w:val="baseline"/>
                <w:lang w:val="en-US" w:eastAsia="zh-CN" w:bidi="ar-SA"/>
              </w:rPr>
            </w:pPr>
            <w:r>
              <w:rPr>
                <w:rFonts w:hint="eastAsia" w:ascii="Times New Roman" w:hAnsi="Times New Roman" w:eastAsia="宋体" w:cs="Times New Roman"/>
                <w:b w:val="0"/>
                <w:bCs w:val="0"/>
                <w:color w:val="0000FF"/>
                <w:kern w:val="2"/>
                <w:sz w:val="24"/>
                <w:szCs w:val="24"/>
                <w:vertAlign w:val="baseline"/>
                <w:lang w:val="en-US" w:eastAsia="zh-CN" w:bidi="ar-SA"/>
              </w:rPr>
              <w:t>（2）拟处理固废属性鉴别</w:t>
            </w:r>
          </w:p>
          <w:p w14:paraId="414AD083">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vertAlign w:val="baseline"/>
                <w:lang w:val="en-US" w:eastAsia="zh-CN" w:bidi="ar-SA"/>
              </w:rPr>
            </w:pPr>
            <w:r>
              <w:rPr>
                <w:rFonts w:hint="eastAsia" w:ascii="Times New Roman" w:hAnsi="Times New Roman" w:eastAsia="宋体" w:cs="Times New Roman"/>
                <w:b w:val="0"/>
                <w:bCs w:val="0"/>
                <w:color w:val="0000FF"/>
                <w:kern w:val="2"/>
                <w:sz w:val="24"/>
                <w:szCs w:val="24"/>
                <w:vertAlign w:val="baseline"/>
                <w:lang w:val="en-US" w:eastAsia="zh-CN" w:bidi="ar-SA"/>
              </w:rPr>
              <w:t>入窑协同处置的固废需满足《水泥窑协同处置固体废物技术规范》（GB/T 30760-2024）、《水泥窑协同处置固体废物环境保护技术规范》（HJ 662-2013）等水泥协同处置固体废物要求。本</w:t>
            </w:r>
            <w:r>
              <w:rPr>
                <w:rFonts w:hint="eastAsia" w:cs="Times New Roman"/>
                <w:b w:val="0"/>
                <w:bCs w:val="0"/>
                <w:color w:val="0000FF"/>
                <w:kern w:val="2"/>
                <w:sz w:val="24"/>
                <w:szCs w:val="24"/>
                <w:vertAlign w:val="baseline"/>
                <w:lang w:val="en-US" w:eastAsia="zh-CN" w:bidi="ar-SA"/>
              </w:rPr>
              <w:t>次</w:t>
            </w:r>
            <w:r>
              <w:rPr>
                <w:rFonts w:hint="eastAsia" w:ascii="Times New Roman" w:hAnsi="Times New Roman" w:eastAsia="宋体" w:cs="Times New Roman"/>
                <w:b w:val="0"/>
                <w:bCs w:val="0"/>
                <w:color w:val="0000FF"/>
                <w:kern w:val="2"/>
                <w:sz w:val="24"/>
                <w:szCs w:val="24"/>
                <w:vertAlign w:val="baseline"/>
                <w:lang w:val="en-US" w:eastAsia="zh-CN" w:bidi="ar-SA"/>
              </w:rPr>
              <w:t>协同处置项目投料点为</w:t>
            </w:r>
            <w:r>
              <w:rPr>
                <w:rFonts w:hint="eastAsia" w:cs="Times New Roman"/>
                <w:b w:val="0"/>
                <w:bCs w:val="0"/>
                <w:color w:val="0000FF"/>
                <w:kern w:val="2"/>
                <w:sz w:val="24"/>
                <w:szCs w:val="24"/>
                <w:vertAlign w:val="baseline"/>
                <w:lang w:val="en-US" w:eastAsia="zh-CN" w:bidi="ar-SA"/>
              </w:rPr>
              <w:t>窑尾</w:t>
            </w:r>
            <w:r>
              <w:rPr>
                <w:rFonts w:hint="eastAsia" w:ascii="Times New Roman" w:hAnsi="Times New Roman" w:eastAsia="宋体" w:cs="Times New Roman"/>
                <w:b w:val="0"/>
                <w:bCs w:val="0"/>
                <w:color w:val="0000FF"/>
                <w:kern w:val="2"/>
                <w:sz w:val="24"/>
                <w:szCs w:val="24"/>
                <w:vertAlign w:val="baseline"/>
                <w:lang w:val="en-US" w:eastAsia="zh-CN" w:bidi="ar-SA"/>
              </w:rPr>
              <w:t>分解炉。</w:t>
            </w:r>
          </w:p>
          <w:p w14:paraId="5DE6D07B">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vertAlign w:val="baseline"/>
                <w:lang w:val="en-US" w:eastAsia="zh-CN" w:bidi="ar-SA"/>
              </w:rPr>
            </w:pPr>
            <w:r>
              <w:rPr>
                <w:rFonts w:hint="eastAsia" w:ascii="Times New Roman" w:hAnsi="Times New Roman" w:eastAsia="宋体" w:cs="Times New Roman"/>
                <w:b w:val="0"/>
                <w:bCs w:val="0"/>
                <w:color w:val="0000FF"/>
                <w:kern w:val="2"/>
                <w:sz w:val="24"/>
                <w:szCs w:val="24"/>
                <w:vertAlign w:val="baseline"/>
                <w:lang w:val="en-US" w:eastAsia="zh-CN" w:bidi="ar-SA"/>
              </w:rPr>
              <w:t>根据《一般固体废物分类与代码》（GB/T 39198-2020），本次拟处置的固废主要是一般固废，不处置危险废物，在后期建成运行中如需处置其他一般固废或危险废物，需按照环保要求，重新办理相关环保手续。</w:t>
            </w:r>
          </w:p>
          <w:p w14:paraId="3DA8B9F7">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0000FF"/>
                <w:kern w:val="2"/>
                <w:sz w:val="24"/>
                <w:szCs w:val="24"/>
                <w:vertAlign w:val="baseline"/>
                <w:lang w:val="en-US" w:eastAsia="zh-CN" w:bidi="ar-SA"/>
              </w:rPr>
            </w:pPr>
            <w:r>
              <w:rPr>
                <w:rFonts w:hint="eastAsia" w:ascii="Times New Roman" w:hAnsi="Times New Roman" w:eastAsia="宋体" w:cs="Times New Roman"/>
                <w:b/>
                <w:bCs/>
                <w:color w:val="0000FF"/>
                <w:kern w:val="2"/>
                <w:sz w:val="24"/>
                <w:szCs w:val="24"/>
                <w:vertAlign w:val="baseline"/>
                <w:lang w:val="en-US" w:eastAsia="zh-CN" w:bidi="ar-SA"/>
              </w:rPr>
              <w:t>十、入窑成分控制</w:t>
            </w:r>
          </w:p>
          <w:p w14:paraId="5F9383FD">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vertAlign w:val="baseline"/>
                <w:lang w:val="en-US" w:eastAsia="zh-CN" w:bidi="ar-SA"/>
              </w:rPr>
            </w:pPr>
            <w:r>
              <w:rPr>
                <w:rFonts w:hint="eastAsia" w:ascii="Times New Roman" w:hAnsi="Times New Roman" w:eastAsia="宋体" w:cs="Times New Roman"/>
                <w:b w:val="0"/>
                <w:bCs w:val="0"/>
                <w:color w:val="0000FF"/>
                <w:kern w:val="2"/>
                <w:sz w:val="24"/>
                <w:szCs w:val="24"/>
                <w:vertAlign w:val="baseline"/>
                <w:lang w:val="en-US" w:eastAsia="zh-CN" w:bidi="ar-SA"/>
              </w:rPr>
              <w:t>1、氯元素、氟元素入窑控制</w:t>
            </w:r>
          </w:p>
          <w:p w14:paraId="24FAF240">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vertAlign w:val="baseline"/>
                <w:lang w:val="en-US" w:eastAsia="zh-CN" w:bidi="ar-SA"/>
              </w:rPr>
            </w:pPr>
            <w:r>
              <w:rPr>
                <w:rFonts w:hint="eastAsia" w:ascii="Times New Roman" w:hAnsi="Times New Roman" w:eastAsia="宋体" w:cs="Times New Roman"/>
                <w:b w:val="0"/>
                <w:bCs w:val="0"/>
                <w:color w:val="0000FF"/>
                <w:kern w:val="2"/>
                <w:sz w:val="24"/>
                <w:szCs w:val="24"/>
                <w:vertAlign w:val="baseline"/>
                <w:lang w:val="en-US" w:eastAsia="zh-CN" w:bidi="ar-SA"/>
              </w:rPr>
              <w:t>根据《水泥窑协同处置固体废物环境保护技术规范》（HJ 662-2013），协同处置企业应根据水泥生产工艺特点，控制随物料入窑的氯（Cl）元素和氟（F）元素的投加量，以保证水泥正常生产和熟料质量符合国家标准。入窑物料中氟（F）元素含量不应大于0.5%，氯（Cl）元素含量不应大于0.04%。入窑物料中氟（F）元素或氯（Cl）元素含量的计算如下所示。</w:t>
            </w:r>
          </w:p>
          <w:p w14:paraId="0709AB8A">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left"/>
              <w:textAlignment w:val="auto"/>
              <w:rPr>
                <w:rFonts w:hint="default" w:hAnsi="Cambria Math" w:eastAsia="宋体" w:cs="Times New Roman"/>
                <w:b w:val="0"/>
                <w:bCs w:val="0"/>
                <w:i w:val="0"/>
                <w:color w:val="0000FF"/>
                <w:kern w:val="2"/>
                <w:sz w:val="24"/>
                <w:szCs w:val="24"/>
                <w:vertAlign w:val="baseline"/>
                <w:lang w:val="en-US" w:eastAsia="zh-CN" w:bidi="ar-SA"/>
              </w:rPr>
            </w:pPr>
            <m:oMathPara>
              <m:oMathParaPr>
                <m:jc m:val="center"/>
              </m:oMathParaPr>
              <m:oMath>
                <m:r>
                  <m:rPr>
                    <m:sty m:val="p"/>
                  </m:rPr>
                  <w:rPr>
                    <w:rFonts w:hint="default" w:ascii="Cambria Math" w:hAnsi="Cambria Math" w:eastAsia="宋体" w:cs="Times New Roman"/>
                    <w:color w:val="0000FF"/>
                    <w:kern w:val="2"/>
                    <w:sz w:val="24"/>
                    <w:szCs w:val="24"/>
                    <w:vertAlign w:val="baseline"/>
                    <w:lang w:val="en-US" w:eastAsia="zh-CN" w:bidi="ar-SA"/>
                  </w:rPr>
                  <m:t>C=</m:t>
                </m:r>
                <m:f>
                  <m:fPr>
                    <m:ctrlPr>
                      <w:rPr>
                        <w:rFonts w:hint="default" w:ascii="Cambria Math" w:hAnsi="Cambria Math" w:eastAsia="宋体" w:cs="Times New Roman"/>
                        <w:b w:val="0"/>
                        <w:bCs w:val="0"/>
                        <w:color w:val="0000FF"/>
                        <w:kern w:val="2"/>
                        <w:sz w:val="24"/>
                        <w:szCs w:val="24"/>
                        <w:vertAlign w:val="baseline"/>
                        <w:lang w:val="en-US" w:eastAsia="zh-CN" w:bidi="ar-SA"/>
                      </w:rPr>
                    </m:ctrlPr>
                  </m:fPr>
                  <m:num>
                    <m:sSub>
                      <m:sSubPr>
                        <m:ctrlPr>
                          <w:rPr>
                            <w:rFonts w:hint="default" w:ascii="Cambria Math" w:hAnsi="Cambria Math" w:eastAsia="宋体" w:cs="Times New Roman"/>
                            <w:b w:val="0"/>
                            <w:bCs w:val="0"/>
                            <w:color w:val="0000FF"/>
                            <w:kern w:val="2"/>
                            <w:sz w:val="24"/>
                            <w:szCs w:val="24"/>
                            <w:vertAlign w:val="baseline"/>
                            <w:lang w:val="en-US" w:eastAsia="zh-CN" w:bidi="ar-SA"/>
                          </w:rPr>
                        </m:ctrlPr>
                      </m:sSubPr>
                      <m:e>
                        <m:r>
                          <m:rPr>
                            <m:sty m:val="p"/>
                          </m:rPr>
                          <w:rPr>
                            <w:rFonts w:hint="default" w:ascii="Cambria Math" w:hAnsi="Cambria Math" w:eastAsia="宋体" w:cs="Times New Roman"/>
                            <w:color w:val="0000FF"/>
                            <w:kern w:val="2"/>
                            <w:sz w:val="24"/>
                            <w:szCs w:val="24"/>
                            <w:vertAlign w:val="baseline"/>
                            <w:lang w:val="en-US" w:eastAsia="zh-CN" w:bidi="ar-SA"/>
                          </w:rPr>
                          <m:t>C</m:t>
                        </m:r>
                        <m:ctrlPr>
                          <w:rPr>
                            <w:rFonts w:hint="default" w:ascii="Cambria Math" w:hAnsi="Cambria Math" w:eastAsia="宋体" w:cs="Times New Roman"/>
                            <w:b w:val="0"/>
                            <w:bCs w:val="0"/>
                            <w:color w:val="0000FF"/>
                            <w:kern w:val="2"/>
                            <w:sz w:val="24"/>
                            <w:szCs w:val="24"/>
                            <w:vertAlign w:val="baseline"/>
                            <w:lang w:val="en-US" w:eastAsia="zh-CN" w:bidi="ar-SA"/>
                          </w:rPr>
                        </m:ctrlPr>
                      </m:e>
                      <m:sub>
                        <m:r>
                          <m:rPr>
                            <m:sty m:val="p"/>
                          </m:rPr>
                          <w:rPr>
                            <w:rFonts w:hint="default" w:ascii="Cambria Math" w:hAnsi="Cambria Math" w:eastAsia="宋体" w:cs="Times New Roman"/>
                            <w:color w:val="0000FF"/>
                            <w:kern w:val="2"/>
                            <w:sz w:val="24"/>
                            <w:szCs w:val="24"/>
                            <w:vertAlign w:val="baseline"/>
                            <w:lang w:val="en-US" w:eastAsia="zh-CN" w:bidi="ar-SA"/>
                          </w:rPr>
                          <m:t>w</m:t>
                        </m:r>
                        <m:ctrlPr>
                          <w:rPr>
                            <w:rFonts w:hint="default" w:ascii="Cambria Math" w:hAnsi="Cambria Math" w:eastAsia="宋体" w:cs="Times New Roman"/>
                            <w:b w:val="0"/>
                            <w:bCs w:val="0"/>
                            <w:color w:val="0000FF"/>
                            <w:kern w:val="2"/>
                            <w:sz w:val="24"/>
                            <w:szCs w:val="24"/>
                            <w:vertAlign w:val="baseline"/>
                            <w:lang w:val="en-US" w:eastAsia="zh-CN" w:bidi="ar-SA"/>
                          </w:rPr>
                        </m:ctrlPr>
                      </m:sub>
                    </m:sSub>
                    <m:r>
                      <m:rPr>
                        <m:sty m:val="p"/>
                      </m:rPr>
                      <w:rPr>
                        <w:rFonts w:hint="default" w:ascii="Cambria Math" w:hAnsi="Cambria Math" w:eastAsia="宋体" w:cs="Times New Roman"/>
                        <w:color w:val="0000FF"/>
                        <w:kern w:val="2"/>
                        <w:sz w:val="24"/>
                        <w:szCs w:val="24"/>
                        <w:vertAlign w:val="baseline"/>
                        <w:lang w:val="en-US" w:eastAsia="zh-CN" w:bidi="ar-SA"/>
                      </w:rPr>
                      <m:t>×</m:t>
                    </m:r>
                    <m:sSub>
                      <m:sSubPr>
                        <m:ctrlPr>
                          <w:rPr>
                            <w:rFonts w:hint="default" w:ascii="Cambria Math" w:hAnsi="Cambria Math" w:eastAsia="宋体" w:cs="Times New Roman"/>
                            <w:b w:val="0"/>
                            <w:bCs w:val="0"/>
                            <w:color w:val="0000FF"/>
                            <w:kern w:val="2"/>
                            <w:sz w:val="24"/>
                            <w:szCs w:val="24"/>
                            <w:vertAlign w:val="baseline"/>
                            <w:lang w:val="en-US" w:eastAsia="zh-CN" w:bidi="ar-SA"/>
                          </w:rPr>
                        </m:ctrlPr>
                      </m:sSubPr>
                      <m:e>
                        <m:r>
                          <m:rPr>
                            <m:sty m:val="p"/>
                          </m:rPr>
                          <w:rPr>
                            <w:rFonts w:hint="default" w:ascii="Cambria Math" w:hAnsi="Cambria Math" w:eastAsia="宋体" w:cs="Times New Roman"/>
                            <w:color w:val="0000FF"/>
                            <w:kern w:val="2"/>
                            <w:sz w:val="24"/>
                            <w:szCs w:val="24"/>
                            <w:vertAlign w:val="baseline"/>
                            <w:lang w:val="en-US" w:eastAsia="zh-CN" w:bidi="ar-SA"/>
                          </w:rPr>
                          <m:t>m</m:t>
                        </m:r>
                        <m:ctrlPr>
                          <w:rPr>
                            <w:rFonts w:hint="default" w:ascii="Cambria Math" w:hAnsi="Cambria Math" w:eastAsia="宋体" w:cs="Times New Roman"/>
                            <w:b w:val="0"/>
                            <w:bCs w:val="0"/>
                            <w:color w:val="0000FF"/>
                            <w:kern w:val="2"/>
                            <w:sz w:val="24"/>
                            <w:szCs w:val="24"/>
                            <w:vertAlign w:val="baseline"/>
                            <w:lang w:val="en-US" w:eastAsia="zh-CN" w:bidi="ar-SA"/>
                          </w:rPr>
                        </m:ctrlPr>
                      </m:e>
                      <m:sub>
                        <m:r>
                          <m:rPr>
                            <m:sty m:val="p"/>
                          </m:rPr>
                          <w:rPr>
                            <w:rFonts w:hint="default" w:ascii="Cambria Math" w:hAnsi="Cambria Math" w:eastAsia="宋体" w:cs="Times New Roman"/>
                            <w:color w:val="0000FF"/>
                            <w:kern w:val="2"/>
                            <w:sz w:val="24"/>
                            <w:szCs w:val="24"/>
                            <w:vertAlign w:val="baseline"/>
                            <w:lang w:val="en-US" w:eastAsia="zh-CN" w:bidi="ar-SA"/>
                          </w:rPr>
                          <m:t>w</m:t>
                        </m:r>
                        <m:ctrlPr>
                          <w:rPr>
                            <w:rFonts w:hint="default" w:ascii="Cambria Math" w:hAnsi="Cambria Math" w:eastAsia="宋体" w:cs="Times New Roman"/>
                            <w:b w:val="0"/>
                            <w:bCs w:val="0"/>
                            <w:color w:val="0000FF"/>
                            <w:kern w:val="2"/>
                            <w:sz w:val="24"/>
                            <w:szCs w:val="24"/>
                            <w:vertAlign w:val="baseline"/>
                            <w:lang w:val="en-US" w:eastAsia="zh-CN" w:bidi="ar-SA"/>
                          </w:rPr>
                        </m:ctrlPr>
                      </m:sub>
                    </m:sSub>
                    <m:r>
                      <m:rPr>
                        <m:sty m:val="p"/>
                      </m:rPr>
                      <w:rPr>
                        <w:rFonts w:hint="default" w:ascii="Cambria Math" w:hAnsi="Cambria Math" w:eastAsia="宋体" w:cs="Times New Roman"/>
                        <w:color w:val="0000FF"/>
                        <w:kern w:val="2"/>
                        <w:sz w:val="24"/>
                        <w:szCs w:val="24"/>
                        <w:vertAlign w:val="baseline"/>
                        <w:lang w:val="en-US" w:eastAsia="zh-CN" w:bidi="ar-SA"/>
                      </w:rPr>
                      <m:t>+</m:t>
                    </m:r>
                    <m:sSub>
                      <m:sSubPr>
                        <m:ctrlPr>
                          <w:rPr>
                            <w:rFonts w:hint="default" w:ascii="Cambria Math" w:hAnsi="Cambria Math" w:eastAsia="宋体" w:cs="Times New Roman"/>
                            <w:b w:val="0"/>
                            <w:bCs w:val="0"/>
                            <w:color w:val="0000FF"/>
                            <w:kern w:val="2"/>
                            <w:sz w:val="24"/>
                            <w:szCs w:val="24"/>
                            <w:vertAlign w:val="baseline"/>
                            <w:lang w:val="en-US" w:eastAsia="zh-CN" w:bidi="ar-SA"/>
                          </w:rPr>
                        </m:ctrlPr>
                      </m:sSubPr>
                      <m:e>
                        <m:r>
                          <m:rPr>
                            <m:sty m:val="p"/>
                          </m:rPr>
                          <w:rPr>
                            <w:rFonts w:hint="default" w:ascii="Cambria Math" w:hAnsi="Cambria Math" w:eastAsia="宋体" w:cs="Times New Roman"/>
                            <w:color w:val="0000FF"/>
                            <w:kern w:val="2"/>
                            <w:sz w:val="24"/>
                            <w:szCs w:val="24"/>
                            <w:vertAlign w:val="baseline"/>
                            <w:lang w:val="en-US" w:eastAsia="zh-CN" w:bidi="ar-SA"/>
                          </w:rPr>
                          <m:t>C</m:t>
                        </m:r>
                        <m:ctrlPr>
                          <w:rPr>
                            <w:rFonts w:hint="default" w:ascii="Cambria Math" w:hAnsi="Cambria Math" w:eastAsia="宋体" w:cs="Times New Roman"/>
                            <w:b w:val="0"/>
                            <w:bCs w:val="0"/>
                            <w:color w:val="0000FF"/>
                            <w:kern w:val="2"/>
                            <w:sz w:val="24"/>
                            <w:szCs w:val="24"/>
                            <w:vertAlign w:val="baseline"/>
                            <w:lang w:val="en-US" w:eastAsia="zh-CN" w:bidi="ar-SA"/>
                          </w:rPr>
                        </m:ctrlPr>
                      </m:e>
                      <m:sub>
                        <m:r>
                          <m:rPr>
                            <m:sty m:val="p"/>
                          </m:rPr>
                          <w:rPr>
                            <w:rFonts w:hint="default" w:ascii="Cambria Math" w:hAnsi="Cambria Math" w:eastAsia="宋体" w:cs="Times New Roman"/>
                            <w:color w:val="0000FF"/>
                            <w:kern w:val="2"/>
                            <w:sz w:val="24"/>
                            <w:szCs w:val="24"/>
                            <w:vertAlign w:val="baseline"/>
                            <w:lang w:val="en-US" w:eastAsia="zh-CN" w:bidi="ar-SA"/>
                          </w:rPr>
                          <m:t>f</m:t>
                        </m:r>
                        <m:ctrlPr>
                          <w:rPr>
                            <w:rFonts w:hint="default" w:ascii="Cambria Math" w:hAnsi="Cambria Math" w:eastAsia="宋体" w:cs="Times New Roman"/>
                            <w:b w:val="0"/>
                            <w:bCs w:val="0"/>
                            <w:color w:val="0000FF"/>
                            <w:kern w:val="2"/>
                            <w:sz w:val="24"/>
                            <w:szCs w:val="24"/>
                            <w:vertAlign w:val="baseline"/>
                            <w:lang w:val="en-US" w:eastAsia="zh-CN" w:bidi="ar-SA"/>
                          </w:rPr>
                        </m:ctrlPr>
                      </m:sub>
                    </m:sSub>
                    <m:r>
                      <m:rPr>
                        <m:sty m:val="p"/>
                      </m:rPr>
                      <w:rPr>
                        <w:rFonts w:hint="default" w:ascii="Cambria Math" w:hAnsi="Cambria Math" w:eastAsia="宋体" w:cs="Times New Roman"/>
                        <w:color w:val="0000FF"/>
                        <w:kern w:val="2"/>
                        <w:sz w:val="24"/>
                        <w:szCs w:val="24"/>
                        <w:vertAlign w:val="baseline"/>
                        <w:lang w:val="en-US" w:eastAsia="zh-CN" w:bidi="ar-SA"/>
                      </w:rPr>
                      <m:t>×</m:t>
                    </m:r>
                    <m:sSub>
                      <m:sSubPr>
                        <m:ctrlPr>
                          <w:rPr>
                            <w:rFonts w:hint="default" w:ascii="Cambria Math" w:hAnsi="Cambria Math" w:eastAsia="宋体" w:cs="Times New Roman"/>
                            <w:b w:val="0"/>
                            <w:bCs w:val="0"/>
                            <w:color w:val="0000FF"/>
                            <w:kern w:val="2"/>
                            <w:sz w:val="24"/>
                            <w:szCs w:val="24"/>
                            <w:vertAlign w:val="baseline"/>
                            <w:lang w:val="en-US" w:eastAsia="zh-CN" w:bidi="ar-SA"/>
                          </w:rPr>
                        </m:ctrlPr>
                      </m:sSubPr>
                      <m:e>
                        <m:r>
                          <m:rPr>
                            <m:sty m:val="p"/>
                          </m:rPr>
                          <w:rPr>
                            <w:rFonts w:hint="default" w:ascii="Cambria Math" w:hAnsi="Cambria Math" w:eastAsia="宋体" w:cs="Times New Roman"/>
                            <w:color w:val="0000FF"/>
                            <w:kern w:val="2"/>
                            <w:sz w:val="24"/>
                            <w:szCs w:val="24"/>
                            <w:vertAlign w:val="baseline"/>
                            <w:lang w:val="en-US" w:eastAsia="zh-CN" w:bidi="ar-SA"/>
                          </w:rPr>
                          <m:t>m</m:t>
                        </m:r>
                        <m:ctrlPr>
                          <w:rPr>
                            <w:rFonts w:hint="default" w:ascii="Cambria Math" w:hAnsi="Cambria Math" w:eastAsia="宋体" w:cs="Times New Roman"/>
                            <w:b w:val="0"/>
                            <w:bCs w:val="0"/>
                            <w:color w:val="0000FF"/>
                            <w:kern w:val="2"/>
                            <w:sz w:val="24"/>
                            <w:szCs w:val="24"/>
                            <w:vertAlign w:val="baseline"/>
                            <w:lang w:val="en-US" w:eastAsia="zh-CN" w:bidi="ar-SA"/>
                          </w:rPr>
                        </m:ctrlPr>
                      </m:e>
                      <m:sub>
                        <m:r>
                          <m:rPr>
                            <m:sty m:val="p"/>
                          </m:rPr>
                          <w:rPr>
                            <w:rFonts w:hint="default" w:ascii="Cambria Math" w:hAnsi="Cambria Math" w:eastAsia="宋体" w:cs="Times New Roman"/>
                            <w:color w:val="0000FF"/>
                            <w:kern w:val="2"/>
                            <w:sz w:val="24"/>
                            <w:szCs w:val="24"/>
                            <w:vertAlign w:val="baseline"/>
                            <w:lang w:val="en-US" w:eastAsia="zh-CN" w:bidi="ar-SA"/>
                          </w:rPr>
                          <m:t>f</m:t>
                        </m:r>
                        <m:ctrlPr>
                          <w:rPr>
                            <w:rFonts w:hint="default" w:ascii="Cambria Math" w:hAnsi="Cambria Math" w:eastAsia="宋体" w:cs="Times New Roman"/>
                            <w:b w:val="0"/>
                            <w:bCs w:val="0"/>
                            <w:color w:val="0000FF"/>
                            <w:kern w:val="2"/>
                            <w:sz w:val="24"/>
                            <w:szCs w:val="24"/>
                            <w:vertAlign w:val="baseline"/>
                            <w:lang w:val="en-US" w:eastAsia="zh-CN" w:bidi="ar-SA"/>
                          </w:rPr>
                        </m:ctrlPr>
                      </m:sub>
                    </m:sSub>
                    <m:r>
                      <m:rPr>
                        <m:sty m:val="p"/>
                      </m:rPr>
                      <w:rPr>
                        <w:rFonts w:hint="default" w:ascii="Cambria Math" w:hAnsi="Cambria Math" w:eastAsia="宋体" w:cs="Times New Roman"/>
                        <w:color w:val="0000FF"/>
                        <w:kern w:val="2"/>
                        <w:sz w:val="24"/>
                        <w:szCs w:val="24"/>
                        <w:vertAlign w:val="baseline"/>
                        <w:lang w:val="en-US" w:eastAsia="zh-CN" w:bidi="ar-SA"/>
                      </w:rPr>
                      <m:t>+</m:t>
                    </m:r>
                    <m:sSub>
                      <m:sSubPr>
                        <m:ctrlPr>
                          <w:rPr>
                            <w:rFonts w:hint="default" w:ascii="Cambria Math" w:hAnsi="Cambria Math" w:eastAsia="宋体" w:cs="Times New Roman"/>
                            <w:b w:val="0"/>
                            <w:bCs w:val="0"/>
                            <w:color w:val="0000FF"/>
                            <w:kern w:val="2"/>
                            <w:sz w:val="24"/>
                            <w:szCs w:val="24"/>
                            <w:vertAlign w:val="baseline"/>
                            <w:lang w:val="en-US" w:eastAsia="zh-CN" w:bidi="ar-SA"/>
                          </w:rPr>
                        </m:ctrlPr>
                      </m:sSubPr>
                      <m:e>
                        <m:r>
                          <m:rPr>
                            <m:sty m:val="p"/>
                          </m:rPr>
                          <w:rPr>
                            <w:rFonts w:hint="default" w:ascii="Cambria Math" w:hAnsi="Cambria Math" w:eastAsia="宋体" w:cs="Times New Roman"/>
                            <w:color w:val="0000FF"/>
                            <w:kern w:val="2"/>
                            <w:sz w:val="24"/>
                            <w:szCs w:val="24"/>
                            <w:vertAlign w:val="baseline"/>
                            <w:lang w:val="en-US" w:eastAsia="zh-CN" w:bidi="ar-SA"/>
                          </w:rPr>
                          <m:t>C</m:t>
                        </m:r>
                        <m:ctrlPr>
                          <w:rPr>
                            <w:rFonts w:hint="default" w:ascii="Cambria Math" w:hAnsi="Cambria Math" w:eastAsia="宋体" w:cs="Times New Roman"/>
                            <w:b w:val="0"/>
                            <w:bCs w:val="0"/>
                            <w:color w:val="0000FF"/>
                            <w:kern w:val="2"/>
                            <w:sz w:val="24"/>
                            <w:szCs w:val="24"/>
                            <w:vertAlign w:val="baseline"/>
                            <w:lang w:val="en-US" w:eastAsia="zh-CN" w:bidi="ar-SA"/>
                          </w:rPr>
                        </m:ctrlPr>
                      </m:e>
                      <m:sub>
                        <m:r>
                          <m:rPr>
                            <m:sty m:val="p"/>
                          </m:rPr>
                          <w:rPr>
                            <w:rFonts w:hint="default" w:ascii="Cambria Math" w:hAnsi="Cambria Math" w:eastAsia="宋体" w:cs="Times New Roman"/>
                            <w:color w:val="0000FF"/>
                            <w:kern w:val="2"/>
                            <w:sz w:val="24"/>
                            <w:szCs w:val="24"/>
                            <w:vertAlign w:val="baseline"/>
                            <w:lang w:val="en-US" w:eastAsia="zh-CN" w:bidi="ar-SA"/>
                          </w:rPr>
                          <m:t>r</m:t>
                        </m:r>
                        <m:ctrlPr>
                          <w:rPr>
                            <w:rFonts w:hint="default" w:ascii="Cambria Math" w:hAnsi="Cambria Math" w:eastAsia="宋体" w:cs="Times New Roman"/>
                            <w:b w:val="0"/>
                            <w:bCs w:val="0"/>
                            <w:color w:val="0000FF"/>
                            <w:kern w:val="2"/>
                            <w:sz w:val="24"/>
                            <w:szCs w:val="24"/>
                            <w:vertAlign w:val="baseline"/>
                            <w:lang w:val="en-US" w:eastAsia="zh-CN" w:bidi="ar-SA"/>
                          </w:rPr>
                        </m:ctrlPr>
                      </m:sub>
                    </m:sSub>
                    <m:r>
                      <m:rPr>
                        <m:sty m:val="p"/>
                      </m:rPr>
                      <w:rPr>
                        <w:rFonts w:hint="default" w:ascii="Cambria Math" w:hAnsi="Cambria Math" w:eastAsia="宋体" w:cs="Times New Roman"/>
                        <w:color w:val="0000FF"/>
                        <w:kern w:val="2"/>
                        <w:sz w:val="24"/>
                        <w:szCs w:val="24"/>
                        <w:vertAlign w:val="baseline"/>
                        <w:lang w:val="en-US" w:eastAsia="zh-CN" w:bidi="ar-SA"/>
                      </w:rPr>
                      <m:t>×</m:t>
                    </m:r>
                    <m:sSub>
                      <m:sSubPr>
                        <m:ctrlPr>
                          <w:rPr>
                            <w:rFonts w:hint="default" w:ascii="Cambria Math" w:hAnsi="Cambria Math" w:eastAsia="宋体" w:cs="Times New Roman"/>
                            <w:b w:val="0"/>
                            <w:bCs w:val="0"/>
                            <w:color w:val="0000FF"/>
                            <w:kern w:val="2"/>
                            <w:sz w:val="24"/>
                            <w:szCs w:val="24"/>
                            <w:vertAlign w:val="baseline"/>
                            <w:lang w:val="en-US" w:eastAsia="zh-CN" w:bidi="ar-SA"/>
                          </w:rPr>
                        </m:ctrlPr>
                      </m:sSubPr>
                      <m:e>
                        <m:r>
                          <m:rPr>
                            <m:sty m:val="p"/>
                          </m:rPr>
                          <w:rPr>
                            <w:rFonts w:hint="default" w:ascii="Cambria Math" w:hAnsi="Cambria Math" w:eastAsia="宋体" w:cs="Times New Roman"/>
                            <w:color w:val="0000FF"/>
                            <w:kern w:val="2"/>
                            <w:sz w:val="24"/>
                            <w:szCs w:val="24"/>
                            <w:vertAlign w:val="baseline"/>
                            <w:lang w:val="en-US" w:eastAsia="zh-CN" w:bidi="ar-SA"/>
                          </w:rPr>
                          <m:t>m</m:t>
                        </m:r>
                        <m:ctrlPr>
                          <w:rPr>
                            <w:rFonts w:hint="default" w:ascii="Cambria Math" w:hAnsi="Cambria Math" w:eastAsia="宋体" w:cs="Times New Roman"/>
                            <w:b w:val="0"/>
                            <w:bCs w:val="0"/>
                            <w:color w:val="0000FF"/>
                            <w:kern w:val="2"/>
                            <w:sz w:val="24"/>
                            <w:szCs w:val="24"/>
                            <w:vertAlign w:val="baseline"/>
                            <w:lang w:val="en-US" w:eastAsia="zh-CN" w:bidi="ar-SA"/>
                          </w:rPr>
                        </m:ctrlPr>
                      </m:e>
                      <m:sub>
                        <m:r>
                          <m:rPr>
                            <m:sty m:val="p"/>
                          </m:rPr>
                          <w:rPr>
                            <w:rFonts w:hint="default" w:ascii="Cambria Math" w:hAnsi="Cambria Math" w:eastAsia="宋体" w:cs="Times New Roman"/>
                            <w:color w:val="0000FF"/>
                            <w:kern w:val="2"/>
                            <w:sz w:val="24"/>
                            <w:szCs w:val="24"/>
                            <w:vertAlign w:val="baseline"/>
                            <w:lang w:val="en-US" w:eastAsia="zh-CN" w:bidi="ar-SA"/>
                          </w:rPr>
                          <m:t>r</m:t>
                        </m:r>
                        <m:ctrlPr>
                          <w:rPr>
                            <w:rFonts w:hint="default" w:ascii="Cambria Math" w:hAnsi="Cambria Math" w:eastAsia="宋体" w:cs="Times New Roman"/>
                            <w:b w:val="0"/>
                            <w:bCs w:val="0"/>
                            <w:color w:val="0000FF"/>
                            <w:kern w:val="2"/>
                            <w:sz w:val="24"/>
                            <w:szCs w:val="24"/>
                            <w:vertAlign w:val="baseline"/>
                            <w:lang w:val="en-US" w:eastAsia="zh-CN" w:bidi="ar-SA"/>
                          </w:rPr>
                        </m:ctrlPr>
                      </m:sub>
                    </m:sSub>
                    <m:ctrlPr>
                      <w:rPr>
                        <w:rFonts w:hint="default" w:ascii="Cambria Math" w:hAnsi="Cambria Math" w:eastAsia="宋体" w:cs="Times New Roman"/>
                        <w:b w:val="0"/>
                        <w:bCs w:val="0"/>
                        <w:color w:val="0000FF"/>
                        <w:kern w:val="2"/>
                        <w:sz w:val="24"/>
                        <w:szCs w:val="24"/>
                        <w:vertAlign w:val="baseline"/>
                        <w:lang w:val="en-US" w:eastAsia="zh-CN" w:bidi="ar-SA"/>
                      </w:rPr>
                    </m:ctrlPr>
                  </m:num>
                  <m:den>
                    <m:sSub>
                      <m:sSubPr>
                        <m:ctrlPr>
                          <w:rPr>
                            <w:rFonts w:hint="default" w:ascii="Cambria Math" w:hAnsi="Cambria Math" w:eastAsia="宋体" w:cs="Times New Roman"/>
                            <w:b w:val="0"/>
                            <w:bCs w:val="0"/>
                            <w:color w:val="0000FF"/>
                            <w:kern w:val="2"/>
                            <w:sz w:val="24"/>
                            <w:szCs w:val="24"/>
                            <w:vertAlign w:val="baseline"/>
                            <w:lang w:val="en-US" w:eastAsia="zh-CN" w:bidi="ar-SA"/>
                          </w:rPr>
                        </m:ctrlPr>
                      </m:sSubPr>
                      <m:e>
                        <m:r>
                          <m:rPr>
                            <m:sty m:val="p"/>
                          </m:rPr>
                          <w:rPr>
                            <w:rFonts w:hint="default" w:ascii="Cambria Math" w:hAnsi="Cambria Math" w:eastAsia="宋体" w:cs="Times New Roman"/>
                            <w:color w:val="0000FF"/>
                            <w:kern w:val="2"/>
                            <w:sz w:val="24"/>
                            <w:szCs w:val="24"/>
                            <w:vertAlign w:val="baseline"/>
                            <w:lang w:val="en-US" w:eastAsia="zh-CN" w:bidi="ar-SA"/>
                          </w:rPr>
                          <m:t>m</m:t>
                        </m:r>
                        <m:ctrlPr>
                          <w:rPr>
                            <w:rFonts w:hint="default" w:ascii="Cambria Math" w:hAnsi="Cambria Math" w:eastAsia="宋体" w:cs="Times New Roman"/>
                            <w:b w:val="0"/>
                            <w:bCs w:val="0"/>
                            <w:color w:val="0000FF"/>
                            <w:kern w:val="2"/>
                            <w:sz w:val="24"/>
                            <w:szCs w:val="24"/>
                            <w:vertAlign w:val="baseline"/>
                            <w:lang w:val="en-US" w:eastAsia="zh-CN" w:bidi="ar-SA"/>
                          </w:rPr>
                        </m:ctrlPr>
                      </m:e>
                      <m:sub>
                        <m:r>
                          <m:rPr>
                            <m:sty m:val="p"/>
                          </m:rPr>
                          <w:rPr>
                            <w:rFonts w:hint="default" w:ascii="Cambria Math" w:hAnsi="Cambria Math" w:eastAsia="宋体" w:cs="Times New Roman"/>
                            <w:color w:val="0000FF"/>
                            <w:kern w:val="2"/>
                            <w:sz w:val="24"/>
                            <w:szCs w:val="24"/>
                            <w:vertAlign w:val="baseline"/>
                            <w:lang w:val="en-US" w:eastAsia="zh-CN" w:bidi="ar-SA"/>
                          </w:rPr>
                          <m:t>w</m:t>
                        </m:r>
                        <m:ctrlPr>
                          <w:rPr>
                            <w:rFonts w:hint="default" w:ascii="Cambria Math" w:hAnsi="Cambria Math" w:eastAsia="宋体" w:cs="Times New Roman"/>
                            <w:b w:val="0"/>
                            <w:bCs w:val="0"/>
                            <w:color w:val="0000FF"/>
                            <w:kern w:val="2"/>
                            <w:sz w:val="24"/>
                            <w:szCs w:val="24"/>
                            <w:vertAlign w:val="baseline"/>
                            <w:lang w:val="en-US" w:eastAsia="zh-CN" w:bidi="ar-SA"/>
                          </w:rPr>
                        </m:ctrlPr>
                      </m:sub>
                    </m:sSub>
                    <m:r>
                      <m:rPr>
                        <m:sty m:val="p"/>
                      </m:rPr>
                      <w:rPr>
                        <w:rFonts w:hint="default" w:ascii="Cambria Math" w:hAnsi="Cambria Math" w:eastAsia="宋体" w:cs="Times New Roman"/>
                        <w:color w:val="0000FF"/>
                        <w:kern w:val="2"/>
                        <w:sz w:val="24"/>
                        <w:szCs w:val="24"/>
                        <w:vertAlign w:val="baseline"/>
                        <w:lang w:val="en-US" w:eastAsia="zh-CN" w:bidi="ar-SA"/>
                      </w:rPr>
                      <m:t>+</m:t>
                    </m:r>
                    <m:sSub>
                      <m:sSubPr>
                        <m:ctrlPr>
                          <w:rPr>
                            <w:rFonts w:hint="default" w:ascii="Cambria Math" w:hAnsi="Cambria Math" w:eastAsia="宋体" w:cs="Times New Roman"/>
                            <w:b w:val="0"/>
                            <w:bCs w:val="0"/>
                            <w:color w:val="0000FF"/>
                            <w:kern w:val="2"/>
                            <w:sz w:val="24"/>
                            <w:szCs w:val="24"/>
                            <w:vertAlign w:val="baseline"/>
                            <w:lang w:val="en-US" w:eastAsia="zh-CN" w:bidi="ar-SA"/>
                          </w:rPr>
                        </m:ctrlPr>
                      </m:sSubPr>
                      <m:e>
                        <m:r>
                          <m:rPr>
                            <m:sty m:val="p"/>
                          </m:rPr>
                          <w:rPr>
                            <w:rFonts w:hint="default" w:ascii="Cambria Math" w:hAnsi="Cambria Math" w:eastAsia="宋体" w:cs="Times New Roman"/>
                            <w:color w:val="0000FF"/>
                            <w:kern w:val="2"/>
                            <w:sz w:val="24"/>
                            <w:szCs w:val="24"/>
                            <w:vertAlign w:val="baseline"/>
                            <w:lang w:val="en-US" w:eastAsia="zh-CN" w:bidi="ar-SA"/>
                          </w:rPr>
                          <m:t>m</m:t>
                        </m:r>
                        <m:ctrlPr>
                          <w:rPr>
                            <w:rFonts w:hint="default" w:ascii="Cambria Math" w:hAnsi="Cambria Math" w:eastAsia="宋体" w:cs="Times New Roman"/>
                            <w:b w:val="0"/>
                            <w:bCs w:val="0"/>
                            <w:color w:val="0000FF"/>
                            <w:kern w:val="2"/>
                            <w:sz w:val="24"/>
                            <w:szCs w:val="24"/>
                            <w:vertAlign w:val="baseline"/>
                            <w:lang w:val="en-US" w:eastAsia="zh-CN" w:bidi="ar-SA"/>
                          </w:rPr>
                        </m:ctrlPr>
                      </m:e>
                      <m:sub>
                        <m:r>
                          <m:rPr>
                            <m:sty m:val="p"/>
                          </m:rPr>
                          <w:rPr>
                            <w:rFonts w:hint="default" w:ascii="Cambria Math" w:hAnsi="Cambria Math" w:eastAsia="宋体" w:cs="Times New Roman"/>
                            <w:color w:val="0000FF"/>
                            <w:kern w:val="2"/>
                            <w:sz w:val="24"/>
                            <w:szCs w:val="24"/>
                            <w:vertAlign w:val="baseline"/>
                            <w:lang w:val="en-US" w:eastAsia="zh-CN" w:bidi="ar-SA"/>
                          </w:rPr>
                          <m:t>f</m:t>
                        </m:r>
                        <m:ctrlPr>
                          <w:rPr>
                            <w:rFonts w:hint="default" w:ascii="Cambria Math" w:hAnsi="Cambria Math" w:eastAsia="宋体" w:cs="Times New Roman"/>
                            <w:b w:val="0"/>
                            <w:bCs w:val="0"/>
                            <w:color w:val="0000FF"/>
                            <w:kern w:val="2"/>
                            <w:sz w:val="24"/>
                            <w:szCs w:val="24"/>
                            <w:vertAlign w:val="baseline"/>
                            <w:lang w:val="en-US" w:eastAsia="zh-CN" w:bidi="ar-SA"/>
                          </w:rPr>
                        </m:ctrlPr>
                      </m:sub>
                    </m:sSub>
                    <m:r>
                      <m:rPr>
                        <m:sty m:val="p"/>
                      </m:rPr>
                      <w:rPr>
                        <w:rFonts w:hint="default" w:ascii="Cambria Math" w:hAnsi="Cambria Math" w:eastAsia="宋体" w:cs="Times New Roman"/>
                        <w:color w:val="0000FF"/>
                        <w:kern w:val="2"/>
                        <w:sz w:val="24"/>
                        <w:szCs w:val="24"/>
                        <w:vertAlign w:val="baseline"/>
                        <w:lang w:val="en-US" w:eastAsia="zh-CN" w:bidi="ar-SA"/>
                      </w:rPr>
                      <m:t>+</m:t>
                    </m:r>
                    <m:sSub>
                      <m:sSubPr>
                        <m:ctrlPr>
                          <w:rPr>
                            <w:rFonts w:hint="default" w:ascii="Cambria Math" w:hAnsi="Cambria Math" w:eastAsia="宋体" w:cs="Times New Roman"/>
                            <w:b w:val="0"/>
                            <w:bCs w:val="0"/>
                            <w:color w:val="0000FF"/>
                            <w:kern w:val="2"/>
                            <w:sz w:val="24"/>
                            <w:szCs w:val="24"/>
                            <w:vertAlign w:val="baseline"/>
                            <w:lang w:val="en-US" w:eastAsia="zh-CN" w:bidi="ar-SA"/>
                          </w:rPr>
                        </m:ctrlPr>
                      </m:sSubPr>
                      <m:e>
                        <m:r>
                          <m:rPr>
                            <m:sty m:val="p"/>
                          </m:rPr>
                          <w:rPr>
                            <w:rFonts w:hint="default" w:ascii="Cambria Math" w:hAnsi="Cambria Math" w:eastAsia="宋体" w:cs="Times New Roman"/>
                            <w:color w:val="0000FF"/>
                            <w:kern w:val="2"/>
                            <w:sz w:val="24"/>
                            <w:szCs w:val="24"/>
                            <w:vertAlign w:val="baseline"/>
                            <w:lang w:val="en-US" w:eastAsia="zh-CN" w:bidi="ar-SA"/>
                          </w:rPr>
                          <m:t>m</m:t>
                        </m:r>
                        <m:ctrlPr>
                          <w:rPr>
                            <w:rFonts w:hint="default" w:ascii="Cambria Math" w:hAnsi="Cambria Math" w:eastAsia="宋体" w:cs="Times New Roman"/>
                            <w:b w:val="0"/>
                            <w:bCs w:val="0"/>
                            <w:color w:val="0000FF"/>
                            <w:kern w:val="2"/>
                            <w:sz w:val="24"/>
                            <w:szCs w:val="24"/>
                            <w:vertAlign w:val="baseline"/>
                            <w:lang w:val="en-US" w:eastAsia="zh-CN" w:bidi="ar-SA"/>
                          </w:rPr>
                        </m:ctrlPr>
                      </m:e>
                      <m:sub>
                        <m:r>
                          <m:rPr>
                            <m:sty m:val="p"/>
                          </m:rPr>
                          <w:rPr>
                            <w:rFonts w:hint="default" w:ascii="Cambria Math" w:hAnsi="Cambria Math" w:eastAsia="宋体" w:cs="Times New Roman"/>
                            <w:color w:val="0000FF"/>
                            <w:kern w:val="2"/>
                            <w:sz w:val="24"/>
                            <w:szCs w:val="24"/>
                            <w:vertAlign w:val="baseline"/>
                            <w:lang w:val="en-US" w:eastAsia="zh-CN" w:bidi="ar-SA"/>
                          </w:rPr>
                          <m:t>r</m:t>
                        </m:r>
                        <m:ctrlPr>
                          <w:rPr>
                            <w:rFonts w:hint="default" w:ascii="Cambria Math" w:hAnsi="Cambria Math" w:eastAsia="宋体" w:cs="Times New Roman"/>
                            <w:b w:val="0"/>
                            <w:bCs w:val="0"/>
                            <w:color w:val="0000FF"/>
                            <w:kern w:val="2"/>
                            <w:sz w:val="24"/>
                            <w:szCs w:val="24"/>
                            <w:vertAlign w:val="baseline"/>
                            <w:lang w:val="en-US" w:eastAsia="zh-CN" w:bidi="ar-SA"/>
                          </w:rPr>
                        </m:ctrlPr>
                      </m:sub>
                    </m:sSub>
                    <m:ctrlPr>
                      <w:rPr>
                        <w:rFonts w:hint="default" w:ascii="Cambria Math" w:hAnsi="Cambria Math" w:eastAsia="宋体" w:cs="Times New Roman"/>
                        <w:b w:val="0"/>
                        <w:bCs w:val="0"/>
                        <w:color w:val="0000FF"/>
                        <w:kern w:val="2"/>
                        <w:sz w:val="24"/>
                        <w:szCs w:val="24"/>
                        <w:vertAlign w:val="baseline"/>
                        <w:lang w:val="en-US" w:eastAsia="zh-CN" w:bidi="ar-SA"/>
                      </w:rPr>
                    </m:ctrlPr>
                  </m:den>
                </m:f>
              </m:oMath>
            </m:oMathPara>
          </w:p>
          <w:p w14:paraId="5A755BB3">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vertAlign w:val="baseline"/>
                <w:lang w:val="en-US" w:eastAsia="zh-CN" w:bidi="ar-SA"/>
              </w:rPr>
            </w:pPr>
            <w:r>
              <w:rPr>
                <w:rFonts w:hint="eastAsia" w:hAnsi="Cambria Math" w:eastAsia="宋体" w:cs="Times New Roman"/>
                <w:b w:val="0"/>
                <w:bCs w:val="0"/>
                <w:i w:val="0"/>
                <w:color w:val="0000FF"/>
                <w:kern w:val="2"/>
                <w:sz w:val="24"/>
                <w:szCs w:val="24"/>
                <w:vertAlign w:val="baseline"/>
                <w:lang w:val="en-US" w:eastAsia="zh-CN" w:bidi="ar-SA"/>
              </w:rPr>
              <w:t>式中：C为入窑物料中</w:t>
            </w:r>
            <w:r>
              <w:rPr>
                <w:rFonts w:hint="eastAsia" w:ascii="Times New Roman" w:hAnsi="Times New Roman" w:eastAsia="宋体" w:cs="Times New Roman"/>
                <w:b w:val="0"/>
                <w:bCs w:val="0"/>
                <w:color w:val="0000FF"/>
                <w:kern w:val="2"/>
                <w:sz w:val="24"/>
                <w:szCs w:val="24"/>
                <w:vertAlign w:val="baseline"/>
                <w:lang w:val="en-US" w:eastAsia="zh-CN" w:bidi="ar-SA"/>
              </w:rPr>
              <w:t>氟（F）元素或氯（Cl）元素的含量，%；</w:t>
            </w:r>
          </w:p>
          <w:p w14:paraId="45430ACF">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jc w:val="both"/>
              <w:textAlignment w:val="auto"/>
              <w:rPr>
                <w:rFonts w:hint="eastAsia" w:ascii="Times New Roman" w:hAnsi="Times New Roman" w:eastAsia="宋体" w:cs="Times New Roman"/>
                <w:b w:val="0"/>
                <w:bCs w:val="0"/>
                <w:color w:val="0000FF"/>
                <w:kern w:val="2"/>
                <w:sz w:val="24"/>
                <w:szCs w:val="24"/>
                <w:vertAlign w:val="baseline"/>
                <w:lang w:val="en-US" w:eastAsia="zh-CN" w:bidi="ar-SA"/>
              </w:rPr>
            </w:pPr>
            <w:r>
              <w:rPr>
                <w:rFonts w:hint="eastAsia" w:ascii="Times New Roman" w:hAnsi="Times New Roman" w:eastAsia="宋体" w:cs="Times New Roman"/>
                <w:b w:val="0"/>
                <w:bCs w:val="0"/>
                <w:color w:val="0000FF"/>
                <w:kern w:val="2"/>
                <w:sz w:val="24"/>
                <w:szCs w:val="24"/>
                <w:vertAlign w:val="baseline"/>
                <w:lang w:val="en-US" w:eastAsia="zh-CN" w:bidi="ar-SA"/>
              </w:rPr>
              <w:t>C</w:t>
            </w:r>
            <w:r>
              <w:rPr>
                <w:rFonts w:hint="eastAsia" w:ascii="Times New Roman" w:hAnsi="Times New Roman" w:eastAsia="宋体" w:cs="Times New Roman"/>
                <w:b w:val="0"/>
                <w:bCs w:val="0"/>
                <w:color w:val="0000FF"/>
                <w:kern w:val="2"/>
                <w:sz w:val="24"/>
                <w:szCs w:val="24"/>
                <w:vertAlign w:val="subscript"/>
                <w:lang w:val="en-US" w:eastAsia="zh-CN" w:bidi="ar-SA"/>
              </w:rPr>
              <w:t>w</w:t>
            </w:r>
            <w:r>
              <w:rPr>
                <w:rFonts w:hint="eastAsia" w:ascii="Times New Roman" w:hAnsi="Times New Roman" w:eastAsia="宋体" w:cs="Times New Roman"/>
                <w:b w:val="0"/>
                <w:bCs w:val="0"/>
                <w:color w:val="0000FF"/>
                <w:kern w:val="2"/>
                <w:sz w:val="24"/>
                <w:szCs w:val="24"/>
                <w:vertAlign w:val="baseline"/>
                <w:lang w:val="en-US" w:eastAsia="zh-CN" w:bidi="ar-SA"/>
              </w:rPr>
              <w:t>、C</w:t>
            </w:r>
            <w:r>
              <w:rPr>
                <w:rFonts w:hint="eastAsia" w:ascii="Times New Roman" w:hAnsi="Times New Roman" w:eastAsia="宋体" w:cs="Times New Roman"/>
                <w:b w:val="0"/>
                <w:bCs w:val="0"/>
                <w:color w:val="0000FF"/>
                <w:kern w:val="2"/>
                <w:sz w:val="24"/>
                <w:szCs w:val="24"/>
                <w:vertAlign w:val="subscript"/>
                <w:lang w:val="en-US" w:eastAsia="zh-CN" w:bidi="ar-SA"/>
              </w:rPr>
              <w:t>f</w:t>
            </w:r>
            <w:r>
              <w:rPr>
                <w:rFonts w:hint="eastAsia" w:ascii="Times New Roman" w:hAnsi="Times New Roman" w:eastAsia="宋体" w:cs="Times New Roman"/>
                <w:b w:val="0"/>
                <w:bCs w:val="0"/>
                <w:color w:val="0000FF"/>
                <w:kern w:val="2"/>
                <w:sz w:val="24"/>
                <w:szCs w:val="24"/>
                <w:vertAlign w:val="baseline"/>
                <w:lang w:val="en-US" w:eastAsia="zh-CN" w:bidi="ar-SA"/>
              </w:rPr>
              <w:t>和C</w:t>
            </w:r>
            <w:r>
              <w:rPr>
                <w:rFonts w:hint="eastAsia" w:ascii="Times New Roman" w:hAnsi="Times New Roman" w:eastAsia="宋体" w:cs="Times New Roman"/>
                <w:b w:val="0"/>
                <w:bCs w:val="0"/>
                <w:color w:val="0000FF"/>
                <w:kern w:val="2"/>
                <w:sz w:val="24"/>
                <w:szCs w:val="24"/>
                <w:vertAlign w:val="subscript"/>
                <w:lang w:val="en-US" w:eastAsia="zh-CN" w:bidi="ar-SA"/>
              </w:rPr>
              <w:t>r</w:t>
            </w:r>
            <w:r>
              <w:rPr>
                <w:rFonts w:hint="eastAsia" w:ascii="Times New Roman" w:hAnsi="Times New Roman" w:eastAsia="宋体" w:cs="Times New Roman"/>
                <w:b w:val="0"/>
                <w:bCs w:val="0"/>
                <w:color w:val="0000FF"/>
                <w:kern w:val="2"/>
                <w:sz w:val="24"/>
                <w:szCs w:val="24"/>
                <w:vertAlign w:val="baseline"/>
                <w:lang w:val="en-US" w:eastAsia="zh-CN" w:bidi="ar-SA"/>
              </w:rPr>
              <w:t>分别为固体废物、常规燃料和常规原料中的氟（F）元素或氯（Cl）</w:t>
            </w:r>
          </w:p>
          <w:p w14:paraId="4A3CCDE1">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jc w:val="both"/>
              <w:textAlignment w:val="auto"/>
              <w:rPr>
                <w:rFonts w:hint="eastAsia" w:ascii="Times New Roman" w:hAnsi="Times New Roman" w:eastAsia="宋体" w:cs="Times New Roman"/>
                <w:b w:val="0"/>
                <w:bCs w:val="0"/>
                <w:color w:val="0000FF"/>
                <w:kern w:val="2"/>
                <w:sz w:val="24"/>
                <w:szCs w:val="24"/>
                <w:vertAlign w:val="baseline"/>
                <w:lang w:val="en-US" w:eastAsia="zh-CN" w:bidi="ar-SA"/>
              </w:rPr>
            </w:pPr>
            <w:r>
              <w:rPr>
                <w:rFonts w:hint="eastAsia" w:ascii="Times New Roman" w:hAnsi="Times New Roman" w:eastAsia="宋体" w:cs="Times New Roman"/>
                <w:b w:val="0"/>
                <w:bCs w:val="0"/>
                <w:color w:val="0000FF"/>
                <w:kern w:val="2"/>
                <w:sz w:val="24"/>
                <w:szCs w:val="24"/>
                <w:vertAlign w:val="baseline"/>
                <w:lang w:val="en-US" w:eastAsia="zh-CN" w:bidi="ar-SA"/>
              </w:rPr>
              <w:t>元素的含量，%；</w:t>
            </w:r>
          </w:p>
          <w:p w14:paraId="1149EE43">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jc w:val="both"/>
              <w:textAlignment w:val="auto"/>
              <w:rPr>
                <w:rFonts w:hint="eastAsia" w:ascii="Times New Roman" w:hAnsi="Times New Roman" w:eastAsia="宋体" w:cs="Times New Roman"/>
                <w:b w:val="0"/>
                <w:bCs w:val="0"/>
                <w:color w:val="0000FF"/>
                <w:kern w:val="2"/>
                <w:sz w:val="24"/>
                <w:szCs w:val="24"/>
                <w:vertAlign w:val="baseline"/>
                <w:lang w:val="en-US" w:eastAsia="zh-CN" w:bidi="ar-SA"/>
              </w:rPr>
            </w:pPr>
            <w:r>
              <w:rPr>
                <w:rFonts w:hint="eastAsia" w:ascii="Times New Roman" w:hAnsi="Times New Roman" w:eastAsia="宋体" w:cs="Times New Roman"/>
                <w:b w:val="0"/>
                <w:bCs w:val="0"/>
                <w:color w:val="0000FF"/>
                <w:kern w:val="2"/>
                <w:sz w:val="24"/>
                <w:szCs w:val="24"/>
                <w:vertAlign w:val="baseline"/>
                <w:lang w:val="en-US" w:eastAsia="zh-CN" w:bidi="ar-SA"/>
              </w:rPr>
              <w:t>m</w:t>
            </w:r>
            <w:r>
              <w:rPr>
                <w:rFonts w:hint="eastAsia" w:ascii="Times New Roman" w:hAnsi="Times New Roman" w:eastAsia="宋体" w:cs="Times New Roman"/>
                <w:b w:val="0"/>
                <w:bCs w:val="0"/>
                <w:color w:val="0000FF"/>
                <w:kern w:val="2"/>
                <w:sz w:val="24"/>
                <w:szCs w:val="24"/>
                <w:vertAlign w:val="subscript"/>
                <w:lang w:val="en-US" w:eastAsia="zh-CN" w:bidi="ar-SA"/>
              </w:rPr>
              <w:t>w</w:t>
            </w:r>
            <w:r>
              <w:rPr>
                <w:rFonts w:hint="eastAsia" w:ascii="Times New Roman" w:hAnsi="Times New Roman" w:eastAsia="宋体" w:cs="Times New Roman"/>
                <w:b w:val="0"/>
                <w:bCs w:val="0"/>
                <w:color w:val="0000FF"/>
                <w:kern w:val="2"/>
                <w:sz w:val="24"/>
                <w:szCs w:val="24"/>
                <w:vertAlign w:val="baseline"/>
                <w:lang w:val="en-US" w:eastAsia="zh-CN" w:bidi="ar-SA"/>
              </w:rPr>
              <w:t>、m</w:t>
            </w:r>
            <w:r>
              <w:rPr>
                <w:rFonts w:hint="eastAsia" w:ascii="Times New Roman" w:hAnsi="Times New Roman" w:eastAsia="宋体" w:cs="Times New Roman"/>
                <w:b w:val="0"/>
                <w:bCs w:val="0"/>
                <w:color w:val="0000FF"/>
                <w:kern w:val="2"/>
                <w:sz w:val="24"/>
                <w:szCs w:val="24"/>
                <w:vertAlign w:val="subscript"/>
                <w:lang w:val="en-US" w:eastAsia="zh-CN" w:bidi="ar-SA"/>
              </w:rPr>
              <w:t>f</w:t>
            </w:r>
            <w:r>
              <w:rPr>
                <w:rFonts w:hint="eastAsia" w:ascii="Times New Roman" w:hAnsi="Times New Roman" w:eastAsia="宋体" w:cs="Times New Roman"/>
                <w:b w:val="0"/>
                <w:bCs w:val="0"/>
                <w:color w:val="0000FF"/>
                <w:kern w:val="2"/>
                <w:sz w:val="24"/>
                <w:szCs w:val="24"/>
                <w:vertAlign w:val="baseline"/>
                <w:lang w:val="en-US" w:eastAsia="zh-CN" w:bidi="ar-SA"/>
              </w:rPr>
              <w:t>和m</w:t>
            </w:r>
            <w:r>
              <w:rPr>
                <w:rFonts w:hint="eastAsia" w:ascii="Times New Roman" w:hAnsi="Times New Roman" w:eastAsia="宋体" w:cs="Times New Roman"/>
                <w:b w:val="0"/>
                <w:bCs w:val="0"/>
                <w:color w:val="0000FF"/>
                <w:kern w:val="2"/>
                <w:sz w:val="24"/>
                <w:szCs w:val="24"/>
                <w:vertAlign w:val="subscript"/>
                <w:lang w:val="en-US" w:eastAsia="zh-CN" w:bidi="ar-SA"/>
              </w:rPr>
              <w:t>r</w:t>
            </w:r>
            <w:r>
              <w:rPr>
                <w:rFonts w:hint="eastAsia" w:ascii="Times New Roman" w:hAnsi="Times New Roman" w:eastAsia="宋体" w:cs="Times New Roman"/>
                <w:b w:val="0"/>
                <w:bCs w:val="0"/>
                <w:color w:val="0000FF"/>
                <w:kern w:val="2"/>
                <w:sz w:val="24"/>
                <w:szCs w:val="24"/>
                <w:vertAlign w:val="baseline"/>
                <w:lang w:val="en-US" w:eastAsia="zh-CN" w:bidi="ar-SA"/>
              </w:rPr>
              <w:t>分别为单位时间内固体废物、常规燃料和常规原料的投加量，kg/h。</w:t>
            </w:r>
          </w:p>
          <w:p w14:paraId="44A65084">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vertAlign w:val="baseline"/>
                <w:lang w:val="en-US" w:eastAsia="zh-CN" w:bidi="ar-SA"/>
              </w:rPr>
            </w:pPr>
            <w:r>
              <w:rPr>
                <w:rFonts w:hint="eastAsia" w:ascii="Times New Roman" w:hAnsi="Times New Roman" w:eastAsia="宋体" w:cs="Times New Roman"/>
                <w:b w:val="0"/>
                <w:bCs w:val="0"/>
                <w:color w:val="0000FF"/>
                <w:kern w:val="2"/>
                <w:sz w:val="24"/>
                <w:szCs w:val="24"/>
                <w:vertAlign w:val="baseline"/>
                <w:lang w:val="en-US" w:eastAsia="zh-CN" w:bidi="ar-SA"/>
              </w:rPr>
              <w:t>项目入窑物料中氟（F）元素或氯（Cl）元素的含量计算结果如下表2-</w:t>
            </w:r>
            <w:r>
              <w:rPr>
                <w:rFonts w:hint="eastAsia" w:cs="Times New Roman"/>
                <w:b w:val="0"/>
                <w:bCs w:val="0"/>
                <w:color w:val="0000FF"/>
                <w:kern w:val="2"/>
                <w:sz w:val="24"/>
                <w:szCs w:val="24"/>
                <w:vertAlign w:val="baseline"/>
                <w:lang w:val="en-US" w:eastAsia="zh-CN" w:bidi="ar-SA"/>
              </w:rPr>
              <w:t>19</w:t>
            </w:r>
            <w:r>
              <w:rPr>
                <w:rFonts w:hint="eastAsia" w:ascii="Times New Roman" w:hAnsi="Times New Roman" w:eastAsia="宋体" w:cs="Times New Roman"/>
                <w:b w:val="0"/>
                <w:bCs w:val="0"/>
                <w:color w:val="0000FF"/>
                <w:kern w:val="2"/>
                <w:sz w:val="24"/>
                <w:szCs w:val="24"/>
                <w:vertAlign w:val="baseline"/>
                <w:lang w:val="en-US" w:eastAsia="zh-CN" w:bidi="ar-SA"/>
              </w:rPr>
              <w:t>、表2-</w:t>
            </w:r>
            <w:r>
              <w:rPr>
                <w:rFonts w:hint="eastAsia" w:cs="Times New Roman"/>
                <w:b w:val="0"/>
                <w:bCs w:val="0"/>
                <w:color w:val="0000FF"/>
                <w:kern w:val="2"/>
                <w:sz w:val="24"/>
                <w:szCs w:val="24"/>
                <w:vertAlign w:val="baseline"/>
                <w:lang w:val="en-US" w:eastAsia="zh-CN" w:bidi="ar-SA"/>
              </w:rPr>
              <w:t>20</w:t>
            </w:r>
            <w:r>
              <w:rPr>
                <w:rFonts w:hint="eastAsia" w:ascii="Times New Roman" w:hAnsi="Times New Roman" w:eastAsia="宋体" w:cs="Times New Roman"/>
                <w:b w:val="0"/>
                <w:bCs w:val="0"/>
                <w:color w:val="0000FF"/>
                <w:kern w:val="2"/>
                <w:sz w:val="24"/>
                <w:szCs w:val="24"/>
                <w:vertAlign w:val="baseline"/>
                <w:lang w:val="en-US" w:eastAsia="zh-CN" w:bidi="ar-SA"/>
              </w:rPr>
              <w:t>所示。</w:t>
            </w:r>
          </w:p>
          <w:p w14:paraId="5F70AD4B">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0000FF"/>
                <w:kern w:val="2"/>
                <w:sz w:val="24"/>
                <w:szCs w:val="24"/>
                <w:vertAlign w:val="baseline"/>
                <w:lang w:val="en-US" w:eastAsia="zh-CN" w:bidi="ar-SA"/>
              </w:rPr>
            </w:pPr>
            <w:r>
              <w:rPr>
                <w:rFonts w:hint="eastAsia" w:ascii="Times New Roman" w:hAnsi="Times New Roman" w:eastAsia="宋体" w:cs="Times New Roman"/>
                <w:b w:val="0"/>
                <w:bCs w:val="0"/>
                <w:color w:val="0000FF"/>
                <w:kern w:val="2"/>
                <w:sz w:val="24"/>
                <w:szCs w:val="24"/>
                <w:vertAlign w:val="baseline"/>
                <w:lang w:val="en-US" w:eastAsia="zh-CN" w:bidi="ar-SA"/>
              </w:rPr>
              <w:t>（1）入窑物料中氟（F）元素计算</w:t>
            </w:r>
          </w:p>
          <w:p w14:paraId="1AEC7A72">
            <w:pPr>
              <w:autoSpaceDE w:val="0"/>
              <w:autoSpaceDN w:val="0"/>
              <w:adjustRightInd w:val="0"/>
              <w:jc w:val="center"/>
              <w:rPr>
                <w:rFonts w:hint="eastAsia"/>
                <w:color w:val="0000FF"/>
                <w:lang w:eastAsia="zh-CN"/>
              </w:rPr>
            </w:pPr>
            <w:r>
              <w:rPr>
                <w:rFonts w:hint="eastAsia" w:ascii="Times New Roman" w:hAnsi="Times New Roman" w:cs="Times New Roman"/>
                <w:b/>
                <w:color w:val="0000FF"/>
              </w:rPr>
              <w:t>表</w:t>
            </w:r>
            <w:r>
              <w:rPr>
                <w:rFonts w:ascii="Times New Roman" w:hAnsi="Times New Roman" w:cs="Times New Roman"/>
                <w:b/>
                <w:color w:val="0000FF"/>
              </w:rPr>
              <w:t>2</w:t>
            </w:r>
            <w:r>
              <w:rPr>
                <w:rFonts w:hint="eastAsia" w:ascii="Times New Roman" w:hAnsi="Times New Roman" w:cs="Times New Roman"/>
                <w:b/>
                <w:color w:val="0000FF"/>
                <w:lang w:val="en-US" w:eastAsia="zh-CN"/>
              </w:rPr>
              <w:t>-</w:t>
            </w:r>
            <w:r>
              <w:rPr>
                <w:rFonts w:hint="eastAsia" w:cs="Times New Roman"/>
                <w:b/>
                <w:color w:val="0000FF"/>
                <w:lang w:val="en-US" w:eastAsia="zh-CN"/>
              </w:rPr>
              <w:t>22</w:t>
            </w:r>
            <w:r>
              <w:rPr>
                <w:rFonts w:ascii="Times New Roman" w:hAnsi="Times New Roman" w:cs="Times New Roman"/>
                <w:b/>
                <w:color w:val="0000FF"/>
              </w:rPr>
              <w:t xml:space="preserve"> </w:t>
            </w:r>
            <w:r>
              <w:rPr>
                <w:rFonts w:hint="eastAsia" w:ascii="Times New Roman" w:hAnsi="Times New Roman" w:cs="Times New Roman"/>
                <w:b/>
                <w:color w:val="0000FF"/>
                <w:lang w:eastAsia="zh-CN"/>
              </w:rPr>
              <w:t>水泥窑氟元素投加量限制判定</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1"/>
              <w:gridCol w:w="2251"/>
              <w:gridCol w:w="2251"/>
              <w:gridCol w:w="2421"/>
            </w:tblGrid>
            <w:tr w14:paraId="7B144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2251" w:type="dxa"/>
                  <w:vAlign w:val="center"/>
                </w:tcPr>
                <w:p w14:paraId="260A7131">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物料</w:t>
                  </w:r>
                </w:p>
              </w:tc>
              <w:tc>
                <w:tcPr>
                  <w:tcW w:w="2251" w:type="dxa"/>
                  <w:vAlign w:val="center"/>
                </w:tcPr>
                <w:p w14:paraId="230AB544">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年用量（t/a）</w:t>
                  </w:r>
                </w:p>
              </w:tc>
              <w:tc>
                <w:tcPr>
                  <w:tcW w:w="2251" w:type="dxa"/>
                  <w:vAlign w:val="center"/>
                </w:tcPr>
                <w:p w14:paraId="225FBAD5">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氟含量（%）</w:t>
                  </w:r>
                </w:p>
              </w:tc>
              <w:tc>
                <w:tcPr>
                  <w:tcW w:w="2421" w:type="dxa"/>
                  <w:vAlign w:val="center"/>
                </w:tcPr>
                <w:p w14:paraId="3606013A">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计算结果</w:t>
                  </w:r>
                </w:p>
              </w:tc>
            </w:tr>
            <w:tr w14:paraId="074B2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51" w:type="dxa"/>
                  <w:vAlign w:val="center"/>
                </w:tcPr>
                <w:p w14:paraId="2C5698A4">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废纺</w:t>
                  </w:r>
                </w:p>
              </w:tc>
              <w:tc>
                <w:tcPr>
                  <w:tcW w:w="2251" w:type="dxa"/>
                  <w:vAlign w:val="center"/>
                </w:tcPr>
                <w:p w14:paraId="724C8298">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50000</w:t>
                  </w:r>
                </w:p>
              </w:tc>
              <w:tc>
                <w:tcPr>
                  <w:tcW w:w="2251" w:type="dxa"/>
                  <w:vAlign w:val="center"/>
                </w:tcPr>
                <w:p w14:paraId="3932EC02">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0.08</w:t>
                  </w:r>
                </w:p>
              </w:tc>
              <w:tc>
                <w:tcPr>
                  <w:tcW w:w="2421" w:type="dxa"/>
                  <w:vMerge w:val="restart"/>
                  <w:vAlign w:val="center"/>
                </w:tcPr>
                <w:p w14:paraId="12014C6C">
                  <w:pPr>
                    <w:adjustRightInd w:val="0"/>
                    <w:snapToGrid w:val="0"/>
                    <w:jc w:val="center"/>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计算结果</w:t>
                  </w:r>
                  <w:r>
                    <w:rPr>
                      <w:rFonts w:hint="eastAsia" w:cs="Times New Roman"/>
                      <w:bCs/>
                      <w:color w:val="0000FF"/>
                      <w:szCs w:val="21"/>
                      <w:lang w:val="en-US" w:eastAsia="zh-CN"/>
                    </w:rPr>
                    <w:t>0.0000376%</w:t>
                  </w:r>
                  <w:r>
                    <w:rPr>
                      <w:rFonts w:hint="eastAsia" w:ascii="Times New Roman" w:hAnsi="Times New Roman" w:eastAsia="宋体" w:cs="Times New Roman"/>
                      <w:bCs/>
                      <w:color w:val="0000FF"/>
                      <w:szCs w:val="21"/>
                      <w:lang w:val="en-US" w:eastAsia="zh-CN"/>
                    </w:rPr>
                    <w:t>符合不应大于0.5%的要求</w:t>
                  </w:r>
                </w:p>
              </w:tc>
            </w:tr>
            <w:tr w14:paraId="43CFB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51" w:type="dxa"/>
                  <w:vAlign w:val="center"/>
                </w:tcPr>
                <w:p w14:paraId="119AEFE0">
                  <w:pPr>
                    <w:adjustRightInd w:val="0"/>
                    <w:snapToGrid w:val="0"/>
                    <w:jc w:val="center"/>
                    <w:rPr>
                      <w:rFonts w:hint="eastAsia" w:ascii="Times New Roman" w:hAnsi="Times New Roman" w:eastAsia="宋体" w:cs="Times New Roman"/>
                      <w:bCs/>
                      <w:color w:val="0000FF"/>
                      <w:szCs w:val="21"/>
                      <w:lang w:val="en-US" w:eastAsia="zh-CN"/>
                    </w:rPr>
                  </w:pPr>
                  <w:r>
                    <w:rPr>
                      <w:rFonts w:hint="eastAsia" w:cs="Times New Roman"/>
                      <w:bCs/>
                      <w:color w:val="0000FF"/>
                      <w:szCs w:val="21"/>
                      <w:lang w:val="en-US" w:eastAsia="zh-CN"/>
                    </w:rPr>
                    <w:t>生物质（木屑）</w:t>
                  </w:r>
                </w:p>
              </w:tc>
              <w:tc>
                <w:tcPr>
                  <w:tcW w:w="2251" w:type="dxa"/>
                  <w:vAlign w:val="center"/>
                </w:tcPr>
                <w:p w14:paraId="60004681">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50000</w:t>
                  </w:r>
                </w:p>
              </w:tc>
              <w:tc>
                <w:tcPr>
                  <w:tcW w:w="2251" w:type="dxa"/>
                  <w:vAlign w:val="center"/>
                </w:tcPr>
                <w:p w14:paraId="15199139">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0.07</w:t>
                  </w:r>
                </w:p>
              </w:tc>
              <w:tc>
                <w:tcPr>
                  <w:tcW w:w="2421" w:type="dxa"/>
                  <w:vMerge w:val="continue"/>
                  <w:vAlign w:val="center"/>
                </w:tcPr>
                <w:p w14:paraId="012A68FE">
                  <w:pPr>
                    <w:adjustRightInd w:val="0"/>
                    <w:snapToGrid w:val="0"/>
                    <w:jc w:val="center"/>
                    <w:rPr>
                      <w:rFonts w:hint="eastAsia" w:ascii="Times New Roman" w:hAnsi="Times New Roman" w:eastAsia="宋体" w:cs="Times New Roman"/>
                      <w:bCs/>
                      <w:color w:val="0000FF"/>
                      <w:szCs w:val="21"/>
                      <w:lang w:val="en-US" w:eastAsia="zh-CN"/>
                    </w:rPr>
                  </w:pPr>
                </w:p>
              </w:tc>
            </w:tr>
            <w:tr w14:paraId="58C9A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51" w:type="dxa"/>
                  <w:vAlign w:val="center"/>
                </w:tcPr>
                <w:p w14:paraId="12EE5F44">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煤</w:t>
                  </w:r>
                </w:p>
              </w:tc>
              <w:tc>
                <w:tcPr>
                  <w:tcW w:w="2251" w:type="dxa"/>
                  <w:vAlign w:val="center"/>
                </w:tcPr>
                <w:p w14:paraId="56F08C7A">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192700</w:t>
                  </w:r>
                </w:p>
              </w:tc>
              <w:tc>
                <w:tcPr>
                  <w:tcW w:w="2251" w:type="dxa"/>
                  <w:vAlign w:val="center"/>
                </w:tcPr>
                <w:p w14:paraId="3E1F05DC">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0.0009</w:t>
                  </w:r>
                </w:p>
              </w:tc>
              <w:tc>
                <w:tcPr>
                  <w:tcW w:w="2421" w:type="dxa"/>
                  <w:vMerge w:val="continue"/>
                  <w:vAlign w:val="center"/>
                </w:tcPr>
                <w:p w14:paraId="7AE9171E">
                  <w:pPr>
                    <w:adjustRightInd w:val="0"/>
                    <w:snapToGrid w:val="0"/>
                    <w:jc w:val="center"/>
                    <w:rPr>
                      <w:rFonts w:hint="eastAsia" w:ascii="Times New Roman" w:hAnsi="Times New Roman" w:eastAsia="宋体" w:cs="Times New Roman"/>
                      <w:bCs/>
                      <w:color w:val="0000FF"/>
                      <w:szCs w:val="21"/>
                      <w:lang w:val="en-US" w:eastAsia="zh-CN"/>
                    </w:rPr>
                  </w:pPr>
                </w:p>
              </w:tc>
            </w:tr>
            <w:tr w14:paraId="68BB9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51" w:type="dxa"/>
                  <w:vAlign w:val="center"/>
                </w:tcPr>
                <w:p w14:paraId="55765C56">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生料</w:t>
                  </w:r>
                </w:p>
              </w:tc>
              <w:tc>
                <w:tcPr>
                  <w:tcW w:w="2251" w:type="dxa"/>
                  <w:vAlign w:val="center"/>
                </w:tcPr>
                <w:p w14:paraId="1E242695">
                  <w:pPr>
                    <w:adjustRightInd w:val="0"/>
                    <w:snapToGrid w:val="0"/>
                    <w:jc w:val="center"/>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2470875</w:t>
                  </w:r>
                </w:p>
              </w:tc>
              <w:tc>
                <w:tcPr>
                  <w:tcW w:w="2251" w:type="dxa"/>
                  <w:vAlign w:val="center"/>
                </w:tcPr>
                <w:p w14:paraId="74455E61">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0.0011</w:t>
                  </w:r>
                </w:p>
              </w:tc>
              <w:tc>
                <w:tcPr>
                  <w:tcW w:w="2421" w:type="dxa"/>
                  <w:vMerge w:val="continue"/>
                  <w:vAlign w:val="center"/>
                </w:tcPr>
                <w:p w14:paraId="54B7A559">
                  <w:pPr>
                    <w:adjustRightInd w:val="0"/>
                    <w:snapToGrid w:val="0"/>
                    <w:jc w:val="center"/>
                    <w:rPr>
                      <w:rFonts w:hint="eastAsia" w:ascii="Times New Roman" w:hAnsi="Times New Roman" w:eastAsia="宋体" w:cs="Times New Roman"/>
                      <w:bCs/>
                      <w:color w:val="0000FF"/>
                      <w:szCs w:val="21"/>
                      <w:lang w:val="en-US" w:eastAsia="zh-CN"/>
                    </w:rPr>
                  </w:pPr>
                </w:p>
              </w:tc>
            </w:tr>
          </w:tbl>
          <w:p w14:paraId="190FFA43">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0000FF"/>
                <w:kern w:val="2"/>
                <w:sz w:val="24"/>
                <w:szCs w:val="24"/>
                <w:vertAlign w:val="baseline"/>
                <w:lang w:val="en-US" w:eastAsia="zh-CN" w:bidi="ar-SA"/>
              </w:rPr>
            </w:pPr>
            <w:r>
              <w:rPr>
                <w:rFonts w:hint="eastAsia" w:ascii="Times New Roman" w:hAnsi="Times New Roman" w:eastAsia="宋体" w:cs="Times New Roman"/>
                <w:b w:val="0"/>
                <w:bCs w:val="0"/>
                <w:color w:val="0000FF"/>
                <w:kern w:val="2"/>
                <w:sz w:val="24"/>
                <w:szCs w:val="24"/>
                <w:vertAlign w:val="baseline"/>
                <w:lang w:val="en-US" w:eastAsia="zh-CN" w:bidi="ar-SA"/>
              </w:rPr>
              <w:t>（2）入窑物料中氯（Cl）元素计算</w:t>
            </w:r>
          </w:p>
          <w:p w14:paraId="4FA7F97B">
            <w:pPr>
              <w:autoSpaceDE w:val="0"/>
              <w:autoSpaceDN w:val="0"/>
              <w:adjustRightInd w:val="0"/>
              <w:jc w:val="center"/>
              <w:rPr>
                <w:rFonts w:hint="eastAsia"/>
                <w:color w:val="0000FF"/>
                <w:lang w:eastAsia="zh-CN"/>
              </w:rPr>
            </w:pPr>
            <w:r>
              <w:rPr>
                <w:rFonts w:hint="eastAsia" w:ascii="Times New Roman" w:hAnsi="Times New Roman" w:cs="Times New Roman"/>
                <w:b/>
                <w:color w:val="0000FF"/>
              </w:rPr>
              <w:t>表</w:t>
            </w:r>
            <w:r>
              <w:rPr>
                <w:rFonts w:ascii="Times New Roman" w:hAnsi="Times New Roman" w:cs="Times New Roman"/>
                <w:b/>
                <w:color w:val="0000FF"/>
              </w:rPr>
              <w:t>2</w:t>
            </w:r>
            <w:r>
              <w:rPr>
                <w:rFonts w:hint="eastAsia" w:ascii="Times New Roman" w:hAnsi="Times New Roman" w:cs="Times New Roman"/>
                <w:b/>
                <w:color w:val="0000FF"/>
                <w:lang w:val="en-US" w:eastAsia="zh-CN"/>
              </w:rPr>
              <w:t>-</w:t>
            </w:r>
            <w:r>
              <w:rPr>
                <w:rFonts w:hint="eastAsia" w:cs="Times New Roman"/>
                <w:b/>
                <w:color w:val="0000FF"/>
                <w:lang w:val="en-US" w:eastAsia="zh-CN"/>
              </w:rPr>
              <w:t>23</w:t>
            </w:r>
            <w:r>
              <w:rPr>
                <w:rFonts w:ascii="Times New Roman" w:hAnsi="Times New Roman" w:cs="Times New Roman"/>
                <w:b/>
                <w:color w:val="0000FF"/>
              </w:rPr>
              <w:t xml:space="preserve"> </w:t>
            </w:r>
            <w:r>
              <w:rPr>
                <w:rFonts w:hint="eastAsia" w:ascii="Times New Roman" w:hAnsi="Times New Roman" w:cs="Times New Roman"/>
                <w:b/>
                <w:color w:val="0000FF"/>
                <w:lang w:eastAsia="zh-CN"/>
              </w:rPr>
              <w:t>水泥窑氯元素投加量限制判定</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6"/>
              <w:gridCol w:w="2246"/>
              <w:gridCol w:w="2246"/>
              <w:gridCol w:w="2436"/>
            </w:tblGrid>
            <w:tr w14:paraId="73A6C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2246" w:type="dxa"/>
                  <w:vAlign w:val="center"/>
                </w:tcPr>
                <w:p w14:paraId="5A61216D">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物料</w:t>
                  </w:r>
                </w:p>
              </w:tc>
              <w:tc>
                <w:tcPr>
                  <w:tcW w:w="2246" w:type="dxa"/>
                  <w:vAlign w:val="center"/>
                </w:tcPr>
                <w:p w14:paraId="07379C5D">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年用量（t/a）</w:t>
                  </w:r>
                </w:p>
              </w:tc>
              <w:tc>
                <w:tcPr>
                  <w:tcW w:w="2246" w:type="dxa"/>
                  <w:vAlign w:val="center"/>
                </w:tcPr>
                <w:p w14:paraId="0558E9AC">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氯含量（%）</w:t>
                  </w:r>
                </w:p>
              </w:tc>
              <w:tc>
                <w:tcPr>
                  <w:tcW w:w="2436" w:type="dxa"/>
                  <w:vAlign w:val="center"/>
                </w:tcPr>
                <w:p w14:paraId="77C6DA88">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计算结果</w:t>
                  </w:r>
                </w:p>
              </w:tc>
            </w:tr>
            <w:tr w14:paraId="33356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46" w:type="dxa"/>
                  <w:vAlign w:val="center"/>
                </w:tcPr>
                <w:p w14:paraId="7212DB05">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废纺</w:t>
                  </w:r>
                </w:p>
              </w:tc>
              <w:tc>
                <w:tcPr>
                  <w:tcW w:w="2246" w:type="dxa"/>
                  <w:vAlign w:val="center"/>
                </w:tcPr>
                <w:p w14:paraId="6093E779">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50000</w:t>
                  </w:r>
                </w:p>
              </w:tc>
              <w:tc>
                <w:tcPr>
                  <w:tcW w:w="2246" w:type="dxa"/>
                  <w:vAlign w:val="center"/>
                </w:tcPr>
                <w:p w14:paraId="6E969E32">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2.455</w:t>
                  </w:r>
                </w:p>
              </w:tc>
              <w:tc>
                <w:tcPr>
                  <w:tcW w:w="2436" w:type="dxa"/>
                  <w:vMerge w:val="restart"/>
                  <w:vAlign w:val="center"/>
                </w:tcPr>
                <w:p w14:paraId="104A4D52">
                  <w:pPr>
                    <w:adjustRightInd w:val="0"/>
                    <w:snapToGrid w:val="0"/>
                    <w:jc w:val="center"/>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计算结果</w:t>
                  </w:r>
                  <w:r>
                    <w:rPr>
                      <w:rFonts w:hint="eastAsia" w:cs="Times New Roman"/>
                      <w:bCs/>
                      <w:color w:val="0000FF"/>
                      <w:szCs w:val="21"/>
                      <w:lang w:val="en-US" w:eastAsia="zh-CN"/>
                    </w:rPr>
                    <w:t>0.00053%</w:t>
                  </w:r>
                  <w:r>
                    <w:rPr>
                      <w:rFonts w:hint="eastAsia" w:ascii="Times New Roman" w:hAnsi="Times New Roman" w:eastAsia="宋体" w:cs="Times New Roman"/>
                      <w:bCs/>
                      <w:color w:val="0000FF"/>
                      <w:szCs w:val="21"/>
                      <w:lang w:val="en-US" w:eastAsia="zh-CN"/>
                    </w:rPr>
                    <w:t>符合不应大于0.04%的要求</w:t>
                  </w:r>
                </w:p>
              </w:tc>
            </w:tr>
            <w:tr w14:paraId="7B67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46" w:type="dxa"/>
                  <w:vAlign w:val="center"/>
                </w:tcPr>
                <w:p w14:paraId="2E747369">
                  <w:pPr>
                    <w:adjustRightInd w:val="0"/>
                    <w:snapToGrid w:val="0"/>
                    <w:jc w:val="center"/>
                    <w:rPr>
                      <w:rFonts w:hint="eastAsia" w:ascii="Times New Roman" w:hAnsi="Times New Roman" w:eastAsia="宋体" w:cs="Times New Roman"/>
                      <w:bCs/>
                      <w:color w:val="0000FF"/>
                      <w:szCs w:val="21"/>
                      <w:lang w:val="en-US" w:eastAsia="zh-CN"/>
                    </w:rPr>
                  </w:pPr>
                  <w:r>
                    <w:rPr>
                      <w:rFonts w:hint="eastAsia" w:cs="Times New Roman"/>
                      <w:bCs/>
                      <w:color w:val="0000FF"/>
                      <w:szCs w:val="21"/>
                      <w:lang w:val="en-US" w:eastAsia="zh-CN"/>
                    </w:rPr>
                    <w:t>生物质（木屑）</w:t>
                  </w:r>
                </w:p>
              </w:tc>
              <w:tc>
                <w:tcPr>
                  <w:tcW w:w="2246" w:type="dxa"/>
                  <w:vAlign w:val="center"/>
                </w:tcPr>
                <w:p w14:paraId="4D04DB12">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50000</w:t>
                  </w:r>
                </w:p>
              </w:tc>
              <w:tc>
                <w:tcPr>
                  <w:tcW w:w="2246" w:type="dxa"/>
                  <w:vAlign w:val="center"/>
                </w:tcPr>
                <w:p w14:paraId="3453692A">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0.033</w:t>
                  </w:r>
                </w:p>
              </w:tc>
              <w:tc>
                <w:tcPr>
                  <w:tcW w:w="2436" w:type="dxa"/>
                  <w:vMerge w:val="continue"/>
                  <w:vAlign w:val="center"/>
                </w:tcPr>
                <w:p w14:paraId="06B6CCF3">
                  <w:pPr>
                    <w:adjustRightInd w:val="0"/>
                    <w:snapToGrid w:val="0"/>
                    <w:jc w:val="center"/>
                    <w:rPr>
                      <w:rFonts w:hint="eastAsia" w:ascii="Times New Roman" w:hAnsi="Times New Roman" w:eastAsia="宋体" w:cs="Times New Roman"/>
                      <w:bCs/>
                      <w:color w:val="0000FF"/>
                      <w:szCs w:val="21"/>
                      <w:lang w:val="en-US" w:eastAsia="zh-CN"/>
                    </w:rPr>
                  </w:pPr>
                </w:p>
              </w:tc>
            </w:tr>
            <w:tr w14:paraId="53356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6" w:type="dxa"/>
                  <w:vAlign w:val="center"/>
                </w:tcPr>
                <w:p w14:paraId="63514731">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煤</w:t>
                  </w:r>
                </w:p>
              </w:tc>
              <w:tc>
                <w:tcPr>
                  <w:tcW w:w="2246" w:type="dxa"/>
                  <w:vAlign w:val="center"/>
                </w:tcPr>
                <w:p w14:paraId="35461908">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192700</w:t>
                  </w:r>
                </w:p>
              </w:tc>
              <w:tc>
                <w:tcPr>
                  <w:tcW w:w="2246" w:type="dxa"/>
                  <w:vAlign w:val="center"/>
                </w:tcPr>
                <w:p w14:paraId="1F855127">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0.0096</w:t>
                  </w:r>
                </w:p>
              </w:tc>
              <w:tc>
                <w:tcPr>
                  <w:tcW w:w="2436" w:type="dxa"/>
                  <w:vMerge w:val="continue"/>
                  <w:vAlign w:val="center"/>
                </w:tcPr>
                <w:p w14:paraId="391BC9D5">
                  <w:pPr>
                    <w:adjustRightInd w:val="0"/>
                    <w:snapToGrid w:val="0"/>
                    <w:jc w:val="center"/>
                    <w:rPr>
                      <w:rFonts w:hint="eastAsia" w:ascii="Times New Roman" w:hAnsi="Times New Roman" w:eastAsia="宋体" w:cs="Times New Roman"/>
                      <w:bCs/>
                      <w:color w:val="0000FF"/>
                      <w:szCs w:val="21"/>
                      <w:lang w:val="en-US" w:eastAsia="zh-CN"/>
                    </w:rPr>
                  </w:pPr>
                </w:p>
              </w:tc>
            </w:tr>
            <w:tr w14:paraId="56FDD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6" w:type="dxa"/>
                  <w:vAlign w:val="center"/>
                </w:tcPr>
                <w:p w14:paraId="01F27895">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生料</w:t>
                  </w:r>
                </w:p>
              </w:tc>
              <w:tc>
                <w:tcPr>
                  <w:tcW w:w="2246" w:type="dxa"/>
                  <w:vAlign w:val="center"/>
                </w:tcPr>
                <w:p w14:paraId="1D630116">
                  <w:pPr>
                    <w:adjustRightInd w:val="0"/>
                    <w:snapToGrid w:val="0"/>
                    <w:jc w:val="center"/>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2470875</w:t>
                  </w:r>
                </w:p>
              </w:tc>
              <w:tc>
                <w:tcPr>
                  <w:tcW w:w="2246" w:type="dxa"/>
                  <w:vAlign w:val="center"/>
                </w:tcPr>
                <w:p w14:paraId="3A614509">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0.0083</w:t>
                  </w:r>
                </w:p>
              </w:tc>
              <w:tc>
                <w:tcPr>
                  <w:tcW w:w="2436" w:type="dxa"/>
                  <w:vMerge w:val="continue"/>
                  <w:vAlign w:val="center"/>
                </w:tcPr>
                <w:p w14:paraId="604CD782">
                  <w:pPr>
                    <w:adjustRightInd w:val="0"/>
                    <w:snapToGrid w:val="0"/>
                    <w:jc w:val="center"/>
                    <w:rPr>
                      <w:rFonts w:hint="eastAsia" w:ascii="Times New Roman" w:hAnsi="Times New Roman" w:eastAsia="宋体" w:cs="Times New Roman"/>
                      <w:bCs/>
                      <w:color w:val="0000FF"/>
                      <w:szCs w:val="21"/>
                      <w:lang w:val="en-US" w:eastAsia="zh-CN"/>
                    </w:rPr>
                  </w:pPr>
                </w:p>
              </w:tc>
            </w:tr>
          </w:tbl>
          <w:p w14:paraId="18A763B0">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vertAlign w:val="baseline"/>
                <w:lang w:val="en-US" w:eastAsia="zh-CN" w:bidi="ar-SA"/>
              </w:rPr>
            </w:pPr>
            <w:r>
              <w:rPr>
                <w:rFonts w:hint="eastAsia" w:ascii="Times New Roman" w:hAnsi="Times New Roman" w:eastAsia="宋体" w:cs="Times New Roman"/>
                <w:b w:val="0"/>
                <w:bCs w:val="0"/>
                <w:color w:val="0000FF"/>
                <w:kern w:val="2"/>
                <w:sz w:val="24"/>
                <w:szCs w:val="24"/>
                <w:vertAlign w:val="baseline"/>
                <w:lang w:val="en-US" w:eastAsia="zh-CN" w:bidi="ar-SA"/>
              </w:rPr>
              <w:t>2、硫元素入窑控制</w:t>
            </w:r>
          </w:p>
          <w:p w14:paraId="450BE6E3">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vertAlign w:val="baseline"/>
                <w:lang w:val="en-US" w:eastAsia="zh-CN" w:bidi="ar-SA"/>
              </w:rPr>
            </w:pPr>
            <w:r>
              <w:rPr>
                <w:rFonts w:hint="eastAsia" w:ascii="Times New Roman" w:hAnsi="Times New Roman" w:eastAsia="宋体" w:cs="Times New Roman"/>
                <w:b w:val="0"/>
                <w:bCs w:val="0"/>
                <w:color w:val="0000FF"/>
                <w:kern w:val="2"/>
                <w:sz w:val="24"/>
                <w:szCs w:val="24"/>
                <w:vertAlign w:val="baseline"/>
                <w:lang w:val="en-US" w:eastAsia="zh-CN" w:bidi="ar-SA"/>
              </w:rPr>
              <w:t>根据《水泥窑协同处置固体废物环境保护技术规范》（HJ 662-2013），协同处置企业应控制物料中硫元素的投加量。通过配料系统投加的物料中硫化物硫与有机物硫总含量不应大于0.014%；从窑头、窑尾高温区投加的全硫与配料系统投加的硫酸盐硫总投加量不应大于3000mg/kg-cli，从配料系统投加的物料中硫化物硫和有机物硫总含量的计算如式所示。</w:t>
            </w:r>
          </w:p>
          <w:p w14:paraId="72CCD3EB">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left"/>
              <w:textAlignment w:val="auto"/>
              <w:rPr>
                <w:rFonts w:hint="default" w:hAnsi="Cambria Math" w:eastAsia="宋体" w:cs="Times New Roman"/>
                <w:b w:val="0"/>
                <w:bCs w:val="0"/>
                <w:i w:val="0"/>
                <w:color w:val="0000FF"/>
                <w:kern w:val="2"/>
                <w:sz w:val="24"/>
                <w:szCs w:val="24"/>
                <w:vertAlign w:val="baseline"/>
                <w:lang w:val="en-US" w:eastAsia="zh-CN" w:bidi="ar-SA"/>
              </w:rPr>
            </w:pPr>
            <m:oMathPara>
              <m:oMathParaPr>
                <m:jc m:val="center"/>
              </m:oMathParaPr>
              <m:oMath>
                <m:r>
                  <m:rPr>
                    <m:sty m:val="p"/>
                  </m:rPr>
                  <w:rPr>
                    <w:rFonts w:hint="default" w:ascii="Cambria Math" w:hAnsi="Cambria Math" w:eastAsia="宋体" w:cs="Times New Roman"/>
                    <w:color w:val="0000FF"/>
                    <w:kern w:val="2"/>
                    <w:sz w:val="24"/>
                    <w:szCs w:val="24"/>
                    <w:vertAlign w:val="baseline"/>
                    <w:lang w:val="en-US" w:eastAsia="zh-CN" w:bidi="ar-SA"/>
                  </w:rPr>
                  <m:t>C=</m:t>
                </m:r>
                <m:f>
                  <m:fPr>
                    <m:ctrlPr>
                      <w:rPr>
                        <w:rFonts w:hint="default" w:ascii="Cambria Math" w:hAnsi="Cambria Math" w:eastAsia="宋体" w:cs="Times New Roman"/>
                        <w:b w:val="0"/>
                        <w:bCs w:val="0"/>
                        <w:color w:val="0000FF"/>
                        <w:kern w:val="2"/>
                        <w:sz w:val="24"/>
                        <w:szCs w:val="24"/>
                        <w:vertAlign w:val="baseline"/>
                        <w:lang w:val="en-US" w:eastAsia="zh-CN" w:bidi="ar-SA"/>
                      </w:rPr>
                    </m:ctrlPr>
                  </m:fPr>
                  <m:num>
                    <m:sSub>
                      <m:sSubPr>
                        <m:ctrlPr>
                          <w:rPr>
                            <w:rFonts w:hint="default" w:ascii="Cambria Math" w:hAnsi="Cambria Math" w:eastAsia="宋体" w:cs="Times New Roman"/>
                            <w:b w:val="0"/>
                            <w:bCs w:val="0"/>
                            <w:color w:val="0000FF"/>
                            <w:kern w:val="2"/>
                            <w:sz w:val="24"/>
                            <w:szCs w:val="24"/>
                            <w:vertAlign w:val="baseline"/>
                            <w:lang w:val="en-US" w:eastAsia="zh-CN" w:bidi="ar-SA"/>
                          </w:rPr>
                        </m:ctrlPr>
                      </m:sSubPr>
                      <m:e>
                        <m:r>
                          <m:rPr>
                            <m:sty m:val="p"/>
                          </m:rPr>
                          <w:rPr>
                            <w:rFonts w:hint="default" w:ascii="Cambria Math" w:hAnsi="Cambria Math" w:eastAsia="宋体" w:cs="Times New Roman"/>
                            <w:color w:val="0000FF"/>
                            <w:kern w:val="2"/>
                            <w:sz w:val="24"/>
                            <w:szCs w:val="24"/>
                            <w:vertAlign w:val="baseline"/>
                            <w:lang w:val="en-US" w:eastAsia="zh-CN" w:bidi="ar-SA"/>
                          </w:rPr>
                          <m:t>C</m:t>
                        </m:r>
                        <m:ctrlPr>
                          <w:rPr>
                            <w:rFonts w:hint="default" w:ascii="Cambria Math" w:hAnsi="Cambria Math" w:eastAsia="宋体" w:cs="Times New Roman"/>
                            <w:b w:val="0"/>
                            <w:bCs w:val="0"/>
                            <w:color w:val="0000FF"/>
                            <w:kern w:val="2"/>
                            <w:sz w:val="24"/>
                            <w:szCs w:val="24"/>
                            <w:vertAlign w:val="baseline"/>
                            <w:lang w:val="en-US" w:eastAsia="zh-CN" w:bidi="ar-SA"/>
                          </w:rPr>
                        </m:ctrlPr>
                      </m:e>
                      <m:sub>
                        <m:r>
                          <m:rPr>
                            <m:sty m:val="p"/>
                          </m:rPr>
                          <w:rPr>
                            <w:rFonts w:hint="default" w:ascii="Cambria Math" w:hAnsi="Cambria Math" w:eastAsia="宋体" w:cs="Times New Roman"/>
                            <w:color w:val="0000FF"/>
                            <w:kern w:val="2"/>
                            <w:sz w:val="24"/>
                            <w:szCs w:val="24"/>
                            <w:vertAlign w:val="baseline"/>
                            <w:lang w:val="en-US" w:eastAsia="zh-CN" w:bidi="ar-SA"/>
                          </w:rPr>
                          <m:t>W</m:t>
                        </m:r>
                        <m:ctrlPr>
                          <w:rPr>
                            <w:rFonts w:hint="default" w:ascii="Cambria Math" w:hAnsi="Cambria Math" w:eastAsia="宋体" w:cs="Times New Roman"/>
                            <w:b w:val="0"/>
                            <w:bCs w:val="0"/>
                            <w:color w:val="0000FF"/>
                            <w:kern w:val="2"/>
                            <w:sz w:val="24"/>
                            <w:szCs w:val="24"/>
                            <w:vertAlign w:val="baseline"/>
                            <w:lang w:val="en-US" w:eastAsia="zh-CN" w:bidi="ar-SA"/>
                          </w:rPr>
                        </m:ctrlPr>
                      </m:sub>
                    </m:sSub>
                    <m:r>
                      <m:rPr>
                        <m:sty m:val="p"/>
                      </m:rPr>
                      <w:rPr>
                        <w:rFonts w:hint="default" w:ascii="Cambria Math" w:hAnsi="Cambria Math" w:eastAsia="宋体" w:cs="Times New Roman"/>
                        <w:color w:val="0000FF"/>
                        <w:kern w:val="2"/>
                        <w:sz w:val="24"/>
                        <w:szCs w:val="24"/>
                        <w:vertAlign w:val="baseline"/>
                        <w:lang w:val="en-US" w:eastAsia="zh-CN" w:bidi="ar-SA"/>
                      </w:rPr>
                      <m:t>×</m:t>
                    </m:r>
                    <m:sSub>
                      <m:sSubPr>
                        <m:ctrlPr>
                          <w:rPr>
                            <w:rFonts w:hint="default" w:ascii="Cambria Math" w:hAnsi="Cambria Math" w:eastAsia="宋体" w:cs="Times New Roman"/>
                            <w:b w:val="0"/>
                            <w:bCs w:val="0"/>
                            <w:color w:val="0000FF"/>
                            <w:kern w:val="2"/>
                            <w:sz w:val="24"/>
                            <w:szCs w:val="24"/>
                            <w:vertAlign w:val="baseline"/>
                            <w:lang w:val="en-US" w:eastAsia="zh-CN" w:bidi="ar-SA"/>
                          </w:rPr>
                        </m:ctrlPr>
                      </m:sSubPr>
                      <m:e>
                        <m:r>
                          <m:rPr>
                            <m:sty m:val="p"/>
                          </m:rPr>
                          <w:rPr>
                            <w:rFonts w:hint="default" w:ascii="Cambria Math" w:hAnsi="Cambria Math" w:eastAsia="宋体" w:cs="Times New Roman"/>
                            <w:color w:val="0000FF"/>
                            <w:kern w:val="2"/>
                            <w:sz w:val="24"/>
                            <w:szCs w:val="24"/>
                            <w:vertAlign w:val="baseline"/>
                            <w:lang w:val="en-US" w:eastAsia="zh-CN" w:bidi="ar-SA"/>
                          </w:rPr>
                          <m:t>m</m:t>
                        </m:r>
                        <m:ctrlPr>
                          <w:rPr>
                            <w:rFonts w:hint="default" w:ascii="Cambria Math" w:hAnsi="Cambria Math" w:eastAsia="宋体" w:cs="Times New Roman"/>
                            <w:b w:val="0"/>
                            <w:bCs w:val="0"/>
                            <w:color w:val="0000FF"/>
                            <w:kern w:val="2"/>
                            <w:sz w:val="24"/>
                            <w:szCs w:val="24"/>
                            <w:vertAlign w:val="baseline"/>
                            <w:lang w:val="en-US" w:eastAsia="zh-CN" w:bidi="ar-SA"/>
                          </w:rPr>
                        </m:ctrlPr>
                      </m:e>
                      <m:sub>
                        <m:r>
                          <m:rPr>
                            <m:sty m:val="p"/>
                          </m:rPr>
                          <w:rPr>
                            <w:rFonts w:hint="default" w:ascii="Cambria Math" w:hAnsi="Cambria Math" w:eastAsia="宋体" w:cs="Times New Roman"/>
                            <w:color w:val="0000FF"/>
                            <w:kern w:val="2"/>
                            <w:sz w:val="24"/>
                            <w:szCs w:val="24"/>
                            <w:vertAlign w:val="baseline"/>
                            <w:lang w:val="en-US" w:eastAsia="zh-CN" w:bidi="ar-SA"/>
                          </w:rPr>
                          <m:t>w</m:t>
                        </m:r>
                        <m:ctrlPr>
                          <w:rPr>
                            <w:rFonts w:hint="default" w:ascii="Cambria Math" w:hAnsi="Cambria Math" w:eastAsia="宋体" w:cs="Times New Roman"/>
                            <w:b w:val="0"/>
                            <w:bCs w:val="0"/>
                            <w:color w:val="0000FF"/>
                            <w:kern w:val="2"/>
                            <w:sz w:val="24"/>
                            <w:szCs w:val="24"/>
                            <w:vertAlign w:val="baseline"/>
                            <w:lang w:val="en-US" w:eastAsia="zh-CN" w:bidi="ar-SA"/>
                          </w:rPr>
                        </m:ctrlPr>
                      </m:sub>
                    </m:sSub>
                    <m:r>
                      <m:rPr>
                        <m:sty m:val="p"/>
                      </m:rPr>
                      <w:rPr>
                        <w:rFonts w:hint="default" w:ascii="Cambria Math" w:hAnsi="Cambria Math" w:eastAsia="宋体" w:cs="Times New Roman"/>
                        <w:color w:val="0000FF"/>
                        <w:kern w:val="2"/>
                        <w:sz w:val="24"/>
                        <w:szCs w:val="24"/>
                        <w:vertAlign w:val="baseline"/>
                        <w:lang w:val="en-US" w:eastAsia="zh-CN" w:bidi="ar-SA"/>
                      </w:rPr>
                      <m:t>＋</m:t>
                    </m:r>
                    <m:sSub>
                      <m:sSubPr>
                        <m:ctrlPr>
                          <w:rPr>
                            <w:rFonts w:hint="default" w:ascii="Cambria Math" w:hAnsi="Cambria Math" w:eastAsia="宋体" w:cs="Times New Roman"/>
                            <w:b w:val="0"/>
                            <w:bCs w:val="0"/>
                            <w:color w:val="0000FF"/>
                            <w:kern w:val="2"/>
                            <w:sz w:val="24"/>
                            <w:szCs w:val="24"/>
                            <w:vertAlign w:val="baseline"/>
                            <w:lang w:val="en-US" w:eastAsia="zh-CN" w:bidi="ar-SA"/>
                          </w:rPr>
                        </m:ctrlPr>
                      </m:sSubPr>
                      <m:e>
                        <m:r>
                          <m:rPr>
                            <m:sty m:val="p"/>
                          </m:rPr>
                          <w:rPr>
                            <w:rFonts w:hint="default" w:ascii="Cambria Math" w:hAnsi="Cambria Math" w:eastAsia="宋体" w:cs="Times New Roman"/>
                            <w:color w:val="0000FF"/>
                            <w:kern w:val="2"/>
                            <w:sz w:val="24"/>
                            <w:szCs w:val="24"/>
                            <w:vertAlign w:val="baseline"/>
                            <w:lang w:val="en-US" w:eastAsia="zh-CN" w:bidi="ar-SA"/>
                          </w:rPr>
                          <m:t>C</m:t>
                        </m:r>
                        <m:ctrlPr>
                          <w:rPr>
                            <w:rFonts w:hint="default" w:ascii="Cambria Math" w:hAnsi="Cambria Math" w:eastAsia="宋体" w:cs="Times New Roman"/>
                            <w:b w:val="0"/>
                            <w:bCs w:val="0"/>
                            <w:color w:val="0000FF"/>
                            <w:kern w:val="2"/>
                            <w:sz w:val="24"/>
                            <w:szCs w:val="24"/>
                            <w:vertAlign w:val="baseline"/>
                            <w:lang w:val="en-US" w:eastAsia="zh-CN" w:bidi="ar-SA"/>
                          </w:rPr>
                        </m:ctrlPr>
                      </m:e>
                      <m:sub>
                        <m:r>
                          <m:rPr>
                            <m:sty m:val="p"/>
                          </m:rPr>
                          <w:rPr>
                            <w:rFonts w:hint="default" w:ascii="Cambria Math" w:hAnsi="Cambria Math" w:eastAsia="宋体" w:cs="Times New Roman"/>
                            <w:color w:val="0000FF"/>
                            <w:kern w:val="2"/>
                            <w:sz w:val="24"/>
                            <w:szCs w:val="24"/>
                            <w:vertAlign w:val="baseline"/>
                            <w:lang w:val="en-US" w:eastAsia="zh-CN" w:bidi="ar-SA"/>
                          </w:rPr>
                          <m:t>r</m:t>
                        </m:r>
                        <m:ctrlPr>
                          <w:rPr>
                            <w:rFonts w:hint="default" w:ascii="Cambria Math" w:hAnsi="Cambria Math" w:eastAsia="宋体" w:cs="Times New Roman"/>
                            <w:b w:val="0"/>
                            <w:bCs w:val="0"/>
                            <w:color w:val="0000FF"/>
                            <w:kern w:val="2"/>
                            <w:sz w:val="24"/>
                            <w:szCs w:val="24"/>
                            <w:vertAlign w:val="baseline"/>
                            <w:lang w:val="en-US" w:eastAsia="zh-CN" w:bidi="ar-SA"/>
                          </w:rPr>
                        </m:ctrlPr>
                      </m:sub>
                    </m:sSub>
                    <m:r>
                      <m:rPr>
                        <m:sty m:val="p"/>
                      </m:rPr>
                      <w:rPr>
                        <w:rFonts w:hint="default" w:ascii="Cambria Math" w:hAnsi="Cambria Math" w:eastAsia="宋体" w:cs="Times New Roman"/>
                        <w:color w:val="0000FF"/>
                        <w:kern w:val="2"/>
                        <w:sz w:val="24"/>
                        <w:szCs w:val="24"/>
                        <w:vertAlign w:val="baseline"/>
                        <w:lang w:val="en-US" w:eastAsia="zh-CN" w:bidi="ar-SA"/>
                      </w:rPr>
                      <m:t>×</m:t>
                    </m:r>
                    <m:sSub>
                      <m:sSubPr>
                        <m:ctrlPr>
                          <w:rPr>
                            <w:rFonts w:hint="default" w:ascii="Cambria Math" w:hAnsi="Cambria Math" w:eastAsia="宋体" w:cs="Times New Roman"/>
                            <w:b w:val="0"/>
                            <w:bCs w:val="0"/>
                            <w:color w:val="0000FF"/>
                            <w:kern w:val="2"/>
                            <w:sz w:val="24"/>
                            <w:szCs w:val="24"/>
                            <w:vertAlign w:val="baseline"/>
                            <w:lang w:val="en-US" w:eastAsia="zh-CN" w:bidi="ar-SA"/>
                          </w:rPr>
                        </m:ctrlPr>
                      </m:sSubPr>
                      <m:e>
                        <m:r>
                          <m:rPr>
                            <m:sty m:val="p"/>
                          </m:rPr>
                          <w:rPr>
                            <w:rFonts w:hint="default" w:ascii="Cambria Math" w:hAnsi="Cambria Math" w:eastAsia="宋体" w:cs="Times New Roman"/>
                            <w:color w:val="0000FF"/>
                            <w:kern w:val="2"/>
                            <w:sz w:val="24"/>
                            <w:szCs w:val="24"/>
                            <w:vertAlign w:val="baseline"/>
                            <w:lang w:val="en-US" w:eastAsia="zh-CN" w:bidi="ar-SA"/>
                          </w:rPr>
                          <m:t>m</m:t>
                        </m:r>
                        <m:ctrlPr>
                          <w:rPr>
                            <w:rFonts w:hint="default" w:ascii="Cambria Math" w:hAnsi="Cambria Math" w:eastAsia="宋体" w:cs="Times New Roman"/>
                            <w:b w:val="0"/>
                            <w:bCs w:val="0"/>
                            <w:color w:val="0000FF"/>
                            <w:kern w:val="2"/>
                            <w:sz w:val="24"/>
                            <w:szCs w:val="24"/>
                            <w:vertAlign w:val="baseline"/>
                            <w:lang w:val="en-US" w:eastAsia="zh-CN" w:bidi="ar-SA"/>
                          </w:rPr>
                        </m:ctrlPr>
                      </m:e>
                      <m:sub>
                        <m:r>
                          <m:rPr>
                            <m:sty m:val="p"/>
                          </m:rPr>
                          <w:rPr>
                            <w:rFonts w:hint="default" w:ascii="Cambria Math" w:hAnsi="Cambria Math" w:eastAsia="宋体" w:cs="Times New Roman"/>
                            <w:color w:val="0000FF"/>
                            <w:kern w:val="2"/>
                            <w:sz w:val="24"/>
                            <w:szCs w:val="24"/>
                            <w:vertAlign w:val="baseline"/>
                            <w:lang w:val="en-US" w:eastAsia="zh-CN" w:bidi="ar-SA"/>
                          </w:rPr>
                          <m:t>r</m:t>
                        </m:r>
                        <m:ctrlPr>
                          <w:rPr>
                            <w:rFonts w:hint="default" w:ascii="Cambria Math" w:hAnsi="Cambria Math" w:eastAsia="宋体" w:cs="Times New Roman"/>
                            <w:b w:val="0"/>
                            <w:bCs w:val="0"/>
                            <w:color w:val="0000FF"/>
                            <w:kern w:val="2"/>
                            <w:sz w:val="24"/>
                            <w:szCs w:val="24"/>
                            <w:vertAlign w:val="baseline"/>
                            <w:lang w:val="en-US" w:eastAsia="zh-CN" w:bidi="ar-SA"/>
                          </w:rPr>
                        </m:ctrlPr>
                      </m:sub>
                    </m:sSub>
                    <m:ctrlPr>
                      <w:rPr>
                        <w:rFonts w:hint="default" w:ascii="Cambria Math" w:hAnsi="Cambria Math" w:eastAsia="宋体" w:cs="Times New Roman"/>
                        <w:b w:val="0"/>
                        <w:bCs w:val="0"/>
                        <w:color w:val="0000FF"/>
                        <w:kern w:val="2"/>
                        <w:sz w:val="24"/>
                        <w:szCs w:val="24"/>
                        <w:vertAlign w:val="baseline"/>
                        <w:lang w:val="en-US" w:eastAsia="zh-CN" w:bidi="ar-SA"/>
                      </w:rPr>
                    </m:ctrlPr>
                  </m:num>
                  <m:den>
                    <m:sSub>
                      <m:sSubPr>
                        <m:ctrlPr>
                          <w:rPr>
                            <w:rFonts w:hint="default" w:ascii="Cambria Math" w:hAnsi="Cambria Math" w:eastAsia="宋体" w:cs="Times New Roman"/>
                            <w:b w:val="0"/>
                            <w:bCs w:val="0"/>
                            <w:color w:val="0000FF"/>
                            <w:kern w:val="2"/>
                            <w:sz w:val="24"/>
                            <w:szCs w:val="24"/>
                            <w:vertAlign w:val="baseline"/>
                            <w:lang w:val="en-US" w:eastAsia="zh-CN" w:bidi="ar-SA"/>
                          </w:rPr>
                        </m:ctrlPr>
                      </m:sSubPr>
                      <m:e>
                        <m:r>
                          <m:rPr>
                            <m:sty m:val="p"/>
                          </m:rPr>
                          <w:rPr>
                            <w:rFonts w:hint="default" w:ascii="Cambria Math" w:hAnsi="Cambria Math" w:eastAsia="宋体" w:cs="Times New Roman"/>
                            <w:color w:val="0000FF"/>
                            <w:kern w:val="2"/>
                            <w:sz w:val="24"/>
                            <w:szCs w:val="24"/>
                            <w:vertAlign w:val="baseline"/>
                            <w:lang w:val="en-US" w:eastAsia="zh-CN" w:bidi="ar-SA"/>
                          </w:rPr>
                          <m:t>m</m:t>
                        </m:r>
                        <m:ctrlPr>
                          <w:rPr>
                            <w:rFonts w:hint="default" w:ascii="Cambria Math" w:hAnsi="Cambria Math" w:eastAsia="宋体" w:cs="Times New Roman"/>
                            <w:b w:val="0"/>
                            <w:bCs w:val="0"/>
                            <w:color w:val="0000FF"/>
                            <w:kern w:val="2"/>
                            <w:sz w:val="24"/>
                            <w:szCs w:val="24"/>
                            <w:vertAlign w:val="baseline"/>
                            <w:lang w:val="en-US" w:eastAsia="zh-CN" w:bidi="ar-SA"/>
                          </w:rPr>
                        </m:ctrlPr>
                      </m:e>
                      <m:sub>
                        <m:r>
                          <m:rPr>
                            <m:sty m:val="p"/>
                          </m:rPr>
                          <w:rPr>
                            <w:rFonts w:hint="default" w:ascii="Cambria Math" w:hAnsi="Cambria Math" w:eastAsia="宋体" w:cs="Times New Roman"/>
                            <w:color w:val="0000FF"/>
                            <w:kern w:val="2"/>
                            <w:sz w:val="24"/>
                            <w:szCs w:val="24"/>
                            <w:vertAlign w:val="baseline"/>
                            <w:lang w:val="en-US" w:eastAsia="zh-CN" w:bidi="ar-SA"/>
                          </w:rPr>
                          <m:t>w</m:t>
                        </m:r>
                        <m:ctrlPr>
                          <w:rPr>
                            <w:rFonts w:hint="default" w:ascii="Cambria Math" w:hAnsi="Cambria Math" w:eastAsia="宋体" w:cs="Times New Roman"/>
                            <w:b w:val="0"/>
                            <w:bCs w:val="0"/>
                            <w:color w:val="0000FF"/>
                            <w:kern w:val="2"/>
                            <w:sz w:val="24"/>
                            <w:szCs w:val="24"/>
                            <w:vertAlign w:val="baseline"/>
                            <w:lang w:val="en-US" w:eastAsia="zh-CN" w:bidi="ar-SA"/>
                          </w:rPr>
                        </m:ctrlPr>
                      </m:sub>
                    </m:sSub>
                    <m:r>
                      <m:rPr>
                        <m:sty m:val="p"/>
                      </m:rPr>
                      <w:rPr>
                        <w:rFonts w:hint="default" w:ascii="Cambria Math" w:hAnsi="Cambria Math" w:eastAsia="宋体" w:cs="Times New Roman"/>
                        <w:color w:val="0000FF"/>
                        <w:kern w:val="2"/>
                        <w:sz w:val="24"/>
                        <w:szCs w:val="24"/>
                        <w:vertAlign w:val="baseline"/>
                        <w:lang w:val="en-US" w:eastAsia="zh-CN" w:bidi="ar-SA"/>
                      </w:rPr>
                      <m:t>+</m:t>
                    </m:r>
                    <m:sSub>
                      <m:sSubPr>
                        <m:ctrlPr>
                          <w:rPr>
                            <w:rFonts w:hint="default" w:ascii="Cambria Math" w:hAnsi="Cambria Math" w:eastAsia="宋体" w:cs="Times New Roman"/>
                            <w:b w:val="0"/>
                            <w:bCs w:val="0"/>
                            <w:color w:val="0000FF"/>
                            <w:kern w:val="2"/>
                            <w:sz w:val="24"/>
                            <w:szCs w:val="24"/>
                            <w:vertAlign w:val="baseline"/>
                            <w:lang w:val="en-US" w:eastAsia="zh-CN" w:bidi="ar-SA"/>
                          </w:rPr>
                        </m:ctrlPr>
                      </m:sSubPr>
                      <m:e>
                        <m:r>
                          <m:rPr>
                            <m:sty m:val="p"/>
                          </m:rPr>
                          <w:rPr>
                            <w:rFonts w:hint="default" w:ascii="Cambria Math" w:hAnsi="Cambria Math" w:eastAsia="宋体" w:cs="Times New Roman"/>
                            <w:color w:val="0000FF"/>
                            <w:kern w:val="2"/>
                            <w:sz w:val="24"/>
                            <w:szCs w:val="24"/>
                            <w:vertAlign w:val="baseline"/>
                            <w:lang w:val="en-US" w:eastAsia="zh-CN" w:bidi="ar-SA"/>
                          </w:rPr>
                          <m:t>m</m:t>
                        </m:r>
                        <m:ctrlPr>
                          <w:rPr>
                            <w:rFonts w:hint="default" w:ascii="Cambria Math" w:hAnsi="Cambria Math" w:eastAsia="宋体" w:cs="Times New Roman"/>
                            <w:b w:val="0"/>
                            <w:bCs w:val="0"/>
                            <w:color w:val="0000FF"/>
                            <w:kern w:val="2"/>
                            <w:sz w:val="24"/>
                            <w:szCs w:val="24"/>
                            <w:vertAlign w:val="baseline"/>
                            <w:lang w:val="en-US" w:eastAsia="zh-CN" w:bidi="ar-SA"/>
                          </w:rPr>
                        </m:ctrlPr>
                      </m:e>
                      <m:sub>
                        <m:r>
                          <m:rPr>
                            <m:sty m:val="p"/>
                          </m:rPr>
                          <w:rPr>
                            <w:rFonts w:hint="default" w:ascii="Cambria Math" w:hAnsi="Cambria Math" w:eastAsia="宋体" w:cs="Times New Roman"/>
                            <w:color w:val="0000FF"/>
                            <w:kern w:val="2"/>
                            <w:sz w:val="24"/>
                            <w:szCs w:val="24"/>
                            <w:vertAlign w:val="baseline"/>
                            <w:lang w:val="en-US" w:eastAsia="zh-CN" w:bidi="ar-SA"/>
                          </w:rPr>
                          <m:t>r</m:t>
                        </m:r>
                        <m:ctrlPr>
                          <w:rPr>
                            <w:rFonts w:hint="default" w:ascii="Cambria Math" w:hAnsi="Cambria Math" w:eastAsia="宋体" w:cs="Times New Roman"/>
                            <w:b w:val="0"/>
                            <w:bCs w:val="0"/>
                            <w:color w:val="0000FF"/>
                            <w:kern w:val="2"/>
                            <w:sz w:val="24"/>
                            <w:szCs w:val="24"/>
                            <w:vertAlign w:val="baseline"/>
                            <w:lang w:val="en-US" w:eastAsia="zh-CN" w:bidi="ar-SA"/>
                          </w:rPr>
                        </m:ctrlPr>
                      </m:sub>
                    </m:sSub>
                    <m:ctrlPr>
                      <w:rPr>
                        <w:rFonts w:hint="default" w:ascii="Cambria Math" w:hAnsi="Cambria Math" w:eastAsia="宋体" w:cs="Times New Roman"/>
                        <w:b w:val="0"/>
                        <w:bCs w:val="0"/>
                        <w:color w:val="0000FF"/>
                        <w:kern w:val="2"/>
                        <w:sz w:val="24"/>
                        <w:szCs w:val="24"/>
                        <w:vertAlign w:val="baseline"/>
                        <w:lang w:val="en-US" w:eastAsia="zh-CN" w:bidi="ar-SA"/>
                      </w:rPr>
                    </m:ctrlPr>
                  </m:den>
                </m:f>
              </m:oMath>
            </m:oMathPara>
          </w:p>
          <w:p w14:paraId="46D65951">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vertAlign w:val="baseline"/>
                <w:lang w:val="en-US" w:eastAsia="zh-CN" w:bidi="ar-SA"/>
              </w:rPr>
            </w:pPr>
            <w:r>
              <w:rPr>
                <w:rFonts w:hint="eastAsia" w:hAnsi="Cambria Math" w:eastAsia="宋体" w:cs="Times New Roman"/>
                <w:b w:val="0"/>
                <w:bCs w:val="0"/>
                <w:i w:val="0"/>
                <w:color w:val="0000FF"/>
                <w:kern w:val="2"/>
                <w:sz w:val="24"/>
                <w:szCs w:val="24"/>
                <w:vertAlign w:val="baseline"/>
                <w:lang w:val="en-US" w:eastAsia="zh-CN" w:bidi="ar-SA"/>
              </w:rPr>
              <w:t>式中：C为从配料系统投加的物料中硫化物硫和有机物硫总含量</w:t>
            </w:r>
            <w:r>
              <w:rPr>
                <w:rFonts w:hint="eastAsia" w:ascii="Times New Roman" w:hAnsi="Times New Roman" w:eastAsia="宋体" w:cs="Times New Roman"/>
                <w:b w:val="0"/>
                <w:bCs w:val="0"/>
                <w:color w:val="0000FF"/>
                <w:kern w:val="2"/>
                <w:sz w:val="24"/>
                <w:szCs w:val="24"/>
                <w:vertAlign w:val="baseline"/>
                <w:lang w:val="en-US" w:eastAsia="zh-CN" w:bidi="ar-SA"/>
              </w:rPr>
              <w:t>，%；</w:t>
            </w:r>
          </w:p>
          <w:p w14:paraId="3D2B1588">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jc w:val="both"/>
              <w:textAlignment w:val="auto"/>
              <w:rPr>
                <w:rFonts w:hint="eastAsia" w:ascii="Times New Roman" w:hAnsi="Times New Roman" w:eastAsia="宋体" w:cs="Times New Roman"/>
                <w:b w:val="0"/>
                <w:bCs w:val="0"/>
                <w:color w:val="0000FF"/>
                <w:kern w:val="2"/>
                <w:sz w:val="24"/>
                <w:szCs w:val="24"/>
                <w:vertAlign w:val="baseline"/>
                <w:lang w:val="en-US" w:eastAsia="zh-CN" w:bidi="ar-SA"/>
              </w:rPr>
            </w:pPr>
            <w:r>
              <w:rPr>
                <w:rFonts w:hint="eastAsia" w:ascii="Times New Roman" w:hAnsi="Times New Roman" w:eastAsia="宋体" w:cs="Times New Roman"/>
                <w:b w:val="0"/>
                <w:bCs w:val="0"/>
                <w:color w:val="0000FF"/>
                <w:kern w:val="2"/>
                <w:sz w:val="24"/>
                <w:szCs w:val="24"/>
                <w:vertAlign w:val="baseline"/>
                <w:lang w:val="en-US" w:eastAsia="zh-CN" w:bidi="ar-SA"/>
              </w:rPr>
              <w:t>C</w:t>
            </w:r>
            <w:r>
              <w:rPr>
                <w:rFonts w:hint="eastAsia" w:ascii="Times New Roman" w:hAnsi="Times New Roman" w:eastAsia="宋体" w:cs="Times New Roman"/>
                <w:b w:val="0"/>
                <w:bCs w:val="0"/>
                <w:color w:val="0000FF"/>
                <w:kern w:val="2"/>
                <w:sz w:val="24"/>
                <w:szCs w:val="24"/>
                <w:vertAlign w:val="subscript"/>
                <w:lang w:val="en-US" w:eastAsia="zh-CN" w:bidi="ar-SA"/>
              </w:rPr>
              <w:t>w</w:t>
            </w:r>
            <w:r>
              <w:rPr>
                <w:rFonts w:hint="eastAsia" w:ascii="Times New Roman" w:hAnsi="Times New Roman" w:eastAsia="宋体" w:cs="Times New Roman"/>
                <w:b w:val="0"/>
                <w:bCs w:val="0"/>
                <w:color w:val="0000FF"/>
                <w:kern w:val="2"/>
                <w:sz w:val="24"/>
                <w:szCs w:val="24"/>
                <w:vertAlign w:val="baseline"/>
                <w:lang w:val="en-US" w:eastAsia="zh-CN" w:bidi="ar-SA"/>
              </w:rPr>
              <w:t>和C</w:t>
            </w:r>
            <w:r>
              <w:rPr>
                <w:rFonts w:hint="eastAsia" w:ascii="Times New Roman" w:hAnsi="Times New Roman" w:eastAsia="宋体" w:cs="Times New Roman"/>
                <w:b w:val="0"/>
                <w:bCs w:val="0"/>
                <w:color w:val="0000FF"/>
                <w:kern w:val="2"/>
                <w:sz w:val="24"/>
                <w:szCs w:val="24"/>
                <w:vertAlign w:val="subscript"/>
                <w:lang w:val="en-US" w:eastAsia="zh-CN" w:bidi="ar-SA"/>
              </w:rPr>
              <w:t>r</w:t>
            </w:r>
            <w:r>
              <w:rPr>
                <w:rFonts w:hint="eastAsia" w:ascii="Times New Roman" w:hAnsi="Times New Roman" w:eastAsia="宋体" w:cs="Times New Roman"/>
                <w:b w:val="0"/>
                <w:bCs w:val="0"/>
                <w:color w:val="0000FF"/>
                <w:kern w:val="2"/>
                <w:sz w:val="24"/>
                <w:szCs w:val="24"/>
                <w:vertAlign w:val="baseline"/>
                <w:lang w:val="en-US" w:eastAsia="zh-CN" w:bidi="ar-SA"/>
              </w:rPr>
              <w:t>分别为从配料系统投加的固体废物和常规原料中的硫化物硫和有机物</w:t>
            </w:r>
          </w:p>
          <w:p w14:paraId="03A80356">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jc w:val="both"/>
              <w:textAlignment w:val="auto"/>
              <w:rPr>
                <w:rFonts w:hint="eastAsia" w:ascii="Times New Roman" w:hAnsi="Times New Roman" w:eastAsia="宋体" w:cs="Times New Roman"/>
                <w:b w:val="0"/>
                <w:bCs w:val="0"/>
                <w:color w:val="0000FF"/>
                <w:kern w:val="2"/>
                <w:sz w:val="24"/>
                <w:szCs w:val="24"/>
                <w:vertAlign w:val="baseline"/>
                <w:lang w:val="en-US" w:eastAsia="zh-CN" w:bidi="ar-SA"/>
              </w:rPr>
            </w:pPr>
            <w:r>
              <w:rPr>
                <w:rFonts w:hint="eastAsia" w:ascii="Times New Roman" w:hAnsi="Times New Roman" w:eastAsia="宋体" w:cs="Times New Roman"/>
                <w:b w:val="0"/>
                <w:bCs w:val="0"/>
                <w:color w:val="0000FF"/>
                <w:kern w:val="2"/>
                <w:sz w:val="24"/>
                <w:szCs w:val="24"/>
                <w:vertAlign w:val="baseline"/>
                <w:lang w:val="en-US" w:eastAsia="zh-CN" w:bidi="ar-SA"/>
              </w:rPr>
              <w:t>硫总含量，%；</w:t>
            </w:r>
          </w:p>
          <w:p w14:paraId="2131333B">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jc w:val="both"/>
              <w:textAlignment w:val="auto"/>
              <w:rPr>
                <w:rFonts w:hint="eastAsia" w:ascii="Times New Roman" w:hAnsi="Times New Roman" w:eastAsia="宋体" w:cs="Times New Roman"/>
                <w:b w:val="0"/>
                <w:bCs w:val="0"/>
                <w:color w:val="0000FF"/>
                <w:kern w:val="2"/>
                <w:sz w:val="24"/>
                <w:szCs w:val="24"/>
                <w:vertAlign w:val="baseline"/>
                <w:lang w:val="en-US" w:eastAsia="zh-CN" w:bidi="ar-SA"/>
              </w:rPr>
            </w:pPr>
            <w:r>
              <w:rPr>
                <w:rFonts w:hint="eastAsia" w:ascii="Times New Roman" w:hAnsi="Times New Roman" w:eastAsia="宋体" w:cs="Times New Roman"/>
                <w:b w:val="0"/>
                <w:bCs w:val="0"/>
                <w:color w:val="0000FF"/>
                <w:kern w:val="2"/>
                <w:sz w:val="24"/>
                <w:szCs w:val="24"/>
                <w:vertAlign w:val="baseline"/>
                <w:lang w:val="en-US" w:eastAsia="zh-CN" w:bidi="ar-SA"/>
              </w:rPr>
              <w:t>m</w:t>
            </w:r>
            <w:r>
              <w:rPr>
                <w:rFonts w:hint="eastAsia" w:ascii="Times New Roman" w:hAnsi="Times New Roman" w:eastAsia="宋体" w:cs="Times New Roman"/>
                <w:b w:val="0"/>
                <w:bCs w:val="0"/>
                <w:color w:val="0000FF"/>
                <w:kern w:val="2"/>
                <w:sz w:val="24"/>
                <w:szCs w:val="24"/>
                <w:vertAlign w:val="subscript"/>
                <w:lang w:val="en-US" w:eastAsia="zh-CN" w:bidi="ar-SA"/>
              </w:rPr>
              <w:t>w</w:t>
            </w:r>
            <w:r>
              <w:rPr>
                <w:rFonts w:hint="eastAsia" w:ascii="Times New Roman" w:hAnsi="Times New Roman" w:eastAsia="宋体" w:cs="Times New Roman"/>
                <w:b w:val="0"/>
                <w:bCs w:val="0"/>
                <w:color w:val="0000FF"/>
                <w:kern w:val="2"/>
                <w:sz w:val="24"/>
                <w:szCs w:val="24"/>
                <w:vertAlign w:val="baseline"/>
                <w:lang w:val="en-US" w:eastAsia="zh-CN" w:bidi="ar-SA"/>
              </w:rPr>
              <w:t>和m</w:t>
            </w:r>
            <w:r>
              <w:rPr>
                <w:rFonts w:hint="eastAsia" w:ascii="Times New Roman" w:hAnsi="Times New Roman" w:eastAsia="宋体" w:cs="Times New Roman"/>
                <w:b w:val="0"/>
                <w:bCs w:val="0"/>
                <w:color w:val="0000FF"/>
                <w:kern w:val="2"/>
                <w:sz w:val="24"/>
                <w:szCs w:val="24"/>
                <w:vertAlign w:val="subscript"/>
                <w:lang w:val="en-US" w:eastAsia="zh-CN" w:bidi="ar-SA"/>
              </w:rPr>
              <w:t>r</w:t>
            </w:r>
            <w:r>
              <w:rPr>
                <w:rFonts w:hint="eastAsia" w:ascii="Times New Roman" w:hAnsi="Times New Roman" w:eastAsia="宋体" w:cs="Times New Roman"/>
                <w:b w:val="0"/>
                <w:bCs w:val="0"/>
                <w:color w:val="0000FF"/>
                <w:kern w:val="2"/>
                <w:sz w:val="24"/>
                <w:szCs w:val="24"/>
                <w:vertAlign w:val="baseline"/>
                <w:lang w:val="en-US" w:eastAsia="zh-CN" w:bidi="ar-SA"/>
              </w:rPr>
              <w:t>分别为单位时间内固体废物和常规原料的投加量，kg/h。</w:t>
            </w:r>
          </w:p>
          <w:p w14:paraId="5F139061">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FF"/>
                <w:kern w:val="2"/>
                <w:sz w:val="24"/>
                <w:szCs w:val="24"/>
                <w:vertAlign w:val="baseline"/>
                <w:lang w:val="en-US" w:eastAsia="zh-CN" w:bidi="ar-SA"/>
              </w:rPr>
            </w:pPr>
            <w:r>
              <w:rPr>
                <w:rFonts w:hint="eastAsia" w:ascii="Times New Roman" w:hAnsi="Times New Roman" w:eastAsia="宋体" w:cs="Times New Roman"/>
                <w:b w:val="0"/>
                <w:bCs w:val="0"/>
                <w:color w:val="0000FF"/>
                <w:kern w:val="2"/>
                <w:sz w:val="24"/>
                <w:szCs w:val="24"/>
                <w:vertAlign w:val="baseline"/>
                <w:lang w:val="en-US" w:eastAsia="zh-CN" w:bidi="ar-SA"/>
              </w:rPr>
              <w:t>从窑头、窑尾高温区投加的全硫与配料系统投加的硫酸盐硫总投加量的计算如式所示。</w:t>
            </w:r>
          </w:p>
          <w:p w14:paraId="193C8C8E">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left"/>
              <w:textAlignment w:val="auto"/>
              <w:rPr>
                <w:rFonts w:hint="default" w:hAnsi="Cambria Math" w:eastAsia="宋体" w:cs="Times New Roman"/>
                <w:b w:val="0"/>
                <w:bCs w:val="0"/>
                <w:i w:val="0"/>
                <w:color w:val="0000FF"/>
                <w:kern w:val="2"/>
                <w:sz w:val="24"/>
                <w:szCs w:val="24"/>
                <w:vertAlign w:val="baseline"/>
                <w:lang w:val="en-US" w:eastAsia="zh-CN" w:bidi="ar-SA"/>
              </w:rPr>
            </w:pPr>
            <m:oMathPara>
              <m:oMathParaPr>
                <m:jc m:val="center"/>
              </m:oMathParaPr>
              <m:oMath>
                <m:sSub>
                  <m:sSubPr>
                    <m:ctrlPr>
                      <w:rPr>
                        <w:rFonts w:hint="default" w:ascii="Cambria Math" w:hAnsi="Cambria Math" w:eastAsia="宋体" w:cs="Times New Roman"/>
                        <w:b w:val="0"/>
                        <w:bCs w:val="0"/>
                        <w:i w:val="0"/>
                        <w:color w:val="0000FF"/>
                        <w:kern w:val="2"/>
                        <w:sz w:val="24"/>
                        <w:szCs w:val="24"/>
                        <w:vertAlign w:val="baseline"/>
                        <w:lang w:val="en-US" w:eastAsia="zh-CN" w:bidi="ar-SA"/>
                      </w:rPr>
                    </m:ctrlPr>
                  </m:sSubPr>
                  <m:e>
                    <m:r>
                      <m:rPr>
                        <m:sty m:val="p"/>
                      </m:rPr>
                      <w:rPr>
                        <w:rFonts w:hint="default" w:ascii="Cambria Math" w:hAnsi="Cambria Math" w:eastAsia="宋体" w:cs="Times New Roman"/>
                        <w:color w:val="0000FF"/>
                        <w:kern w:val="2"/>
                        <w:sz w:val="24"/>
                        <w:szCs w:val="24"/>
                        <w:vertAlign w:val="baseline"/>
                        <w:lang w:val="en-US" w:eastAsia="zh-CN" w:bidi="ar-SA"/>
                      </w:rPr>
                      <m:t>FM</m:t>
                    </m:r>
                    <m:ctrlPr>
                      <w:rPr>
                        <w:rFonts w:hint="default" w:ascii="Cambria Math" w:hAnsi="Cambria Math" w:eastAsia="宋体" w:cs="Times New Roman"/>
                        <w:b w:val="0"/>
                        <w:bCs w:val="0"/>
                        <w:i w:val="0"/>
                        <w:color w:val="0000FF"/>
                        <w:kern w:val="2"/>
                        <w:sz w:val="24"/>
                        <w:szCs w:val="24"/>
                        <w:vertAlign w:val="baseline"/>
                        <w:lang w:val="en-US" w:eastAsia="zh-CN" w:bidi="ar-SA"/>
                      </w:rPr>
                    </m:ctrlPr>
                  </m:e>
                  <m:sub>
                    <m:r>
                      <m:rPr>
                        <m:sty m:val="p"/>
                      </m:rPr>
                      <w:rPr>
                        <w:rFonts w:hint="default" w:ascii="Cambria Math" w:hAnsi="Cambria Math" w:eastAsia="宋体" w:cs="Times New Roman"/>
                        <w:color w:val="0000FF"/>
                        <w:kern w:val="2"/>
                        <w:sz w:val="24"/>
                        <w:szCs w:val="24"/>
                        <w:vertAlign w:val="baseline"/>
                        <w:lang w:val="en-US" w:eastAsia="zh-CN" w:bidi="ar-SA"/>
                      </w:rPr>
                      <m:t>s</m:t>
                    </m:r>
                    <m:ctrlPr>
                      <w:rPr>
                        <w:rFonts w:hint="default" w:ascii="Cambria Math" w:hAnsi="Cambria Math" w:eastAsia="宋体" w:cs="Times New Roman"/>
                        <w:b w:val="0"/>
                        <w:bCs w:val="0"/>
                        <w:i w:val="0"/>
                        <w:color w:val="0000FF"/>
                        <w:kern w:val="2"/>
                        <w:sz w:val="24"/>
                        <w:szCs w:val="24"/>
                        <w:vertAlign w:val="baseline"/>
                        <w:lang w:val="en-US" w:eastAsia="zh-CN" w:bidi="ar-SA"/>
                      </w:rPr>
                    </m:ctrlPr>
                  </m:sub>
                </m:sSub>
                <m:r>
                  <m:rPr>
                    <m:sty m:val="p"/>
                  </m:rPr>
                  <w:rPr>
                    <w:rFonts w:hint="default" w:ascii="Cambria Math" w:hAnsi="Cambria Math" w:eastAsia="宋体" w:cs="Times New Roman"/>
                    <w:color w:val="0000FF"/>
                    <w:kern w:val="2"/>
                    <w:sz w:val="24"/>
                    <w:szCs w:val="24"/>
                    <w:vertAlign w:val="baseline"/>
                    <w:lang w:val="en-US" w:eastAsia="zh-CN" w:bidi="ar-SA"/>
                  </w:rPr>
                  <m:t>=</m:t>
                </m:r>
                <m:f>
                  <m:fPr>
                    <m:ctrlPr>
                      <w:rPr>
                        <w:rFonts w:hint="default" w:ascii="Cambria Math" w:hAnsi="Cambria Math" w:eastAsia="宋体" w:cs="Times New Roman"/>
                        <w:b w:val="0"/>
                        <w:bCs w:val="0"/>
                        <w:color w:val="0000FF"/>
                        <w:kern w:val="2"/>
                        <w:sz w:val="24"/>
                        <w:szCs w:val="24"/>
                        <w:vertAlign w:val="baseline"/>
                        <w:lang w:val="en-US" w:eastAsia="zh-CN" w:bidi="ar-SA"/>
                      </w:rPr>
                    </m:ctrlPr>
                  </m:fPr>
                  <m:num>
                    <m:r>
                      <m:rPr>
                        <m:sty m:val="p"/>
                      </m:rPr>
                      <w:rPr>
                        <w:rFonts w:hint="default" w:ascii="Cambria Math" w:hAnsi="Cambria Math" w:eastAsia="宋体" w:cs="Times New Roman"/>
                        <w:color w:val="0000FF"/>
                        <w:kern w:val="2"/>
                        <w:sz w:val="24"/>
                        <w:szCs w:val="24"/>
                        <w:vertAlign w:val="baseline"/>
                        <w:lang w:val="en-US" w:eastAsia="zh-CN" w:bidi="ar-SA"/>
                      </w:rPr>
                      <m:t>（</m:t>
                    </m:r>
                    <m:sSub>
                      <m:sSubPr>
                        <m:ctrlPr>
                          <w:rPr>
                            <w:rFonts w:hint="default" w:ascii="Cambria Math" w:hAnsi="Cambria Math" w:eastAsia="宋体" w:cs="Times New Roman"/>
                            <w:b w:val="0"/>
                            <w:bCs w:val="0"/>
                            <w:color w:val="0000FF"/>
                            <w:kern w:val="2"/>
                            <w:sz w:val="24"/>
                            <w:szCs w:val="24"/>
                            <w:vertAlign w:val="baseline"/>
                            <w:lang w:val="en-US" w:eastAsia="zh-CN" w:bidi="ar-SA"/>
                          </w:rPr>
                        </m:ctrlPr>
                      </m:sSubPr>
                      <m:e>
                        <m:r>
                          <m:rPr>
                            <m:sty m:val="p"/>
                          </m:rPr>
                          <w:rPr>
                            <w:rFonts w:hint="default" w:ascii="Cambria Math" w:hAnsi="Cambria Math" w:eastAsia="宋体" w:cs="Times New Roman"/>
                            <w:color w:val="0000FF"/>
                            <w:kern w:val="2"/>
                            <w:sz w:val="24"/>
                            <w:szCs w:val="24"/>
                            <w:vertAlign w:val="baseline"/>
                            <w:lang w:val="en-US" w:eastAsia="zh-CN" w:bidi="ar-SA"/>
                          </w:rPr>
                          <m:t>C</m:t>
                        </m:r>
                        <m:ctrlPr>
                          <w:rPr>
                            <w:rFonts w:hint="default" w:ascii="Cambria Math" w:hAnsi="Cambria Math" w:eastAsia="宋体" w:cs="Times New Roman"/>
                            <w:b w:val="0"/>
                            <w:bCs w:val="0"/>
                            <w:color w:val="0000FF"/>
                            <w:kern w:val="2"/>
                            <w:sz w:val="24"/>
                            <w:szCs w:val="24"/>
                            <w:vertAlign w:val="baseline"/>
                            <w:lang w:val="en-US" w:eastAsia="zh-CN" w:bidi="ar-SA"/>
                          </w:rPr>
                        </m:ctrlPr>
                      </m:e>
                      <m:sub>
                        <m:r>
                          <m:rPr>
                            <m:sty m:val="p"/>
                          </m:rPr>
                          <w:rPr>
                            <w:rFonts w:hint="default" w:ascii="Cambria Math" w:hAnsi="Cambria Math" w:eastAsia="宋体" w:cs="Times New Roman"/>
                            <w:color w:val="0000FF"/>
                            <w:kern w:val="2"/>
                            <w:sz w:val="24"/>
                            <w:szCs w:val="24"/>
                            <w:vertAlign w:val="baseline"/>
                            <w:lang w:val="en-US" w:eastAsia="zh-CN" w:bidi="ar-SA"/>
                          </w:rPr>
                          <m:t>w1</m:t>
                        </m:r>
                        <m:ctrlPr>
                          <w:rPr>
                            <w:rFonts w:hint="default" w:ascii="Cambria Math" w:hAnsi="Cambria Math" w:eastAsia="宋体" w:cs="Times New Roman"/>
                            <w:b w:val="0"/>
                            <w:bCs w:val="0"/>
                            <w:color w:val="0000FF"/>
                            <w:kern w:val="2"/>
                            <w:sz w:val="24"/>
                            <w:szCs w:val="24"/>
                            <w:vertAlign w:val="baseline"/>
                            <w:lang w:val="en-US" w:eastAsia="zh-CN" w:bidi="ar-SA"/>
                          </w:rPr>
                        </m:ctrlPr>
                      </m:sub>
                    </m:sSub>
                    <m:r>
                      <m:rPr>
                        <m:sty m:val="p"/>
                      </m:rPr>
                      <w:rPr>
                        <w:rFonts w:hint="default" w:ascii="Cambria Math" w:hAnsi="Cambria Math" w:eastAsia="宋体" w:cs="Times New Roman"/>
                        <w:color w:val="0000FF"/>
                        <w:kern w:val="2"/>
                        <w:sz w:val="24"/>
                        <w:szCs w:val="24"/>
                        <w:vertAlign w:val="baseline"/>
                        <w:lang w:val="en-US" w:eastAsia="zh-CN" w:bidi="ar-SA"/>
                      </w:rPr>
                      <m:t>×</m:t>
                    </m:r>
                    <m:sSub>
                      <m:sSubPr>
                        <m:ctrlPr>
                          <w:rPr>
                            <w:rFonts w:hint="default" w:ascii="Cambria Math" w:hAnsi="Cambria Math" w:eastAsia="宋体" w:cs="Times New Roman"/>
                            <w:b w:val="0"/>
                            <w:bCs w:val="0"/>
                            <w:i w:val="0"/>
                            <w:color w:val="0000FF"/>
                            <w:kern w:val="2"/>
                            <w:sz w:val="24"/>
                            <w:szCs w:val="24"/>
                            <w:vertAlign w:val="baseline"/>
                            <w:lang w:val="en-US" w:eastAsia="zh-CN" w:bidi="ar-SA"/>
                          </w:rPr>
                        </m:ctrlPr>
                      </m:sSubPr>
                      <m:e>
                        <m:r>
                          <m:rPr>
                            <m:sty m:val="p"/>
                          </m:rPr>
                          <w:rPr>
                            <w:rFonts w:hint="default" w:ascii="Cambria Math" w:hAnsi="Cambria Math" w:eastAsia="宋体" w:cs="Times New Roman"/>
                            <w:color w:val="0000FF"/>
                            <w:kern w:val="2"/>
                            <w:sz w:val="24"/>
                            <w:szCs w:val="24"/>
                            <w:vertAlign w:val="baseline"/>
                            <w:lang w:val="en-US" w:eastAsia="zh-CN" w:bidi="ar-SA"/>
                          </w:rPr>
                          <m:t>m</m:t>
                        </m:r>
                        <m:ctrlPr>
                          <w:rPr>
                            <w:rFonts w:hint="default" w:ascii="Cambria Math" w:hAnsi="Cambria Math" w:eastAsia="宋体" w:cs="Times New Roman"/>
                            <w:b w:val="0"/>
                            <w:bCs w:val="0"/>
                            <w:i w:val="0"/>
                            <w:color w:val="0000FF"/>
                            <w:kern w:val="2"/>
                            <w:sz w:val="24"/>
                            <w:szCs w:val="24"/>
                            <w:vertAlign w:val="baseline"/>
                            <w:lang w:val="en-US" w:eastAsia="zh-CN" w:bidi="ar-SA"/>
                          </w:rPr>
                        </m:ctrlPr>
                      </m:e>
                      <m:sub>
                        <m:r>
                          <m:rPr>
                            <m:sty m:val="p"/>
                          </m:rPr>
                          <w:rPr>
                            <w:rFonts w:hint="default" w:ascii="Cambria Math" w:hAnsi="Cambria Math" w:eastAsia="宋体" w:cs="Times New Roman"/>
                            <w:color w:val="0000FF"/>
                            <w:kern w:val="2"/>
                            <w:sz w:val="24"/>
                            <w:szCs w:val="24"/>
                            <w:vertAlign w:val="baseline"/>
                            <w:lang w:val="en-US" w:eastAsia="zh-CN" w:bidi="ar-SA"/>
                          </w:rPr>
                          <m:t>w1</m:t>
                        </m:r>
                        <m:ctrlPr>
                          <w:rPr>
                            <w:rFonts w:hint="default" w:ascii="Cambria Math" w:hAnsi="Cambria Math" w:eastAsia="宋体" w:cs="Times New Roman"/>
                            <w:b w:val="0"/>
                            <w:bCs w:val="0"/>
                            <w:i w:val="0"/>
                            <w:color w:val="0000FF"/>
                            <w:kern w:val="2"/>
                            <w:sz w:val="24"/>
                            <w:szCs w:val="24"/>
                            <w:vertAlign w:val="baseline"/>
                            <w:lang w:val="en-US" w:eastAsia="zh-CN" w:bidi="ar-SA"/>
                          </w:rPr>
                        </m:ctrlPr>
                      </m:sub>
                    </m:sSub>
                    <m:r>
                      <m:rPr>
                        <m:sty m:val="p"/>
                      </m:rPr>
                      <w:rPr>
                        <w:rFonts w:hint="default" w:ascii="Cambria Math" w:hAnsi="Cambria Math" w:eastAsia="宋体" w:cs="Times New Roman"/>
                        <w:color w:val="0000FF"/>
                        <w:kern w:val="2"/>
                        <w:sz w:val="24"/>
                        <w:szCs w:val="24"/>
                        <w:vertAlign w:val="baseline"/>
                        <w:lang w:val="en-US" w:eastAsia="zh-CN" w:bidi="ar-SA"/>
                      </w:rPr>
                      <m:t>+</m:t>
                    </m:r>
                    <m:sSub>
                      <m:sSubPr>
                        <m:ctrlPr>
                          <w:rPr>
                            <w:rFonts w:hint="default" w:ascii="Cambria Math" w:hAnsi="Cambria Math" w:eastAsia="宋体" w:cs="Times New Roman"/>
                            <w:b w:val="0"/>
                            <w:bCs w:val="0"/>
                            <w:color w:val="0000FF"/>
                            <w:kern w:val="2"/>
                            <w:sz w:val="24"/>
                            <w:szCs w:val="24"/>
                            <w:vertAlign w:val="baseline"/>
                            <w:lang w:val="en-US" w:eastAsia="zh-CN" w:bidi="ar-SA"/>
                          </w:rPr>
                        </m:ctrlPr>
                      </m:sSubPr>
                      <m:e>
                        <m:r>
                          <m:rPr>
                            <m:sty m:val="p"/>
                          </m:rPr>
                          <w:rPr>
                            <w:rFonts w:hint="default" w:ascii="Cambria Math" w:hAnsi="Cambria Math" w:eastAsia="宋体" w:cs="Times New Roman"/>
                            <w:color w:val="0000FF"/>
                            <w:kern w:val="2"/>
                            <w:sz w:val="24"/>
                            <w:szCs w:val="24"/>
                            <w:vertAlign w:val="baseline"/>
                            <w:lang w:val="en-US" w:eastAsia="zh-CN" w:bidi="ar-SA"/>
                          </w:rPr>
                          <m:t>C</m:t>
                        </m:r>
                        <m:ctrlPr>
                          <w:rPr>
                            <w:rFonts w:hint="default" w:ascii="Cambria Math" w:hAnsi="Cambria Math" w:eastAsia="宋体" w:cs="Times New Roman"/>
                            <w:b w:val="0"/>
                            <w:bCs w:val="0"/>
                            <w:color w:val="0000FF"/>
                            <w:kern w:val="2"/>
                            <w:sz w:val="24"/>
                            <w:szCs w:val="24"/>
                            <w:vertAlign w:val="baseline"/>
                            <w:lang w:val="en-US" w:eastAsia="zh-CN" w:bidi="ar-SA"/>
                          </w:rPr>
                        </m:ctrlPr>
                      </m:e>
                      <m:sub>
                        <m:r>
                          <m:rPr>
                            <m:sty m:val="p"/>
                          </m:rPr>
                          <w:rPr>
                            <w:rFonts w:hint="default" w:ascii="Cambria Math" w:hAnsi="Cambria Math" w:eastAsia="宋体" w:cs="Times New Roman"/>
                            <w:color w:val="0000FF"/>
                            <w:kern w:val="2"/>
                            <w:sz w:val="24"/>
                            <w:szCs w:val="24"/>
                            <w:vertAlign w:val="baseline"/>
                            <w:lang w:val="en-US" w:eastAsia="zh-CN" w:bidi="ar-SA"/>
                          </w:rPr>
                          <m:t>w2</m:t>
                        </m:r>
                        <m:ctrlPr>
                          <w:rPr>
                            <w:rFonts w:hint="default" w:ascii="Cambria Math" w:hAnsi="Cambria Math" w:eastAsia="宋体" w:cs="Times New Roman"/>
                            <w:b w:val="0"/>
                            <w:bCs w:val="0"/>
                            <w:color w:val="0000FF"/>
                            <w:kern w:val="2"/>
                            <w:sz w:val="24"/>
                            <w:szCs w:val="24"/>
                            <w:vertAlign w:val="baseline"/>
                            <w:lang w:val="en-US" w:eastAsia="zh-CN" w:bidi="ar-SA"/>
                          </w:rPr>
                        </m:ctrlPr>
                      </m:sub>
                    </m:sSub>
                    <m:r>
                      <m:rPr>
                        <m:sty m:val="p"/>
                      </m:rPr>
                      <w:rPr>
                        <w:rFonts w:hint="default" w:ascii="Cambria Math" w:hAnsi="Cambria Math" w:eastAsia="宋体" w:cs="Times New Roman"/>
                        <w:color w:val="0000FF"/>
                        <w:kern w:val="2"/>
                        <w:sz w:val="24"/>
                        <w:szCs w:val="24"/>
                        <w:vertAlign w:val="baseline"/>
                        <w:lang w:val="en-US" w:eastAsia="zh-CN" w:bidi="ar-SA"/>
                      </w:rPr>
                      <m:t>×</m:t>
                    </m:r>
                    <m:sSub>
                      <m:sSubPr>
                        <m:ctrlPr>
                          <w:rPr>
                            <w:rFonts w:hint="default" w:ascii="Cambria Math" w:hAnsi="Cambria Math" w:eastAsia="宋体" w:cs="Times New Roman"/>
                            <w:b w:val="0"/>
                            <w:bCs w:val="0"/>
                            <w:i w:val="0"/>
                            <w:color w:val="0000FF"/>
                            <w:kern w:val="2"/>
                            <w:sz w:val="24"/>
                            <w:szCs w:val="24"/>
                            <w:vertAlign w:val="baseline"/>
                            <w:lang w:val="en-US" w:eastAsia="zh-CN" w:bidi="ar-SA"/>
                          </w:rPr>
                        </m:ctrlPr>
                      </m:sSubPr>
                      <m:e>
                        <m:r>
                          <m:rPr>
                            <m:sty m:val="p"/>
                          </m:rPr>
                          <w:rPr>
                            <w:rFonts w:hint="default" w:ascii="Cambria Math" w:hAnsi="Cambria Math" w:eastAsia="宋体" w:cs="Times New Roman"/>
                            <w:color w:val="0000FF"/>
                            <w:kern w:val="2"/>
                            <w:sz w:val="24"/>
                            <w:szCs w:val="24"/>
                            <w:vertAlign w:val="baseline"/>
                            <w:lang w:val="en-US" w:eastAsia="zh-CN" w:bidi="ar-SA"/>
                          </w:rPr>
                          <m:t>m</m:t>
                        </m:r>
                        <m:ctrlPr>
                          <w:rPr>
                            <w:rFonts w:hint="default" w:ascii="Cambria Math" w:hAnsi="Cambria Math" w:eastAsia="宋体" w:cs="Times New Roman"/>
                            <w:b w:val="0"/>
                            <w:bCs w:val="0"/>
                            <w:i w:val="0"/>
                            <w:color w:val="0000FF"/>
                            <w:kern w:val="2"/>
                            <w:sz w:val="24"/>
                            <w:szCs w:val="24"/>
                            <w:vertAlign w:val="baseline"/>
                            <w:lang w:val="en-US" w:eastAsia="zh-CN" w:bidi="ar-SA"/>
                          </w:rPr>
                        </m:ctrlPr>
                      </m:e>
                      <m:sub>
                        <m:r>
                          <m:rPr>
                            <m:sty m:val="p"/>
                          </m:rPr>
                          <w:rPr>
                            <w:rFonts w:hint="default" w:ascii="Cambria Math" w:hAnsi="Cambria Math" w:eastAsia="宋体" w:cs="Times New Roman"/>
                            <w:color w:val="0000FF"/>
                            <w:kern w:val="2"/>
                            <w:sz w:val="24"/>
                            <w:szCs w:val="24"/>
                            <w:vertAlign w:val="baseline"/>
                            <w:lang w:val="en-US" w:eastAsia="zh-CN" w:bidi="ar-SA"/>
                          </w:rPr>
                          <m:t>w2</m:t>
                        </m:r>
                        <m:ctrlPr>
                          <w:rPr>
                            <w:rFonts w:hint="default" w:ascii="Cambria Math" w:hAnsi="Cambria Math" w:eastAsia="宋体" w:cs="Times New Roman"/>
                            <w:b w:val="0"/>
                            <w:bCs w:val="0"/>
                            <w:i w:val="0"/>
                            <w:color w:val="0000FF"/>
                            <w:kern w:val="2"/>
                            <w:sz w:val="24"/>
                            <w:szCs w:val="24"/>
                            <w:vertAlign w:val="baseline"/>
                            <w:lang w:val="en-US" w:eastAsia="zh-CN" w:bidi="ar-SA"/>
                          </w:rPr>
                        </m:ctrlPr>
                      </m:sub>
                    </m:sSub>
                    <m:r>
                      <m:rPr>
                        <m:sty m:val="p"/>
                      </m:rPr>
                      <w:rPr>
                        <w:rFonts w:hint="default" w:ascii="Cambria Math" w:hAnsi="Cambria Math" w:eastAsia="宋体" w:cs="Times New Roman"/>
                        <w:color w:val="0000FF"/>
                        <w:kern w:val="2"/>
                        <w:sz w:val="24"/>
                        <w:szCs w:val="24"/>
                        <w:vertAlign w:val="baseline"/>
                        <w:lang w:val="en-US" w:eastAsia="zh-CN" w:bidi="ar-SA"/>
                      </w:rPr>
                      <m:t>+</m:t>
                    </m:r>
                    <m:sSub>
                      <m:sSubPr>
                        <m:ctrlPr>
                          <w:rPr>
                            <w:rFonts w:hint="default" w:ascii="Cambria Math" w:hAnsi="Cambria Math" w:eastAsia="宋体" w:cs="Times New Roman"/>
                            <w:b w:val="0"/>
                            <w:bCs w:val="0"/>
                            <w:color w:val="0000FF"/>
                            <w:kern w:val="2"/>
                            <w:sz w:val="24"/>
                            <w:szCs w:val="24"/>
                            <w:vertAlign w:val="baseline"/>
                            <w:lang w:val="en-US" w:eastAsia="zh-CN" w:bidi="ar-SA"/>
                          </w:rPr>
                        </m:ctrlPr>
                      </m:sSubPr>
                      <m:e>
                        <m:r>
                          <m:rPr>
                            <m:sty m:val="p"/>
                          </m:rPr>
                          <w:rPr>
                            <w:rFonts w:hint="default" w:ascii="Cambria Math" w:hAnsi="Cambria Math" w:eastAsia="宋体" w:cs="Times New Roman"/>
                            <w:color w:val="0000FF"/>
                            <w:kern w:val="2"/>
                            <w:sz w:val="24"/>
                            <w:szCs w:val="24"/>
                            <w:vertAlign w:val="baseline"/>
                            <w:lang w:val="en-US" w:eastAsia="zh-CN" w:bidi="ar-SA"/>
                          </w:rPr>
                          <m:t>C</m:t>
                        </m:r>
                        <m:ctrlPr>
                          <w:rPr>
                            <w:rFonts w:hint="default" w:ascii="Cambria Math" w:hAnsi="Cambria Math" w:eastAsia="宋体" w:cs="Times New Roman"/>
                            <w:b w:val="0"/>
                            <w:bCs w:val="0"/>
                            <w:color w:val="0000FF"/>
                            <w:kern w:val="2"/>
                            <w:sz w:val="24"/>
                            <w:szCs w:val="24"/>
                            <w:vertAlign w:val="baseline"/>
                            <w:lang w:val="en-US" w:eastAsia="zh-CN" w:bidi="ar-SA"/>
                          </w:rPr>
                        </m:ctrlPr>
                      </m:e>
                      <m:sub>
                        <m:r>
                          <m:rPr>
                            <m:sty m:val="p"/>
                          </m:rPr>
                          <w:rPr>
                            <w:rFonts w:hint="default" w:ascii="Cambria Math" w:hAnsi="Cambria Math" w:eastAsia="宋体" w:cs="Times New Roman"/>
                            <w:color w:val="0000FF"/>
                            <w:kern w:val="2"/>
                            <w:sz w:val="24"/>
                            <w:szCs w:val="24"/>
                            <w:vertAlign w:val="baseline"/>
                            <w:lang w:val="en-US" w:eastAsia="zh-CN" w:bidi="ar-SA"/>
                          </w:rPr>
                          <m:t>f</m:t>
                        </m:r>
                        <m:ctrlPr>
                          <w:rPr>
                            <w:rFonts w:hint="default" w:ascii="Cambria Math" w:hAnsi="Cambria Math" w:eastAsia="宋体" w:cs="Times New Roman"/>
                            <w:b w:val="0"/>
                            <w:bCs w:val="0"/>
                            <w:color w:val="0000FF"/>
                            <w:kern w:val="2"/>
                            <w:sz w:val="24"/>
                            <w:szCs w:val="24"/>
                            <w:vertAlign w:val="baseline"/>
                            <w:lang w:val="en-US" w:eastAsia="zh-CN" w:bidi="ar-SA"/>
                          </w:rPr>
                        </m:ctrlPr>
                      </m:sub>
                    </m:sSub>
                    <m:r>
                      <m:rPr>
                        <m:sty m:val="p"/>
                      </m:rPr>
                      <w:rPr>
                        <w:rFonts w:hint="default" w:ascii="Cambria Math" w:hAnsi="Cambria Math" w:eastAsia="宋体" w:cs="Times New Roman"/>
                        <w:color w:val="0000FF"/>
                        <w:kern w:val="2"/>
                        <w:sz w:val="24"/>
                        <w:szCs w:val="24"/>
                        <w:vertAlign w:val="baseline"/>
                        <w:lang w:val="en-US" w:eastAsia="zh-CN" w:bidi="ar-SA"/>
                      </w:rPr>
                      <m:t>×</m:t>
                    </m:r>
                    <m:sSub>
                      <m:sSubPr>
                        <m:ctrlPr>
                          <w:rPr>
                            <w:rFonts w:hint="default" w:ascii="Cambria Math" w:hAnsi="Cambria Math" w:eastAsia="宋体" w:cs="Times New Roman"/>
                            <w:b w:val="0"/>
                            <w:bCs w:val="0"/>
                            <w:i w:val="0"/>
                            <w:color w:val="0000FF"/>
                            <w:kern w:val="2"/>
                            <w:sz w:val="24"/>
                            <w:szCs w:val="24"/>
                            <w:vertAlign w:val="baseline"/>
                            <w:lang w:val="en-US" w:eastAsia="zh-CN" w:bidi="ar-SA"/>
                          </w:rPr>
                        </m:ctrlPr>
                      </m:sSubPr>
                      <m:e>
                        <m:r>
                          <m:rPr>
                            <m:sty m:val="p"/>
                          </m:rPr>
                          <w:rPr>
                            <w:rFonts w:hint="default" w:ascii="Cambria Math" w:hAnsi="Cambria Math" w:eastAsia="宋体" w:cs="Times New Roman"/>
                            <w:color w:val="0000FF"/>
                            <w:kern w:val="2"/>
                            <w:sz w:val="24"/>
                            <w:szCs w:val="24"/>
                            <w:vertAlign w:val="baseline"/>
                            <w:lang w:val="en-US" w:eastAsia="zh-CN" w:bidi="ar-SA"/>
                          </w:rPr>
                          <m:t>m</m:t>
                        </m:r>
                        <m:ctrlPr>
                          <w:rPr>
                            <w:rFonts w:hint="default" w:ascii="Cambria Math" w:hAnsi="Cambria Math" w:eastAsia="宋体" w:cs="Times New Roman"/>
                            <w:b w:val="0"/>
                            <w:bCs w:val="0"/>
                            <w:i w:val="0"/>
                            <w:color w:val="0000FF"/>
                            <w:kern w:val="2"/>
                            <w:sz w:val="24"/>
                            <w:szCs w:val="24"/>
                            <w:vertAlign w:val="baseline"/>
                            <w:lang w:val="en-US" w:eastAsia="zh-CN" w:bidi="ar-SA"/>
                          </w:rPr>
                        </m:ctrlPr>
                      </m:e>
                      <m:sub>
                        <m:r>
                          <m:rPr>
                            <m:sty m:val="p"/>
                          </m:rPr>
                          <w:rPr>
                            <w:rFonts w:hint="default" w:ascii="Cambria Math" w:hAnsi="Cambria Math" w:eastAsia="宋体" w:cs="Times New Roman"/>
                            <w:color w:val="0000FF"/>
                            <w:kern w:val="2"/>
                            <w:sz w:val="24"/>
                            <w:szCs w:val="24"/>
                            <w:vertAlign w:val="baseline"/>
                            <w:lang w:val="en-US" w:eastAsia="zh-CN" w:bidi="ar-SA"/>
                          </w:rPr>
                          <m:t>f</m:t>
                        </m:r>
                        <m:ctrlPr>
                          <w:rPr>
                            <w:rFonts w:hint="default" w:ascii="Cambria Math" w:hAnsi="Cambria Math" w:eastAsia="宋体" w:cs="Times New Roman"/>
                            <w:b w:val="0"/>
                            <w:bCs w:val="0"/>
                            <w:i w:val="0"/>
                            <w:color w:val="0000FF"/>
                            <w:kern w:val="2"/>
                            <w:sz w:val="24"/>
                            <w:szCs w:val="24"/>
                            <w:vertAlign w:val="baseline"/>
                            <w:lang w:val="en-US" w:eastAsia="zh-CN" w:bidi="ar-SA"/>
                          </w:rPr>
                        </m:ctrlPr>
                      </m:sub>
                    </m:sSub>
                    <m:r>
                      <m:rPr>
                        <m:sty m:val="p"/>
                      </m:rPr>
                      <w:rPr>
                        <w:rFonts w:hint="default" w:ascii="Cambria Math" w:hAnsi="Cambria Math" w:eastAsia="宋体" w:cs="Times New Roman"/>
                        <w:color w:val="0000FF"/>
                        <w:kern w:val="2"/>
                        <w:sz w:val="24"/>
                        <w:szCs w:val="24"/>
                        <w:vertAlign w:val="baseline"/>
                        <w:lang w:val="en-US" w:eastAsia="zh-CN" w:bidi="ar-SA"/>
                      </w:rPr>
                      <m:t>+</m:t>
                    </m:r>
                    <m:sSub>
                      <m:sSubPr>
                        <m:ctrlPr>
                          <w:rPr>
                            <w:rFonts w:hint="default" w:ascii="Cambria Math" w:hAnsi="Cambria Math" w:eastAsia="宋体" w:cs="Times New Roman"/>
                            <w:b w:val="0"/>
                            <w:bCs w:val="0"/>
                            <w:color w:val="0000FF"/>
                            <w:kern w:val="2"/>
                            <w:sz w:val="24"/>
                            <w:szCs w:val="24"/>
                            <w:vertAlign w:val="baseline"/>
                            <w:lang w:val="en-US" w:eastAsia="zh-CN" w:bidi="ar-SA"/>
                          </w:rPr>
                        </m:ctrlPr>
                      </m:sSubPr>
                      <m:e>
                        <m:r>
                          <m:rPr>
                            <m:sty m:val="p"/>
                          </m:rPr>
                          <w:rPr>
                            <w:rFonts w:hint="default" w:ascii="Cambria Math" w:hAnsi="Cambria Math" w:eastAsia="宋体" w:cs="Times New Roman"/>
                            <w:color w:val="0000FF"/>
                            <w:kern w:val="2"/>
                            <w:sz w:val="24"/>
                            <w:szCs w:val="24"/>
                            <w:vertAlign w:val="baseline"/>
                            <w:lang w:val="en-US" w:eastAsia="zh-CN" w:bidi="ar-SA"/>
                          </w:rPr>
                          <m:t>C</m:t>
                        </m:r>
                        <m:ctrlPr>
                          <w:rPr>
                            <w:rFonts w:hint="default" w:ascii="Cambria Math" w:hAnsi="Cambria Math" w:eastAsia="宋体" w:cs="Times New Roman"/>
                            <w:b w:val="0"/>
                            <w:bCs w:val="0"/>
                            <w:color w:val="0000FF"/>
                            <w:kern w:val="2"/>
                            <w:sz w:val="24"/>
                            <w:szCs w:val="24"/>
                            <w:vertAlign w:val="baseline"/>
                            <w:lang w:val="en-US" w:eastAsia="zh-CN" w:bidi="ar-SA"/>
                          </w:rPr>
                        </m:ctrlPr>
                      </m:e>
                      <m:sub>
                        <m:r>
                          <m:rPr>
                            <m:sty m:val="p"/>
                          </m:rPr>
                          <w:rPr>
                            <w:rFonts w:hint="default" w:ascii="Cambria Math" w:hAnsi="Cambria Math" w:eastAsia="宋体" w:cs="Times New Roman"/>
                            <w:color w:val="0000FF"/>
                            <w:kern w:val="2"/>
                            <w:sz w:val="24"/>
                            <w:szCs w:val="24"/>
                            <w:vertAlign w:val="baseline"/>
                            <w:lang w:val="en-US" w:eastAsia="zh-CN" w:bidi="ar-SA"/>
                          </w:rPr>
                          <m:t>r</m:t>
                        </m:r>
                        <m:ctrlPr>
                          <w:rPr>
                            <w:rFonts w:hint="default" w:ascii="Cambria Math" w:hAnsi="Cambria Math" w:eastAsia="宋体" w:cs="Times New Roman"/>
                            <w:b w:val="0"/>
                            <w:bCs w:val="0"/>
                            <w:color w:val="0000FF"/>
                            <w:kern w:val="2"/>
                            <w:sz w:val="24"/>
                            <w:szCs w:val="24"/>
                            <w:vertAlign w:val="baseline"/>
                            <w:lang w:val="en-US" w:eastAsia="zh-CN" w:bidi="ar-SA"/>
                          </w:rPr>
                        </m:ctrlPr>
                      </m:sub>
                    </m:sSub>
                    <m:r>
                      <m:rPr>
                        <m:sty m:val="p"/>
                      </m:rPr>
                      <w:rPr>
                        <w:rFonts w:hint="default" w:ascii="Cambria Math" w:hAnsi="Cambria Math" w:eastAsia="宋体" w:cs="Times New Roman"/>
                        <w:color w:val="0000FF"/>
                        <w:kern w:val="2"/>
                        <w:sz w:val="24"/>
                        <w:szCs w:val="24"/>
                        <w:vertAlign w:val="baseline"/>
                        <w:lang w:val="en-US" w:eastAsia="zh-CN" w:bidi="ar-SA"/>
                      </w:rPr>
                      <m:t>×</m:t>
                    </m:r>
                    <m:sSub>
                      <m:sSubPr>
                        <m:ctrlPr>
                          <w:rPr>
                            <w:rFonts w:hint="default" w:ascii="Cambria Math" w:hAnsi="Cambria Math" w:eastAsia="宋体" w:cs="Times New Roman"/>
                            <w:b w:val="0"/>
                            <w:bCs w:val="0"/>
                            <w:i w:val="0"/>
                            <w:color w:val="0000FF"/>
                            <w:kern w:val="2"/>
                            <w:sz w:val="24"/>
                            <w:szCs w:val="24"/>
                            <w:vertAlign w:val="baseline"/>
                            <w:lang w:val="en-US" w:eastAsia="zh-CN" w:bidi="ar-SA"/>
                          </w:rPr>
                        </m:ctrlPr>
                      </m:sSubPr>
                      <m:e>
                        <m:r>
                          <m:rPr>
                            <m:sty m:val="p"/>
                          </m:rPr>
                          <w:rPr>
                            <w:rFonts w:hint="default" w:ascii="Cambria Math" w:hAnsi="Cambria Math" w:eastAsia="宋体" w:cs="Times New Roman"/>
                            <w:color w:val="0000FF"/>
                            <w:kern w:val="2"/>
                            <w:sz w:val="24"/>
                            <w:szCs w:val="24"/>
                            <w:vertAlign w:val="baseline"/>
                            <w:lang w:val="en-US" w:eastAsia="zh-CN" w:bidi="ar-SA"/>
                          </w:rPr>
                          <m:t>m</m:t>
                        </m:r>
                        <m:ctrlPr>
                          <w:rPr>
                            <w:rFonts w:hint="default" w:ascii="Cambria Math" w:hAnsi="Cambria Math" w:eastAsia="宋体" w:cs="Times New Roman"/>
                            <w:b w:val="0"/>
                            <w:bCs w:val="0"/>
                            <w:i w:val="0"/>
                            <w:color w:val="0000FF"/>
                            <w:kern w:val="2"/>
                            <w:sz w:val="24"/>
                            <w:szCs w:val="24"/>
                            <w:vertAlign w:val="baseline"/>
                            <w:lang w:val="en-US" w:eastAsia="zh-CN" w:bidi="ar-SA"/>
                          </w:rPr>
                        </m:ctrlPr>
                      </m:e>
                      <m:sub>
                        <m:r>
                          <m:rPr>
                            <m:sty m:val="p"/>
                          </m:rPr>
                          <w:rPr>
                            <w:rFonts w:hint="default" w:ascii="Cambria Math" w:hAnsi="Cambria Math" w:eastAsia="宋体" w:cs="Times New Roman"/>
                            <w:color w:val="0000FF"/>
                            <w:kern w:val="2"/>
                            <w:sz w:val="24"/>
                            <w:szCs w:val="24"/>
                            <w:vertAlign w:val="baseline"/>
                            <w:lang w:val="en-US" w:eastAsia="zh-CN" w:bidi="ar-SA"/>
                          </w:rPr>
                          <m:t>r</m:t>
                        </m:r>
                        <m:ctrlPr>
                          <w:rPr>
                            <w:rFonts w:hint="default" w:ascii="Cambria Math" w:hAnsi="Cambria Math" w:eastAsia="宋体" w:cs="Times New Roman"/>
                            <w:b w:val="0"/>
                            <w:bCs w:val="0"/>
                            <w:i w:val="0"/>
                            <w:color w:val="0000FF"/>
                            <w:kern w:val="2"/>
                            <w:sz w:val="24"/>
                            <w:szCs w:val="24"/>
                            <w:vertAlign w:val="baseline"/>
                            <w:lang w:val="en-US" w:eastAsia="zh-CN" w:bidi="ar-SA"/>
                          </w:rPr>
                        </m:ctrlPr>
                      </m:sub>
                    </m:sSub>
                    <m:r>
                      <m:rPr>
                        <m:sty m:val="p"/>
                      </m:rPr>
                      <w:rPr>
                        <w:rFonts w:hint="default" w:ascii="Cambria Math" w:hAnsi="Cambria Math" w:eastAsia="宋体" w:cs="Times New Roman"/>
                        <w:color w:val="0000FF"/>
                        <w:kern w:val="2"/>
                        <w:sz w:val="24"/>
                        <w:szCs w:val="24"/>
                        <w:vertAlign w:val="baseline"/>
                        <w:lang w:val="en-US" w:eastAsia="zh-CN" w:bidi="ar-SA"/>
                      </w:rPr>
                      <m:t>）</m:t>
                    </m:r>
                    <m:ctrlPr>
                      <w:rPr>
                        <w:rFonts w:hint="default" w:ascii="Cambria Math" w:hAnsi="Cambria Math" w:eastAsia="宋体" w:cs="Times New Roman"/>
                        <w:b w:val="0"/>
                        <w:bCs w:val="0"/>
                        <w:color w:val="0000FF"/>
                        <w:kern w:val="2"/>
                        <w:sz w:val="24"/>
                        <w:szCs w:val="24"/>
                        <w:vertAlign w:val="baseline"/>
                        <w:lang w:val="en-US" w:eastAsia="zh-CN" w:bidi="ar-SA"/>
                      </w:rPr>
                    </m:ctrlPr>
                  </m:num>
                  <m:den>
                    <m:sSub>
                      <m:sSubPr>
                        <m:ctrlPr>
                          <w:rPr>
                            <w:rFonts w:hint="default" w:ascii="Cambria Math" w:hAnsi="Cambria Math" w:eastAsia="宋体" w:cs="Times New Roman"/>
                            <w:b w:val="0"/>
                            <w:bCs w:val="0"/>
                            <w:color w:val="0000FF"/>
                            <w:kern w:val="2"/>
                            <w:sz w:val="24"/>
                            <w:szCs w:val="24"/>
                            <w:vertAlign w:val="baseline"/>
                            <w:lang w:val="en-US" w:eastAsia="zh-CN" w:bidi="ar-SA"/>
                          </w:rPr>
                        </m:ctrlPr>
                      </m:sSubPr>
                      <m:e>
                        <m:r>
                          <m:rPr>
                            <m:sty m:val="p"/>
                          </m:rPr>
                          <w:rPr>
                            <w:rFonts w:hint="default" w:ascii="Cambria Math" w:hAnsi="Cambria Math" w:eastAsia="宋体" w:cs="Times New Roman"/>
                            <w:color w:val="0000FF"/>
                            <w:kern w:val="2"/>
                            <w:sz w:val="24"/>
                            <w:szCs w:val="24"/>
                            <w:vertAlign w:val="baseline"/>
                            <w:lang w:val="en-US" w:eastAsia="zh-CN" w:bidi="ar-SA"/>
                          </w:rPr>
                          <m:t>m</m:t>
                        </m:r>
                        <m:ctrlPr>
                          <w:rPr>
                            <w:rFonts w:hint="default" w:ascii="Cambria Math" w:hAnsi="Cambria Math" w:eastAsia="宋体" w:cs="Times New Roman"/>
                            <w:b w:val="0"/>
                            <w:bCs w:val="0"/>
                            <w:color w:val="0000FF"/>
                            <w:kern w:val="2"/>
                            <w:sz w:val="24"/>
                            <w:szCs w:val="24"/>
                            <w:vertAlign w:val="baseline"/>
                            <w:lang w:val="en-US" w:eastAsia="zh-CN" w:bidi="ar-SA"/>
                          </w:rPr>
                        </m:ctrlPr>
                      </m:e>
                      <m:sub>
                        <m:r>
                          <m:rPr>
                            <m:sty m:val="p"/>
                          </m:rPr>
                          <w:rPr>
                            <w:rFonts w:hint="default" w:ascii="Cambria Math" w:hAnsi="Cambria Math" w:eastAsia="宋体" w:cs="Times New Roman"/>
                            <w:color w:val="0000FF"/>
                            <w:kern w:val="2"/>
                            <w:sz w:val="24"/>
                            <w:szCs w:val="24"/>
                            <w:vertAlign w:val="baseline"/>
                            <w:lang w:val="en-US" w:eastAsia="zh-CN" w:bidi="ar-SA"/>
                          </w:rPr>
                          <m:t>cli</m:t>
                        </m:r>
                        <m:ctrlPr>
                          <w:rPr>
                            <w:rFonts w:hint="default" w:ascii="Cambria Math" w:hAnsi="Cambria Math" w:eastAsia="宋体" w:cs="Times New Roman"/>
                            <w:b w:val="0"/>
                            <w:bCs w:val="0"/>
                            <w:color w:val="0000FF"/>
                            <w:kern w:val="2"/>
                            <w:sz w:val="24"/>
                            <w:szCs w:val="24"/>
                            <w:vertAlign w:val="baseline"/>
                            <w:lang w:val="en-US" w:eastAsia="zh-CN" w:bidi="ar-SA"/>
                          </w:rPr>
                        </m:ctrlPr>
                      </m:sub>
                    </m:sSub>
                    <m:ctrlPr>
                      <w:rPr>
                        <w:rFonts w:hint="default" w:ascii="Cambria Math" w:hAnsi="Cambria Math" w:eastAsia="宋体" w:cs="Times New Roman"/>
                        <w:b w:val="0"/>
                        <w:bCs w:val="0"/>
                        <w:color w:val="0000FF"/>
                        <w:kern w:val="2"/>
                        <w:sz w:val="24"/>
                        <w:szCs w:val="24"/>
                        <w:vertAlign w:val="baseline"/>
                        <w:lang w:val="en-US" w:eastAsia="zh-CN" w:bidi="ar-SA"/>
                      </w:rPr>
                    </m:ctrlPr>
                  </m:den>
                </m:f>
              </m:oMath>
            </m:oMathPara>
          </w:p>
          <w:p w14:paraId="442A16B0">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hAnsi="Cambria Math" w:eastAsia="宋体" w:cs="Times New Roman"/>
                <w:b w:val="0"/>
                <w:bCs w:val="0"/>
                <w:i w:val="0"/>
                <w:color w:val="0000FF"/>
                <w:kern w:val="2"/>
                <w:sz w:val="24"/>
                <w:szCs w:val="24"/>
                <w:vertAlign w:val="baseline"/>
                <w:lang w:val="en-US" w:eastAsia="zh-CN" w:bidi="ar-SA"/>
              </w:rPr>
            </w:pPr>
            <w:r>
              <w:rPr>
                <w:rFonts w:hint="eastAsia" w:hAnsi="Cambria Math" w:eastAsia="宋体" w:cs="Times New Roman"/>
                <w:b w:val="0"/>
                <w:bCs w:val="0"/>
                <w:i w:val="0"/>
                <w:color w:val="0000FF"/>
                <w:kern w:val="2"/>
                <w:sz w:val="24"/>
                <w:szCs w:val="24"/>
                <w:vertAlign w:val="baseline"/>
                <w:lang w:val="en-US" w:eastAsia="zh-CN" w:bidi="ar-SA"/>
              </w:rPr>
              <w:t>式中：FMs为从窑头、窑尾高温区投加的全硫与配料系统投加的硫酸盐硫总投加量，</w:t>
            </w:r>
          </w:p>
          <w:p w14:paraId="69C3CDE3">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jc w:val="both"/>
              <w:textAlignment w:val="auto"/>
              <w:rPr>
                <w:rFonts w:hint="eastAsia" w:ascii="Times New Roman" w:hAnsi="Times New Roman" w:eastAsia="宋体" w:cs="Times New Roman"/>
                <w:b w:val="0"/>
                <w:bCs w:val="0"/>
                <w:color w:val="0000FF"/>
                <w:kern w:val="2"/>
                <w:sz w:val="24"/>
                <w:szCs w:val="24"/>
                <w:vertAlign w:val="baseline"/>
                <w:lang w:val="en-US" w:eastAsia="zh-CN" w:bidi="ar-SA"/>
              </w:rPr>
            </w:pPr>
            <w:r>
              <w:rPr>
                <w:rFonts w:hint="eastAsia" w:hAnsi="Cambria Math" w:eastAsia="宋体" w:cs="Times New Roman"/>
                <w:b w:val="0"/>
                <w:bCs w:val="0"/>
                <w:i w:val="0"/>
                <w:color w:val="0000FF"/>
                <w:kern w:val="2"/>
                <w:sz w:val="24"/>
                <w:szCs w:val="24"/>
                <w:vertAlign w:val="baseline"/>
                <w:lang w:val="en-US" w:eastAsia="zh-CN" w:bidi="ar-SA"/>
              </w:rPr>
              <w:t>mg/kg-cli</w:t>
            </w:r>
            <w:r>
              <w:rPr>
                <w:rFonts w:hint="eastAsia" w:ascii="Times New Roman" w:hAnsi="Times New Roman" w:eastAsia="宋体" w:cs="Times New Roman"/>
                <w:b w:val="0"/>
                <w:bCs w:val="0"/>
                <w:color w:val="0000FF"/>
                <w:kern w:val="2"/>
                <w:sz w:val="24"/>
                <w:szCs w:val="24"/>
                <w:vertAlign w:val="baseline"/>
                <w:lang w:val="en-US" w:eastAsia="zh-CN" w:bidi="ar-SA"/>
              </w:rPr>
              <w:t>；</w:t>
            </w:r>
          </w:p>
          <w:p w14:paraId="0DC70DE1">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jc w:val="both"/>
              <w:textAlignment w:val="auto"/>
              <w:rPr>
                <w:rFonts w:hint="eastAsia" w:ascii="Times New Roman" w:hAnsi="Times New Roman" w:eastAsia="宋体" w:cs="Times New Roman"/>
                <w:b w:val="0"/>
                <w:bCs w:val="0"/>
                <w:color w:val="0000FF"/>
                <w:kern w:val="2"/>
                <w:sz w:val="24"/>
                <w:szCs w:val="24"/>
                <w:vertAlign w:val="baseline"/>
                <w:lang w:val="en-US" w:eastAsia="zh-CN" w:bidi="ar-SA"/>
              </w:rPr>
            </w:pPr>
            <w:r>
              <w:rPr>
                <w:rFonts w:hint="eastAsia" w:ascii="Times New Roman" w:hAnsi="Times New Roman" w:eastAsia="宋体" w:cs="Times New Roman"/>
                <w:b w:val="0"/>
                <w:bCs w:val="0"/>
                <w:color w:val="0000FF"/>
                <w:kern w:val="2"/>
                <w:sz w:val="24"/>
                <w:szCs w:val="24"/>
                <w:vertAlign w:val="baseline"/>
                <w:lang w:val="en-US" w:eastAsia="zh-CN" w:bidi="ar-SA"/>
              </w:rPr>
              <w:t>C</w:t>
            </w:r>
            <w:r>
              <w:rPr>
                <w:rFonts w:hint="eastAsia" w:ascii="Times New Roman" w:hAnsi="Times New Roman" w:eastAsia="宋体" w:cs="Times New Roman"/>
                <w:b w:val="0"/>
                <w:bCs w:val="0"/>
                <w:color w:val="0000FF"/>
                <w:kern w:val="2"/>
                <w:sz w:val="24"/>
                <w:szCs w:val="24"/>
                <w:vertAlign w:val="subscript"/>
                <w:lang w:val="en-US" w:eastAsia="zh-CN" w:bidi="ar-SA"/>
              </w:rPr>
              <w:t>w1</w:t>
            </w:r>
            <w:r>
              <w:rPr>
                <w:rFonts w:hint="eastAsia" w:ascii="Times New Roman" w:hAnsi="Times New Roman" w:eastAsia="宋体" w:cs="Times New Roman"/>
                <w:b w:val="0"/>
                <w:bCs w:val="0"/>
                <w:color w:val="0000FF"/>
                <w:kern w:val="2"/>
                <w:sz w:val="24"/>
                <w:szCs w:val="24"/>
                <w:vertAlign w:val="baseline"/>
                <w:lang w:val="en-US" w:eastAsia="zh-CN" w:bidi="ar-SA"/>
              </w:rPr>
              <w:t>和C</w:t>
            </w:r>
            <w:r>
              <w:rPr>
                <w:rFonts w:hint="eastAsia" w:ascii="Times New Roman" w:hAnsi="Times New Roman" w:eastAsia="宋体" w:cs="Times New Roman"/>
                <w:b w:val="0"/>
                <w:bCs w:val="0"/>
                <w:color w:val="0000FF"/>
                <w:kern w:val="2"/>
                <w:sz w:val="24"/>
                <w:szCs w:val="24"/>
                <w:vertAlign w:val="subscript"/>
                <w:lang w:val="en-US" w:eastAsia="zh-CN" w:bidi="ar-SA"/>
              </w:rPr>
              <w:t>f</w:t>
            </w:r>
            <w:r>
              <w:rPr>
                <w:rFonts w:hint="eastAsia" w:ascii="Times New Roman" w:hAnsi="Times New Roman" w:eastAsia="宋体" w:cs="Times New Roman"/>
                <w:b w:val="0"/>
                <w:bCs w:val="0"/>
                <w:color w:val="0000FF"/>
                <w:kern w:val="2"/>
                <w:sz w:val="24"/>
                <w:szCs w:val="24"/>
                <w:vertAlign w:val="baseline"/>
                <w:lang w:val="en-US" w:eastAsia="zh-CN" w:bidi="ar-SA"/>
              </w:rPr>
              <w:t>分别为从高温区投加的固体废物和常规燃料中的全硫含量，%；</w:t>
            </w:r>
          </w:p>
          <w:p w14:paraId="51E22289">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jc w:val="both"/>
              <w:textAlignment w:val="auto"/>
              <w:rPr>
                <w:rFonts w:hint="eastAsia" w:ascii="Times New Roman" w:hAnsi="Times New Roman" w:eastAsia="宋体" w:cs="Times New Roman"/>
                <w:b w:val="0"/>
                <w:bCs w:val="0"/>
                <w:color w:val="0000FF"/>
                <w:kern w:val="2"/>
                <w:sz w:val="24"/>
                <w:szCs w:val="24"/>
                <w:vertAlign w:val="baseline"/>
                <w:lang w:val="en-US" w:eastAsia="zh-CN" w:bidi="ar-SA"/>
              </w:rPr>
            </w:pPr>
            <w:r>
              <w:rPr>
                <w:rFonts w:hint="eastAsia" w:ascii="Times New Roman" w:hAnsi="Times New Roman" w:eastAsia="宋体" w:cs="Times New Roman"/>
                <w:b w:val="0"/>
                <w:bCs w:val="0"/>
                <w:color w:val="0000FF"/>
                <w:kern w:val="2"/>
                <w:sz w:val="24"/>
                <w:szCs w:val="24"/>
                <w:vertAlign w:val="baseline"/>
                <w:lang w:val="en-US" w:eastAsia="zh-CN" w:bidi="ar-SA"/>
              </w:rPr>
              <w:t>C</w:t>
            </w:r>
            <w:r>
              <w:rPr>
                <w:rFonts w:hint="eastAsia" w:ascii="Times New Roman" w:hAnsi="Times New Roman" w:eastAsia="宋体" w:cs="Times New Roman"/>
                <w:b w:val="0"/>
                <w:bCs w:val="0"/>
                <w:color w:val="0000FF"/>
                <w:kern w:val="2"/>
                <w:sz w:val="24"/>
                <w:szCs w:val="24"/>
                <w:vertAlign w:val="subscript"/>
                <w:lang w:val="en-US" w:eastAsia="zh-CN" w:bidi="ar-SA"/>
              </w:rPr>
              <w:t>w2</w:t>
            </w:r>
            <w:r>
              <w:rPr>
                <w:rFonts w:hint="eastAsia" w:ascii="Times New Roman" w:hAnsi="Times New Roman" w:eastAsia="宋体" w:cs="Times New Roman"/>
                <w:b w:val="0"/>
                <w:bCs w:val="0"/>
                <w:color w:val="0000FF"/>
                <w:kern w:val="2"/>
                <w:sz w:val="24"/>
                <w:szCs w:val="24"/>
                <w:vertAlign w:val="baseline"/>
                <w:lang w:val="en-US" w:eastAsia="zh-CN" w:bidi="ar-SA"/>
              </w:rPr>
              <w:t>和C</w:t>
            </w:r>
            <w:r>
              <w:rPr>
                <w:rFonts w:hint="eastAsia" w:ascii="Times New Roman" w:hAnsi="Times New Roman" w:eastAsia="宋体" w:cs="Times New Roman"/>
                <w:b w:val="0"/>
                <w:bCs w:val="0"/>
                <w:color w:val="0000FF"/>
                <w:kern w:val="2"/>
                <w:sz w:val="24"/>
                <w:szCs w:val="24"/>
                <w:vertAlign w:val="subscript"/>
                <w:lang w:val="en-US" w:eastAsia="zh-CN" w:bidi="ar-SA"/>
              </w:rPr>
              <w:t>r</w:t>
            </w:r>
            <w:r>
              <w:rPr>
                <w:rFonts w:hint="eastAsia" w:ascii="Times New Roman" w:hAnsi="Times New Roman" w:eastAsia="宋体" w:cs="Times New Roman"/>
                <w:b w:val="0"/>
                <w:bCs w:val="0"/>
                <w:color w:val="0000FF"/>
                <w:kern w:val="2"/>
                <w:sz w:val="24"/>
                <w:szCs w:val="24"/>
                <w:vertAlign w:val="baseline"/>
                <w:lang w:val="en-US" w:eastAsia="zh-CN" w:bidi="ar-SA"/>
              </w:rPr>
              <w:t>分别为从配料系统投加的固废和常规原料中的硫酸盐硫含量</w:t>
            </w:r>
            <w:r>
              <w:rPr>
                <w:rFonts w:hint="eastAsia" w:cs="Times New Roman"/>
                <w:b w:val="0"/>
                <w:bCs w:val="0"/>
                <w:color w:val="0000FF"/>
                <w:kern w:val="2"/>
                <w:sz w:val="24"/>
                <w:szCs w:val="24"/>
                <w:vertAlign w:val="baseline"/>
                <w:lang w:val="en-US" w:eastAsia="zh-CN" w:bidi="ar-SA"/>
              </w:rPr>
              <w:t>，</w:t>
            </w:r>
            <w:r>
              <w:rPr>
                <w:rFonts w:hint="eastAsia" w:ascii="Times New Roman" w:hAnsi="Times New Roman" w:eastAsia="宋体" w:cs="Times New Roman"/>
                <w:b w:val="0"/>
                <w:bCs w:val="0"/>
                <w:color w:val="0000FF"/>
                <w:kern w:val="2"/>
                <w:sz w:val="24"/>
                <w:szCs w:val="24"/>
                <w:vertAlign w:val="baseline"/>
                <w:lang w:val="en-US" w:eastAsia="zh-CN" w:bidi="ar-SA"/>
              </w:rPr>
              <w:t>%；</w:t>
            </w:r>
          </w:p>
          <w:p w14:paraId="653F331D">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jc w:val="both"/>
              <w:textAlignment w:val="auto"/>
              <w:rPr>
                <w:rFonts w:hint="eastAsia" w:ascii="Times New Roman" w:hAnsi="Times New Roman" w:eastAsia="宋体" w:cs="Times New Roman"/>
                <w:b w:val="0"/>
                <w:bCs w:val="0"/>
                <w:color w:val="0000FF"/>
                <w:kern w:val="2"/>
                <w:sz w:val="24"/>
                <w:szCs w:val="24"/>
                <w:vertAlign w:val="baseline"/>
                <w:lang w:val="en-US" w:eastAsia="zh-CN" w:bidi="ar-SA"/>
              </w:rPr>
            </w:pPr>
            <w:r>
              <w:rPr>
                <w:rFonts w:hint="eastAsia" w:ascii="Times New Roman" w:hAnsi="Times New Roman" w:eastAsia="宋体" w:cs="Times New Roman"/>
                <w:b w:val="0"/>
                <w:bCs w:val="0"/>
                <w:color w:val="0000FF"/>
                <w:kern w:val="2"/>
                <w:sz w:val="24"/>
                <w:szCs w:val="24"/>
                <w:vertAlign w:val="baseline"/>
                <w:lang w:val="en-US" w:eastAsia="zh-CN" w:bidi="ar-SA"/>
              </w:rPr>
              <w:t>m</w:t>
            </w:r>
            <w:r>
              <w:rPr>
                <w:rFonts w:hint="eastAsia" w:ascii="Times New Roman" w:hAnsi="Times New Roman" w:eastAsia="宋体" w:cs="Times New Roman"/>
                <w:b w:val="0"/>
                <w:bCs w:val="0"/>
                <w:color w:val="0000FF"/>
                <w:kern w:val="2"/>
                <w:sz w:val="24"/>
                <w:szCs w:val="24"/>
                <w:vertAlign w:val="subscript"/>
                <w:lang w:val="en-US" w:eastAsia="zh-CN" w:bidi="ar-SA"/>
              </w:rPr>
              <w:t>w1</w:t>
            </w:r>
            <w:r>
              <w:rPr>
                <w:rFonts w:hint="eastAsia" w:ascii="Times New Roman" w:hAnsi="Times New Roman" w:eastAsia="宋体" w:cs="Times New Roman"/>
                <w:b w:val="0"/>
                <w:bCs w:val="0"/>
                <w:color w:val="0000FF"/>
                <w:kern w:val="2"/>
                <w:sz w:val="24"/>
                <w:szCs w:val="24"/>
                <w:vertAlign w:val="baseline"/>
                <w:lang w:val="en-US" w:eastAsia="zh-CN" w:bidi="ar-SA"/>
              </w:rPr>
              <w:t>、m</w:t>
            </w:r>
            <w:r>
              <w:rPr>
                <w:rFonts w:hint="eastAsia" w:ascii="Times New Roman" w:hAnsi="Times New Roman" w:eastAsia="宋体" w:cs="Times New Roman"/>
                <w:b w:val="0"/>
                <w:bCs w:val="0"/>
                <w:color w:val="0000FF"/>
                <w:kern w:val="2"/>
                <w:sz w:val="24"/>
                <w:szCs w:val="24"/>
                <w:vertAlign w:val="subscript"/>
                <w:lang w:val="en-US" w:eastAsia="zh-CN" w:bidi="ar-SA"/>
              </w:rPr>
              <w:t>w2</w:t>
            </w:r>
            <w:r>
              <w:rPr>
                <w:rFonts w:hint="eastAsia" w:ascii="Times New Roman" w:hAnsi="Times New Roman" w:eastAsia="宋体" w:cs="Times New Roman"/>
                <w:b w:val="0"/>
                <w:bCs w:val="0"/>
                <w:color w:val="0000FF"/>
                <w:kern w:val="2"/>
                <w:sz w:val="24"/>
                <w:szCs w:val="24"/>
                <w:vertAlign w:val="baseline"/>
                <w:lang w:val="en-US" w:eastAsia="zh-CN" w:bidi="ar-SA"/>
              </w:rPr>
              <w:t>、m</w:t>
            </w:r>
            <w:r>
              <w:rPr>
                <w:rFonts w:hint="eastAsia" w:ascii="Times New Roman" w:hAnsi="Times New Roman" w:eastAsia="宋体" w:cs="Times New Roman"/>
                <w:b w:val="0"/>
                <w:bCs w:val="0"/>
                <w:color w:val="0000FF"/>
                <w:kern w:val="2"/>
                <w:sz w:val="24"/>
                <w:szCs w:val="24"/>
                <w:vertAlign w:val="subscript"/>
                <w:lang w:val="en-US" w:eastAsia="zh-CN" w:bidi="ar-SA"/>
              </w:rPr>
              <w:t>f</w:t>
            </w:r>
            <w:r>
              <w:rPr>
                <w:rFonts w:hint="eastAsia" w:ascii="Times New Roman" w:hAnsi="Times New Roman" w:eastAsia="宋体" w:cs="Times New Roman"/>
                <w:b w:val="0"/>
                <w:bCs w:val="0"/>
                <w:color w:val="0000FF"/>
                <w:kern w:val="2"/>
                <w:sz w:val="24"/>
                <w:szCs w:val="24"/>
                <w:vertAlign w:val="baseline"/>
                <w:lang w:val="en-US" w:eastAsia="zh-CN" w:bidi="ar-SA"/>
              </w:rPr>
              <w:t>和m</w:t>
            </w:r>
            <w:r>
              <w:rPr>
                <w:rFonts w:hint="eastAsia" w:ascii="Times New Roman" w:hAnsi="Times New Roman" w:eastAsia="宋体" w:cs="Times New Roman"/>
                <w:b w:val="0"/>
                <w:bCs w:val="0"/>
                <w:color w:val="0000FF"/>
                <w:kern w:val="2"/>
                <w:sz w:val="24"/>
                <w:szCs w:val="24"/>
                <w:vertAlign w:val="subscript"/>
                <w:lang w:val="en-US" w:eastAsia="zh-CN" w:bidi="ar-SA"/>
              </w:rPr>
              <w:t>r</w:t>
            </w:r>
            <w:r>
              <w:rPr>
                <w:rFonts w:hint="eastAsia" w:ascii="Times New Roman" w:hAnsi="Times New Roman" w:eastAsia="宋体" w:cs="Times New Roman"/>
                <w:b w:val="0"/>
                <w:bCs w:val="0"/>
                <w:color w:val="0000FF"/>
                <w:kern w:val="2"/>
                <w:sz w:val="24"/>
                <w:szCs w:val="24"/>
                <w:vertAlign w:val="baseline"/>
                <w:lang w:val="en-US" w:eastAsia="zh-CN" w:bidi="ar-SA"/>
              </w:rPr>
              <w:t>，分别为单位时间内从高温区投加的固体废物、从配料系</w:t>
            </w:r>
          </w:p>
          <w:p w14:paraId="7033A982">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b w:val="0"/>
                <w:bCs w:val="0"/>
                <w:color w:val="0000FF"/>
                <w:kern w:val="2"/>
                <w:sz w:val="24"/>
                <w:szCs w:val="24"/>
                <w:vertAlign w:val="baseline"/>
                <w:lang w:val="en-US" w:eastAsia="zh-CN" w:bidi="ar-SA"/>
              </w:rPr>
            </w:pPr>
            <w:r>
              <w:rPr>
                <w:rFonts w:hint="eastAsia" w:ascii="Times New Roman" w:hAnsi="Times New Roman" w:eastAsia="宋体" w:cs="Times New Roman"/>
                <w:b w:val="0"/>
                <w:bCs w:val="0"/>
                <w:color w:val="0000FF"/>
                <w:kern w:val="2"/>
                <w:sz w:val="24"/>
                <w:szCs w:val="24"/>
                <w:vertAlign w:val="baseline"/>
                <w:lang w:val="en-US" w:eastAsia="zh-CN" w:bidi="ar-SA"/>
              </w:rPr>
              <w:t>统投加的固体废物、常规燃料和常规原料的投加量，kg/h；</w:t>
            </w:r>
          </w:p>
          <w:p w14:paraId="09EA0E7A">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b w:val="0"/>
                <w:bCs w:val="0"/>
                <w:color w:val="0000FF"/>
                <w:kern w:val="2"/>
                <w:sz w:val="24"/>
                <w:szCs w:val="24"/>
                <w:vertAlign w:val="baseline"/>
                <w:lang w:val="en-US" w:eastAsia="zh-CN" w:bidi="ar-SA"/>
              </w:rPr>
            </w:pPr>
            <w:r>
              <w:rPr>
                <w:rFonts w:hint="eastAsia" w:ascii="Times New Roman" w:hAnsi="Times New Roman" w:eastAsia="宋体" w:cs="Times New Roman"/>
                <w:b w:val="0"/>
                <w:bCs w:val="0"/>
                <w:color w:val="0000FF"/>
                <w:kern w:val="2"/>
                <w:sz w:val="24"/>
                <w:szCs w:val="24"/>
                <w:vertAlign w:val="baseline"/>
                <w:lang w:val="en-US" w:eastAsia="zh-CN" w:bidi="ar-SA"/>
              </w:rPr>
              <w:t>m</w:t>
            </w:r>
            <w:r>
              <w:rPr>
                <w:rFonts w:hint="eastAsia" w:ascii="Times New Roman" w:hAnsi="Times New Roman" w:eastAsia="宋体" w:cs="Times New Roman"/>
                <w:b w:val="0"/>
                <w:bCs w:val="0"/>
                <w:color w:val="0000FF"/>
                <w:kern w:val="2"/>
                <w:sz w:val="24"/>
                <w:szCs w:val="24"/>
                <w:vertAlign w:val="subscript"/>
                <w:lang w:val="en-US" w:eastAsia="zh-CN" w:bidi="ar-SA"/>
              </w:rPr>
              <w:t>cli</w:t>
            </w:r>
            <w:r>
              <w:rPr>
                <w:rFonts w:hint="eastAsia" w:ascii="Times New Roman" w:hAnsi="Times New Roman" w:eastAsia="宋体" w:cs="Times New Roman"/>
                <w:b w:val="0"/>
                <w:bCs w:val="0"/>
                <w:color w:val="0000FF"/>
                <w:kern w:val="2"/>
                <w:sz w:val="24"/>
                <w:szCs w:val="24"/>
                <w:vertAlign w:val="baseline"/>
                <w:lang w:val="en-US" w:eastAsia="zh-CN" w:bidi="ar-SA"/>
              </w:rPr>
              <w:t>为单位时间的熟料产量，kg/h。</w:t>
            </w:r>
          </w:p>
          <w:p w14:paraId="795BC53E">
            <w:pPr>
              <w:autoSpaceDE w:val="0"/>
              <w:autoSpaceDN w:val="0"/>
              <w:adjustRightInd w:val="0"/>
              <w:jc w:val="center"/>
              <w:rPr>
                <w:rFonts w:hint="eastAsia"/>
                <w:color w:val="0000FF"/>
                <w:lang w:eastAsia="zh-CN"/>
              </w:rPr>
            </w:pPr>
            <w:r>
              <w:rPr>
                <w:rFonts w:hint="eastAsia" w:ascii="Times New Roman" w:hAnsi="Times New Roman" w:cs="Times New Roman"/>
                <w:b/>
                <w:color w:val="0000FF"/>
              </w:rPr>
              <w:t>表</w:t>
            </w:r>
            <w:r>
              <w:rPr>
                <w:rFonts w:ascii="Times New Roman" w:hAnsi="Times New Roman" w:cs="Times New Roman"/>
                <w:b/>
                <w:color w:val="0000FF"/>
              </w:rPr>
              <w:t>2</w:t>
            </w:r>
            <w:r>
              <w:rPr>
                <w:rFonts w:hint="eastAsia" w:ascii="Times New Roman" w:hAnsi="Times New Roman" w:cs="Times New Roman"/>
                <w:b/>
                <w:color w:val="0000FF"/>
                <w:lang w:val="en-US" w:eastAsia="zh-CN"/>
              </w:rPr>
              <w:t>-</w:t>
            </w:r>
            <w:r>
              <w:rPr>
                <w:rFonts w:hint="eastAsia" w:cs="Times New Roman"/>
                <w:b/>
                <w:color w:val="0000FF"/>
                <w:lang w:val="en-US" w:eastAsia="zh-CN"/>
              </w:rPr>
              <w:t>24</w:t>
            </w:r>
            <w:r>
              <w:rPr>
                <w:rFonts w:ascii="Times New Roman" w:hAnsi="Times New Roman" w:cs="Times New Roman"/>
                <w:b/>
                <w:color w:val="0000FF"/>
              </w:rPr>
              <w:t xml:space="preserve"> </w:t>
            </w:r>
            <w:r>
              <w:rPr>
                <w:rFonts w:hint="eastAsia" w:ascii="Times New Roman" w:hAnsi="Times New Roman" w:cs="Times New Roman"/>
                <w:b/>
                <w:color w:val="0000FF"/>
                <w:lang w:eastAsia="zh-CN"/>
              </w:rPr>
              <w:t>单线硫元素含量入窑控制计算表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4"/>
              <w:gridCol w:w="1664"/>
              <w:gridCol w:w="1666"/>
              <w:gridCol w:w="4216"/>
            </w:tblGrid>
            <w:tr w14:paraId="66744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3" w:type="pct"/>
                  <w:vAlign w:val="center"/>
                </w:tcPr>
                <w:p w14:paraId="0B968398">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物料</w:t>
                  </w:r>
                </w:p>
              </w:tc>
              <w:tc>
                <w:tcPr>
                  <w:tcW w:w="903" w:type="pct"/>
                  <w:vAlign w:val="center"/>
                </w:tcPr>
                <w:p w14:paraId="3966F265">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年用量（t/a）</w:t>
                  </w:r>
                </w:p>
              </w:tc>
              <w:tc>
                <w:tcPr>
                  <w:tcW w:w="904" w:type="pct"/>
                  <w:vAlign w:val="center"/>
                </w:tcPr>
                <w:p w14:paraId="53C47E7C">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全硫含量（%）</w:t>
                  </w:r>
                </w:p>
              </w:tc>
              <w:tc>
                <w:tcPr>
                  <w:tcW w:w="2287" w:type="pct"/>
                  <w:vAlign w:val="center"/>
                </w:tcPr>
                <w:p w14:paraId="1D35375A">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计算结果</w:t>
                  </w:r>
                </w:p>
              </w:tc>
            </w:tr>
            <w:tr w14:paraId="71177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3" w:type="pct"/>
                  <w:vAlign w:val="center"/>
                </w:tcPr>
                <w:p w14:paraId="00B0A47D">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废纺</w:t>
                  </w:r>
                </w:p>
              </w:tc>
              <w:tc>
                <w:tcPr>
                  <w:tcW w:w="1663" w:type="dxa"/>
                  <w:vAlign w:val="center"/>
                </w:tcPr>
                <w:p w14:paraId="42AD7AD2">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50000</w:t>
                  </w:r>
                </w:p>
              </w:tc>
              <w:tc>
                <w:tcPr>
                  <w:tcW w:w="904" w:type="pct"/>
                  <w:vAlign w:val="center"/>
                </w:tcPr>
                <w:p w14:paraId="233C09AC">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w:t>
                  </w:r>
                </w:p>
              </w:tc>
              <w:tc>
                <w:tcPr>
                  <w:tcW w:w="2287" w:type="pct"/>
                  <w:vMerge w:val="restart"/>
                  <w:vAlign w:val="center"/>
                </w:tcPr>
                <w:p w14:paraId="58786710">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硫化物硫总含量为0.0007%，符合0.014%限制要求；全硫总投加量为0.536mg/kg-cli，符合3000mg/kg-cli。</w:t>
                  </w:r>
                </w:p>
              </w:tc>
            </w:tr>
            <w:tr w14:paraId="04384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3" w:type="pct"/>
                  <w:vAlign w:val="center"/>
                </w:tcPr>
                <w:p w14:paraId="779090A7">
                  <w:pPr>
                    <w:adjustRightInd w:val="0"/>
                    <w:snapToGrid w:val="0"/>
                    <w:jc w:val="center"/>
                    <w:rPr>
                      <w:rFonts w:hint="eastAsia" w:ascii="Times New Roman" w:hAnsi="Times New Roman" w:eastAsia="宋体" w:cs="Times New Roman"/>
                      <w:bCs/>
                      <w:color w:val="0000FF"/>
                      <w:szCs w:val="21"/>
                      <w:lang w:val="en-US" w:eastAsia="zh-CN"/>
                    </w:rPr>
                  </w:pPr>
                  <w:r>
                    <w:rPr>
                      <w:rFonts w:hint="eastAsia" w:cs="Times New Roman"/>
                      <w:bCs/>
                      <w:color w:val="0000FF"/>
                      <w:szCs w:val="21"/>
                      <w:lang w:val="en-US" w:eastAsia="zh-CN"/>
                    </w:rPr>
                    <w:t>生物质（木屑）</w:t>
                  </w:r>
                </w:p>
              </w:tc>
              <w:tc>
                <w:tcPr>
                  <w:tcW w:w="1663" w:type="dxa"/>
                  <w:vAlign w:val="center"/>
                </w:tcPr>
                <w:p w14:paraId="182FAF24">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50000</w:t>
                  </w:r>
                </w:p>
              </w:tc>
              <w:tc>
                <w:tcPr>
                  <w:tcW w:w="904" w:type="pct"/>
                  <w:vAlign w:val="center"/>
                </w:tcPr>
                <w:p w14:paraId="792195B4">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0.04</w:t>
                  </w:r>
                </w:p>
              </w:tc>
              <w:tc>
                <w:tcPr>
                  <w:tcW w:w="2287" w:type="pct"/>
                  <w:vMerge w:val="continue"/>
                  <w:vAlign w:val="center"/>
                </w:tcPr>
                <w:p w14:paraId="034D6F06">
                  <w:pPr>
                    <w:adjustRightInd w:val="0"/>
                    <w:snapToGrid w:val="0"/>
                    <w:jc w:val="center"/>
                    <w:rPr>
                      <w:rFonts w:hint="eastAsia" w:ascii="Times New Roman" w:hAnsi="Times New Roman" w:eastAsia="宋体" w:cs="Times New Roman"/>
                      <w:bCs/>
                      <w:color w:val="0000FF"/>
                      <w:szCs w:val="21"/>
                      <w:lang w:val="en-US" w:eastAsia="zh-CN"/>
                    </w:rPr>
                  </w:pPr>
                </w:p>
              </w:tc>
            </w:tr>
            <w:tr w14:paraId="45A07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3" w:type="pct"/>
                  <w:vAlign w:val="center"/>
                </w:tcPr>
                <w:p w14:paraId="7222C2D3">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煤</w:t>
                  </w:r>
                </w:p>
              </w:tc>
              <w:tc>
                <w:tcPr>
                  <w:tcW w:w="1663" w:type="dxa"/>
                  <w:vAlign w:val="center"/>
                </w:tcPr>
                <w:p w14:paraId="5E51CFE7">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192700</w:t>
                  </w:r>
                </w:p>
              </w:tc>
              <w:tc>
                <w:tcPr>
                  <w:tcW w:w="904" w:type="pct"/>
                  <w:vAlign w:val="center"/>
                </w:tcPr>
                <w:p w14:paraId="66A31FB6">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1.11</w:t>
                  </w:r>
                </w:p>
              </w:tc>
              <w:tc>
                <w:tcPr>
                  <w:tcW w:w="2287" w:type="pct"/>
                  <w:vMerge w:val="continue"/>
                  <w:vAlign w:val="center"/>
                </w:tcPr>
                <w:p w14:paraId="7A8196C8">
                  <w:pPr>
                    <w:adjustRightInd w:val="0"/>
                    <w:snapToGrid w:val="0"/>
                    <w:jc w:val="center"/>
                    <w:rPr>
                      <w:rFonts w:hint="eastAsia" w:ascii="Times New Roman" w:hAnsi="Times New Roman" w:eastAsia="宋体" w:cs="Times New Roman"/>
                      <w:bCs/>
                      <w:color w:val="0000FF"/>
                      <w:szCs w:val="21"/>
                      <w:lang w:val="en-US" w:eastAsia="zh-CN"/>
                    </w:rPr>
                  </w:pPr>
                </w:p>
              </w:tc>
            </w:tr>
            <w:tr w14:paraId="25D63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3" w:type="pct"/>
                  <w:vAlign w:val="center"/>
                </w:tcPr>
                <w:p w14:paraId="45735DC4">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生料</w:t>
                  </w:r>
                </w:p>
              </w:tc>
              <w:tc>
                <w:tcPr>
                  <w:tcW w:w="1663" w:type="dxa"/>
                  <w:vAlign w:val="center"/>
                </w:tcPr>
                <w:p w14:paraId="24B9FD3C">
                  <w:pPr>
                    <w:adjustRightInd w:val="0"/>
                    <w:snapToGrid w:val="0"/>
                    <w:jc w:val="center"/>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2470875</w:t>
                  </w:r>
                </w:p>
              </w:tc>
              <w:tc>
                <w:tcPr>
                  <w:tcW w:w="904" w:type="pct"/>
                  <w:vAlign w:val="center"/>
                </w:tcPr>
                <w:p w14:paraId="5FF35145">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0.05</w:t>
                  </w:r>
                </w:p>
              </w:tc>
              <w:tc>
                <w:tcPr>
                  <w:tcW w:w="2287" w:type="pct"/>
                  <w:vMerge w:val="continue"/>
                  <w:vAlign w:val="center"/>
                </w:tcPr>
                <w:p w14:paraId="0F6F2354">
                  <w:pPr>
                    <w:adjustRightInd w:val="0"/>
                    <w:snapToGrid w:val="0"/>
                    <w:jc w:val="center"/>
                    <w:rPr>
                      <w:rFonts w:hint="eastAsia" w:ascii="Times New Roman" w:hAnsi="Times New Roman" w:eastAsia="宋体" w:cs="Times New Roman"/>
                      <w:bCs/>
                      <w:color w:val="0000FF"/>
                      <w:szCs w:val="21"/>
                      <w:lang w:val="en-US" w:eastAsia="zh-CN"/>
                    </w:rPr>
                  </w:pPr>
                </w:p>
              </w:tc>
            </w:tr>
          </w:tbl>
          <w:p w14:paraId="0D827081">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olor w:val="0000FF"/>
                <w:lang w:val="en-US" w:eastAsia="zh-CN"/>
              </w:rPr>
            </w:pPr>
            <w:r>
              <w:rPr>
                <w:rFonts w:hint="eastAsia"/>
                <w:color w:val="0000FF"/>
                <w:lang w:val="en-US" w:eastAsia="zh-CN"/>
              </w:rPr>
              <w:t>根据原料成分及计算，本项目从高温区投加的固体废物和常规燃料中的硫化物硫总含量为0.0007%、全硫和常规原料中的硫酸盐硫总投加量为0.536mg/kg-cli，均低于《水泥窑协同处置固体废物环境保护技术规范》（HJ 662-2013）要求从分解炉高温区投加的硫化物硫与有机硫总含量不应大于0.014%、全硫与配料系统投加的硫酸盐硫总投加量不应大于3000mg/kg-cli的要求。</w:t>
            </w:r>
          </w:p>
          <w:p w14:paraId="0CD5CD40">
            <w:pPr>
              <w:pStyle w:val="9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eastAsia"/>
                <w:color w:val="0000FF"/>
                <w:lang w:val="en-US" w:eastAsia="zh-CN"/>
              </w:rPr>
            </w:pPr>
            <w:r>
              <w:rPr>
                <w:rFonts w:hint="eastAsia" w:ascii="Times New Roman" w:hAnsi="Times New Roman" w:eastAsia="宋体" w:cs="Times New Roman"/>
                <w:color w:val="0000FF"/>
                <w:kern w:val="0"/>
                <w:sz w:val="24"/>
                <w:szCs w:val="24"/>
                <w:lang w:val="en-US" w:eastAsia="zh-CN" w:bidi="ar-SA"/>
              </w:rPr>
              <w:t>3、</w:t>
            </w:r>
            <w:r>
              <w:rPr>
                <w:rFonts w:hint="eastAsia"/>
                <w:color w:val="0000FF"/>
                <w:lang w:val="en-US" w:eastAsia="zh-CN"/>
              </w:rPr>
              <w:t>重金属入窑控制</w:t>
            </w:r>
          </w:p>
          <w:p w14:paraId="711758D8">
            <w:pPr>
              <w:pStyle w:val="9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eastAsia"/>
                <w:color w:val="0000FF"/>
                <w:lang w:val="en-US" w:eastAsia="zh-CN"/>
              </w:rPr>
            </w:pPr>
            <w:r>
              <w:rPr>
                <w:rFonts w:hint="eastAsia"/>
                <w:color w:val="0000FF"/>
                <w:lang w:val="en-US" w:eastAsia="zh-CN"/>
              </w:rPr>
              <w:t>水泥窑处置危废是以水泥窑正常运行和尾气达标排放为前提的，根据《水泥窑协同处置固体废物环境保护技术规范》（HJ 662-2013），提出了水泥窑焚烧危废时的进窑废物控制措施，以保证水泥窑的正常运行和尾气的达标排放。</w:t>
            </w:r>
          </w:p>
          <w:p w14:paraId="5DC820AC">
            <w:pPr>
              <w:pStyle w:val="9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eastAsia"/>
                <w:color w:val="0000FF"/>
                <w:lang w:val="en-US" w:eastAsia="zh-CN"/>
              </w:rPr>
            </w:pPr>
            <w:r>
              <w:rPr>
                <w:rFonts w:hint="eastAsia"/>
                <w:color w:val="0000FF"/>
                <w:lang w:val="en-US" w:eastAsia="zh-CN"/>
              </w:rPr>
              <w:t>重金属的最大允许投加量计算：</w:t>
            </w:r>
          </w:p>
          <w:p w14:paraId="251C2214">
            <w:pPr>
              <w:pStyle w:val="9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eastAsia"/>
                <w:color w:val="0000FF"/>
                <w:lang w:val="en-US" w:eastAsia="zh-CN"/>
              </w:rPr>
            </w:pPr>
            <w:r>
              <w:rPr>
                <w:rFonts w:hint="eastAsia"/>
                <w:color w:val="0000FF"/>
                <w:lang w:val="en-US" w:eastAsia="zh-CN"/>
              </w:rPr>
              <w:t>入窑重金属投加量与固体废物、常规燃料、常规原料中重金属含量以及重金属投加速率的关系，计算公式如下：</w:t>
            </w:r>
          </w:p>
          <w:p w14:paraId="4AD80F96">
            <w:pPr>
              <w:pStyle w:val="9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0" w:firstLineChars="0"/>
              <w:jc w:val="left"/>
              <w:textAlignment w:val="auto"/>
              <w:rPr>
                <w:rFonts w:hint="default" w:hAnsi="Cambria Math"/>
                <w:i w:val="0"/>
                <w:color w:val="0000FF"/>
                <w:lang w:val="en-US" w:eastAsia="zh-CN"/>
              </w:rPr>
            </w:pPr>
            <m:oMathPara>
              <m:oMathParaPr>
                <m:jc m:val="center"/>
              </m:oMathParaPr>
              <m:oMath>
                <m:sSub>
                  <m:sSubPr>
                    <m:ctrlPr>
                      <w:rPr>
                        <w:rFonts w:ascii="Cambria Math" w:hAnsi="Cambria Math"/>
                        <w:i/>
                        <w:color w:val="0000FF"/>
                        <w:lang w:val="en-US"/>
                      </w:rPr>
                    </m:ctrlPr>
                  </m:sSubPr>
                  <m:e>
                    <m:r>
                      <m:rPr/>
                      <w:rPr>
                        <w:rFonts w:hint="default" w:ascii="Cambria Math" w:hAnsi="Cambria Math"/>
                        <w:color w:val="0000FF"/>
                        <w:lang w:val="en-US" w:eastAsia="zh-CN"/>
                      </w:rPr>
                      <m:t>FM</m:t>
                    </m:r>
                    <m:ctrlPr>
                      <w:rPr>
                        <w:rFonts w:ascii="Cambria Math" w:hAnsi="Cambria Math"/>
                        <w:i/>
                        <w:color w:val="0000FF"/>
                        <w:lang w:val="en-US"/>
                      </w:rPr>
                    </m:ctrlPr>
                  </m:e>
                  <m:sub>
                    <m:r>
                      <m:rPr/>
                      <w:rPr>
                        <w:rFonts w:hint="default" w:ascii="Cambria Math" w:hAnsi="Cambria Math"/>
                        <w:color w:val="0000FF"/>
                        <w:lang w:val="en-US" w:eastAsia="zh-CN"/>
                      </w:rPr>
                      <m:t>ℎm−cli</m:t>
                    </m:r>
                    <m:ctrlPr>
                      <w:rPr>
                        <w:rFonts w:ascii="Cambria Math" w:hAnsi="Cambria Math"/>
                        <w:i/>
                        <w:color w:val="0000FF"/>
                        <w:lang w:val="en-US"/>
                      </w:rPr>
                    </m:ctrlPr>
                  </m:sub>
                </m:sSub>
                <m:r>
                  <m:rPr/>
                  <w:rPr>
                    <w:rFonts w:hint="default" w:ascii="Cambria Math" w:hAnsi="Cambria Math"/>
                    <w:color w:val="0000FF"/>
                    <w:lang w:val="en-US" w:eastAsia="zh-CN"/>
                  </w:rPr>
                  <m:t>=</m:t>
                </m:r>
                <m:f>
                  <m:fPr>
                    <m:ctrlPr>
                      <w:rPr>
                        <w:rFonts w:hint="default" w:ascii="Cambria Math" w:hAnsi="Cambria Math"/>
                        <w:i/>
                        <w:color w:val="0000FF"/>
                        <w:lang w:val="en-US" w:eastAsia="zh-CN"/>
                      </w:rPr>
                    </m:ctrlPr>
                  </m:fPr>
                  <m:num>
                    <m:sSub>
                      <m:sSubPr>
                        <m:ctrlPr>
                          <w:rPr>
                            <w:rFonts w:hint="default" w:ascii="Cambria Math" w:hAnsi="Cambria Math"/>
                            <w:i/>
                            <w:color w:val="0000FF"/>
                            <w:lang w:val="en-US" w:eastAsia="zh-CN"/>
                          </w:rPr>
                        </m:ctrlPr>
                      </m:sSubPr>
                      <m:e>
                        <m:r>
                          <m:rPr/>
                          <w:rPr>
                            <w:rFonts w:hint="default" w:ascii="Cambria Math" w:hAnsi="Cambria Math"/>
                            <w:color w:val="0000FF"/>
                            <w:lang w:val="en-US" w:eastAsia="zh-CN"/>
                          </w:rPr>
                          <m:t>C</m:t>
                        </m:r>
                        <m:ctrlPr>
                          <w:rPr>
                            <w:rFonts w:hint="default" w:ascii="Cambria Math" w:hAnsi="Cambria Math"/>
                            <w:i/>
                            <w:color w:val="0000FF"/>
                            <w:lang w:val="en-US" w:eastAsia="zh-CN"/>
                          </w:rPr>
                        </m:ctrlPr>
                      </m:e>
                      <m:sub>
                        <m:r>
                          <m:rPr/>
                          <w:rPr>
                            <w:rFonts w:hint="default" w:ascii="Cambria Math" w:hAnsi="Cambria Math"/>
                            <w:color w:val="0000FF"/>
                            <w:lang w:val="en-US" w:eastAsia="zh-CN"/>
                          </w:rPr>
                          <m:t>w</m:t>
                        </m:r>
                        <m:ctrlPr>
                          <w:rPr>
                            <w:rFonts w:hint="default" w:ascii="Cambria Math" w:hAnsi="Cambria Math"/>
                            <w:i/>
                            <w:color w:val="0000FF"/>
                            <w:lang w:val="en-US" w:eastAsia="zh-CN"/>
                          </w:rPr>
                        </m:ctrlPr>
                      </m:sub>
                    </m:sSub>
                    <m:r>
                      <m:rPr/>
                      <w:rPr>
                        <w:rFonts w:hint="default" w:ascii="Cambria Math" w:hAnsi="Cambria Math"/>
                        <w:color w:val="0000FF"/>
                        <w:lang w:val="en-US" w:eastAsia="zh-CN"/>
                      </w:rPr>
                      <m:t>×</m:t>
                    </m:r>
                    <m:sSub>
                      <m:sSubPr>
                        <m:ctrlPr>
                          <w:rPr>
                            <w:rFonts w:hint="default" w:ascii="Cambria Math" w:hAnsi="Cambria Math"/>
                            <w:i/>
                            <w:color w:val="0000FF"/>
                            <w:lang w:val="en-US" w:eastAsia="zh-CN"/>
                          </w:rPr>
                        </m:ctrlPr>
                      </m:sSubPr>
                      <m:e>
                        <m:r>
                          <m:rPr/>
                          <w:rPr>
                            <w:rFonts w:hint="default" w:ascii="Cambria Math" w:hAnsi="Cambria Math"/>
                            <w:color w:val="0000FF"/>
                            <w:lang w:val="en-US" w:eastAsia="zh-CN"/>
                          </w:rPr>
                          <m:t>m</m:t>
                        </m:r>
                        <m:ctrlPr>
                          <w:rPr>
                            <w:rFonts w:hint="default" w:ascii="Cambria Math" w:hAnsi="Cambria Math"/>
                            <w:i/>
                            <w:color w:val="0000FF"/>
                            <w:lang w:val="en-US" w:eastAsia="zh-CN"/>
                          </w:rPr>
                        </m:ctrlPr>
                      </m:e>
                      <m:sub>
                        <m:r>
                          <m:rPr/>
                          <w:rPr>
                            <w:rFonts w:hint="default" w:ascii="Cambria Math" w:hAnsi="Cambria Math"/>
                            <w:color w:val="0000FF"/>
                            <w:lang w:val="en-US" w:eastAsia="zh-CN"/>
                          </w:rPr>
                          <m:t>w</m:t>
                        </m:r>
                        <m:ctrlPr>
                          <w:rPr>
                            <w:rFonts w:hint="default" w:ascii="Cambria Math" w:hAnsi="Cambria Math"/>
                            <w:i/>
                            <w:color w:val="0000FF"/>
                            <w:lang w:val="en-US" w:eastAsia="zh-CN"/>
                          </w:rPr>
                        </m:ctrlPr>
                      </m:sub>
                    </m:sSub>
                    <m:r>
                      <m:rPr/>
                      <w:rPr>
                        <w:rFonts w:hint="default" w:ascii="Cambria Math" w:hAnsi="Cambria Math"/>
                        <w:color w:val="0000FF"/>
                        <w:lang w:val="en-US" w:eastAsia="zh-CN"/>
                      </w:rPr>
                      <m:t>+</m:t>
                    </m:r>
                    <m:sSub>
                      <m:sSubPr>
                        <m:ctrlPr>
                          <w:rPr>
                            <w:rFonts w:hint="default" w:ascii="Cambria Math" w:hAnsi="Cambria Math"/>
                            <w:i/>
                            <w:color w:val="0000FF"/>
                            <w:lang w:val="en-US" w:eastAsia="zh-CN"/>
                          </w:rPr>
                        </m:ctrlPr>
                      </m:sSubPr>
                      <m:e>
                        <m:r>
                          <m:rPr/>
                          <w:rPr>
                            <w:rFonts w:hint="default" w:ascii="Cambria Math" w:hAnsi="Cambria Math"/>
                            <w:color w:val="0000FF"/>
                            <w:lang w:val="en-US" w:eastAsia="zh-CN"/>
                          </w:rPr>
                          <m:t>C</m:t>
                        </m:r>
                        <m:ctrlPr>
                          <w:rPr>
                            <w:rFonts w:hint="default" w:ascii="Cambria Math" w:hAnsi="Cambria Math"/>
                            <w:i/>
                            <w:color w:val="0000FF"/>
                            <w:lang w:val="en-US" w:eastAsia="zh-CN"/>
                          </w:rPr>
                        </m:ctrlPr>
                      </m:e>
                      <m:sub>
                        <m:r>
                          <m:rPr/>
                          <w:rPr>
                            <w:rFonts w:hint="default" w:ascii="Cambria Math" w:hAnsi="Cambria Math"/>
                            <w:color w:val="0000FF"/>
                            <w:lang w:val="en-US" w:eastAsia="zh-CN"/>
                          </w:rPr>
                          <m:t>f</m:t>
                        </m:r>
                        <m:ctrlPr>
                          <w:rPr>
                            <w:rFonts w:hint="default" w:ascii="Cambria Math" w:hAnsi="Cambria Math"/>
                            <w:i/>
                            <w:color w:val="0000FF"/>
                            <w:lang w:val="en-US" w:eastAsia="zh-CN"/>
                          </w:rPr>
                        </m:ctrlPr>
                      </m:sub>
                    </m:sSub>
                    <m:r>
                      <m:rPr/>
                      <w:rPr>
                        <w:rFonts w:hint="default" w:ascii="Cambria Math" w:hAnsi="Cambria Math"/>
                        <w:color w:val="0000FF"/>
                        <w:lang w:val="en-US" w:eastAsia="zh-CN"/>
                      </w:rPr>
                      <m:t>×</m:t>
                    </m:r>
                    <m:sSub>
                      <m:sSubPr>
                        <m:ctrlPr>
                          <w:rPr>
                            <w:rFonts w:hint="default" w:ascii="Cambria Math" w:hAnsi="Cambria Math"/>
                            <w:i/>
                            <w:color w:val="0000FF"/>
                            <w:lang w:val="en-US" w:eastAsia="zh-CN"/>
                          </w:rPr>
                        </m:ctrlPr>
                      </m:sSubPr>
                      <m:e>
                        <m:r>
                          <m:rPr/>
                          <w:rPr>
                            <w:rFonts w:hint="default" w:ascii="Cambria Math" w:hAnsi="Cambria Math"/>
                            <w:color w:val="0000FF"/>
                            <w:lang w:val="en-US" w:eastAsia="zh-CN"/>
                          </w:rPr>
                          <m:t>m</m:t>
                        </m:r>
                        <m:ctrlPr>
                          <w:rPr>
                            <w:rFonts w:hint="default" w:ascii="Cambria Math" w:hAnsi="Cambria Math"/>
                            <w:i/>
                            <w:color w:val="0000FF"/>
                            <w:lang w:val="en-US" w:eastAsia="zh-CN"/>
                          </w:rPr>
                        </m:ctrlPr>
                      </m:e>
                      <m:sub>
                        <m:r>
                          <m:rPr/>
                          <w:rPr>
                            <w:rFonts w:hint="default" w:ascii="Cambria Math" w:hAnsi="Cambria Math"/>
                            <w:color w:val="0000FF"/>
                            <w:lang w:val="en-US" w:eastAsia="zh-CN"/>
                          </w:rPr>
                          <m:t>f</m:t>
                        </m:r>
                        <m:ctrlPr>
                          <w:rPr>
                            <w:rFonts w:hint="default" w:ascii="Cambria Math" w:hAnsi="Cambria Math"/>
                            <w:i/>
                            <w:color w:val="0000FF"/>
                            <w:lang w:val="en-US" w:eastAsia="zh-CN"/>
                          </w:rPr>
                        </m:ctrlPr>
                      </m:sub>
                    </m:sSub>
                    <m:r>
                      <m:rPr/>
                      <w:rPr>
                        <w:rFonts w:hint="default" w:ascii="Cambria Math" w:hAnsi="Cambria Math"/>
                        <w:color w:val="0000FF"/>
                        <w:lang w:val="en-US" w:eastAsia="zh-CN"/>
                      </w:rPr>
                      <m:t>+</m:t>
                    </m:r>
                    <m:sSub>
                      <m:sSubPr>
                        <m:ctrlPr>
                          <w:rPr>
                            <w:rFonts w:hint="default" w:ascii="Cambria Math" w:hAnsi="Cambria Math"/>
                            <w:i/>
                            <w:color w:val="0000FF"/>
                            <w:lang w:val="en-US" w:eastAsia="zh-CN"/>
                          </w:rPr>
                        </m:ctrlPr>
                      </m:sSubPr>
                      <m:e>
                        <m:r>
                          <m:rPr/>
                          <w:rPr>
                            <w:rFonts w:hint="default" w:ascii="Cambria Math" w:hAnsi="Cambria Math"/>
                            <w:color w:val="0000FF"/>
                            <w:lang w:val="en-US" w:eastAsia="zh-CN"/>
                          </w:rPr>
                          <m:t>C</m:t>
                        </m:r>
                        <m:ctrlPr>
                          <w:rPr>
                            <w:rFonts w:hint="default" w:ascii="Cambria Math" w:hAnsi="Cambria Math"/>
                            <w:i/>
                            <w:color w:val="0000FF"/>
                            <w:lang w:val="en-US" w:eastAsia="zh-CN"/>
                          </w:rPr>
                        </m:ctrlPr>
                      </m:e>
                      <m:sub>
                        <m:r>
                          <m:rPr/>
                          <w:rPr>
                            <w:rFonts w:hint="default" w:ascii="Cambria Math" w:hAnsi="Cambria Math"/>
                            <w:color w:val="0000FF"/>
                            <w:lang w:val="en-US" w:eastAsia="zh-CN"/>
                          </w:rPr>
                          <m:t>r</m:t>
                        </m:r>
                        <m:ctrlPr>
                          <w:rPr>
                            <w:rFonts w:hint="default" w:ascii="Cambria Math" w:hAnsi="Cambria Math"/>
                            <w:i/>
                            <w:color w:val="0000FF"/>
                            <w:lang w:val="en-US" w:eastAsia="zh-CN"/>
                          </w:rPr>
                        </m:ctrlPr>
                      </m:sub>
                    </m:sSub>
                    <m:r>
                      <m:rPr/>
                      <w:rPr>
                        <w:rFonts w:hint="default" w:ascii="Cambria Math" w:hAnsi="Cambria Math"/>
                        <w:color w:val="0000FF"/>
                        <w:lang w:val="en-US" w:eastAsia="zh-CN"/>
                      </w:rPr>
                      <m:t>×</m:t>
                    </m:r>
                    <m:sSub>
                      <m:sSubPr>
                        <m:ctrlPr>
                          <w:rPr>
                            <w:rFonts w:hint="default" w:ascii="Cambria Math" w:hAnsi="Cambria Math"/>
                            <w:i/>
                            <w:color w:val="0000FF"/>
                            <w:lang w:val="en-US" w:eastAsia="zh-CN"/>
                          </w:rPr>
                        </m:ctrlPr>
                      </m:sSubPr>
                      <m:e>
                        <m:r>
                          <m:rPr/>
                          <w:rPr>
                            <w:rFonts w:hint="default" w:ascii="Cambria Math" w:hAnsi="Cambria Math"/>
                            <w:color w:val="0000FF"/>
                            <w:lang w:val="en-US" w:eastAsia="zh-CN"/>
                          </w:rPr>
                          <m:t>m</m:t>
                        </m:r>
                        <m:ctrlPr>
                          <w:rPr>
                            <w:rFonts w:hint="default" w:ascii="Cambria Math" w:hAnsi="Cambria Math"/>
                            <w:i/>
                            <w:color w:val="0000FF"/>
                            <w:lang w:val="en-US" w:eastAsia="zh-CN"/>
                          </w:rPr>
                        </m:ctrlPr>
                      </m:e>
                      <m:sub>
                        <m:r>
                          <m:rPr/>
                          <w:rPr>
                            <w:rFonts w:hint="default" w:ascii="Cambria Math" w:hAnsi="Cambria Math"/>
                            <w:color w:val="0000FF"/>
                            <w:lang w:val="en-US" w:eastAsia="zh-CN"/>
                          </w:rPr>
                          <m:t>r</m:t>
                        </m:r>
                        <m:ctrlPr>
                          <w:rPr>
                            <w:rFonts w:hint="default" w:ascii="Cambria Math" w:hAnsi="Cambria Math"/>
                            <w:i/>
                            <w:color w:val="0000FF"/>
                            <w:lang w:val="en-US" w:eastAsia="zh-CN"/>
                          </w:rPr>
                        </m:ctrlPr>
                      </m:sub>
                    </m:sSub>
                    <m:ctrlPr>
                      <w:rPr>
                        <w:rFonts w:hint="default" w:ascii="Cambria Math" w:hAnsi="Cambria Math"/>
                        <w:i/>
                        <w:color w:val="0000FF"/>
                        <w:lang w:val="en-US" w:eastAsia="zh-CN"/>
                      </w:rPr>
                    </m:ctrlPr>
                  </m:num>
                  <m:den>
                    <m:sSub>
                      <m:sSubPr>
                        <m:ctrlPr>
                          <w:rPr>
                            <w:rFonts w:hint="default" w:ascii="Cambria Math" w:hAnsi="Cambria Math"/>
                            <w:i/>
                            <w:color w:val="0000FF"/>
                            <w:lang w:val="en-US" w:eastAsia="zh-CN"/>
                          </w:rPr>
                        </m:ctrlPr>
                      </m:sSubPr>
                      <m:e>
                        <m:r>
                          <m:rPr/>
                          <w:rPr>
                            <w:rFonts w:hint="default" w:ascii="Cambria Math" w:hAnsi="Cambria Math"/>
                            <w:color w:val="0000FF"/>
                            <w:lang w:val="en-US" w:eastAsia="zh-CN"/>
                          </w:rPr>
                          <m:t>m</m:t>
                        </m:r>
                        <m:ctrlPr>
                          <w:rPr>
                            <w:rFonts w:hint="default" w:ascii="Cambria Math" w:hAnsi="Cambria Math"/>
                            <w:i/>
                            <w:color w:val="0000FF"/>
                            <w:lang w:val="en-US" w:eastAsia="zh-CN"/>
                          </w:rPr>
                        </m:ctrlPr>
                      </m:e>
                      <m:sub>
                        <m:r>
                          <m:rPr/>
                          <w:rPr>
                            <w:rFonts w:hint="default" w:ascii="Cambria Math" w:hAnsi="Cambria Math"/>
                            <w:color w:val="0000FF"/>
                            <w:lang w:val="en-US" w:eastAsia="zh-CN"/>
                          </w:rPr>
                          <m:t>cli</m:t>
                        </m:r>
                        <m:ctrlPr>
                          <w:rPr>
                            <w:rFonts w:hint="default" w:ascii="Cambria Math" w:hAnsi="Cambria Math"/>
                            <w:i/>
                            <w:color w:val="0000FF"/>
                            <w:lang w:val="en-US" w:eastAsia="zh-CN"/>
                          </w:rPr>
                        </m:ctrlPr>
                      </m:sub>
                    </m:sSub>
                    <m:ctrlPr>
                      <w:rPr>
                        <w:rFonts w:hint="default" w:ascii="Cambria Math" w:hAnsi="Cambria Math"/>
                        <w:i/>
                        <w:color w:val="0000FF"/>
                        <w:lang w:val="en-US" w:eastAsia="zh-CN"/>
                      </w:rPr>
                    </m:ctrlPr>
                  </m:den>
                </m:f>
              </m:oMath>
            </m:oMathPara>
          </w:p>
          <w:p w14:paraId="1F61CA92">
            <w:pPr>
              <w:pStyle w:val="9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eastAsia" w:hAnsi="Cambria Math"/>
                <w:i w:val="0"/>
                <w:color w:val="0000FF"/>
                <w:lang w:val="en-US" w:eastAsia="zh-CN"/>
              </w:rPr>
            </w:pPr>
            <w:r>
              <w:rPr>
                <w:rFonts w:hint="eastAsia" w:hAnsi="Cambria Math"/>
                <w:i w:val="0"/>
                <w:color w:val="0000FF"/>
                <w:lang w:val="en-US" w:eastAsia="zh-CN"/>
              </w:rPr>
              <w:t>重金属的投加速率计算公式如下：</w:t>
            </w:r>
          </w:p>
          <w:p w14:paraId="04D1A734">
            <w:pPr>
              <w:pStyle w:val="9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0" w:firstLineChars="0"/>
              <w:jc w:val="both"/>
              <w:textAlignment w:val="auto"/>
              <w:rPr>
                <w:rFonts w:hint="default" w:hAnsi="Cambria Math"/>
                <w:i w:val="0"/>
                <w:color w:val="0000FF"/>
                <w:lang w:val="en-US" w:eastAsia="zh-CN"/>
              </w:rPr>
            </w:pPr>
            <m:oMathPara>
              <m:oMathParaPr>
                <m:jc m:val="center"/>
              </m:oMathParaPr>
              <m:oMath>
                <m:sSub>
                  <m:sSubPr>
                    <m:ctrlPr>
                      <w:rPr>
                        <w:rFonts w:ascii="Cambria Math" w:hAnsi="Cambria Math"/>
                        <w:i/>
                        <w:color w:val="0000FF"/>
                        <w:lang w:val="en-US"/>
                      </w:rPr>
                    </m:ctrlPr>
                  </m:sSubPr>
                  <m:e>
                    <m:r>
                      <m:rPr/>
                      <w:rPr>
                        <w:rFonts w:hint="default" w:ascii="Cambria Math" w:hAnsi="Cambria Math"/>
                        <w:color w:val="0000FF"/>
                        <w:lang w:val="en-US" w:eastAsia="zh-CN"/>
                      </w:rPr>
                      <m:t>FR</m:t>
                    </m:r>
                    <m:ctrlPr>
                      <w:rPr>
                        <w:rFonts w:ascii="Cambria Math" w:hAnsi="Cambria Math"/>
                        <w:i/>
                        <w:color w:val="0000FF"/>
                        <w:lang w:val="en-US"/>
                      </w:rPr>
                    </m:ctrlPr>
                  </m:e>
                  <m:sub>
                    <m:r>
                      <m:rPr/>
                      <w:rPr>
                        <w:rFonts w:hint="default" w:ascii="Cambria Math" w:hAnsi="Cambria Math"/>
                        <w:color w:val="0000FF"/>
                        <w:lang w:val="en-US" w:eastAsia="zh-CN"/>
                      </w:rPr>
                      <m:t>ℎm−cli</m:t>
                    </m:r>
                    <m:ctrlPr>
                      <w:rPr>
                        <w:rFonts w:ascii="Cambria Math" w:hAnsi="Cambria Math"/>
                        <w:i/>
                        <w:color w:val="0000FF"/>
                        <w:lang w:val="en-US"/>
                      </w:rPr>
                    </m:ctrlPr>
                  </m:sub>
                </m:sSub>
                <m:r>
                  <m:rPr/>
                  <w:rPr>
                    <w:rFonts w:hint="default" w:ascii="Cambria Math" w:hAnsi="Cambria Math"/>
                    <w:color w:val="0000FF"/>
                    <w:lang w:val="en-US" w:eastAsia="zh-CN"/>
                  </w:rPr>
                  <m:t>=</m:t>
                </m:r>
                <m:sSub>
                  <m:sSubPr>
                    <m:ctrlPr>
                      <w:rPr>
                        <w:rFonts w:ascii="Cambria Math" w:hAnsi="Cambria Math"/>
                        <w:i/>
                        <w:color w:val="0000FF"/>
                        <w:lang w:val="en-US"/>
                      </w:rPr>
                    </m:ctrlPr>
                  </m:sSubPr>
                  <m:e>
                    <m:r>
                      <m:rPr/>
                      <w:rPr>
                        <w:rFonts w:hint="default" w:ascii="Cambria Math" w:hAnsi="Cambria Math"/>
                        <w:color w:val="0000FF"/>
                        <w:lang w:val="en-US" w:eastAsia="zh-CN"/>
                      </w:rPr>
                      <m:t>FM</m:t>
                    </m:r>
                    <m:ctrlPr>
                      <w:rPr>
                        <w:rFonts w:ascii="Cambria Math" w:hAnsi="Cambria Math"/>
                        <w:i/>
                        <w:color w:val="0000FF"/>
                        <w:lang w:val="en-US"/>
                      </w:rPr>
                    </m:ctrlPr>
                  </m:e>
                  <m:sub>
                    <m:r>
                      <m:rPr/>
                      <w:rPr>
                        <w:rFonts w:hint="default" w:ascii="Cambria Math" w:hAnsi="Cambria Math"/>
                        <w:color w:val="0000FF"/>
                        <w:lang w:val="en-US" w:eastAsia="zh-CN"/>
                      </w:rPr>
                      <m:t>ℎm−cli</m:t>
                    </m:r>
                    <m:ctrlPr>
                      <w:rPr>
                        <w:rFonts w:ascii="Cambria Math" w:hAnsi="Cambria Math"/>
                        <w:i/>
                        <w:color w:val="0000FF"/>
                        <w:lang w:val="en-US"/>
                      </w:rPr>
                    </m:ctrlPr>
                  </m:sub>
                </m:sSub>
                <m:r>
                  <m:rPr/>
                  <w:rPr>
                    <w:rFonts w:hint="default" w:ascii="Cambria Math" w:hAnsi="Cambria Math"/>
                    <w:color w:val="0000FF"/>
                    <w:lang w:val="en-US" w:eastAsia="zh-CN"/>
                  </w:rPr>
                  <m:t>×</m:t>
                </m:r>
                <m:sSub>
                  <m:sSubPr>
                    <m:ctrlPr>
                      <w:rPr>
                        <w:rFonts w:hint="default" w:ascii="Cambria Math" w:hAnsi="Cambria Math"/>
                        <w:i/>
                        <w:color w:val="0000FF"/>
                        <w:lang w:val="en-US" w:eastAsia="zh-CN"/>
                      </w:rPr>
                    </m:ctrlPr>
                  </m:sSubPr>
                  <m:e>
                    <m:r>
                      <m:rPr/>
                      <w:rPr>
                        <w:rFonts w:hint="default" w:ascii="Cambria Math" w:hAnsi="Cambria Math"/>
                        <w:color w:val="0000FF"/>
                        <w:lang w:val="en-US" w:eastAsia="zh-CN"/>
                      </w:rPr>
                      <m:t>m</m:t>
                    </m:r>
                    <m:ctrlPr>
                      <w:rPr>
                        <w:rFonts w:hint="default" w:ascii="Cambria Math" w:hAnsi="Cambria Math"/>
                        <w:i/>
                        <w:color w:val="0000FF"/>
                        <w:lang w:val="en-US" w:eastAsia="zh-CN"/>
                      </w:rPr>
                    </m:ctrlPr>
                  </m:e>
                  <m:sub>
                    <m:r>
                      <m:rPr/>
                      <w:rPr>
                        <w:rFonts w:hint="default" w:ascii="Cambria Math" w:hAnsi="Cambria Math"/>
                        <w:color w:val="0000FF"/>
                        <w:lang w:val="en-US" w:eastAsia="zh-CN"/>
                      </w:rPr>
                      <m:t>cli</m:t>
                    </m:r>
                    <m:ctrlPr>
                      <w:rPr>
                        <w:rFonts w:hint="default" w:ascii="Cambria Math" w:hAnsi="Cambria Math"/>
                        <w:i/>
                        <w:color w:val="0000FF"/>
                        <w:lang w:val="en-US" w:eastAsia="zh-CN"/>
                      </w:rPr>
                    </m:ctrlPr>
                  </m:sub>
                </m:sSub>
                <m:r>
                  <m:rPr/>
                  <w:rPr>
                    <w:rFonts w:hint="default" w:ascii="Cambria Math" w:hAnsi="Cambria Math"/>
                    <w:color w:val="0000FF"/>
                    <w:lang w:val="en-US" w:eastAsia="zh-CN"/>
                  </w:rPr>
                  <m:t>=</m:t>
                </m:r>
                <m:sSub>
                  <m:sSubPr>
                    <m:ctrlPr>
                      <w:rPr>
                        <w:rFonts w:hint="default" w:ascii="Cambria Math" w:hAnsi="Cambria Math"/>
                        <w:i/>
                        <w:color w:val="0000FF"/>
                        <w:lang w:val="en-US" w:eastAsia="zh-CN"/>
                      </w:rPr>
                    </m:ctrlPr>
                  </m:sSubPr>
                  <m:e>
                    <m:r>
                      <m:rPr/>
                      <w:rPr>
                        <w:rFonts w:hint="default" w:ascii="Cambria Math" w:hAnsi="Cambria Math"/>
                        <w:color w:val="0000FF"/>
                        <w:lang w:val="en-US" w:eastAsia="zh-CN"/>
                      </w:rPr>
                      <m:t>C</m:t>
                    </m:r>
                    <m:ctrlPr>
                      <w:rPr>
                        <w:rFonts w:hint="default" w:ascii="Cambria Math" w:hAnsi="Cambria Math"/>
                        <w:i/>
                        <w:color w:val="0000FF"/>
                        <w:lang w:val="en-US" w:eastAsia="zh-CN"/>
                      </w:rPr>
                    </m:ctrlPr>
                  </m:e>
                  <m:sub>
                    <m:r>
                      <m:rPr/>
                      <w:rPr>
                        <w:rFonts w:hint="default" w:ascii="Cambria Math" w:hAnsi="Cambria Math"/>
                        <w:color w:val="0000FF"/>
                        <w:lang w:val="en-US" w:eastAsia="zh-CN"/>
                      </w:rPr>
                      <m:t>w</m:t>
                    </m:r>
                    <m:ctrlPr>
                      <w:rPr>
                        <w:rFonts w:hint="default" w:ascii="Cambria Math" w:hAnsi="Cambria Math"/>
                        <w:i/>
                        <w:color w:val="0000FF"/>
                        <w:lang w:val="en-US" w:eastAsia="zh-CN"/>
                      </w:rPr>
                    </m:ctrlPr>
                  </m:sub>
                </m:sSub>
                <m:r>
                  <m:rPr/>
                  <w:rPr>
                    <w:rFonts w:hint="default" w:ascii="Cambria Math" w:hAnsi="Cambria Math"/>
                    <w:color w:val="0000FF"/>
                    <w:lang w:val="en-US" w:eastAsia="zh-CN"/>
                  </w:rPr>
                  <m:t>×</m:t>
                </m:r>
                <m:sSub>
                  <m:sSubPr>
                    <m:ctrlPr>
                      <w:rPr>
                        <w:rFonts w:hint="default" w:ascii="Cambria Math" w:hAnsi="Cambria Math"/>
                        <w:i/>
                        <w:color w:val="0000FF"/>
                        <w:lang w:val="en-US" w:eastAsia="zh-CN"/>
                      </w:rPr>
                    </m:ctrlPr>
                  </m:sSubPr>
                  <m:e>
                    <m:r>
                      <m:rPr/>
                      <w:rPr>
                        <w:rFonts w:hint="default" w:ascii="Cambria Math" w:hAnsi="Cambria Math"/>
                        <w:color w:val="0000FF"/>
                        <w:lang w:val="en-US" w:eastAsia="zh-CN"/>
                      </w:rPr>
                      <m:t>m</m:t>
                    </m:r>
                    <m:ctrlPr>
                      <w:rPr>
                        <w:rFonts w:hint="default" w:ascii="Cambria Math" w:hAnsi="Cambria Math"/>
                        <w:i/>
                        <w:color w:val="0000FF"/>
                        <w:lang w:val="en-US" w:eastAsia="zh-CN"/>
                      </w:rPr>
                    </m:ctrlPr>
                  </m:e>
                  <m:sub>
                    <m:r>
                      <m:rPr/>
                      <w:rPr>
                        <w:rFonts w:hint="default" w:ascii="Cambria Math" w:hAnsi="Cambria Math"/>
                        <w:color w:val="0000FF"/>
                        <w:lang w:val="en-US" w:eastAsia="zh-CN"/>
                      </w:rPr>
                      <m:t>w</m:t>
                    </m:r>
                    <m:ctrlPr>
                      <w:rPr>
                        <w:rFonts w:hint="default" w:ascii="Cambria Math" w:hAnsi="Cambria Math"/>
                        <w:i/>
                        <w:color w:val="0000FF"/>
                        <w:lang w:val="en-US" w:eastAsia="zh-CN"/>
                      </w:rPr>
                    </m:ctrlPr>
                  </m:sub>
                </m:sSub>
                <m:r>
                  <m:rPr/>
                  <w:rPr>
                    <w:rFonts w:hint="default" w:ascii="Cambria Math" w:hAnsi="Cambria Math"/>
                    <w:color w:val="0000FF"/>
                    <w:lang w:val="en-US" w:eastAsia="zh-CN"/>
                  </w:rPr>
                  <m:t>+</m:t>
                </m:r>
                <m:sSub>
                  <m:sSubPr>
                    <m:ctrlPr>
                      <w:rPr>
                        <w:rFonts w:hint="default" w:ascii="Cambria Math" w:hAnsi="Cambria Math"/>
                        <w:i/>
                        <w:color w:val="0000FF"/>
                        <w:lang w:val="en-US" w:eastAsia="zh-CN"/>
                      </w:rPr>
                    </m:ctrlPr>
                  </m:sSubPr>
                  <m:e>
                    <m:r>
                      <m:rPr/>
                      <w:rPr>
                        <w:rFonts w:hint="default" w:ascii="Cambria Math" w:hAnsi="Cambria Math"/>
                        <w:color w:val="0000FF"/>
                        <w:lang w:val="en-US" w:eastAsia="zh-CN"/>
                      </w:rPr>
                      <m:t>C</m:t>
                    </m:r>
                    <m:ctrlPr>
                      <w:rPr>
                        <w:rFonts w:hint="default" w:ascii="Cambria Math" w:hAnsi="Cambria Math"/>
                        <w:i/>
                        <w:color w:val="0000FF"/>
                        <w:lang w:val="en-US" w:eastAsia="zh-CN"/>
                      </w:rPr>
                    </m:ctrlPr>
                  </m:e>
                  <m:sub>
                    <m:r>
                      <m:rPr/>
                      <w:rPr>
                        <w:rFonts w:hint="default" w:ascii="Cambria Math" w:hAnsi="Cambria Math"/>
                        <w:color w:val="0000FF"/>
                        <w:lang w:val="en-US" w:eastAsia="zh-CN"/>
                      </w:rPr>
                      <m:t>f</m:t>
                    </m:r>
                    <m:ctrlPr>
                      <w:rPr>
                        <w:rFonts w:hint="default" w:ascii="Cambria Math" w:hAnsi="Cambria Math"/>
                        <w:i/>
                        <w:color w:val="0000FF"/>
                        <w:lang w:val="en-US" w:eastAsia="zh-CN"/>
                      </w:rPr>
                    </m:ctrlPr>
                  </m:sub>
                </m:sSub>
                <m:r>
                  <m:rPr/>
                  <w:rPr>
                    <w:rFonts w:hint="default" w:ascii="Cambria Math" w:hAnsi="Cambria Math"/>
                    <w:color w:val="0000FF"/>
                    <w:lang w:val="en-US" w:eastAsia="zh-CN"/>
                  </w:rPr>
                  <m:t>×</m:t>
                </m:r>
                <m:sSub>
                  <m:sSubPr>
                    <m:ctrlPr>
                      <w:rPr>
                        <w:rFonts w:hint="default" w:ascii="Cambria Math" w:hAnsi="Cambria Math"/>
                        <w:i/>
                        <w:color w:val="0000FF"/>
                        <w:lang w:val="en-US" w:eastAsia="zh-CN"/>
                      </w:rPr>
                    </m:ctrlPr>
                  </m:sSubPr>
                  <m:e>
                    <m:r>
                      <m:rPr/>
                      <w:rPr>
                        <w:rFonts w:hint="default" w:ascii="Cambria Math" w:hAnsi="Cambria Math"/>
                        <w:color w:val="0000FF"/>
                        <w:lang w:val="en-US" w:eastAsia="zh-CN"/>
                      </w:rPr>
                      <m:t>m</m:t>
                    </m:r>
                    <m:ctrlPr>
                      <w:rPr>
                        <w:rFonts w:hint="default" w:ascii="Cambria Math" w:hAnsi="Cambria Math"/>
                        <w:i/>
                        <w:color w:val="0000FF"/>
                        <w:lang w:val="en-US" w:eastAsia="zh-CN"/>
                      </w:rPr>
                    </m:ctrlPr>
                  </m:e>
                  <m:sub>
                    <m:r>
                      <m:rPr/>
                      <w:rPr>
                        <w:rFonts w:hint="default" w:ascii="Cambria Math" w:hAnsi="Cambria Math"/>
                        <w:color w:val="0000FF"/>
                        <w:lang w:val="en-US" w:eastAsia="zh-CN"/>
                      </w:rPr>
                      <m:t>f</m:t>
                    </m:r>
                    <m:ctrlPr>
                      <w:rPr>
                        <w:rFonts w:hint="default" w:ascii="Cambria Math" w:hAnsi="Cambria Math"/>
                        <w:i/>
                        <w:color w:val="0000FF"/>
                        <w:lang w:val="en-US" w:eastAsia="zh-CN"/>
                      </w:rPr>
                    </m:ctrlPr>
                  </m:sub>
                </m:sSub>
                <m:r>
                  <m:rPr/>
                  <w:rPr>
                    <w:rFonts w:hint="default" w:ascii="Cambria Math" w:hAnsi="Cambria Math"/>
                    <w:color w:val="0000FF"/>
                    <w:lang w:val="en-US" w:eastAsia="zh-CN"/>
                  </w:rPr>
                  <m:t>+</m:t>
                </m:r>
                <m:sSub>
                  <m:sSubPr>
                    <m:ctrlPr>
                      <w:rPr>
                        <w:rFonts w:hint="default" w:ascii="Cambria Math" w:hAnsi="Cambria Math"/>
                        <w:i/>
                        <w:color w:val="0000FF"/>
                        <w:lang w:val="en-US" w:eastAsia="zh-CN"/>
                      </w:rPr>
                    </m:ctrlPr>
                  </m:sSubPr>
                  <m:e>
                    <m:r>
                      <m:rPr/>
                      <w:rPr>
                        <w:rFonts w:hint="default" w:ascii="Cambria Math" w:hAnsi="Cambria Math"/>
                        <w:color w:val="0000FF"/>
                        <w:lang w:val="en-US" w:eastAsia="zh-CN"/>
                      </w:rPr>
                      <m:t>C</m:t>
                    </m:r>
                    <m:ctrlPr>
                      <w:rPr>
                        <w:rFonts w:hint="default" w:ascii="Cambria Math" w:hAnsi="Cambria Math"/>
                        <w:i/>
                        <w:color w:val="0000FF"/>
                        <w:lang w:val="en-US" w:eastAsia="zh-CN"/>
                      </w:rPr>
                    </m:ctrlPr>
                  </m:e>
                  <m:sub>
                    <m:r>
                      <m:rPr/>
                      <w:rPr>
                        <w:rFonts w:hint="default" w:ascii="Cambria Math" w:hAnsi="Cambria Math"/>
                        <w:color w:val="0000FF"/>
                        <w:lang w:val="en-US" w:eastAsia="zh-CN"/>
                      </w:rPr>
                      <m:t>r</m:t>
                    </m:r>
                    <m:ctrlPr>
                      <w:rPr>
                        <w:rFonts w:hint="default" w:ascii="Cambria Math" w:hAnsi="Cambria Math"/>
                        <w:i/>
                        <w:color w:val="0000FF"/>
                        <w:lang w:val="en-US" w:eastAsia="zh-CN"/>
                      </w:rPr>
                    </m:ctrlPr>
                  </m:sub>
                </m:sSub>
                <m:r>
                  <m:rPr/>
                  <w:rPr>
                    <w:rFonts w:hint="default" w:ascii="Cambria Math" w:hAnsi="Cambria Math"/>
                    <w:color w:val="0000FF"/>
                    <w:lang w:val="en-US" w:eastAsia="zh-CN"/>
                  </w:rPr>
                  <m:t>×</m:t>
                </m:r>
                <m:sSub>
                  <m:sSubPr>
                    <m:ctrlPr>
                      <w:rPr>
                        <w:rFonts w:hint="default" w:ascii="Cambria Math" w:hAnsi="Cambria Math"/>
                        <w:i/>
                        <w:color w:val="0000FF"/>
                        <w:lang w:val="en-US" w:eastAsia="zh-CN"/>
                      </w:rPr>
                    </m:ctrlPr>
                  </m:sSubPr>
                  <m:e>
                    <m:r>
                      <m:rPr/>
                      <w:rPr>
                        <w:rFonts w:hint="default" w:ascii="Cambria Math" w:hAnsi="Cambria Math"/>
                        <w:color w:val="0000FF"/>
                        <w:lang w:val="en-US" w:eastAsia="zh-CN"/>
                      </w:rPr>
                      <m:t>m</m:t>
                    </m:r>
                    <m:ctrlPr>
                      <w:rPr>
                        <w:rFonts w:hint="default" w:ascii="Cambria Math" w:hAnsi="Cambria Math"/>
                        <w:i/>
                        <w:color w:val="0000FF"/>
                        <w:lang w:val="en-US" w:eastAsia="zh-CN"/>
                      </w:rPr>
                    </m:ctrlPr>
                  </m:e>
                  <m:sub>
                    <m:r>
                      <m:rPr/>
                      <w:rPr>
                        <w:rFonts w:hint="default" w:ascii="Cambria Math" w:hAnsi="Cambria Math"/>
                        <w:color w:val="0000FF"/>
                        <w:lang w:val="en-US" w:eastAsia="zh-CN"/>
                      </w:rPr>
                      <m:t>r</m:t>
                    </m:r>
                    <m:ctrlPr>
                      <w:rPr>
                        <w:rFonts w:hint="default" w:ascii="Cambria Math" w:hAnsi="Cambria Math"/>
                        <w:i/>
                        <w:color w:val="0000FF"/>
                        <w:lang w:val="en-US" w:eastAsia="zh-CN"/>
                      </w:rPr>
                    </m:ctrlPr>
                  </m:sub>
                </m:sSub>
              </m:oMath>
            </m:oMathPara>
          </w:p>
          <w:p w14:paraId="20EEC7C1">
            <w:pPr>
              <w:pStyle w:val="9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480" w:firstLineChars="200"/>
              <w:jc w:val="both"/>
              <w:textAlignment w:val="auto"/>
              <w:rPr>
                <w:rFonts w:hint="eastAsia" w:hAnsi="Cambria Math"/>
                <w:i w:val="0"/>
                <w:color w:val="0000FF"/>
                <w:vertAlign w:val="baseline"/>
                <w:lang w:val="en-US" w:eastAsia="zh-CN"/>
              </w:rPr>
            </w:pPr>
            <w:r>
              <w:rPr>
                <w:rFonts w:hint="eastAsia" w:hAnsi="Cambria Math"/>
                <w:i w:val="0"/>
                <w:color w:val="0000FF"/>
                <w:lang w:val="en-US" w:eastAsia="zh-CN"/>
              </w:rPr>
              <w:t>式中，FM</w:t>
            </w:r>
            <w:r>
              <w:rPr>
                <w:rFonts w:hint="eastAsia" w:hAnsi="Cambria Math"/>
                <w:i w:val="0"/>
                <w:color w:val="0000FF"/>
                <w:vertAlign w:val="subscript"/>
                <w:lang w:val="en-US" w:eastAsia="zh-CN"/>
              </w:rPr>
              <w:t>hm-cli</w:t>
            </w:r>
            <w:r>
              <w:rPr>
                <w:rFonts w:hint="eastAsia" w:hAnsi="Cambria Math"/>
                <w:i w:val="0"/>
                <w:color w:val="0000FF"/>
                <w:vertAlign w:val="baseline"/>
                <w:lang w:val="en-US" w:eastAsia="zh-CN"/>
              </w:rPr>
              <w:t>为重金属的单位熟料投加量，即入窑金属的投加量，不包括由混合材</w:t>
            </w:r>
          </w:p>
          <w:p w14:paraId="5A56D690">
            <w:pPr>
              <w:pStyle w:val="9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1200" w:firstLineChars="500"/>
              <w:jc w:val="both"/>
              <w:textAlignment w:val="auto"/>
              <w:rPr>
                <w:rFonts w:hint="eastAsia" w:hAnsi="Cambria Math"/>
                <w:i w:val="0"/>
                <w:color w:val="0000FF"/>
                <w:vertAlign w:val="baseline"/>
                <w:lang w:val="en-US" w:eastAsia="zh-CN"/>
              </w:rPr>
            </w:pPr>
            <w:r>
              <w:rPr>
                <w:rFonts w:hint="eastAsia" w:hAnsi="Cambria Math"/>
                <w:i w:val="0"/>
                <w:color w:val="0000FF"/>
                <w:vertAlign w:val="baseline"/>
                <w:lang w:val="en-US" w:eastAsia="zh-CN"/>
              </w:rPr>
              <w:t>带入的重金属，mg/kg-cli；</w:t>
            </w:r>
          </w:p>
          <w:p w14:paraId="3B7DBB7B">
            <w:pPr>
              <w:pStyle w:val="9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1200" w:firstLineChars="500"/>
              <w:jc w:val="both"/>
              <w:textAlignment w:val="auto"/>
              <w:rPr>
                <w:rFonts w:hint="eastAsia" w:hAnsi="Cambria Math"/>
                <w:i w:val="0"/>
                <w:color w:val="0000FF"/>
                <w:vertAlign w:val="baseline"/>
                <w:lang w:val="en-US" w:eastAsia="zh-CN"/>
              </w:rPr>
            </w:pPr>
            <w:r>
              <w:rPr>
                <w:rFonts w:hint="eastAsia" w:hAnsi="Cambria Math"/>
                <w:i w:val="0"/>
                <w:color w:val="0000FF"/>
                <w:vertAlign w:val="baseline"/>
                <w:lang w:val="en-US" w:eastAsia="zh-CN"/>
              </w:rPr>
              <w:t>C</w:t>
            </w:r>
            <w:r>
              <w:rPr>
                <w:rFonts w:hint="eastAsia" w:hAnsi="Cambria Math"/>
                <w:i w:val="0"/>
                <w:color w:val="0000FF"/>
                <w:vertAlign w:val="subscript"/>
                <w:lang w:val="en-US" w:eastAsia="zh-CN"/>
              </w:rPr>
              <w:t>w</w:t>
            </w:r>
            <w:r>
              <w:rPr>
                <w:rFonts w:hint="eastAsia" w:hAnsi="Cambria Math"/>
                <w:i w:val="0"/>
                <w:color w:val="0000FF"/>
                <w:vertAlign w:val="baseline"/>
                <w:lang w:val="en-US" w:eastAsia="zh-CN"/>
              </w:rPr>
              <w:t>、C</w:t>
            </w:r>
            <w:r>
              <w:rPr>
                <w:rFonts w:hint="eastAsia" w:hAnsi="Cambria Math"/>
                <w:i w:val="0"/>
                <w:color w:val="0000FF"/>
                <w:vertAlign w:val="subscript"/>
                <w:lang w:val="en-US" w:eastAsia="zh-CN"/>
              </w:rPr>
              <w:t>f</w:t>
            </w:r>
            <w:r>
              <w:rPr>
                <w:rFonts w:hint="eastAsia" w:hAnsi="Cambria Math"/>
                <w:i w:val="0"/>
                <w:color w:val="0000FF"/>
                <w:vertAlign w:val="baseline"/>
                <w:lang w:val="en-US" w:eastAsia="zh-CN"/>
              </w:rPr>
              <w:t>和C</w:t>
            </w:r>
            <w:r>
              <w:rPr>
                <w:rFonts w:hint="eastAsia" w:hAnsi="Cambria Math"/>
                <w:i w:val="0"/>
                <w:color w:val="0000FF"/>
                <w:vertAlign w:val="subscript"/>
                <w:lang w:val="en-US" w:eastAsia="zh-CN"/>
              </w:rPr>
              <w:t>r</w:t>
            </w:r>
            <w:r>
              <w:rPr>
                <w:rFonts w:hint="eastAsia" w:hAnsi="Cambria Math"/>
                <w:i w:val="0"/>
                <w:color w:val="0000FF"/>
                <w:vertAlign w:val="baseline"/>
                <w:lang w:val="en-US" w:eastAsia="zh-CN"/>
              </w:rPr>
              <w:t>分别为固体废物、常规燃料和常规原料中的重金属含量，mg/kg-cli；</w:t>
            </w:r>
          </w:p>
          <w:p w14:paraId="0A78FD31">
            <w:pPr>
              <w:pStyle w:val="9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1200" w:firstLineChars="500"/>
              <w:jc w:val="both"/>
              <w:textAlignment w:val="auto"/>
              <w:rPr>
                <w:rFonts w:hint="eastAsia" w:hAnsi="Cambria Math"/>
                <w:i w:val="0"/>
                <w:color w:val="0000FF"/>
                <w:vertAlign w:val="baseline"/>
                <w:lang w:val="en-US" w:eastAsia="zh-CN"/>
              </w:rPr>
            </w:pPr>
            <w:r>
              <w:rPr>
                <w:rFonts w:hint="eastAsia" w:hAnsi="Cambria Math"/>
                <w:i w:val="0"/>
                <w:color w:val="0000FF"/>
                <w:vertAlign w:val="baseline"/>
                <w:lang w:val="en-US" w:eastAsia="zh-CN"/>
              </w:rPr>
              <w:t>m</w:t>
            </w:r>
            <w:r>
              <w:rPr>
                <w:rFonts w:hint="eastAsia" w:hAnsi="Cambria Math"/>
                <w:i w:val="0"/>
                <w:color w:val="0000FF"/>
                <w:vertAlign w:val="subscript"/>
                <w:lang w:val="en-US" w:eastAsia="zh-CN"/>
              </w:rPr>
              <w:t>w</w:t>
            </w:r>
            <w:r>
              <w:rPr>
                <w:rFonts w:hint="eastAsia" w:hAnsi="Cambria Math"/>
                <w:i w:val="0"/>
                <w:color w:val="0000FF"/>
                <w:vertAlign w:val="baseline"/>
                <w:lang w:val="en-US" w:eastAsia="zh-CN"/>
              </w:rPr>
              <w:t>、m</w:t>
            </w:r>
            <w:r>
              <w:rPr>
                <w:rFonts w:hint="eastAsia" w:hAnsi="Cambria Math"/>
                <w:i w:val="0"/>
                <w:color w:val="0000FF"/>
                <w:vertAlign w:val="subscript"/>
                <w:lang w:val="en-US" w:eastAsia="zh-CN"/>
              </w:rPr>
              <w:t>f</w:t>
            </w:r>
            <w:r>
              <w:rPr>
                <w:rFonts w:hint="eastAsia" w:hAnsi="Cambria Math"/>
                <w:i w:val="0"/>
                <w:color w:val="0000FF"/>
                <w:vertAlign w:val="baseline"/>
                <w:lang w:val="en-US" w:eastAsia="zh-CN"/>
              </w:rPr>
              <w:t>和m</w:t>
            </w:r>
            <w:r>
              <w:rPr>
                <w:rFonts w:hint="eastAsia" w:hAnsi="Cambria Math"/>
                <w:i w:val="0"/>
                <w:color w:val="0000FF"/>
                <w:vertAlign w:val="subscript"/>
                <w:lang w:val="en-US" w:eastAsia="zh-CN"/>
              </w:rPr>
              <w:t>r</w:t>
            </w:r>
            <w:r>
              <w:rPr>
                <w:rFonts w:hint="eastAsia" w:hAnsi="Cambria Math"/>
                <w:i w:val="0"/>
                <w:color w:val="0000FF"/>
                <w:vertAlign w:val="baseline"/>
                <w:lang w:val="en-US" w:eastAsia="zh-CN"/>
              </w:rPr>
              <w:t>分别为单位时间内固体废物、常燃料和常原料的加量，kg/h；</w:t>
            </w:r>
          </w:p>
          <w:p w14:paraId="6325E742">
            <w:pPr>
              <w:pStyle w:val="9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1200" w:firstLineChars="500"/>
              <w:jc w:val="both"/>
              <w:textAlignment w:val="auto"/>
              <w:rPr>
                <w:rFonts w:hint="eastAsia" w:hAnsi="Cambria Math"/>
                <w:i w:val="0"/>
                <w:color w:val="0000FF"/>
                <w:vertAlign w:val="baseline"/>
                <w:lang w:val="en-US" w:eastAsia="zh-CN"/>
              </w:rPr>
            </w:pPr>
            <w:r>
              <w:rPr>
                <w:rFonts w:hint="eastAsia" w:hAnsi="Cambria Math"/>
                <w:i w:val="0"/>
                <w:color w:val="0000FF"/>
                <w:vertAlign w:val="baseline"/>
                <w:lang w:val="en-US" w:eastAsia="zh-CN"/>
              </w:rPr>
              <w:t>m</w:t>
            </w:r>
            <w:r>
              <w:rPr>
                <w:rFonts w:hint="eastAsia" w:hAnsi="Cambria Math"/>
                <w:i w:val="0"/>
                <w:color w:val="0000FF"/>
                <w:vertAlign w:val="subscript"/>
                <w:lang w:val="en-US" w:eastAsia="zh-CN"/>
              </w:rPr>
              <w:t>cli</w:t>
            </w:r>
            <w:r>
              <w:rPr>
                <w:rFonts w:hint="eastAsia" w:hAnsi="Cambria Math"/>
                <w:i w:val="0"/>
                <w:color w:val="0000FF"/>
                <w:vertAlign w:val="baseline"/>
                <w:lang w:val="en-US" w:eastAsia="zh-CN"/>
              </w:rPr>
              <w:t>为单位时间的熟料产量，kg/h；</w:t>
            </w:r>
          </w:p>
          <w:p w14:paraId="02BA0467">
            <w:pPr>
              <w:pStyle w:val="9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1200" w:firstLineChars="500"/>
              <w:jc w:val="both"/>
              <w:textAlignment w:val="auto"/>
              <w:rPr>
                <w:rFonts w:hint="eastAsia" w:hAnsi="Cambria Math"/>
                <w:i w:val="0"/>
                <w:color w:val="0000FF"/>
                <w:vertAlign w:val="baseline"/>
                <w:lang w:val="en-US" w:eastAsia="zh-CN"/>
              </w:rPr>
            </w:pPr>
            <w:r>
              <w:rPr>
                <w:rFonts w:hint="eastAsia" w:hAnsi="Cambria Math"/>
                <w:i w:val="0"/>
                <w:color w:val="0000FF"/>
                <w:vertAlign w:val="baseline"/>
                <w:lang w:val="en-US" w:eastAsia="zh-CN"/>
              </w:rPr>
              <w:t>FR</w:t>
            </w:r>
            <w:r>
              <w:rPr>
                <w:rFonts w:hint="eastAsia" w:hAnsi="Cambria Math"/>
                <w:i w:val="0"/>
                <w:color w:val="0000FF"/>
                <w:vertAlign w:val="subscript"/>
                <w:lang w:val="en-US" w:eastAsia="zh-CN"/>
              </w:rPr>
              <w:t>hm-cli</w:t>
            </w:r>
            <w:r>
              <w:rPr>
                <w:rFonts w:hint="eastAsia" w:hAnsi="Cambria Math"/>
                <w:i w:val="0"/>
                <w:color w:val="0000FF"/>
                <w:vertAlign w:val="baseline"/>
                <w:lang w:val="en-US" w:eastAsia="zh-CN"/>
              </w:rPr>
              <w:t>为重金属投加速率，不包括由混合材带入的重金属，mg/h。</w:t>
            </w:r>
          </w:p>
          <w:p w14:paraId="08E03E95">
            <w:pPr>
              <w:pStyle w:val="9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eastAsia" w:hAnsi="Cambria Math"/>
                <w:i w:val="0"/>
                <w:color w:val="0000FF"/>
                <w:vertAlign w:val="baseline"/>
                <w:lang w:val="en-US" w:eastAsia="zh-CN"/>
              </w:rPr>
            </w:pPr>
            <w:r>
              <w:rPr>
                <w:rFonts w:hint="eastAsia" w:hAnsi="Cambria Math"/>
                <w:i w:val="0"/>
                <w:color w:val="0000FF"/>
                <w:vertAlign w:val="baseline"/>
                <w:lang w:val="en-US" w:eastAsia="zh-CN"/>
              </w:rPr>
              <w:t>根据《水泥窑协同处置固体废物环境保护技术规范》（HJ 662-2013），本项目实施后水泥窑熟料重金属最大允许投加量限制判定见下表。</w:t>
            </w:r>
          </w:p>
          <w:p w14:paraId="329BB0DC">
            <w:pPr>
              <w:autoSpaceDE w:val="0"/>
              <w:autoSpaceDN w:val="0"/>
              <w:adjustRightInd w:val="0"/>
              <w:jc w:val="center"/>
              <w:rPr>
                <w:rFonts w:hint="eastAsia" w:cs="Times New Roman"/>
                <w:b/>
                <w:color w:val="0000FF"/>
                <w:lang w:eastAsia="zh-CN"/>
              </w:rPr>
            </w:pPr>
            <w:bookmarkStart w:id="81" w:name="OLE_LINK95"/>
            <w:r>
              <w:rPr>
                <w:rFonts w:hint="eastAsia" w:ascii="Times New Roman" w:hAnsi="Times New Roman" w:cs="Times New Roman"/>
                <w:b/>
                <w:color w:val="0000FF"/>
              </w:rPr>
              <w:t>表</w:t>
            </w:r>
            <w:r>
              <w:rPr>
                <w:rFonts w:ascii="Times New Roman" w:hAnsi="Times New Roman" w:cs="Times New Roman"/>
                <w:b/>
                <w:color w:val="0000FF"/>
              </w:rPr>
              <w:t>2</w:t>
            </w:r>
            <w:r>
              <w:rPr>
                <w:rFonts w:hint="eastAsia" w:ascii="Times New Roman" w:hAnsi="Times New Roman" w:cs="Times New Roman"/>
                <w:b/>
                <w:color w:val="0000FF"/>
                <w:lang w:val="en-US" w:eastAsia="zh-CN"/>
              </w:rPr>
              <w:t>-</w:t>
            </w:r>
            <w:r>
              <w:rPr>
                <w:rFonts w:hint="eastAsia" w:cs="Times New Roman"/>
                <w:b/>
                <w:color w:val="0000FF"/>
                <w:lang w:val="en-US" w:eastAsia="zh-CN"/>
              </w:rPr>
              <w:t>25</w:t>
            </w:r>
            <w:r>
              <w:rPr>
                <w:rFonts w:ascii="Times New Roman" w:hAnsi="Times New Roman" w:cs="Times New Roman"/>
                <w:b/>
                <w:color w:val="0000FF"/>
              </w:rPr>
              <w:t xml:space="preserve"> </w:t>
            </w:r>
            <w:r>
              <w:rPr>
                <w:rFonts w:hint="eastAsia" w:cs="Times New Roman"/>
                <w:b/>
                <w:color w:val="0000FF"/>
                <w:lang w:eastAsia="zh-CN"/>
              </w:rPr>
              <w:t>本项目实施后水泥窑重金属入窑控制计算</w:t>
            </w:r>
          </w:p>
          <w:bookmarkEnd w:id="81"/>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8"/>
              <w:gridCol w:w="1133"/>
              <w:gridCol w:w="894"/>
              <w:gridCol w:w="1853"/>
              <w:gridCol w:w="4092"/>
            </w:tblGrid>
            <w:tr w14:paraId="3D2B2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56" w:type="pct"/>
                  <w:vAlign w:val="center"/>
                </w:tcPr>
                <w:p w14:paraId="6485D264">
                  <w:pPr>
                    <w:adjustRightInd w:val="0"/>
                    <w:snapToGrid w:val="0"/>
                    <w:jc w:val="center"/>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物料</w:t>
                  </w:r>
                </w:p>
              </w:tc>
              <w:tc>
                <w:tcPr>
                  <w:tcW w:w="798" w:type="pct"/>
                  <w:vAlign w:val="center"/>
                </w:tcPr>
                <w:p w14:paraId="15747D1A">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年用量（t/a）</w:t>
                  </w:r>
                </w:p>
              </w:tc>
              <w:tc>
                <w:tcPr>
                  <w:tcW w:w="538" w:type="pct"/>
                  <w:vAlign w:val="center"/>
                </w:tcPr>
                <w:p w14:paraId="0CCBEC86">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汞（Hg）</w:t>
                  </w:r>
                </w:p>
              </w:tc>
              <w:tc>
                <w:tcPr>
                  <w:tcW w:w="1320" w:type="pct"/>
                  <w:vAlign w:val="center"/>
                </w:tcPr>
                <w:p w14:paraId="108203F4">
                  <w:pPr>
                    <w:adjustRightInd w:val="0"/>
                    <w:snapToGrid w:val="0"/>
                    <w:jc w:val="center"/>
                    <w:rPr>
                      <w:rFonts w:hint="eastAsia" w:ascii="Times New Roman" w:hAnsi="Times New Roman" w:eastAsia="宋体" w:cs="Times New Roman"/>
                      <w:bCs/>
                      <w:color w:val="0000FF"/>
                      <w:szCs w:val="21"/>
                      <w:lang w:val="en-US" w:eastAsia="zh-CN"/>
                    </w:rPr>
                  </w:pPr>
                  <w:r>
                    <w:rPr>
                      <w:rFonts w:hint="eastAsia" w:cs="Times New Roman"/>
                      <w:bCs/>
                      <w:color w:val="0000FF"/>
                      <w:szCs w:val="21"/>
                      <w:lang w:val="en-US" w:eastAsia="zh-CN"/>
                    </w:rPr>
                    <w:t>铊（Tl）+镉（Cd）+铅（Pb）+15×砷（15×As）</w:t>
                  </w:r>
                </w:p>
              </w:tc>
              <w:tc>
                <w:tcPr>
                  <w:tcW w:w="1485" w:type="pct"/>
                  <w:vAlign w:val="center"/>
                </w:tcPr>
                <w:p w14:paraId="6CE95C81">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铍+铬+10×锡+50×锑+铜+锰+镍+钒（Be+Cr+10×Sn+50×Sb+Cu+Mn+Ni+V）</w:t>
                  </w:r>
                </w:p>
              </w:tc>
            </w:tr>
            <w:tr w14:paraId="79FC5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56" w:type="pct"/>
                  <w:vAlign w:val="center"/>
                </w:tcPr>
                <w:p w14:paraId="0BAE903B">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废纺</w:t>
                  </w:r>
                </w:p>
              </w:tc>
              <w:tc>
                <w:tcPr>
                  <w:tcW w:w="798" w:type="pct"/>
                  <w:vAlign w:val="center"/>
                </w:tcPr>
                <w:p w14:paraId="65E6B96E">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50000</w:t>
                  </w:r>
                </w:p>
              </w:tc>
              <w:tc>
                <w:tcPr>
                  <w:tcW w:w="538" w:type="pct"/>
                  <w:vAlign w:val="center"/>
                </w:tcPr>
                <w:p w14:paraId="4ABA37BD">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w:t>
                  </w:r>
                </w:p>
              </w:tc>
              <w:tc>
                <w:tcPr>
                  <w:tcW w:w="1320" w:type="pct"/>
                  <w:vAlign w:val="center"/>
                </w:tcPr>
                <w:p w14:paraId="26B33126">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0.140995</w:t>
                  </w:r>
                </w:p>
              </w:tc>
              <w:tc>
                <w:tcPr>
                  <w:tcW w:w="1485" w:type="pct"/>
                  <w:vAlign w:val="center"/>
                </w:tcPr>
                <w:p w14:paraId="728CDB76">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0.2222</w:t>
                  </w:r>
                </w:p>
              </w:tc>
            </w:tr>
            <w:tr w14:paraId="47D5D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56" w:type="pct"/>
                  <w:vAlign w:val="center"/>
                </w:tcPr>
                <w:p w14:paraId="252BD04E">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生物质（木屑）</w:t>
                  </w:r>
                </w:p>
              </w:tc>
              <w:tc>
                <w:tcPr>
                  <w:tcW w:w="798" w:type="pct"/>
                  <w:vAlign w:val="center"/>
                </w:tcPr>
                <w:p w14:paraId="5FB9C2F2">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50000</w:t>
                  </w:r>
                </w:p>
              </w:tc>
              <w:tc>
                <w:tcPr>
                  <w:tcW w:w="538" w:type="pct"/>
                  <w:vAlign w:val="center"/>
                </w:tcPr>
                <w:p w14:paraId="1E047E40">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w:t>
                  </w:r>
                </w:p>
              </w:tc>
              <w:tc>
                <w:tcPr>
                  <w:tcW w:w="1320" w:type="pct"/>
                  <w:vAlign w:val="center"/>
                </w:tcPr>
                <w:p w14:paraId="1F8AF256">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0.109536</w:t>
                  </w:r>
                </w:p>
              </w:tc>
              <w:tc>
                <w:tcPr>
                  <w:tcW w:w="1485" w:type="pct"/>
                  <w:vAlign w:val="center"/>
                </w:tcPr>
                <w:p w14:paraId="15F8D5E1">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0.8027</w:t>
                  </w:r>
                </w:p>
              </w:tc>
            </w:tr>
            <w:tr w14:paraId="42094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56" w:type="pct"/>
                  <w:vAlign w:val="center"/>
                </w:tcPr>
                <w:p w14:paraId="22B84F88">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煤</w:t>
                  </w:r>
                </w:p>
              </w:tc>
              <w:tc>
                <w:tcPr>
                  <w:tcW w:w="798" w:type="pct"/>
                  <w:vAlign w:val="center"/>
                </w:tcPr>
                <w:p w14:paraId="27746820">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192700</w:t>
                  </w:r>
                </w:p>
              </w:tc>
              <w:tc>
                <w:tcPr>
                  <w:tcW w:w="538" w:type="pct"/>
                  <w:vAlign w:val="center"/>
                </w:tcPr>
                <w:p w14:paraId="0FC64E00">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w:t>
                  </w:r>
                </w:p>
              </w:tc>
              <w:tc>
                <w:tcPr>
                  <w:tcW w:w="1320" w:type="pct"/>
                  <w:vAlign w:val="center"/>
                </w:tcPr>
                <w:p w14:paraId="708CD878">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w:t>
                  </w:r>
                </w:p>
              </w:tc>
              <w:tc>
                <w:tcPr>
                  <w:tcW w:w="1485" w:type="pct"/>
                  <w:vAlign w:val="center"/>
                </w:tcPr>
                <w:p w14:paraId="20A29B63">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w:t>
                  </w:r>
                </w:p>
              </w:tc>
            </w:tr>
            <w:tr w14:paraId="7C09A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56" w:type="pct"/>
                  <w:vAlign w:val="center"/>
                </w:tcPr>
                <w:p w14:paraId="2D635C40">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生料</w:t>
                  </w:r>
                </w:p>
              </w:tc>
              <w:tc>
                <w:tcPr>
                  <w:tcW w:w="798" w:type="pct"/>
                  <w:vAlign w:val="center"/>
                </w:tcPr>
                <w:p w14:paraId="1A11292A">
                  <w:pPr>
                    <w:adjustRightInd w:val="0"/>
                    <w:snapToGrid w:val="0"/>
                    <w:jc w:val="center"/>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2470875</w:t>
                  </w:r>
                </w:p>
              </w:tc>
              <w:tc>
                <w:tcPr>
                  <w:tcW w:w="538" w:type="pct"/>
                  <w:vAlign w:val="center"/>
                </w:tcPr>
                <w:p w14:paraId="6578A8F0">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w:t>
                  </w:r>
                </w:p>
              </w:tc>
              <w:tc>
                <w:tcPr>
                  <w:tcW w:w="1320" w:type="pct"/>
                  <w:vAlign w:val="center"/>
                </w:tcPr>
                <w:p w14:paraId="18C759AC">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w:t>
                  </w:r>
                </w:p>
              </w:tc>
              <w:tc>
                <w:tcPr>
                  <w:tcW w:w="1485" w:type="pct"/>
                  <w:vAlign w:val="center"/>
                </w:tcPr>
                <w:p w14:paraId="5C4A4926">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w:t>
                  </w:r>
                </w:p>
              </w:tc>
            </w:tr>
            <w:tr w14:paraId="38CC8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55" w:type="pct"/>
                  <w:gridSpan w:val="2"/>
                  <w:vAlign w:val="center"/>
                </w:tcPr>
                <w:p w14:paraId="3CB714F7">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计算结果</w:t>
                  </w:r>
                </w:p>
              </w:tc>
              <w:tc>
                <w:tcPr>
                  <w:tcW w:w="538" w:type="pct"/>
                  <w:vAlign w:val="center"/>
                </w:tcPr>
                <w:p w14:paraId="29952F65">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w:t>
                  </w:r>
                </w:p>
              </w:tc>
              <w:tc>
                <w:tcPr>
                  <w:tcW w:w="1320" w:type="pct"/>
                  <w:vAlign w:val="center"/>
                </w:tcPr>
                <w:p w14:paraId="06FC193F">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0.000692655</w:t>
                  </w:r>
                </w:p>
              </w:tc>
              <w:tc>
                <w:tcPr>
                  <w:tcW w:w="1485" w:type="pct"/>
                  <w:vAlign w:val="center"/>
                </w:tcPr>
                <w:p w14:paraId="2CE6992C">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0.5124499999</w:t>
                  </w:r>
                </w:p>
              </w:tc>
            </w:tr>
            <w:tr w14:paraId="7E2D1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55" w:type="pct"/>
                  <w:gridSpan w:val="2"/>
                  <w:vAlign w:val="center"/>
                </w:tcPr>
                <w:p w14:paraId="2A37D40A">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标准限制</w:t>
                  </w:r>
                </w:p>
              </w:tc>
              <w:tc>
                <w:tcPr>
                  <w:tcW w:w="538" w:type="pct"/>
                  <w:vAlign w:val="center"/>
                </w:tcPr>
                <w:p w14:paraId="2364ABB7">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0.23</w:t>
                  </w:r>
                </w:p>
              </w:tc>
              <w:tc>
                <w:tcPr>
                  <w:tcW w:w="1320" w:type="pct"/>
                  <w:vAlign w:val="center"/>
                </w:tcPr>
                <w:p w14:paraId="0214433A">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230</w:t>
                  </w:r>
                </w:p>
              </w:tc>
              <w:tc>
                <w:tcPr>
                  <w:tcW w:w="1485" w:type="pct"/>
                  <w:vAlign w:val="center"/>
                </w:tcPr>
                <w:p w14:paraId="1918AE7F">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1150</w:t>
                  </w:r>
                </w:p>
              </w:tc>
            </w:tr>
          </w:tbl>
          <w:p w14:paraId="0E50A1C0">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0000FF"/>
                <w:kern w:val="2"/>
                <w:sz w:val="24"/>
                <w:szCs w:val="24"/>
                <w:vertAlign w:val="baseline"/>
                <w:lang w:val="en-US" w:eastAsia="zh-CN" w:bidi="ar-SA"/>
              </w:rPr>
            </w:pPr>
            <w:bookmarkStart w:id="82" w:name="OLE_LINK142"/>
            <w:r>
              <w:rPr>
                <w:rFonts w:hint="eastAsia" w:cs="Times New Roman"/>
                <w:b w:val="0"/>
                <w:bCs w:val="0"/>
                <w:color w:val="0000FF"/>
                <w:kern w:val="2"/>
                <w:sz w:val="24"/>
                <w:szCs w:val="24"/>
                <w:vertAlign w:val="baseline"/>
                <w:lang w:val="en-US" w:eastAsia="zh-CN" w:bidi="ar-SA"/>
              </w:rPr>
              <w:t>综上所述，本项目实施后水泥窑熟料重金属最大允许投加量满足《水泥窑协同处置固体废物环境保护技术规范》（HJ 662-2013）中相关限制要求。</w:t>
            </w:r>
          </w:p>
          <w:bookmarkEnd w:id="82"/>
          <w:p w14:paraId="749F4FBD">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0000FF"/>
                <w:kern w:val="2"/>
                <w:sz w:val="24"/>
                <w:szCs w:val="24"/>
                <w:vertAlign w:val="baseline"/>
                <w:lang w:val="en-US" w:eastAsia="zh-CN" w:bidi="ar-SA"/>
              </w:rPr>
            </w:pPr>
            <w:r>
              <w:rPr>
                <w:rFonts w:hint="eastAsia" w:ascii="Times New Roman" w:hAnsi="Times New Roman" w:eastAsia="宋体" w:cs="Times New Roman"/>
                <w:b/>
                <w:bCs/>
                <w:color w:val="0000FF"/>
                <w:kern w:val="2"/>
                <w:sz w:val="24"/>
                <w:szCs w:val="24"/>
                <w:vertAlign w:val="baseline"/>
                <w:lang w:val="en-US" w:eastAsia="zh-CN" w:bidi="ar-SA"/>
              </w:rPr>
              <w:t>十一、</w:t>
            </w:r>
            <w:r>
              <w:rPr>
                <w:rFonts w:hint="eastAsia" w:cs="Times New Roman"/>
                <w:b/>
                <w:bCs/>
                <w:color w:val="0000FF"/>
                <w:kern w:val="2"/>
                <w:sz w:val="24"/>
                <w:szCs w:val="24"/>
                <w:vertAlign w:val="baseline"/>
                <w:lang w:val="en-US" w:eastAsia="zh-CN" w:bidi="ar-SA"/>
              </w:rPr>
              <w:t>物料平衡及</w:t>
            </w:r>
            <w:r>
              <w:rPr>
                <w:rFonts w:hint="eastAsia" w:ascii="Times New Roman" w:hAnsi="Times New Roman" w:eastAsia="宋体" w:cs="Times New Roman"/>
                <w:b/>
                <w:bCs/>
                <w:color w:val="0000FF"/>
                <w:kern w:val="2"/>
                <w:sz w:val="24"/>
                <w:szCs w:val="24"/>
                <w:vertAlign w:val="baseline"/>
                <w:lang w:val="en-US" w:eastAsia="zh-CN" w:bidi="ar-SA"/>
              </w:rPr>
              <w:t>元素平衡</w:t>
            </w:r>
          </w:p>
          <w:p w14:paraId="2D503A49">
            <w:pPr>
              <w:pStyle w:val="9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eastAsia" w:cs="Times New Roman"/>
                <w:color w:val="0000FF"/>
                <w:kern w:val="0"/>
                <w:sz w:val="24"/>
                <w:szCs w:val="24"/>
                <w:lang w:val="en-US" w:eastAsia="zh-CN" w:bidi="ar-SA"/>
              </w:rPr>
            </w:pPr>
            <w:r>
              <w:rPr>
                <w:rFonts w:hint="eastAsia" w:cs="Times New Roman"/>
                <w:color w:val="0000FF"/>
                <w:kern w:val="0"/>
                <w:sz w:val="24"/>
                <w:szCs w:val="24"/>
                <w:lang w:val="en-US" w:eastAsia="zh-CN" w:bidi="ar-SA"/>
              </w:rPr>
              <w:t>1、物料平衡</w:t>
            </w:r>
          </w:p>
          <w:p w14:paraId="38C072C8">
            <w:pPr>
              <w:pStyle w:val="9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eastAsia" w:cs="Times New Roman"/>
                <w:color w:val="0000FF"/>
                <w:kern w:val="0"/>
                <w:sz w:val="24"/>
                <w:szCs w:val="24"/>
                <w:lang w:val="en-US" w:eastAsia="zh-CN" w:bidi="ar-SA"/>
              </w:rPr>
            </w:pPr>
            <w:r>
              <w:rPr>
                <w:rFonts w:hint="eastAsia" w:cs="Times New Roman"/>
                <w:color w:val="0000FF"/>
                <w:kern w:val="0"/>
                <w:sz w:val="24"/>
                <w:szCs w:val="24"/>
                <w:lang w:val="en-US" w:eastAsia="zh-CN" w:bidi="ar-SA"/>
              </w:rPr>
              <w:t>本项目建成后，淮北众城水泥有限责任公司5000t/d新型干法水泥熟料生产线物料平衡如下表所示。</w:t>
            </w:r>
          </w:p>
          <w:p w14:paraId="6A4AB049">
            <w:pPr>
              <w:autoSpaceDE w:val="0"/>
              <w:autoSpaceDN w:val="0"/>
              <w:adjustRightInd w:val="0"/>
              <w:jc w:val="center"/>
              <w:rPr>
                <w:rFonts w:hint="eastAsia" w:ascii="Times New Roman" w:hAnsi="Times New Roman" w:eastAsia="宋体" w:cs="Times New Roman"/>
                <w:b/>
                <w:color w:val="0000FF"/>
                <w:lang w:val="en-US" w:eastAsia="zh-CN"/>
              </w:rPr>
            </w:pPr>
            <w:r>
              <w:rPr>
                <w:rFonts w:hint="eastAsia" w:ascii="Times New Roman" w:hAnsi="Times New Roman" w:eastAsia="宋体" w:cs="Times New Roman"/>
                <w:b/>
                <w:color w:val="0000FF"/>
                <w:lang w:val="en-US" w:eastAsia="zh-CN"/>
              </w:rPr>
              <w:t>表2-</w:t>
            </w:r>
            <w:r>
              <w:rPr>
                <w:rFonts w:hint="eastAsia" w:cs="Times New Roman"/>
                <w:b/>
                <w:color w:val="0000FF"/>
                <w:lang w:val="en-US" w:eastAsia="zh-CN"/>
              </w:rPr>
              <w:t>26</w:t>
            </w:r>
            <w:r>
              <w:rPr>
                <w:rFonts w:hint="eastAsia" w:ascii="Times New Roman" w:hAnsi="Times New Roman" w:eastAsia="宋体" w:cs="Times New Roman"/>
                <w:b/>
                <w:color w:val="0000FF"/>
                <w:lang w:val="en-US" w:eastAsia="zh-CN"/>
              </w:rPr>
              <w:t xml:space="preserve"> 本技改项目实施后物料平衡表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1243"/>
              <w:gridCol w:w="801"/>
              <w:gridCol w:w="803"/>
              <w:gridCol w:w="801"/>
              <w:gridCol w:w="801"/>
              <w:gridCol w:w="963"/>
              <w:gridCol w:w="801"/>
              <w:gridCol w:w="801"/>
              <w:gridCol w:w="1125"/>
            </w:tblGrid>
            <w:tr w14:paraId="6702D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9" w:type="pct"/>
                  <w:vMerge w:val="restart"/>
                  <w:noWrap w:val="0"/>
                  <w:vAlign w:val="center"/>
                </w:tcPr>
                <w:p w14:paraId="01A9AB98">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物料名称</w:t>
                  </w:r>
                </w:p>
              </w:tc>
              <w:tc>
                <w:tcPr>
                  <w:tcW w:w="675" w:type="pct"/>
                  <w:vMerge w:val="restart"/>
                  <w:noWrap w:val="0"/>
                  <w:vAlign w:val="center"/>
                </w:tcPr>
                <w:p w14:paraId="639F6985">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水份（%）</w:t>
                  </w:r>
                </w:p>
              </w:tc>
              <w:tc>
                <w:tcPr>
                  <w:tcW w:w="871" w:type="pct"/>
                  <w:gridSpan w:val="2"/>
                  <w:noWrap w:val="0"/>
                  <w:vAlign w:val="center"/>
                </w:tcPr>
                <w:p w14:paraId="2F070DAE">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消耗定额</w:t>
                  </w:r>
                </w:p>
                <w:p w14:paraId="72DA9613">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（kg/t熟料）</w:t>
                  </w:r>
                </w:p>
              </w:tc>
              <w:tc>
                <w:tcPr>
                  <w:tcW w:w="2873" w:type="pct"/>
                  <w:gridSpan w:val="6"/>
                  <w:noWrap w:val="0"/>
                  <w:vAlign w:val="center"/>
                </w:tcPr>
                <w:p w14:paraId="29DFB784">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物料平衡</w:t>
                  </w:r>
                </w:p>
              </w:tc>
            </w:tr>
            <w:tr w14:paraId="2563C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9" w:type="pct"/>
                  <w:vMerge w:val="continue"/>
                  <w:noWrap w:val="0"/>
                  <w:vAlign w:val="center"/>
                </w:tcPr>
                <w:p w14:paraId="7EEA6B28">
                  <w:pPr>
                    <w:adjustRightInd w:val="0"/>
                    <w:snapToGrid w:val="0"/>
                    <w:jc w:val="center"/>
                    <w:rPr>
                      <w:rFonts w:ascii="Times New Roman" w:hAnsi="Times New Roman" w:cs="Times New Roman"/>
                      <w:color w:val="0000FF"/>
                      <w:sz w:val="21"/>
                      <w:szCs w:val="21"/>
                    </w:rPr>
                  </w:pPr>
                </w:p>
              </w:tc>
              <w:tc>
                <w:tcPr>
                  <w:tcW w:w="675" w:type="pct"/>
                  <w:vMerge w:val="continue"/>
                  <w:noWrap w:val="0"/>
                  <w:vAlign w:val="center"/>
                </w:tcPr>
                <w:p w14:paraId="3AB54DEB">
                  <w:pPr>
                    <w:adjustRightInd w:val="0"/>
                    <w:snapToGrid w:val="0"/>
                    <w:jc w:val="center"/>
                    <w:rPr>
                      <w:rFonts w:ascii="Times New Roman" w:hAnsi="Times New Roman" w:cs="Times New Roman"/>
                      <w:color w:val="0000FF"/>
                      <w:sz w:val="21"/>
                      <w:szCs w:val="21"/>
                    </w:rPr>
                  </w:pPr>
                </w:p>
              </w:tc>
              <w:tc>
                <w:tcPr>
                  <w:tcW w:w="435" w:type="pct"/>
                  <w:vMerge w:val="restart"/>
                  <w:noWrap w:val="0"/>
                  <w:vAlign w:val="center"/>
                </w:tcPr>
                <w:p w14:paraId="79AD30BC">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干基</w:t>
                  </w:r>
                </w:p>
              </w:tc>
              <w:tc>
                <w:tcPr>
                  <w:tcW w:w="436" w:type="pct"/>
                  <w:vMerge w:val="restart"/>
                  <w:noWrap w:val="0"/>
                  <w:vAlign w:val="center"/>
                </w:tcPr>
                <w:p w14:paraId="638033EF">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湿基</w:t>
                  </w:r>
                </w:p>
              </w:tc>
              <w:tc>
                <w:tcPr>
                  <w:tcW w:w="1393" w:type="pct"/>
                  <w:gridSpan w:val="3"/>
                  <w:noWrap w:val="0"/>
                  <w:vAlign w:val="center"/>
                </w:tcPr>
                <w:p w14:paraId="68624C6B">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干基（t）</w:t>
                  </w:r>
                </w:p>
              </w:tc>
              <w:tc>
                <w:tcPr>
                  <w:tcW w:w="1480" w:type="pct"/>
                  <w:gridSpan w:val="3"/>
                  <w:noWrap w:val="0"/>
                  <w:vAlign w:val="center"/>
                </w:tcPr>
                <w:p w14:paraId="698EE998">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湿基（t）</w:t>
                  </w:r>
                </w:p>
              </w:tc>
            </w:tr>
            <w:tr w14:paraId="6FC5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9" w:type="pct"/>
                  <w:vMerge w:val="continue"/>
                  <w:noWrap w:val="0"/>
                  <w:vAlign w:val="center"/>
                </w:tcPr>
                <w:p w14:paraId="2CFE216D">
                  <w:pPr>
                    <w:adjustRightInd w:val="0"/>
                    <w:snapToGrid w:val="0"/>
                    <w:jc w:val="center"/>
                    <w:rPr>
                      <w:rFonts w:ascii="Times New Roman" w:hAnsi="Times New Roman" w:cs="Times New Roman"/>
                      <w:color w:val="0000FF"/>
                      <w:sz w:val="21"/>
                      <w:szCs w:val="21"/>
                    </w:rPr>
                  </w:pPr>
                </w:p>
              </w:tc>
              <w:tc>
                <w:tcPr>
                  <w:tcW w:w="675" w:type="pct"/>
                  <w:vMerge w:val="continue"/>
                  <w:noWrap w:val="0"/>
                  <w:vAlign w:val="center"/>
                </w:tcPr>
                <w:p w14:paraId="37B98546">
                  <w:pPr>
                    <w:adjustRightInd w:val="0"/>
                    <w:snapToGrid w:val="0"/>
                    <w:jc w:val="center"/>
                    <w:rPr>
                      <w:rFonts w:ascii="Times New Roman" w:hAnsi="Times New Roman" w:cs="Times New Roman"/>
                      <w:color w:val="0000FF"/>
                      <w:sz w:val="21"/>
                      <w:szCs w:val="21"/>
                    </w:rPr>
                  </w:pPr>
                </w:p>
              </w:tc>
              <w:tc>
                <w:tcPr>
                  <w:tcW w:w="435" w:type="pct"/>
                  <w:vMerge w:val="continue"/>
                  <w:noWrap w:val="0"/>
                  <w:vAlign w:val="center"/>
                </w:tcPr>
                <w:p w14:paraId="4CD3048D">
                  <w:pPr>
                    <w:adjustRightInd w:val="0"/>
                    <w:snapToGrid w:val="0"/>
                    <w:jc w:val="center"/>
                    <w:rPr>
                      <w:rFonts w:ascii="Times New Roman" w:hAnsi="Times New Roman" w:cs="Times New Roman"/>
                      <w:color w:val="0000FF"/>
                      <w:sz w:val="21"/>
                      <w:szCs w:val="21"/>
                    </w:rPr>
                  </w:pPr>
                </w:p>
              </w:tc>
              <w:tc>
                <w:tcPr>
                  <w:tcW w:w="436" w:type="pct"/>
                  <w:vMerge w:val="continue"/>
                  <w:noWrap w:val="0"/>
                  <w:vAlign w:val="center"/>
                </w:tcPr>
                <w:p w14:paraId="7C89EC65">
                  <w:pPr>
                    <w:adjustRightInd w:val="0"/>
                    <w:snapToGrid w:val="0"/>
                    <w:jc w:val="center"/>
                    <w:rPr>
                      <w:rFonts w:ascii="Times New Roman" w:hAnsi="Times New Roman" w:cs="Times New Roman"/>
                      <w:color w:val="0000FF"/>
                      <w:sz w:val="21"/>
                      <w:szCs w:val="21"/>
                    </w:rPr>
                  </w:pPr>
                </w:p>
              </w:tc>
              <w:tc>
                <w:tcPr>
                  <w:tcW w:w="435" w:type="pct"/>
                  <w:noWrap w:val="0"/>
                  <w:vAlign w:val="center"/>
                </w:tcPr>
                <w:p w14:paraId="43CD3C78">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每时</w:t>
                  </w:r>
                </w:p>
              </w:tc>
              <w:tc>
                <w:tcPr>
                  <w:tcW w:w="435" w:type="pct"/>
                  <w:noWrap w:val="0"/>
                  <w:vAlign w:val="center"/>
                </w:tcPr>
                <w:p w14:paraId="6D5E9830">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每天</w:t>
                  </w:r>
                </w:p>
              </w:tc>
              <w:tc>
                <w:tcPr>
                  <w:tcW w:w="522" w:type="pct"/>
                  <w:noWrap w:val="0"/>
                  <w:vAlign w:val="center"/>
                </w:tcPr>
                <w:p w14:paraId="36D38920">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每年</w:t>
                  </w:r>
                </w:p>
              </w:tc>
              <w:tc>
                <w:tcPr>
                  <w:tcW w:w="435" w:type="pct"/>
                  <w:noWrap w:val="0"/>
                  <w:vAlign w:val="center"/>
                </w:tcPr>
                <w:p w14:paraId="544558E1">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每时</w:t>
                  </w:r>
                </w:p>
              </w:tc>
              <w:tc>
                <w:tcPr>
                  <w:tcW w:w="435" w:type="pct"/>
                  <w:noWrap w:val="0"/>
                  <w:vAlign w:val="center"/>
                </w:tcPr>
                <w:p w14:paraId="359EFC9C">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每天</w:t>
                  </w:r>
                </w:p>
              </w:tc>
              <w:tc>
                <w:tcPr>
                  <w:tcW w:w="609" w:type="pct"/>
                  <w:noWrap w:val="0"/>
                  <w:vAlign w:val="center"/>
                </w:tcPr>
                <w:p w14:paraId="5764CF39">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每年</w:t>
                  </w:r>
                </w:p>
              </w:tc>
            </w:tr>
            <w:tr w14:paraId="636FF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9" w:type="pct"/>
                  <w:noWrap w:val="0"/>
                  <w:vAlign w:val="center"/>
                </w:tcPr>
                <w:p w14:paraId="4767C7EE">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石灰石</w:t>
                  </w:r>
                </w:p>
              </w:tc>
              <w:tc>
                <w:tcPr>
                  <w:tcW w:w="675" w:type="pct"/>
                  <w:noWrap w:val="0"/>
                  <w:vAlign w:val="center"/>
                </w:tcPr>
                <w:p w14:paraId="2E8ABC04">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2.0</w:t>
                  </w:r>
                </w:p>
              </w:tc>
              <w:tc>
                <w:tcPr>
                  <w:tcW w:w="435" w:type="pct"/>
                  <w:noWrap w:val="0"/>
                  <w:vAlign w:val="center"/>
                </w:tcPr>
                <w:p w14:paraId="18C94771">
                  <w:pPr>
                    <w:jc w:val="center"/>
                    <w:rPr>
                      <w:rFonts w:ascii="Times New Roman" w:hAnsi="Times New Roman" w:cs="Times New Roman"/>
                      <w:color w:val="0000FF"/>
                      <w:sz w:val="21"/>
                      <w:szCs w:val="21"/>
                    </w:rPr>
                  </w:pPr>
                  <w:r>
                    <w:rPr>
                      <w:rFonts w:ascii="Times New Roman" w:hAnsi="Times New Roman" w:cs="Times New Roman"/>
                      <w:color w:val="0000FF"/>
                      <w:sz w:val="21"/>
                      <w:szCs w:val="21"/>
                    </w:rPr>
                    <w:t>1256.1</w:t>
                  </w:r>
                </w:p>
              </w:tc>
              <w:tc>
                <w:tcPr>
                  <w:tcW w:w="436" w:type="pct"/>
                  <w:noWrap w:val="0"/>
                  <w:vAlign w:val="center"/>
                </w:tcPr>
                <w:p w14:paraId="21DEB364">
                  <w:pPr>
                    <w:jc w:val="center"/>
                    <w:rPr>
                      <w:rFonts w:ascii="Times New Roman" w:hAnsi="Times New Roman" w:cs="Times New Roman"/>
                      <w:color w:val="0000FF"/>
                      <w:sz w:val="21"/>
                      <w:szCs w:val="21"/>
                    </w:rPr>
                  </w:pPr>
                  <w:r>
                    <w:rPr>
                      <w:rFonts w:ascii="Times New Roman" w:hAnsi="Times New Roman" w:cs="Times New Roman"/>
                      <w:color w:val="0000FF"/>
                      <w:sz w:val="21"/>
                      <w:szCs w:val="21"/>
                    </w:rPr>
                    <w:t>1281.7</w:t>
                  </w:r>
                </w:p>
              </w:tc>
              <w:tc>
                <w:tcPr>
                  <w:tcW w:w="435" w:type="pct"/>
                  <w:noWrap w:val="0"/>
                  <w:vAlign w:val="center"/>
                </w:tcPr>
                <w:p w14:paraId="5C880BCD">
                  <w:pPr>
                    <w:jc w:val="center"/>
                    <w:rPr>
                      <w:rFonts w:ascii="Times New Roman" w:hAnsi="Times New Roman" w:cs="Times New Roman"/>
                      <w:color w:val="0000FF"/>
                      <w:sz w:val="21"/>
                      <w:szCs w:val="21"/>
                    </w:rPr>
                  </w:pPr>
                  <w:r>
                    <w:rPr>
                      <w:rFonts w:ascii="Times New Roman" w:hAnsi="Times New Roman" w:cs="Times New Roman"/>
                      <w:color w:val="0000FF"/>
                      <w:sz w:val="21"/>
                      <w:szCs w:val="21"/>
                    </w:rPr>
                    <w:t>261.69</w:t>
                  </w:r>
                </w:p>
              </w:tc>
              <w:tc>
                <w:tcPr>
                  <w:tcW w:w="435" w:type="pct"/>
                  <w:noWrap w:val="0"/>
                  <w:vAlign w:val="center"/>
                </w:tcPr>
                <w:p w14:paraId="200662E7">
                  <w:pPr>
                    <w:jc w:val="center"/>
                    <w:rPr>
                      <w:rFonts w:ascii="Times New Roman" w:hAnsi="Times New Roman" w:cs="Times New Roman"/>
                      <w:color w:val="0000FF"/>
                      <w:sz w:val="21"/>
                      <w:szCs w:val="21"/>
                    </w:rPr>
                  </w:pPr>
                  <w:r>
                    <w:rPr>
                      <w:rFonts w:ascii="Times New Roman" w:hAnsi="Times New Roman" w:cs="Times New Roman"/>
                      <w:color w:val="0000FF"/>
                      <w:sz w:val="21"/>
                      <w:szCs w:val="21"/>
                    </w:rPr>
                    <w:t>6280.5</w:t>
                  </w:r>
                </w:p>
              </w:tc>
              <w:tc>
                <w:tcPr>
                  <w:tcW w:w="522" w:type="pct"/>
                  <w:noWrap w:val="0"/>
                  <w:vAlign w:val="center"/>
                </w:tcPr>
                <w:p w14:paraId="4DB6D660">
                  <w:pPr>
                    <w:jc w:val="center"/>
                    <w:rPr>
                      <w:rFonts w:ascii="Times New Roman" w:hAnsi="Times New Roman" w:cs="Times New Roman"/>
                      <w:color w:val="0000FF"/>
                      <w:sz w:val="21"/>
                      <w:szCs w:val="21"/>
                    </w:rPr>
                  </w:pPr>
                  <w:r>
                    <w:rPr>
                      <w:rFonts w:ascii="Times New Roman" w:hAnsi="Times New Roman" w:cs="Times New Roman"/>
                      <w:color w:val="0000FF"/>
                      <w:sz w:val="21"/>
                      <w:szCs w:val="21"/>
                    </w:rPr>
                    <w:t>2072565</w:t>
                  </w:r>
                </w:p>
              </w:tc>
              <w:tc>
                <w:tcPr>
                  <w:tcW w:w="435" w:type="pct"/>
                  <w:noWrap w:val="0"/>
                  <w:vAlign w:val="center"/>
                </w:tcPr>
                <w:p w14:paraId="568FE64C">
                  <w:pPr>
                    <w:jc w:val="center"/>
                    <w:rPr>
                      <w:rFonts w:ascii="Times New Roman" w:hAnsi="Times New Roman" w:cs="Times New Roman"/>
                      <w:color w:val="0000FF"/>
                      <w:sz w:val="21"/>
                      <w:szCs w:val="21"/>
                    </w:rPr>
                  </w:pPr>
                  <w:r>
                    <w:rPr>
                      <w:rFonts w:ascii="Times New Roman" w:hAnsi="Times New Roman" w:cs="Times New Roman"/>
                      <w:color w:val="0000FF"/>
                      <w:sz w:val="21"/>
                      <w:szCs w:val="21"/>
                    </w:rPr>
                    <w:t xml:space="preserve">267.02 </w:t>
                  </w:r>
                </w:p>
              </w:tc>
              <w:tc>
                <w:tcPr>
                  <w:tcW w:w="435" w:type="pct"/>
                  <w:noWrap w:val="0"/>
                  <w:vAlign w:val="center"/>
                </w:tcPr>
                <w:p w14:paraId="7F88434C">
                  <w:pPr>
                    <w:jc w:val="center"/>
                    <w:rPr>
                      <w:rFonts w:ascii="Times New Roman" w:hAnsi="Times New Roman" w:cs="Times New Roman"/>
                      <w:color w:val="0000FF"/>
                      <w:sz w:val="21"/>
                      <w:szCs w:val="21"/>
                    </w:rPr>
                  </w:pPr>
                  <w:r>
                    <w:rPr>
                      <w:rFonts w:ascii="Times New Roman" w:hAnsi="Times New Roman" w:cs="Times New Roman"/>
                      <w:color w:val="0000FF"/>
                      <w:sz w:val="21"/>
                      <w:szCs w:val="21"/>
                    </w:rPr>
                    <w:t>6408.5</w:t>
                  </w:r>
                </w:p>
              </w:tc>
              <w:tc>
                <w:tcPr>
                  <w:tcW w:w="609" w:type="pct"/>
                  <w:noWrap w:val="0"/>
                  <w:vAlign w:val="center"/>
                </w:tcPr>
                <w:p w14:paraId="0B3236CF">
                  <w:pPr>
                    <w:jc w:val="center"/>
                    <w:rPr>
                      <w:rFonts w:ascii="Times New Roman" w:hAnsi="Times New Roman" w:cs="Times New Roman"/>
                      <w:color w:val="0000FF"/>
                      <w:sz w:val="21"/>
                      <w:szCs w:val="21"/>
                    </w:rPr>
                  </w:pPr>
                  <w:r>
                    <w:rPr>
                      <w:rFonts w:ascii="Times New Roman" w:hAnsi="Times New Roman" w:cs="Times New Roman"/>
                      <w:color w:val="0000FF"/>
                      <w:sz w:val="21"/>
                      <w:szCs w:val="21"/>
                    </w:rPr>
                    <w:t>2114805</w:t>
                  </w:r>
                </w:p>
              </w:tc>
            </w:tr>
            <w:tr w14:paraId="6C4F3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9" w:type="pct"/>
                  <w:noWrap w:val="0"/>
                  <w:vAlign w:val="center"/>
                </w:tcPr>
                <w:p w14:paraId="5BD55131">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粘土</w:t>
                  </w:r>
                </w:p>
              </w:tc>
              <w:tc>
                <w:tcPr>
                  <w:tcW w:w="675" w:type="pct"/>
                  <w:noWrap w:val="0"/>
                  <w:vAlign w:val="center"/>
                </w:tcPr>
                <w:p w14:paraId="66CA294A">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5.0</w:t>
                  </w:r>
                </w:p>
              </w:tc>
              <w:tc>
                <w:tcPr>
                  <w:tcW w:w="435" w:type="pct"/>
                  <w:noWrap w:val="0"/>
                  <w:vAlign w:val="center"/>
                </w:tcPr>
                <w:p w14:paraId="43288A84">
                  <w:pPr>
                    <w:jc w:val="center"/>
                    <w:rPr>
                      <w:rFonts w:ascii="Times New Roman" w:hAnsi="Times New Roman" w:cs="Times New Roman"/>
                      <w:color w:val="0000FF"/>
                      <w:sz w:val="21"/>
                      <w:szCs w:val="21"/>
                    </w:rPr>
                  </w:pPr>
                  <w:r>
                    <w:rPr>
                      <w:rFonts w:ascii="Times New Roman" w:hAnsi="Times New Roman" w:cs="Times New Roman"/>
                      <w:color w:val="0000FF"/>
                      <w:sz w:val="21"/>
                      <w:szCs w:val="21"/>
                    </w:rPr>
                    <w:t>98.1</w:t>
                  </w:r>
                </w:p>
              </w:tc>
              <w:tc>
                <w:tcPr>
                  <w:tcW w:w="436" w:type="pct"/>
                  <w:noWrap w:val="0"/>
                  <w:vAlign w:val="center"/>
                </w:tcPr>
                <w:p w14:paraId="167CE80B">
                  <w:pPr>
                    <w:jc w:val="center"/>
                    <w:rPr>
                      <w:rFonts w:ascii="Times New Roman" w:hAnsi="Times New Roman" w:cs="Times New Roman"/>
                      <w:color w:val="0000FF"/>
                      <w:sz w:val="21"/>
                      <w:szCs w:val="21"/>
                    </w:rPr>
                  </w:pPr>
                  <w:r>
                    <w:rPr>
                      <w:rFonts w:ascii="Times New Roman" w:hAnsi="Times New Roman" w:cs="Times New Roman"/>
                      <w:color w:val="0000FF"/>
                      <w:sz w:val="21"/>
                      <w:szCs w:val="21"/>
                    </w:rPr>
                    <w:t>103.2</w:t>
                  </w:r>
                </w:p>
              </w:tc>
              <w:tc>
                <w:tcPr>
                  <w:tcW w:w="435" w:type="pct"/>
                  <w:noWrap w:val="0"/>
                  <w:vAlign w:val="center"/>
                </w:tcPr>
                <w:p w14:paraId="4C4547DE">
                  <w:pPr>
                    <w:jc w:val="center"/>
                    <w:rPr>
                      <w:rFonts w:ascii="Times New Roman" w:hAnsi="Times New Roman" w:cs="Times New Roman"/>
                      <w:color w:val="0000FF"/>
                      <w:sz w:val="21"/>
                      <w:szCs w:val="21"/>
                    </w:rPr>
                  </w:pPr>
                  <w:r>
                    <w:rPr>
                      <w:rFonts w:ascii="Times New Roman" w:hAnsi="Times New Roman" w:cs="Times New Roman"/>
                      <w:color w:val="0000FF"/>
                      <w:sz w:val="21"/>
                      <w:szCs w:val="21"/>
                    </w:rPr>
                    <w:t>20.44</w:t>
                  </w:r>
                </w:p>
              </w:tc>
              <w:tc>
                <w:tcPr>
                  <w:tcW w:w="435" w:type="pct"/>
                  <w:noWrap w:val="0"/>
                  <w:vAlign w:val="center"/>
                </w:tcPr>
                <w:p w14:paraId="298D0FC5">
                  <w:pPr>
                    <w:jc w:val="center"/>
                    <w:rPr>
                      <w:rFonts w:ascii="Times New Roman" w:hAnsi="Times New Roman" w:cs="Times New Roman"/>
                      <w:color w:val="0000FF"/>
                      <w:sz w:val="21"/>
                      <w:szCs w:val="21"/>
                    </w:rPr>
                  </w:pPr>
                  <w:r>
                    <w:rPr>
                      <w:rFonts w:ascii="Times New Roman" w:hAnsi="Times New Roman" w:cs="Times New Roman"/>
                      <w:color w:val="0000FF"/>
                      <w:sz w:val="21"/>
                      <w:szCs w:val="21"/>
                    </w:rPr>
                    <w:t>490.5</w:t>
                  </w:r>
                </w:p>
              </w:tc>
              <w:tc>
                <w:tcPr>
                  <w:tcW w:w="522" w:type="pct"/>
                  <w:noWrap w:val="0"/>
                  <w:vAlign w:val="center"/>
                </w:tcPr>
                <w:p w14:paraId="266817A0">
                  <w:pPr>
                    <w:jc w:val="center"/>
                    <w:rPr>
                      <w:rFonts w:ascii="Times New Roman" w:hAnsi="Times New Roman" w:cs="Times New Roman"/>
                      <w:color w:val="0000FF"/>
                      <w:sz w:val="21"/>
                      <w:szCs w:val="21"/>
                    </w:rPr>
                  </w:pPr>
                  <w:r>
                    <w:rPr>
                      <w:rFonts w:ascii="Times New Roman" w:hAnsi="Times New Roman" w:cs="Times New Roman"/>
                      <w:color w:val="0000FF"/>
                      <w:sz w:val="21"/>
                      <w:szCs w:val="21"/>
                    </w:rPr>
                    <w:t>161865</w:t>
                  </w:r>
                </w:p>
              </w:tc>
              <w:tc>
                <w:tcPr>
                  <w:tcW w:w="435" w:type="pct"/>
                  <w:noWrap w:val="0"/>
                  <w:vAlign w:val="center"/>
                </w:tcPr>
                <w:p w14:paraId="3CAED656">
                  <w:pPr>
                    <w:jc w:val="center"/>
                    <w:rPr>
                      <w:rFonts w:ascii="Times New Roman" w:hAnsi="Times New Roman" w:cs="Times New Roman"/>
                      <w:color w:val="0000FF"/>
                      <w:sz w:val="21"/>
                      <w:szCs w:val="21"/>
                    </w:rPr>
                  </w:pPr>
                  <w:r>
                    <w:rPr>
                      <w:rFonts w:ascii="Times New Roman" w:hAnsi="Times New Roman" w:cs="Times New Roman"/>
                      <w:color w:val="0000FF"/>
                      <w:sz w:val="21"/>
                      <w:szCs w:val="21"/>
                    </w:rPr>
                    <w:t xml:space="preserve">21.50 </w:t>
                  </w:r>
                </w:p>
              </w:tc>
              <w:tc>
                <w:tcPr>
                  <w:tcW w:w="435" w:type="pct"/>
                  <w:noWrap w:val="0"/>
                  <w:vAlign w:val="center"/>
                </w:tcPr>
                <w:p w14:paraId="6B7C7F18">
                  <w:pPr>
                    <w:jc w:val="center"/>
                    <w:rPr>
                      <w:rFonts w:ascii="Times New Roman" w:hAnsi="Times New Roman" w:cs="Times New Roman"/>
                      <w:color w:val="0000FF"/>
                      <w:sz w:val="21"/>
                      <w:szCs w:val="21"/>
                    </w:rPr>
                  </w:pPr>
                  <w:r>
                    <w:rPr>
                      <w:rFonts w:ascii="Times New Roman" w:hAnsi="Times New Roman" w:cs="Times New Roman"/>
                      <w:color w:val="0000FF"/>
                      <w:sz w:val="21"/>
                      <w:szCs w:val="21"/>
                    </w:rPr>
                    <w:t>516</w:t>
                  </w:r>
                </w:p>
              </w:tc>
              <w:tc>
                <w:tcPr>
                  <w:tcW w:w="609" w:type="pct"/>
                  <w:noWrap w:val="0"/>
                  <w:vAlign w:val="center"/>
                </w:tcPr>
                <w:p w14:paraId="40015C96">
                  <w:pPr>
                    <w:jc w:val="center"/>
                    <w:rPr>
                      <w:rFonts w:ascii="Times New Roman" w:hAnsi="Times New Roman" w:cs="Times New Roman"/>
                      <w:color w:val="0000FF"/>
                      <w:sz w:val="21"/>
                      <w:szCs w:val="21"/>
                    </w:rPr>
                  </w:pPr>
                  <w:r>
                    <w:rPr>
                      <w:rFonts w:ascii="Times New Roman" w:hAnsi="Times New Roman" w:cs="Times New Roman"/>
                      <w:color w:val="0000FF"/>
                      <w:sz w:val="21"/>
                      <w:szCs w:val="21"/>
                    </w:rPr>
                    <w:t>170280</w:t>
                  </w:r>
                </w:p>
              </w:tc>
            </w:tr>
            <w:tr w14:paraId="38EF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9" w:type="pct"/>
                  <w:noWrap w:val="0"/>
                  <w:vAlign w:val="center"/>
                </w:tcPr>
                <w:p w14:paraId="4741C2B3">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铁矿石</w:t>
                  </w:r>
                </w:p>
              </w:tc>
              <w:tc>
                <w:tcPr>
                  <w:tcW w:w="675" w:type="pct"/>
                  <w:noWrap w:val="0"/>
                  <w:vAlign w:val="center"/>
                </w:tcPr>
                <w:p w14:paraId="7FB4A1F9">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8.0</w:t>
                  </w:r>
                </w:p>
              </w:tc>
              <w:tc>
                <w:tcPr>
                  <w:tcW w:w="435" w:type="pct"/>
                  <w:noWrap w:val="0"/>
                  <w:vAlign w:val="center"/>
                </w:tcPr>
                <w:p w14:paraId="7E76C32D">
                  <w:pPr>
                    <w:jc w:val="center"/>
                    <w:rPr>
                      <w:rFonts w:ascii="Times New Roman" w:hAnsi="Times New Roman" w:cs="Times New Roman"/>
                      <w:color w:val="0000FF"/>
                      <w:sz w:val="21"/>
                      <w:szCs w:val="21"/>
                    </w:rPr>
                  </w:pPr>
                  <w:r>
                    <w:rPr>
                      <w:rFonts w:ascii="Times New Roman" w:hAnsi="Times New Roman" w:cs="Times New Roman"/>
                      <w:color w:val="0000FF"/>
                      <w:sz w:val="21"/>
                      <w:szCs w:val="21"/>
                    </w:rPr>
                    <w:t>5</w:t>
                  </w:r>
                  <w:r>
                    <w:rPr>
                      <w:rFonts w:ascii="Times New Roman" w:hAnsi="Times New Roman" w:cs="Times New Roman"/>
                      <w:color w:val="0000FF"/>
                      <w:sz w:val="21"/>
                      <w:szCs w:val="21"/>
                    </w:rPr>
                    <w:cr/>
                  </w:r>
                  <w:r>
                    <w:rPr>
                      <w:rFonts w:ascii="Times New Roman" w:hAnsi="Times New Roman" w:cs="Times New Roman"/>
                      <w:color w:val="0000FF"/>
                      <w:sz w:val="21"/>
                      <w:szCs w:val="21"/>
                    </w:rPr>
                    <w:t>.8</w:t>
                  </w:r>
                </w:p>
              </w:tc>
              <w:tc>
                <w:tcPr>
                  <w:tcW w:w="436" w:type="pct"/>
                  <w:noWrap w:val="0"/>
                  <w:vAlign w:val="center"/>
                </w:tcPr>
                <w:p w14:paraId="3FC49411">
                  <w:pPr>
                    <w:jc w:val="center"/>
                    <w:rPr>
                      <w:rFonts w:ascii="Times New Roman" w:hAnsi="Times New Roman" w:cs="Times New Roman"/>
                      <w:color w:val="0000FF"/>
                      <w:sz w:val="21"/>
                      <w:szCs w:val="21"/>
                    </w:rPr>
                  </w:pPr>
                  <w:r>
                    <w:rPr>
                      <w:rFonts w:ascii="Times New Roman" w:hAnsi="Times New Roman" w:cs="Times New Roman"/>
                      <w:color w:val="0000FF"/>
                      <w:sz w:val="21"/>
                      <w:szCs w:val="21"/>
                    </w:rPr>
                    <w:t>59.6</w:t>
                  </w:r>
                </w:p>
              </w:tc>
              <w:tc>
                <w:tcPr>
                  <w:tcW w:w="435" w:type="pct"/>
                  <w:noWrap w:val="0"/>
                  <w:vAlign w:val="center"/>
                </w:tcPr>
                <w:p w14:paraId="7FFCDF7A">
                  <w:pPr>
                    <w:jc w:val="center"/>
                    <w:rPr>
                      <w:rFonts w:ascii="Times New Roman" w:hAnsi="Times New Roman" w:cs="Times New Roman"/>
                      <w:color w:val="0000FF"/>
                      <w:sz w:val="21"/>
                      <w:szCs w:val="21"/>
                    </w:rPr>
                  </w:pPr>
                  <w:r>
                    <w:rPr>
                      <w:rFonts w:ascii="Times New Roman" w:hAnsi="Times New Roman" w:cs="Times New Roman"/>
                      <w:color w:val="0000FF"/>
                      <w:sz w:val="21"/>
                      <w:szCs w:val="21"/>
                    </w:rPr>
                    <w:t>11.42</w:t>
                  </w:r>
                </w:p>
              </w:tc>
              <w:tc>
                <w:tcPr>
                  <w:tcW w:w="435" w:type="pct"/>
                  <w:noWrap w:val="0"/>
                  <w:vAlign w:val="center"/>
                </w:tcPr>
                <w:p w14:paraId="094AD16E">
                  <w:pPr>
                    <w:jc w:val="center"/>
                    <w:rPr>
                      <w:rFonts w:ascii="Times New Roman" w:hAnsi="Times New Roman" w:cs="Times New Roman"/>
                      <w:color w:val="0000FF"/>
                      <w:sz w:val="21"/>
                      <w:szCs w:val="21"/>
                    </w:rPr>
                  </w:pPr>
                  <w:r>
                    <w:rPr>
                      <w:rFonts w:ascii="Times New Roman" w:hAnsi="Times New Roman" w:cs="Times New Roman"/>
                      <w:color w:val="0000FF"/>
                      <w:sz w:val="21"/>
                      <w:szCs w:val="21"/>
                    </w:rPr>
                    <w:t>274</w:t>
                  </w:r>
                </w:p>
              </w:tc>
              <w:tc>
                <w:tcPr>
                  <w:tcW w:w="522" w:type="pct"/>
                  <w:noWrap w:val="0"/>
                  <w:vAlign w:val="center"/>
                </w:tcPr>
                <w:p w14:paraId="7E0CB55F">
                  <w:pPr>
                    <w:jc w:val="center"/>
                    <w:rPr>
                      <w:rFonts w:ascii="Times New Roman" w:hAnsi="Times New Roman" w:cs="Times New Roman"/>
                      <w:color w:val="0000FF"/>
                      <w:sz w:val="21"/>
                      <w:szCs w:val="21"/>
                    </w:rPr>
                  </w:pPr>
                  <w:r>
                    <w:rPr>
                      <w:rFonts w:ascii="Times New Roman" w:hAnsi="Times New Roman" w:cs="Times New Roman"/>
                      <w:color w:val="0000FF"/>
                      <w:sz w:val="21"/>
                      <w:szCs w:val="21"/>
                    </w:rPr>
                    <w:t>90420</w:t>
                  </w:r>
                </w:p>
              </w:tc>
              <w:tc>
                <w:tcPr>
                  <w:tcW w:w="435" w:type="pct"/>
                  <w:noWrap w:val="0"/>
                  <w:vAlign w:val="center"/>
                </w:tcPr>
                <w:p w14:paraId="09768AA4">
                  <w:pPr>
                    <w:jc w:val="center"/>
                    <w:rPr>
                      <w:rFonts w:ascii="Times New Roman" w:hAnsi="Times New Roman" w:cs="Times New Roman"/>
                      <w:color w:val="0000FF"/>
                      <w:sz w:val="21"/>
                      <w:szCs w:val="21"/>
                    </w:rPr>
                  </w:pPr>
                  <w:r>
                    <w:rPr>
                      <w:rFonts w:ascii="Times New Roman" w:hAnsi="Times New Roman" w:cs="Times New Roman"/>
                      <w:color w:val="0000FF"/>
                      <w:sz w:val="21"/>
                      <w:szCs w:val="21"/>
                    </w:rPr>
                    <w:t xml:space="preserve">12.42 </w:t>
                  </w:r>
                </w:p>
              </w:tc>
              <w:tc>
                <w:tcPr>
                  <w:tcW w:w="435" w:type="pct"/>
                  <w:noWrap w:val="0"/>
                  <w:vAlign w:val="center"/>
                </w:tcPr>
                <w:p w14:paraId="0E1E38D9">
                  <w:pPr>
                    <w:jc w:val="center"/>
                    <w:rPr>
                      <w:rFonts w:ascii="Times New Roman" w:hAnsi="Times New Roman" w:cs="Times New Roman"/>
                      <w:color w:val="0000FF"/>
                      <w:sz w:val="21"/>
                      <w:szCs w:val="21"/>
                    </w:rPr>
                  </w:pPr>
                  <w:r>
                    <w:rPr>
                      <w:rFonts w:ascii="Times New Roman" w:hAnsi="Times New Roman" w:cs="Times New Roman"/>
                      <w:color w:val="0000FF"/>
                      <w:sz w:val="21"/>
                      <w:szCs w:val="21"/>
                    </w:rPr>
                    <w:t>298</w:t>
                  </w:r>
                </w:p>
              </w:tc>
              <w:tc>
                <w:tcPr>
                  <w:tcW w:w="609" w:type="pct"/>
                  <w:noWrap w:val="0"/>
                  <w:vAlign w:val="center"/>
                </w:tcPr>
                <w:p w14:paraId="3694CD4E">
                  <w:pPr>
                    <w:jc w:val="center"/>
                    <w:rPr>
                      <w:rFonts w:ascii="Times New Roman" w:hAnsi="Times New Roman" w:cs="Times New Roman"/>
                      <w:color w:val="0000FF"/>
                      <w:sz w:val="21"/>
                      <w:szCs w:val="21"/>
                    </w:rPr>
                  </w:pPr>
                  <w:r>
                    <w:rPr>
                      <w:rFonts w:ascii="Times New Roman" w:hAnsi="Times New Roman" w:cs="Times New Roman"/>
                      <w:color w:val="0000FF"/>
                      <w:sz w:val="21"/>
                      <w:szCs w:val="21"/>
                    </w:rPr>
                    <w:t>98340</w:t>
                  </w:r>
                </w:p>
              </w:tc>
            </w:tr>
            <w:tr w14:paraId="2563F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9" w:type="pct"/>
                  <w:noWrap w:val="0"/>
                  <w:vAlign w:val="center"/>
                </w:tcPr>
                <w:p w14:paraId="4F3DF250">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石英岩</w:t>
                  </w:r>
                </w:p>
              </w:tc>
              <w:tc>
                <w:tcPr>
                  <w:tcW w:w="675" w:type="pct"/>
                  <w:noWrap w:val="0"/>
                  <w:vAlign w:val="center"/>
                </w:tcPr>
                <w:p w14:paraId="4281A610">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8.0</w:t>
                  </w:r>
                </w:p>
              </w:tc>
              <w:tc>
                <w:tcPr>
                  <w:tcW w:w="435" w:type="pct"/>
                  <w:noWrap w:val="0"/>
                  <w:vAlign w:val="center"/>
                </w:tcPr>
                <w:p w14:paraId="23153FB9">
                  <w:pPr>
                    <w:jc w:val="center"/>
                    <w:rPr>
                      <w:rFonts w:ascii="Times New Roman" w:hAnsi="Times New Roman" w:cs="Times New Roman"/>
                      <w:color w:val="0000FF"/>
                      <w:sz w:val="21"/>
                      <w:szCs w:val="21"/>
                    </w:rPr>
                  </w:pPr>
                  <w:r>
                    <w:rPr>
                      <w:rFonts w:ascii="Times New Roman" w:hAnsi="Times New Roman" w:cs="Times New Roman"/>
                      <w:color w:val="0000FF"/>
                      <w:sz w:val="21"/>
                      <w:szCs w:val="21"/>
                    </w:rPr>
                    <w:t>88.5</w:t>
                  </w:r>
                </w:p>
              </w:tc>
              <w:tc>
                <w:tcPr>
                  <w:tcW w:w="436" w:type="pct"/>
                  <w:noWrap w:val="0"/>
                  <w:vAlign w:val="center"/>
                </w:tcPr>
                <w:p w14:paraId="5245F97D">
                  <w:pPr>
                    <w:jc w:val="center"/>
                    <w:rPr>
                      <w:rFonts w:ascii="Times New Roman" w:hAnsi="Times New Roman" w:cs="Times New Roman"/>
                      <w:color w:val="0000FF"/>
                      <w:sz w:val="21"/>
                      <w:szCs w:val="21"/>
                    </w:rPr>
                  </w:pPr>
                  <w:r>
                    <w:rPr>
                      <w:rFonts w:ascii="Times New Roman" w:hAnsi="Times New Roman" w:cs="Times New Roman"/>
                      <w:color w:val="0000FF"/>
                      <w:sz w:val="21"/>
                      <w:szCs w:val="21"/>
                    </w:rPr>
                    <w:t>96.2</w:t>
                  </w:r>
                </w:p>
              </w:tc>
              <w:tc>
                <w:tcPr>
                  <w:tcW w:w="435" w:type="pct"/>
                  <w:noWrap w:val="0"/>
                  <w:vAlign w:val="center"/>
                </w:tcPr>
                <w:p w14:paraId="3E423083">
                  <w:pPr>
                    <w:jc w:val="center"/>
                    <w:rPr>
                      <w:rFonts w:ascii="Times New Roman" w:hAnsi="Times New Roman" w:cs="Times New Roman"/>
                      <w:color w:val="0000FF"/>
                      <w:sz w:val="21"/>
                      <w:szCs w:val="21"/>
                    </w:rPr>
                  </w:pPr>
                  <w:r>
                    <w:rPr>
                      <w:rFonts w:ascii="Times New Roman" w:hAnsi="Times New Roman" w:cs="Times New Roman"/>
                      <w:color w:val="0000FF"/>
                      <w:sz w:val="21"/>
                      <w:szCs w:val="21"/>
                    </w:rPr>
                    <w:t>18.44</w:t>
                  </w:r>
                </w:p>
              </w:tc>
              <w:tc>
                <w:tcPr>
                  <w:tcW w:w="435" w:type="pct"/>
                  <w:noWrap w:val="0"/>
                  <w:vAlign w:val="center"/>
                </w:tcPr>
                <w:p w14:paraId="3C378D07">
                  <w:pPr>
                    <w:jc w:val="center"/>
                    <w:rPr>
                      <w:rFonts w:ascii="Times New Roman" w:hAnsi="Times New Roman" w:cs="Times New Roman"/>
                      <w:color w:val="0000FF"/>
                      <w:sz w:val="21"/>
                      <w:szCs w:val="21"/>
                    </w:rPr>
                  </w:pPr>
                  <w:r>
                    <w:rPr>
                      <w:rFonts w:ascii="Times New Roman" w:hAnsi="Times New Roman" w:cs="Times New Roman"/>
                      <w:color w:val="0000FF"/>
                      <w:sz w:val="21"/>
                      <w:szCs w:val="21"/>
                    </w:rPr>
                    <w:t>442.5</w:t>
                  </w:r>
                </w:p>
              </w:tc>
              <w:tc>
                <w:tcPr>
                  <w:tcW w:w="522" w:type="pct"/>
                  <w:noWrap w:val="0"/>
                  <w:vAlign w:val="center"/>
                </w:tcPr>
                <w:p w14:paraId="3D151C2F">
                  <w:pPr>
                    <w:jc w:val="center"/>
                    <w:rPr>
                      <w:rFonts w:ascii="Times New Roman" w:hAnsi="Times New Roman" w:cs="Times New Roman"/>
                      <w:color w:val="0000FF"/>
                      <w:sz w:val="21"/>
                      <w:szCs w:val="21"/>
                    </w:rPr>
                  </w:pPr>
                  <w:r>
                    <w:rPr>
                      <w:rFonts w:ascii="Times New Roman" w:hAnsi="Times New Roman" w:cs="Times New Roman"/>
                      <w:color w:val="0000FF"/>
                      <w:sz w:val="21"/>
                      <w:szCs w:val="21"/>
                    </w:rPr>
                    <w:t>146025</w:t>
                  </w:r>
                </w:p>
              </w:tc>
              <w:tc>
                <w:tcPr>
                  <w:tcW w:w="435" w:type="pct"/>
                  <w:noWrap w:val="0"/>
                  <w:vAlign w:val="center"/>
                </w:tcPr>
                <w:p w14:paraId="4E282785">
                  <w:pPr>
                    <w:jc w:val="center"/>
                    <w:rPr>
                      <w:rFonts w:ascii="Times New Roman" w:hAnsi="Times New Roman" w:cs="Times New Roman"/>
                      <w:color w:val="0000FF"/>
                      <w:sz w:val="21"/>
                      <w:szCs w:val="21"/>
                    </w:rPr>
                  </w:pPr>
                  <w:r>
                    <w:rPr>
                      <w:rFonts w:ascii="Times New Roman" w:hAnsi="Times New Roman" w:cs="Times New Roman"/>
                      <w:color w:val="0000FF"/>
                      <w:sz w:val="21"/>
                      <w:szCs w:val="21"/>
                    </w:rPr>
                    <w:t xml:space="preserve">20.04 </w:t>
                  </w:r>
                </w:p>
              </w:tc>
              <w:tc>
                <w:tcPr>
                  <w:tcW w:w="435" w:type="pct"/>
                  <w:noWrap w:val="0"/>
                  <w:vAlign w:val="center"/>
                </w:tcPr>
                <w:p w14:paraId="65DB233A">
                  <w:pPr>
                    <w:jc w:val="center"/>
                    <w:rPr>
                      <w:rFonts w:ascii="Times New Roman" w:hAnsi="Times New Roman" w:cs="Times New Roman"/>
                      <w:color w:val="0000FF"/>
                      <w:sz w:val="21"/>
                      <w:szCs w:val="21"/>
                    </w:rPr>
                  </w:pPr>
                  <w:r>
                    <w:rPr>
                      <w:rFonts w:ascii="Times New Roman" w:hAnsi="Times New Roman" w:cs="Times New Roman"/>
                      <w:color w:val="0000FF"/>
                      <w:sz w:val="21"/>
                      <w:szCs w:val="21"/>
                    </w:rPr>
                    <w:t>481</w:t>
                  </w:r>
                </w:p>
              </w:tc>
              <w:tc>
                <w:tcPr>
                  <w:tcW w:w="609" w:type="pct"/>
                  <w:noWrap w:val="0"/>
                  <w:vAlign w:val="center"/>
                </w:tcPr>
                <w:p w14:paraId="3270FCF4">
                  <w:pPr>
                    <w:jc w:val="center"/>
                    <w:rPr>
                      <w:rFonts w:ascii="Times New Roman" w:hAnsi="Times New Roman" w:cs="Times New Roman"/>
                      <w:color w:val="0000FF"/>
                      <w:sz w:val="21"/>
                      <w:szCs w:val="21"/>
                    </w:rPr>
                  </w:pPr>
                  <w:r>
                    <w:rPr>
                      <w:rFonts w:ascii="Times New Roman" w:hAnsi="Times New Roman" w:cs="Times New Roman"/>
                      <w:color w:val="0000FF"/>
                      <w:sz w:val="21"/>
                      <w:szCs w:val="21"/>
                    </w:rPr>
                    <w:t>158730</w:t>
                  </w:r>
                </w:p>
              </w:tc>
            </w:tr>
            <w:tr w14:paraId="7CC9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9" w:type="pct"/>
                  <w:noWrap w:val="0"/>
                  <w:vAlign w:val="center"/>
                </w:tcPr>
                <w:p w14:paraId="2BC123D1">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生料</w:t>
                  </w:r>
                </w:p>
              </w:tc>
              <w:tc>
                <w:tcPr>
                  <w:tcW w:w="675" w:type="pct"/>
                  <w:noWrap w:val="0"/>
                  <w:vAlign w:val="center"/>
                </w:tcPr>
                <w:p w14:paraId="0E64734E">
                  <w:pPr>
                    <w:adjustRightInd w:val="0"/>
                    <w:snapToGrid w:val="0"/>
                    <w:jc w:val="center"/>
                    <w:rPr>
                      <w:rFonts w:ascii="Times New Roman" w:hAnsi="Times New Roman" w:cs="Times New Roman"/>
                      <w:color w:val="0000FF"/>
                      <w:sz w:val="21"/>
                      <w:szCs w:val="21"/>
                    </w:rPr>
                  </w:pPr>
                </w:p>
              </w:tc>
              <w:tc>
                <w:tcPr>
                  <w:tcW w:w="435" w:type="pct"/>
                  <w:noWrap w:val="0"/>
                  <w:vAlign w:val="center"/>
                </w:tcPr>
                <w:p w14:paraId="000678B9">
                  <w:pPr>
                    <w:jc w:val="center"/>
                    <w:rPr>
                      <w:rFonts w:ascii="Times New Roman" w:hAnsi="Times New Roman" w:cs="Times New Roman"/>
                      <w:color w:val="0000FF"/>
                      <w:sz w:val="21"/>
                      <w:szCs w:val="21"/>
                    </w:rPr>
                  </w:pPr>
                </w:p>
              </w:tc>
              <w:tc>
                <w:tcPr>
                  <w:tcW w:w="436" w:type="pct"/>
                  <w:noWrap w:val="0"/>
                  <w:vAlign w:val="center"/>
                </w:tcPr>
                <w:p w14:paraId="28A70B5C">
                  <w:pPr>
                    <w:jc w:val="center"/>
                    <w:rPr>
                      <w:rFonts w:ascii="Times New Roman" w:hAnsi="Times New Roman" w:cs="Times New Roman"/>
                      <w:color w:val="0000FF"/>
                      <w:sz w:val="21"/>
                      <w:szCs w:val="21"/>
                    </w:rPr>
                  </w:pPr>
                </w:p>
              </w:tc>
              <w:tc>
                <w:tcPr>
                  <w:tcW w:w="435" w:type="pct"/>
                  <w:noWrap w:val="0"/>
                  <w:vAlign w:val="center"/>
                </w:tcPr>
                <w:p w14:paraId="21151483">
                  <w:pPr>
                    <w:jc w:val="center"/>
                    <w:rPr>
                      <w:rFonts w:ascii="Times New Roman" w:hAnsi="Times New Roman" w:cs="Times New Roman"/>
                      <w:color w:val="0000FF"/>
                      <w:sz w:val="21"/>
                      <w:szCs w:val="21"/>
                    </w:rPr>
                  </w:pPr>
                  <w:r>
                    <w:rPr>
                      <w:rFonts w:ascii="Times New Roman" w:hAnsi="Times New Roman" w:cs="Times New Roman"/>
                      <w:color w:val="0000FF"/>
                      <w:sz w:val="21"/>
                      <w:szCs w:val="21"/>
                    </w:rPr>
                    <w:t>311.99</w:t>
                  </w:r>
                </w:p>
              </w:tc>
              <w:tc>
                <w:tcPr>
                  <w:tcW w:w="435" w:type="pct"/>
                  <w:noWrap w:val="0"/>
                  <w:vAlign w:val="center"/>
                </w:tcPr>
                <w:p w14:paraId="0649EA92">
                  <w:pPr>
                    <w:jc w:val="center"/>
                    <w:rPr>
                      <w:rFonts w:ascii="Times New Roman" w:hAnsi="Times New Roman" w:cs="Times New Roman"/>
                      <w:color w:val="0000FF"/>
                      <w:sz w:val="21"/>
                      <w:szCs w:val="21"/>
                    </w:rPr>
                  </w:pPr>
                  <w:r>
                    <w:rPr>
                      <w:rFonts w:ascii="Times New Roman" w:hAnsi="Times New Roman" w:cs="Times New Roman"/>
                      <w:color w:val="0000FF"/>
                      <w:sz w:val="21"/>
                      <w:szCs w:val="21"/>
                    </w:rPr>
                    <w:t>7487.5</w:t>
                  </w:r>
                </w:p>
              </w:tc>
              <w:tc>
                <w:tcPr>
                  <w:tcW w:w="522" w:type="pct"/>
                  <w:noWrap w:val="0"/>
                  <w:vAlign w:val="center"/>
                </w:tcPr>
                <w:p w14:paraId="75353EFC">
                  <w:pPr>
                    <w:jc w:val="center"/>
                    <w:rPr>
                      <w:rFonts w:ascii="Times New Roman" w:hAnsi="Times New Roman" w:cs="Times New Roman"/>
                      <w:color w:val="0000FF"/>
                      <w:sz w:val="21"/>
                      <w:szCs w:val="21"/>
                    </w:rPr>
                  </w:pPr>
                  <w:r>
                    <w:rPr>
                      <w:rFonts w:ascii="Times New Roman" w:hAnsi="Times New Roman" w:cs="Times New Roman"/>
                      <w:color w:val="0000FF"/>
                      <w:sz w:val="21"/>
                      <w:szCs w:val="21"/>
                    </w:rPr>
                    <w:t>2470875</w:t>
                  </w:r>
                </w:p>
              </w:tc>
              <w:tc>
                <w:tcPr>
                  <w:tcW w:w="435" w:type="pct"/>
                  <w:noWrap w:val="0"/>
                  <w:vAlign w:val="center"/>
                </w:tcPr>
                <w:p w14:paraId="1C263D5B">
                  <w:pPr>
                    <w:jc w:val="center"/>
                    <w:rPr>
                      <w:rFonts w:ascii="Times New Roman" w:hAnsi="Times New Roman" w:cs="Times New Roman"/>
                      <w:color w:val="0000FF"/>
                      <w:sz w:val="21"/>
                      <w:szCs w:val="21"/>
                    </w:rPr>
                  </w:pPr>
                  <w:r>
                    <w:rPr>
                      <w:rFonts w:ascii="Times New Roman" w:hAnsi="Times New Roman" w:cs="Times New Roman"/>
                      <w:color w:val="0000FF"/>
                      <w:sz w:val="21"/>
                      <w:szCs w:val="21"/>
                    </w:rPr>
                    <w:t xml:space="preserve">320.98 </w:t>
                  </w:r>
                </w:p>
              </w:tc>
              <w:tc>
                <w:tcPr>
                  <w:tcW w:w="435" w:type="pct"/>
                  <w:noWrap w:val="0"/>
                  <w:vAlign w:val="center"/>
                </w:tcPr>
                <w:p w14:paraId="3F0FF1A2">
                  <w:pPr>
                    <w:jc w:val="center"/>
                    <w:rPr>
                      <w:rFonts w:ascii="Times New Roman" w:hAnsi="Times New Roman" w:cs="Times New Roman"/>
                      <w:color w:val="0000FF"/>
                      <w:sz w:val="21"/>
                      <w:szCs w:val="21"/>
                    </w:rPr>
                  </w:pPr>
                  <w:r>
                    <w:rPr>
                      <w:rFonts w:ascii="Times New Roman" w:hAnsi="Times New Roman" w:cs="Times New Roman"/>
                      <w:color w:val="0000FF"/>
                      <w:sz w:val="21"/>
                      <w:szCs w:val="21"/>
                    </w:rPr>
                    <w:t>7703.5</w:t>
                  </w:r>
                </w:p>
              </w:tc>
              <w:tc>
                <w:tcPr>
                  <w:tcW w:w="609" w:type="pct"/>
                  <w:noWrap w:val="0"/>
                  <w:vAlign w:val="center"/>
                </w:tcPr>
                <w:p w14:paraId="7BB71D7A">
                  <w:pPr>
                    <w:jc w:val="center"/>
                    <w:rPr>
                      <w:rFonts w:ascii="Times New Roman" w:hAnsi="Times New Roman" w:cs="Times New Roman"/>
                      <w:color w:val="0000FF"/>
                      <w:sz w:val="21"/>
                      <w:szCs w:val="21"/>
                    </w:rPr>
                  </w:pPr>
                  <w:r>
                    <w:rPr>
                      <w:rFonts w:ascii="Times New Roman" w:hAnsi="Times New Roman" w:cs="Times New Roman"/>
                      <w:color w:val="0000FF"/>
                      <w:sz w:val="21"/>
                      <w:szCs w:val="21"/>
                    </w:rPr>
                    <w:t>2542155</w:t>
                  </w:r>
                </w:p>
              </w:tc>
            </w:tr>
            <w:tr w14:paraId="67577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9" w:type="pct"/>
                  <w:noWrap w:val="0"/>
                  <w:vAlign w:val="center"/>
                </w:tcPr>
                <w:p w14:paraId="0AC1A546">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熟料</w:t>
                  </w:r>
                </w:p>
              </w:tc>
              <w:tc>
                <w:tcPr>
                  <w:tcW w:w="675" w:type="pct"/>
                  <w:noWrap w:val="0"/>
                  <w:vAlign w:val="center"/>
                </w:tcPr>
                <w:p w14:paraId="28817E75">
                  <w:pPr>
                    <w:adjustRightInd w:val="0"/>
                    <w:snapToGrid w:val="0"/>
                    <w:jc w:val="center"/>
                    <w:rPr>
                      <w:rFonts w:ascii="Times New Roman" w:hAnsi="Times New Roman" w:cs="Times New Roman"/>
                      <w:color w:val="0000FF"/>
                      <w:sz w:val="21"/>
                      <w:szCs w:val="21"/>
                    </w:rPr>
                  </w:pPr>
                </w:p>
              </w:tc>
              <w:tc>
                <w:tcPr>
                  <w:tcW w:w="435" w:type="pct"/>
                  <w:noWrap w:val="0"/>
                  <w:vAlign w:val="center"/>
                </w:tcPr>
                <w:p w14:paraId="3C2C7BA7">
                  <w:pPr>
                    <w:jc w:val="center"/>
                    <w:rPr>
                      <w:rFonts w:ascii="Times New Roman" w:hAnsi="Times New Roman" w:cs="Times New Roman"/>
                      <w:color w:val="0000FF"/>
                      <w:sz w:val="21"/>
                      <w:szCs w:val="21"/>
                    </w:rPr>
                  </w:pPr>
                </w:p>
              </w:tc>
              <w:tc>
                <w:tcPr>
                  <w:tcW w:w="436" w:type="pct"/>
                  <w:noWrap w:val="0"/>
                  <w:vAlign w:val="center"/>
                </w:tcPr>
                <w:p w14:paraId="5CE08730">
                  <w:pPr>
                    <w:jc w:val="center"/>
                    <w:rPr>
                      <w:rFonts w:ascii="Times New Roman" w:hAnsi="Times New Roman" w:cs="Times New Roman"/>
                      <w:color w:val="0000FF"/>
                      <w:sz w:val="21"/>
                      <w:szCs w:val="21"/>
                    </w:rPr>
                  </w:pPr>
                </w:p>
              </w:tc>
              <w:tc>
                <w:tcPr>
                  <w:tcW w:w="435" w:type="pct"/>
                  <w:noWrap w:val="0"/>
                  <w:vAlign w:val="center"/>
                </w:tcPr>
                <w:p w14:paraId="242033E3">
                  <w:pPr>
                    <w:jc w:val="center"/>
                    <w:rPr>
                      <w:rFonts w:ascii="Times New Roman" w:hAnsi="Times New Roman" w:cs="Times New Roman"/>
                      <w:color w:val="0000FF"/>
                      <w:sz w:val="21"/>
                      <w:szCs w:val="21"/>
                    </w:rPr>
                  </w:pPr>
                  <w:r>
                    <w:rPr>
                      <w:rFonts w:ascii="Times New Roman" w:hAnsi="Times New Roman" w:cs="Times New Roman"/>
                      <w:color w:val="0000FF"/>
                      <w:sz w:val="21"/>
                      <w:szCs w:val="21"/>
                    </w:rPr>
                    <w:t>208.33</w:t>
                  </w:r>
                </w:p>
              </w:tc>
              <w:tc>
                <w:tcPr>
                  <w:tcW w:w="435" w:type="pct"/>
                  <w:noWrap w:val="0"/>
                  <w:vAlign w:val="center"/>
                </w:tcPr>
                <w:p w14:paraId="653EA6BE">
                  <w:pPr>
                    <w:jc w:val="center"/>
                    <w:rPr>
                      <w:rFonts w:ascii="Times New Roman" w:hAnsi="Times New Roman" w:cs="Times New Roman"/>
                      <w:color w:val="0000FF"/>
                      <w:sz w:val="21"/>
                      <w:szCs w:val="21"/>
                    </w:rPr>
                  </w:pPr>
                  <w:r>
                    <w:rPr>
                      <w:rFonts w:ascii="Times New Roman" w:hAnsi="Times New Roman" w:cs="Times New Roman"/>
                      <w:color w:val="0000FF"/>
                      <w:sz w:val="21"/>
                      <w:szCs w:val="21"/>
                    </w:rPr>
                    <w:t>5000</w:t>
                  </w:r>
                </w:p>
              </w:tc>
              <w:tc>
                <w:tcPr>
                  <w:tcW w:w="522" w:type="pct"/>
                  <w:noWrap w:val="0"/>
                  <w:vAlign w:val="center"/>
                </w:tcPr>
                <w:p w14:paraId="6BB9F5C4">
                  <w:pPr>
                    <w:jc w:val="center"/>
                    <w:rPr>
                      <w:rFonts w:ascii="Times New Roman" w:hAnsi="Times New Roman" w:cs="Times New Roman"/>
                      <w:color w:val="0000FF"/>
                      <w:sz w:val="21"/>
                      <w:szCs w:val="21"/>
                    </w:rPr>
                  </w:pPr>
                  <w:r>
                    <w:rPr>
                      <w:rFonts w:ascii="Times New Roman" w:hAnsi="Times New Roman" w:cs="Times New Roman"/>
                      <w:color w:val="0000FF"/>
                      <w:sz w:val="21"/>
                      <w:szCs w:val="21"/>
                    </w:rPr>
                    <w:t>1650000</w:t>
                  </w:r>
                </w:p>
              </w:tc>
              <w:tc>
                <w:tcPr>
                  <w:tcW w:w="435" w:type="pct"/>
                  <w:noWrap w:val="0"/>
                  <w:vAlign w:val="center"/>
                </w:tcPr>
                <w:p w14:paraId="70290F1B">
                  <w:pPr>
                    <w:jc w:val="center"/>
                    <w:rPr>
                      <w:rFonts w:ascii="Times New Roman" w:hAnsi="Times New Roman" w:cs="Times New Roman"/>
                      <w:color w:val="0000FF"/>
                      <w:sz w:val="21"/>
                      <w:szCs w:val="21"/>
                    </w:rPr>
                  </w:pPr>
                </w:p>
              </w:tc>
              <w:tc>
                <w:tcPr>
                  <w:tcW w:w="435" w:type="pct"/>
                  <w:noWrap w:val="0"/>
                  <w:vAlign w:val="center"/>
                </w:tcPr>
                <w:p w14:paraId="16F77B78">
                  <w:pPr>
                    <w:jc w:val="center"/>
                    <w:rPr>
                      <w:rFonts w:ascii="Times New Roman" w:hAnsi="Times New Roman" w:cs="Times New Roman"/>
                      <w:color w:val="0000FF"/>
                      <w:sz w:val="21"/>
                      <w:szCs w:val="21"/>
                    </w:rPr>
                  </w:pPr>
                </w:p>
              </w:tc>
              <w:tc>
                <w:tcPr>
                  <w:tcW w:w="609" w:type="pct"/>
                  <w:noWrap w:val="0"/>
                  <w:vAlign w:val="center"/>
                </w:tcPr>
                <w:p w14:paraId="4F2A900B">
                  <w:pPr>
                    <w:jc w:val="center"/>
                    <w:rPr>
                      <w:rFonts w:ascii="Times New Roman" w:hAnsi="Times New Roman" w:cs="Times New Roman"/>
                      <w:color w:val="0000FF"/>
                      <w:sz w:val="21"/>
                      <w:szCs w:val="21"/>
                    </w:rPr>
                  </w:pPr>
                </w:p>
              </w:tc>
            </w:tr>
            <w:tr w14:paraId="17BED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9" w:type="pct"/>
                  <w:noWrap w:val="0"/>
                  <w:vAlign w:val="center"/>
                </w:tcPr>
                <w:p w14:paraId="460A426E">
                  <w:pPr>
                    <w:adjustRightInd w:val="0"/>
                    <w:snapToGrid w:val="0"/>
                    <w:jc w:val="center"/>
                    <w:rPr>
                      <w:rFonts w:hint="eastAsia" w:ascii="Times New Roman" w:hAnsi="Times New Roman" w:eastAsia="宋体" w:cs="Times New Roman"/>
                      <w:color w:val="0000FF"/>
                      <w:sz w:val="21"/>
                      <w:szCs w:val="21"/>
                      <w:lang w:eastAsia="zh-CN"/>
                    </w:rPr>
                  </w:pPr>
                  <w:r>
                    <w:rPr>
                      <w:rFonts w:hint="eastAsia" w:ascii="Times New Roman" w:hAnsi="Times New Roman" w:cs="Times New Roman"/>
                      <w:color w:val="0000FF"/>
                      <w:sz w:val="21"/>
                      <w:szCs w:val="21"/>
                      <w:lang w:eastAsia="zh-CN"/>
                    </w:rPr>
                    <w:t>原煤</w:t>
                  </w:r>
                </w:p>
              </w:tc>
              <w:tc>
                <w:tcPr>
                  <w:tcW w:w="675" w:type="pct"/>
                  <w:noWrap w:val="0"/>
                  <w:vAlign w:val="center"/>
                </w:tcPr>
                <w:p w14:paraId="0CDBB480">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10</w:t>
                  </w:r>
                </w:p>
              </w:tc>
              <w:tc>
                <w:tcPr>
                  <w:tcW w:w="435" w:type="pct"/>
                  <w:noWrap w:val="0"/>
                  <w:vAlign w:val="center"/>
                </w:tcPr>
                <w:p w14:paraId="74CAF7F8">
                  <w:pPr>
                    <w:jc w:val="center"/>
                    <w:rPr>
                      <w:rFonts w:ascii="Times New Roman" w:hAnsi="Times New Roman" w:cs="Times New Roman"/>
                      <w:color w:val="0000FF"/>
                      <w:sz w:val="21"/>
                      <w:szCs w:val="21"/>
                    </w:rPr>
                  </w:pPr>
                  <w:r>
                    <w:rPr>
                      <w:rFonts w:hint="eastAsia" w:ascii="Times New Roman" w:hAnsi="Times New Roman" w:cs="Times New Roman"/>
                      <w:color w:val="0000FF"/>
                      <w:sz w:val="21"/>
                      <w:szCs w:val="21"/>
                      <w:lang w:val="en-US" w:eastAsia="zh-CN"/>
                    </w:rPr>
                    <w:t>116.79</w:t>
                  </w:r>
                </w:p>
              </w:tc>
              <w:tc>
                <w:tcPr>
                  <w:tcW w:w="436" w:type="pct"/>
                  <w:noWrap w:val="0"/>
                  <w:vAlign w:val="center"/>
                </w:tcPr>
                <w:p w14:paraId="1883C75E">
                  <w:pPr>
                    <w:jc w:val="center"/>
                    <w:rPr>
                      <w:rFonts w:hint="default" w:ascii="Times New Roman" w:hAnsi="Times New Roman" w:eastAsia="宋体" w:cs="Times New Roman"/>
                      <w:color w:val="0000FF"/>
                      <w:sz w:val="21"/>
                      <w:szCs w:val="21"/>
                      <w:lang w:val="en-US" w:eastAsia="zh-CN"/>
                    </w:rPr>
                  </w:pPr>
                  <w:r>
                    <w:rPr>
                      <w:rFonts w:hint="eastAsia" w:ascii="Times New Roman" w:hAnsi="Times New Roman" w:cs="Times New Roman"/>
                      <w:color w:val="0000FF"/>
                      <w:sz w:val="21"/>
                      <w:szCs w:val="21"/>
                      <w:lang w:val="en-US" w:eastAsia="zh-CN"/>
                    </w:rPr>
                    <w:t>119.69</w:t>
                  </w:r>
                </w:p>
              </w:tc>
              <w:tc>
                <w:tcPr>
                  <w:tcW w:w="435" w:type="pct"/>
                  <w:noWrap w:val="0"/>
                  <w:vAlign w:val="center"/>
                </w:tcPr>
                <w:p w14:paraId="3AC2D22E">
                  <w:pPr>
                    <w:jc w:val="center"/>
                    <w:rPr>
                      <w:rFonts w:hint="default" w:ascii="Times New Roman" w:hAnsi="Times New Roman" w:eastAsia="宋体" w:cs="Times New Roman"/>
                      <w:color w:val="0000FF"/>
                      <w:sz w:val="21"/>
                      <w:szCs w:val="21"/>
                      <w:lang w:val="en-US" w:eastAsia="zh-CN"/>
                    </w:rPr>
                  </w:pPr>
                  <w:r>
                    <w:rPr>
                      <w:rFonts w:hint="eastAsia" w:ascii="Times New Roman" w:hAnsi="Times New Roman" w:cs="Times New Roman"/>
                      <w:color w:val="0000FF"/>
                      <w:sz w:val="21"/>
                      <w:szCs w:val="21"/>
                      <w:lang w:val="en-US" w:eastAsia="zh-CN"/>
                    </w:rPr>
                    <w:t>24.33</w:t>
                  </w:r>
                </w:p>
              </w:tc>
              <w:tc>
                <w:tcPr>
                  <w:tcW w:w="435" w:type="pct"/>
                  <w:noWrap w:val="0"/>
                  <w:vAlign w:val="center"/>
                </w:tcPr>
                <w:p w14:paraId="5826A2BD">
                  <w:pPr>
                    <w:jc w:val="center"/>
                    <w:rPr>
                      <w:rFonts w:hint="default" w:ascii="Times New Roman" w:hAnsi="Times New Roman" w:eastAsia="宋体" w:cs="Times New Roman"/>
                      <w:color w:val="0000FF"/>
                      <w:sz w:val="21"/>
                      <w:szCs w:val="21"/>
                      <w:lang w:val="en-US" w:eastAsia="zh-CN"/>
                    </w:rPr>
                  </w:pPr>
                  <w:r>
                    <w:rPr>
                      <w:rFonts w:hint="eastAsia" w:ascii="Times New Roman" w:hAnsi="Times New Roman" w:cs="Times New Roman"/>
                      <w:color w:val="0000FF"/>
                      <w:sz w:val="21"/>
                      <w:szCs w:val="21"/>
                      <w:lang w:val="en-US" w:eastAsia="zh-CN"/>
                    </w:rPr>
                    <w:t>583.94</w:t>
                  </w:r>
                </w:p>
              </w:tc>
              <w:tc>
                <w:tcPr>
                  <w:tcW w:w="522" w:type="pct"/>
                  <w:noWrap w:val="0"/>
                  <w:vAlign w:val="center"/>
                </w:tcPr>
                <w:p w14:paraId="6377D066">
                  <w:pPr>
                    <w:jc w:val="center"/>
                    <w:rPr>
                      <w:rFonts w:hint="default" w:ascii="Times New Roman" w:hAnsi="Times New Roman" w:eastAsia="宋体" w:cs="Times New Roman"/>
                      <w:color w:val="0000FF"/>
                      <w:sz w:val="21"/>
                      <w:szCs w:val="21"/>
                      <w:lang w:val="en-US" w:eastAsia="zh-CN"/>
                    </w:rPr>
                  </w:pPr>
                  <w:r>
                    <w:rPr>
                      <w:rFonts w:hint="eastAsia" w:ascii="Times New Roman" w:hAnsi="Times New Roman" w:cs="Times New Roman"/>
                      <w:color w:val="0000FF"/>
                      <w:sz w:val="21"/>
                      <w:szCs w:val="21"/>
                      <w:lang w:val="en-US" w:eastAsia="zh-CN"/>
                    </w:rPr>
                    <w:t>192700</w:t>
                  </w:r>
                </w:p>
              </w:tc>
              <w:tc>
                <w:tcPr>
                  <w:tcW w:w="435" w:type="pct"/>
                  <w:noWrap w:val="0"/>
                  <w:vAlign w:val="center"/>
                </w:tcPr>
                <w:p w14:paraId="3BD2EEC4">
                  <w:pPr>
                    <w:jc w:val="center"/>
                    <w:rPr>
                      <w:rFonts w:hint="default" w:ascii="Times New Roman" w:hAnsi="Times New Roman" w:eastAsia="宋体" w:cs="Times New Roman"/>
                      <w:color w:val="0000FF"/>
                      <w:sz w:val="21"/>
                      <w:szCs w:val="21"/>
                      <w:lang w:val="en-US" w:eastAsia="zh-CN"/>
                    </w:rPr>
                  </w:pPr>
                  <w:r>
                    <w:rPr>
                      <w:rFonts w:hint="eastAsia" w:ascii="Times New Roman" w:hAnsi="Times New Roman" w:cs="Times New Roman"/>
                      <w:color w:val="0000FF"/>
                      <w:sz w:val="21"/>
                      <w:szCs w:val="21"/>
                      <w:lang w:val="en-US" w:eastAsia="zh-CN"/>
                    </w:rPr>
                    <w:t>24.93</w:t>
                  </w:r>
                </w:p>
              </w:tc>
              <w:tc>
                <w:tcPr>
                  <w:tcW w:w="435" w:type="pct"/>
                  <w:noWrap w:val="0"/>
                  <w:vAlign w:val="center"/>
                </w:tcPr>
                <w:p w14:paraId="4F440BA3">
                  <w:pPr>
                    <w:jc w:val="center"/>
                    <w:rPr>
                      <w:rFonts w:hint="eastAsia" w:ascii="Times New Roman" w:hAnsi="Times New Roman" w:eastAsia="宋体" w:cs="Times New Roman"/>
                      <w:color w:val="0000FF"/>
                      <w:sz w:val="21"/>
                      <w:szCs w:val="21"/>
                      <w:lang w:eastAsia="zh-CN"/>
                    </w:rPr>
                  </w:pPr>
                  <w:r>
                    <w:rPr>
                      <w:rFonts w:hint="eastAsia" w:ascii="Times New Roman" w:hAnsi="Times New Roman" w:cs="Times New Roman"/>
                      <w:color w:val="0000FF"/>
                      <w:sz w:val="21"/>
                      <w:szCs w:val="21"/>
                    </w:rPr>
                    <w:t>598.4</w:t>
                  </w:r>
                  <w:r>
                    <w:rPr>
                      <w:rFonts w:hint="eastAsia" w:ascii="Times New Roman" w:hAnsi="Times New Roman" w:cs="Times New Roman"/>
                      <w:color w:val="0000FF"/>
                      <w:sz w:val="21"/>
                      <w:szCs w:val="21"/>
                      <w:lang w:val="en-US" w:eastAsia="zh-CN"/>
                    </w:rPr>
                    <w:t>4</w:t>
                  </w:r>
                </w:p>
              </w:tc>
              <w:tc>
                <w:tcPr>
                  <w:tcW w:w="609" w:type="pct"/>
                  <w:noWrap w:val="0"/>
                  <w:vAlign w:val="center"/>
                </w:tcPr>
                <w:p w14:paraId="12EAAD10">
                  <w:pPr>
                    <w:jc w:val="center"/>
                    <w:rPr>
                      <w:rFonts w:hint="default" w:ascii="Times New Roman" w:hAnsi="Times New Roman" w:eastAsia="宋体" w:cs="Times New Roman"/>
                      <w:color w:val="0000FF"/>
                      <w:sz w:val="21"/>
                      <w:szCs w:val="21"/>
                      <w:lang w:val="en-US" w:eastAsia="zh-CN"/>
                    </w:rPr>
                  </w:pPr>
                  <w:r>
                    <w:rPr>
                      <w:rFonts w:hint="eastAsia" w:ascii="Times New Roman" w:hAnsi="Times New Roman" w:cs="Times New Roman"/>
                      <w:color w:val="0000FF"/>
                      <w:sz w:val="21"/>
                      <w:szCs w:val="21"/>
                      <w:lang w:val="en-US" w:eastAsia="zh-CN"/>
                    </w:rPr>
                    <w:t>197485</w:t>
                  </w:r>
                </w:p>
              </w:tc>
            </w:tr>
            <w:tr w14:paraId="3AFFE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9" w:type="pct"/>
                  <w:noWrap w:val="0"/>
                  <w:vAlign w:val="center"/>
                </w:tcPr>
                <w:p w14:paraId="27F69542">
                  <w:pPr>
                    <w:adjustRightInd w:val="0"/>
                    <w:snapToGrid w:val="0"/>
                    <w:jc w:val="center"/>
                    <w:rPr>
                      <w:rFonts w:hint="eastAsia" w:ascii="Times New Roman" w:hAnsi="Times New Roman" w:cs="Times New Roman"/>
                      <w:color w:val="0000FF"/>
                      <w:sz w:val="21"/>
                      <w:szCs w:val="21"/>
                      <w:lang w:eastAsia="zh-CN"/>
                    </w:rPr>
                  </w:pPr>
                  <w:r>
                    <w:rPr>
                      <w:rFonts w:hint="eastAsia" w:ascii="Times New Roman" w:hAnsi="Times New Roman" w:cs="Times New Roman"/>
                      <w:color w:val="0000FF"/>
                      <w:sz w:val="21"/>
                      <w:szCs w:val="21"/>
                      <w:lang w:eastAsia="zh-CN"/>
                    </w:rPr>
                    <w:t>废纺</w:t>
                  </w:r>
                </w:p>
              </w:tc>
              <w:tc>
                <w:tcPr>
                  <w:tcW w:w="675" w:type="pct"/>
                  <w:noWrap w:val="0"/>
                  <w:vAlign w:val="center"/>
                </w:tcPr>
                <w:p w14:paraId="3BC2861C">
                  <w:pPr>
                    <w:adjustRightInd w:val="0"/>
                    <w:snapToGrid w:val="0"/>
                    <w:jc w:val="center"/>
                    <w:rPr>
                      <w:rFonts w:ascii="Times New Roman" w:hAnsi="Times New Roman" w:cs="Times New Roman"/>
                      <w:color w:val="0000FF"/>
                      <w:sz w:val="21"/>
                      <w:szCs w:val="21"/>
                    </w:rPr>
                  </w:pPr>
                </w:p>
              </w:tc>
              <w:tc>
                <w:tcPr>
                  <w:tcW w:w="435" w:type="pct"/>
                  <w:noWrap w:val="0"/>
                  <w:vAlign w:val="center"/>
                </w:tcPr>
                <w:p w14:paraId="39125C4C">
                  <w:pPr>
                    <w:jc w:val="center"/>
                    <w:rPr>
                      <w:rFonts w:hint="default" w:ascii="Times New Roman" w:hAnsi="Times New Roman" w:eastAsia="宋体" w:cs="Times New Roman"/>
                      <w:color w:val="0000FF"/>
                      <w:sz w:val="21"/>
                      <w:szCs w:val="21"/>
                      <w:lang w:val="en-US" w:eastAsia="zh-CN"/>
                    </w:rPr>
                  </w:pPr>
                  <w:r>
                    <w:rPr>
                      <w:rFonts w:hint="eastAsia" w:ascii="Times New Roman" w:hAnsi="Times New Roman" w:cs="Times New Roman"/>
                      <w:color w:val="0000FF"/>
                      <w:sz w:val="21"/>
                      <w:szCs w:val="21"/>
                      <w:lang w:val="en-US" w:eastAsia="zh-CN"/>
                    </w:rPr>
                    <w:t>30.30</w:t>
                  </w:r>
                </w:p>
              </w:tc>
              <w:tc>
                <w:tcPr>
                  <w:tcW w:w="436" w:type="pct"/>
                  <w:noWrap w:val="0"/>
                  <w:vAlign w:val="center"/>
                </w:tcPr>
                <w:p w14:paraId="6CBA678F">
                  <w:pPr>
                    <w:jc w:val="center"/>
                    <w:rPr>
                      <w:rFonts w:hint="default" w:ascii="Times New Roman" w:hAnsi="Times New Roman" w:eastAsia="宋体" w:cs="Times New Roman"/>
                      <w:color w:val="0000FF"/>
                      <w:sz w:val="21"/>
                      <w:szCs w:val="21"/>
                      <w:lang w:val="en-US" w:eastAsia="zh-CN"/>
                    </w:rPr>
                  </w:pPr>
                  <w:r>
                    <w:rPr>
                      <w:rFonts w:hint="eastAsia" w:ascii="Times New Roman" w:hAnsi="Times New Roman" w:cs="Times New Roman"/>
                      <w:color w:val="0000FF"/>
                      <w:sz w:val="21"/>
                      <w:szCs w:val="21"/>
                      <w:lang w:val="en-US" w:eastAsia="zh-CN"/>
                    </w:rPr>
                    <w:t>42.61</w:t>
                  </w:r>
                </w:p>
              </w:tc>
              <w:tc>
                <w:tcPr>
                  <w:tcW w:w="435" w:type="pct"/>
                  <w:noWrap w:val="0"/>
                  <w:vAlign w:val="center"/>
                </w:tcPr>
                <w:p w14:paraId="771E88AC">
                  <w:pPr>
                    <w:jc w:val="center"/>
                    <w:rPr>
                      <w:rFonts w:hint="default" w:ascii="Times New Roman" w:hAnsi="Times New Roman" w:eastAsia="宋体" w:cs="Times New Roman"/>
                      <w:color w:val="0000FF"/>
                      <w:sz w:val="21"/>
                      <w:szCs w:val="21"/>
                      <w:lang w:val="en-US" w:eastAsia="zh-CN"/>
                    </w:rPr>
                  </w:pPr>
                  <w:r>
                    <w:rPr>
                      <w:rFonts w:hint="eastAsia" w:ascii="Times New Roman" w:hAnsi="Times New Roman" w:cs="Times New Roman"/>
                      <w:color w:val="0000FF"/>
                      <w:sz w:val="21"/>
                      <w:szCs w:val="21"/>
                      <w:lang w:val="en-US" w:eastAsia="zh-CN"/>
                    </w:rPr>
                    <w:t>6.31</w:t>
                  </w:r>
                </w:p>
              </w:tc>
              <w:tc>
                <w:tcPr>
                  <w:tcW w:w="435" w:type="pct"/>
                  <w:noWrap w:val="0"/>
                  <w:vAlign w:val="center"/>
                </w:tcPr>
                <w:p w14:paraId="185E7BC6">
                  <w:pPr>
                    <w:jc w:val="center"/>
                    <w:rPr>
                      <w:rFonts w:hint="default" w:ascii="Times New Roman" w:hAnsi="Times New Roman" w:eastAsia="宋体" w:cs="Times New Roman"/>
                      <w:color w:val="0000FF"/>
                      <w:sz w:val="21"/>
                      <w:szCs w:val="21"/>
                      <w:lang w:val="en-US" w:eastAsia="zh-CN"/>
                    </w:rPr>
                  </w:pPr>
                  <w:r>
                    <w:rPr>
                      <w:rFonts w:hint="eastAsia" w:ascii="Times New Roman" w:hAnsi="Times New Roman" w:cs="Times New Roman"/>
                      <w:color w:val="0000FF"/>
                      <w:sz w:val="21"/>
                      <w:szCs w:val="21"/>
                      <w:lang w:val="en-US" w:eastAsia="zh-CN"/>
                    </w:rPr>
                    <w:t>151.52</w:t>
                  </w:r>
                </w:p>
              </w:tc>
              <w:tc>
                <w:tcPr>
                  <w:tcW w:w="522" w:type="pct"/>
                  <w:noWrap w:val="0"/>
                  <w:vAlign w:val="center"/>
                </w:tcPr>
                <w:p w14:paraId="08173A1D">
                  <w:pPr>
                    <w:jc w:val="center"/>
                    <w:rPr>
                      <w:rFonts w:hint="default" w:ascii="Times New Roman" w:hAnsi="Times New Roman" w:eastAsia="宋体" w:cs="Times New Roman"/>
                      <w:color w:val="0000FF"/>
                      <w:sz w:val="21"/>
                      <w:szCs w:val="21"/>
                      <w:lang w:val="en-US" w:eastAsia="zh-CN"/>
                    </w:rPr>
                  </w:pPr>
                  <w:r>
                    <w:rPr>
                      <w:rFonts w:hint="eastAsia" w:ascii="Times New Roman" w:hAnsi="Times New Roman" w:cs="Times New Roman"/>
                      <w:color w:val="0000FF"/>
                      <w:sz w:val="21"/>
                      <w:szCs w:val="21"/>
                      <w:lang w:val="en-US" w:eastAsia="zh-CN"/>
                    </w:rPr>
                    <w:t>50000</w:t>
                  </w:r>
                </w:p>
              </w:tc>
              <w:tc>
                <w:tcPr>
                  <w:tcW w:w="435" w:type="pct"/>
                  <w:noWrap w:val="0"/>
                  <w:vAlign w:val="center"/>
                </w:tcPr>
                <w:p w14:paraId="0F70F663">
                  <w:pPr>
                    <w:jc w:val="center"/>
                    <w:rPr>
                      <w:rFonts w:hint="default" w:ascii="Times New Roman" w:hAnsi="Times New Roman" w:eastAsia="宋体" w:cs="Times New Roman"/>
                      <w:color w:val="0000FF"/>
                      <w:sz w:val="21"/>
                      <w:szCs w:val="21"/>
                      <w:lang w:val="en-US" w:eastAsia="zh-CN"/>
                    </w:rPr>
                  </w:pPr>
                  <w:r>
                    <w:rPr>
                      <w:rFonts w:hint="eastAsia" w:ascii="Times New Roman" w:hAnsi="Times New Roman" w:cs="Times New Roman"/>
                      <w:color w:val="0000FF"/>
                      <w:sz w:val="21"/>
                      <w:szCs w:val="21"/>
                      <w:lang w:val="en-US" w:eastAsia="zh-CN"/>
                    </w:rPr>
                    <w:t>8.88</w:t>
                  </w:r>
                </w:p>
              </w:tc>
              <w:tc>
                <w:tcPr>
                  <w:tcW w:w="435" w:type="pct"/>
                  <w:noWrap w:val="0"/>
                  <w:vAlign w:val="center"/>
                </w:tcPr>
                <w:p w14:paraId="2D545C9B">
                  <w:pPr>
                    <w:jc w:val="center"/>
                    <w:rPr>
                      <w:rFonts w:hint="default" w:ascii="Times New Roman" w:hAnsi="Times New Roman" w:eastAsia="宋体" w:cs="Times New Roman"/>
                      <w:color w:val="0000FF"/>
                      <w:sz w:val="21"/>
                      <w:szCs w:val="21"/>
                      <w:lang w:val="en-US" w:eastAsia="zh-CN"/>
                    </w:rPr>
                  </w:pPr>
                  <w:r>
                    <w:rPr>
                      <w:rFonts w:hint="eastAsia" w:ascii="Times New Roman" w:hAnsi="Times New Roman" w:cs="Times New Roman"/>
                      <w:color w:val="0000FF"/>
                      <w:sz w:val="21"/>
                      <w:szCs w:val="21"/>
                      <w:lang w:val="en-US" w:eastAsia="zh-CN"/>
                    </w:rPr>
                    <w:t>213.04</w:t>
                  </w:r>
                </w:p>
              </w:tc>
              <w:tc>
                <w:tcPr>
                  <w:tcW w:w="609" w:type="pct"/>
                  <w:noWrap w:val="0"/>
                  <w:vAlign w:val="center"/>
                </w:tcPr>
                <w:p w14:paraId="1548D71C">
                  <w:pPr>
                    <w:jc w:val="center"/>
                    <w:rPr>
                      <w:rFonts w:hint="default" w:ascii="Times New Roman" w:hAnsi="Times New Roman" w:eastAsia="宋体" w:cs="Times New Roman"/>
                      <w:color w:val="0000FF"/>
                      <w:sz w:val="21"/>
                      <w:szCs w:val="21"/>
                      <w:lang w:val="en-US" w:eastAsia="zh-CN"/>
                    </w:rPr>
                  </w:pPr>
                  <w:r>
                    <w:rPr>
                      <w:rFonts w:hint="eastAsia" w:ascii="Times New Roman" w:hAnsi="Times New Roman" w:cs="Times New Roman"/>
                      <w:color w:val="0000FF"/>
                      <w:sz w:val="21"/>
                      <w:szCs w:val="21"/>
                      <w:lang w:val="en-US" w:eastAsia="zh-CN"/>
                    </w:rPr>
                    <w:t>70303.712</w:t>
                  </w:r>
                </w:p>
              </w:tc>
            </w:tr>
            <w:tr w14:paraId="1F2D7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9" w:type="pct"/>
                  <w:noWrap w:val="0"/>
                  <w:vAlign w:val="center"/>
                </w:tcPr>
                <w:p w14:paraId="1FEF1BAF">
                  <w:pPr>
                    <w:adjustRightInd w:val="0"/>
                    <w:snapToGrid w:val="0"/>
                    <w:jc w:val="center"/>
                    <w:rPr>
                      <w:rFonts w:hint="eastAsia" w:ascii="Times New Roman" w:hAnsi="Times New Roman" w:cs="Times New Roman"/>
                      <w:color w:val="0000FF"/>
                      <w:sz w:val="21"/>
                      <w:szCs w:val="21"/>
                      <w:lang w:eastAsia="zh-CN"/>
                    </w:rPr>
                  </w:pPr>
                  <w:r>
                    <w:rPr>
                      <w:rFonts w:hint="eastAsia" w:ascii="Times New Roman" w:hAnsi="Times New Roman" w:cs="Times New Roman"/>
                      <w:color w:val="0000FF"/>
                      <w:sz w:val="21"/>
                      <w:szCs w:val="21"/>
                      <w:lang w:eastAsia="zh-CN"/>
                    </w:rPr>
                    <w:t>木屑</w:t>
                  </w:r>
                </w:p>
              </w:tc>
              <w:tc>
                <w:tcPr>
                  <w:tcW w:w="675" w:type="pct"/>
                  <w:noWrap w:val="0"/>
                  <w:vAlign w:val="center"/>
                </w:tcPr>
                <w:p w14:paraId="2E78C34B">
                  <w:pPr>
                    <w:adjustRightInd w:val="0"/>
                    <w:snapToGrid w:val="0"/>
                    <w:jc w:val="center"/>
                    <w:rPr>
                      <w:rFonts w:ascii="Times New Roman" w:hAnsi="Times New Roman" w:cs="Times New Roman"/>
                      <w:color w:val="0000FF"/>
                      <w:sz w:val="21"/>
                      <w:szCs w:val="21"/>
                    </w:rPr>
                  </w:pPr>
                </w:p>
              </w:tc>
              <w:tc>
                <w:tcPr>
                  <w:tcW w:w="435" w:type="pct"/>
                  <w:noWrap w:val="0"/>
                  <w:vAlign w:val="center"/>
                </w:tcPr>
                <w:p w14:paraId="290D12C3">
                  <w:pPr>
                    <w:jc w:val="center"/>
                    <w:rPr>
                      <w:rFonts w:hint="default" w:ascii="Times New Roman" w:hAnsi="Times New Roman" w:eastAsia="宋体" w:cs="Times New Roman"/>
                      <w:color w:val="0000FF"/>
                      <w:sz w:val="21"/>
                      <w:szCs w:val="21"/>
                      <w:lang w:val="en-US" w:eastAsia="zh-CN"/>
                    </w:rPr>
                  </w:pPr>
                  <w:r>
                    <w:rPr>
                      <w:rFonts w:hint="eastAsia" w:ascii="Times New Roman" w:hAnsi="Times New Roman" w:cs="Times New Roman"/>
                      <w:color w:val="0000FF"/>
                      <w:sz w:val="21"/>
                      <w:szCs w:val="21"/>
                      <w:lang w:val="en-US" w:eastAsia="zh-CN"/>
                    </w:rPr>
                    <w:t>30.30</w:t>
                  </w:r>
                </w:p>
              </w:tc>
              <w:tc>
                <w:tcPr>
                  <w:tcW w:w="436" w:type="pct"/>
                  <w:noWrap w:val="0"/>
                  <w:vAlign w:val="center"/>
                </w:tcPr>
                <w:p w14:paraId="3E3A47A6">
                  <w:pPr>
                    <w:jc w:val="center"/>
                    <w:rPr>
                      <w:rFonts w:hint="default" w:ascii="Times New Roman" w:hAnsi="Times New Roman" w:eastAsia="宋体" w:cs="Times New Roman"/>
                      <w:color w:val="0000FF"/>
                      <w:sz w:val="21"/>
                      <w:szCs w:val="21"/>
                      <w:lang w:val="en-US" w:eastAsia="zh-CN"/>
                    </w:rPr>
                  </w:pPr>
                  <w:r>
                    <w:rPr>
                      <w:rFonts w:hint="eastAsia" w:ascii="Times New Roman" w:hAnsi="Times New Roman" w:cs="Times New Roman"/>
                      <w:color w:val="0000FF"/>
                      <w:sz w:val="21"/>
                      <w:szCs w:val="21"/>
                      <w:lang w:val="en-US" w:eastAsia="zh-CN"/>
                    </w:rPr>
                    <w:t>46.41</w:t>
                  </w:r>
                </w:p>
              </w:tc>
              <w:tc>
                <w:tcPr>
                  <w:tcW w:w="435" w:type="pct"/>
                  <w:noWrap w:val="0"/>
                  <w:vAlign w:val="center"/>
                </w:tcPr>
                <w:p w14:paraId="641A1878">
                  <w:pPr>
                    <w:jc w:val="center"/>
                    <w:rPr>
                      <w:rFonts w:hint="default" w:ascii="Times New Roman" w:hAnsi="Times New Roman" w:eastAsia="宋体" w:cs="Times New Roman"/>
                      <w:color w:val="0000FF"/>
                      <w:sz w:val="21"/>
                      <w:szCs w:val="21"/>
                      <w:lang w:val="en-US" w:eastAsia="zh-CN"/>
                    </w:rPr>
                  </w:pPr>
                  <w:r>
                    <w:rPr>
                      <w:rFonts w:hint="eastAsia" w:ascii="Times New Roman" w:hAnsi="Times New Roman" w:cs="Times New Roman"/>
                      <w:color w:val="0000FF"/>
                      <w:sz w:val="21"/>
                      <w:szCs w:val="21"/>
                      <w:lang w:val="en-US" w:eastAsia="zh-CN"/>
                    </w:rPr>
                    <w:t>6.31</w:t>
                  </w:r>
                </w:p>
              </w:tc>
              <w:tc>
                <w:tcPr>
                  <w:tcW w:w="435" w:type="pct"/>
                  <w:noWrap w:val="0"/>
                  <w:vAlign w:val="center"/>
                </w:tcPr>
                <w:p w14:paraId="4A86FAED">
                  <w:pPr>
                    <w:jc w:val="center"/>
                    <w:rPr>
                      <w:rFonts w:hint="default" w:ascii="Times New Roman" w:hAnsi="Times New Roman" w:eastAsia="宋体" w:cs="Times New Roman"/>
                      <w:color w:val="0000FF"/>
                      <w:sz w:val="21"/>
                      <w:szCs w:val="21"/>
                      <w:lang w:val="en-US" w:eastAsia="zh-CN"/>
                    </w:rPr>
                  </w:pPr>
                  <w:r>
                    <w:rPr>
                      <w:rFonts w:hint="eastAsia" w:ascii="Times New Roman" w:hAnsi="Times New Roman" w:cs="Times New Roman"/>
                      <w:color w:val="0000FF"/>
                      <w:sz w:val="21"/>
                      <w:szCs w:val="21"/>
                      <w:lang w:val="en-US" w:eastAsia="zh-CN"/>
                    </w:rPr>
                    <w:t>151.52</w:t>
                  </w:r>
                </w:p>
              </w:tc>
              <w:tc>
                <w:tcPr>
                  <w:tcW w:w="522" w:type="pct"/>
                  <w:noWrap w:val="0"/>
                  <w:vAlign w:val="center"/>
                </w:tcPr>
                <w:p w14:paraId="2C24F1F1">
                  <w:pPr>
                    <w:jc w:val="center"/>
                    <w:rPr>
                      <w:rFonts w:hint="default" w:ascii="Times New Roman" w:hAnsi="Times New Roman" w:eastAsia="宋体" w:cs="Times New Roman"/>
                      <w:color w:val="0000FF"/>
                      <w:sz w:val="21"/>
                      <w:szCs w:val="21"/>
                      <w:lang w:val="en-US" w:eastAsia="zh-CN"/>
                    </w:rPr>
                  </w:pPr>
                  <w:r>
                    <w:rPr>
                      <w:rFonts w:hint="eastAsia" w:ascii="Times New Roman" w:hAnsi="Times New Roman" w:cs="Times New Roman"/>
                      <w:color w:val="0000FF"/>
                      <w:sz w:val="21"/>
                      <w:szCs w:val="21"/>
                      <w:lang w:val="en-US" w:eastAsia="zh-CN"/>
                    </w:rPr>
                    <w:t>50000</w:t>
                  </w:r>
                </w:p>
              </w:tc>
              <w:tc>
                <w:tcPr>
                  <w:tcW w:w="435" w:type="pct"/>
                  <w:noWrap w:val="0"/>
                  <w:vAlign w:val="center"/>
                </w:tcPr>
                <w:p w14:paraId="055B3136">
                  <w:pPr>
                    <w:jc w:val="center"/>
                    <w:rPr>
                      <w:rFonts w:hint="default" w:ascii="Times New Roman" w:hAnsi="Times New Roman" w:eastAsia="宋体" w:cs="Times New Roman"/>
                      <w:color w:val="0000FF"/>
                      <w:sz w:val="21"/>
                      <w:szCs w:val="21"/>
                      <w:lang w:val="en-US" w:eastAsia="zh-CN"/>
                    </w:rPr>
                  </w:pPr>
                  <w:r>
                    <w:rPr>
                      <w:rFonts w:hint="eastAsia" w:ascii="Times New Roman" w:hAnsi="Times New Roman" w:cs="Times New Roman"/>
                      <w:color w:val="0000FF"/>
                      <w:sz w:val="21"/>
                      <w:szCs w:val="21"/>
                      <w:lang w:val="en-US" w:eastAsia="zh-CN"/>
                    </w:rPr>
                    <w:t>9.67</w:t>
                  </w:r>
                </w:p>
              </w:tc>
              <w:tc>
                <w:tcPr>
                  <w:tcW w:w="435" w:type="pct"/>
                  <w:noWrap w:val="0"/>
                  <w:vAlign w:val="center"/>
                </w:tcPr>
                <w:p w14:paraId="5DAA716A">
                  <w:pPr>
                    <w:jc w:val="center"/>
                    <w:rPr>
                      <w:rFonts w:hint="default" w:ascii="Times New Roman" w:hAnsi="Times New Roman" w:eastAsia="宋体" w:cs="Times New Roman"/>
                      <w:color w:val="0000FF"/>
                      <w:sz w:val="21"/>
                      <w:szCs w:val="21"/>
                      <w:lang w:val="en-US" w:eastAsia="zh-CN"/>
                    </w:rPr>
                  </w:pPr>
                  <w:r>
                    <w:rPr>
                      <w:rFonts w:hint="eastAsia" w:ascii="Times New Roman" w:hAnsi="Times New Roman" w:cs="Times New Roman"/>
                      <w:color w:val="0000FF"/>
                      <w:sz w:val="21"/>
                      <w:szCs w:val="21"/>
                      <w:lang w:val="en-US" w:eastAsia="zh-CN"/>
                    </w:rPr>
                    <w:t>232.03</w:t>
                  </w:r>
                </w:p>
              </w:tc>
              <w:tc>
                <w:tcPr>
                  <w:tcW w:w="609" w:type="pct"/>
                  <w:noWrap w:val="0"/>
                  <w:vAlign w:val="center"/>
                </w:tcPr>
                <w:p w14:paraId="1A47C923">
                  <w:pPr>
                    <w:jc w:val="center"/>
                    <w:rPr>
                      <w:rFonts w:hint="default" w:ascii="Times New Roman" w:hAnsi="Times New Roman" w:eastAsia="宋体" w:cs="Times New Roman"/>
                      <w:color w:val="0000FF"/>
                      <w:sz w:val="21"/>
                      <w:szCs w:val="21"/>
                      <w:lang w:val="en-US" w:eastAsia="zh-CN"/>
                    </w:rPr>
                  </w:pPr>
                  <w:r>
                    <w:rPr>
                      <w:rFonts w:hint="eastAsia" w:ascii="Times New Roman" w:hAnsi="Times New Roman" w:cs="Times New Roman"/>
                      <w:color w:val="0000FF"/>
                      <w:sz w:val="21"/>
                      <w:szCs w:val="21"/>
                      <w:lang w:val="en-US" w:eastAsia="zh-CN"/>
                    </w:rPr>
                    <w:t>76569.678</w:t>
                  </w:r>
                </w:p>
              </w:tc>
            </w:tr>
            <w:tr w14:paraId="542BD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9" w:type="pct"/>
                  <w:noWrap w:val="0"/>
                  <w:vAlign w:val="center"/>
                </w:tcPr>
                <w:p w14:paraId="0FBEB076">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污泥</w:t>
                  </w:r>
                </w:p>
              </w:tc>
              <w:tc>
                <w:tcPr>
                  <w:tcW w:w="675" w:type="pct"/>
                  <w:noWrap w:val="0"/>
                  <w:vAlign w:val="center"/>
                </w:tcPr>
                <w:p w14:paraId="4F988C27">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60</w:t>
                  </w:r>
                </w:p>
              </w:tc>
              <w:tc>
                <w:tcPr>
                  <w:tcW w:w="435" w:type="pct"/>
                  <w:noWrap w:val="0"/>
                  <w:vAlign w:val="center"/>
                </w:tcPr>
                <w:p w14:paraId="0DDC04C6">
                  <w:pPr>
                    <w:jc w:val="center"/>
                    <w:rPr>
                      <w:rFonts w:ascii="Times New Roman" w:hAnsi="Times New Roman" w:cs="Times New Roman"/>
                      <w:color w:val="0000FF"/>
                      <w:sz w:val="21"/>
                      <w:szCs w:val="21"/>
                    </w:rPr>
                  </w:pPr>
                </w:p>
              </w:tc>
              <w:tc>
                <w:tcPr>
                  <w:tcW w:w="436" w:type="pct"/>
                  <w:noWrap w:val="0"/>
                  <w:vAlign w:val="center"/>
                </w:tcPr>
                <w:p w14:paraId="6649C927">
                  <w:pPr>
                    <w:jc w:val="center"/>
                    <w:rPr>
                      <w:rFonts w:ascii="Times New Roman" w:hAnsi="Times New Roman" w:cs="Times New Roman"/>
                      <w:color w:val="0000FF"/>
                      <w:sz w:val="21"/>
                      <w:szCs w:val="21"/>
                    </w:rPr>
                  </w:pPr>
                </w:p>
              </w:tc>
              <w:tc>
                <w:tcPr>
                  <w:tcW w:w="435" w:type="pct"/>
                  <w:noWrap w:val="0"/>
                  <w:vAlign w:val="center"/>
                </w:tcPr>
                <w:p w14:paraId="4BBE45CA">
                  <w:pPr>
                    <w:jc w:val="center"/>
                    <w:rPr>
                      <w:rFonts w:ascii="Times New Roman" w:hAnsi="Times New Roman" w:cs="Times New Roman"/>
                      <w:color w:val="0000FF"/>
                      <w:sz w:val="21"/>
                      <w:szCs w:val="21"/>
                    </w:rPr>
                  </w:pPr>
                  <w:r>
                    <w:rPr>
                      <w:rFonts w:ascii="Times New Roman" w:hAnsi="Times New Roman" w:cs="Times New Roman"/>
                      <w:color w:val="0000FF"/>
                      <w:sz w:val="21"/>
                      <w:szCs w:val="21"/>
                    </w:rPr>
                    <w:t xml:space="preserve">2.17 </w:t>
                  </w:r>
                </w:p>
              </w:tc>
              <w:tc>
                <w:tcPr>
                  <w:tcW w:w="435" w:type="pct"/>
                  <w:noWrap w:val="0"/>
                  <w:vAlign w:val="center"/>
                </w:tcPr>
                <w:p w14:paraId="6309749A">
                  <w:pPr>
                    <w:jc w:val="center"/>
                    <w:rPr>
                      <w:rFonts w:ascii="Times New Roman" w:hAnsi="Times New Roman" w:cs="Times New Roman"/>
                      <w:color w:val="0000FF"/>
                      <w:sz w:val="21"/>
                      <w:szCs w:val="21"/>
                    </w:rPr>
                  </w:pPr>
                  <w:r>
                    <w:rPr>
                      <w:rFonts w:ascii="Times New Roman" w:hAnsi="Times New Roman" w:cs="Times New Roman"/>
                      <w:color w:val="0000FF"/>
                      <w:sz w:val="21"/>
                      <w:szCs w:val="21"/>
                    </w:rPr>
                    <w:cr/>
                  </w:r>
                  <w:r>
                    <w:rPr>
                      <w:rFonts w:ascii="Times New Roman" w:hAnsi="Times New Roman" w:cs="Times New Roman"/>
                      <w:color w:val="0000FF"/>
                      <w:sz w:val="21"/>
                      <w:szCs w:val="21"/>
                    </w:rPr>
                    <w:t>2</w:t>
                  </w:r>
                </w:p>
              </w:tc>
              <w:tc>
                <w:tcPr>
                  <w:tcW w:w="522" w:type="pct"/>
                  <w:noWrap w:val="0"/>
                  <w:vAlign w:val="center"/>
                </w:tcPr>
                <w:p w14:paraId="388E7507">
                  <w:pPr>
                    <w:jc w:val="center"/>
                    <w:rPr>
                      <w:rFonts w:ascii="Times New Roman" w:hAnsi="Times New Roman" w:cs="Times New Roman"/>
                      <w:color w:val="0000FF"/>
                      <w:sz w:val="21"/>
                      <w:szCs w:val="21"/>
                    </w:rPr>
                  </w:pPr>
                  <w:r>
                    <w:rPr>
                      <w:rFonts w:ascii="Times New Roman" w:hAnsi="Times New Roman" w:cs="Times New Roman"/>
                      <w:color w:val="0000FF"/>
                      <w:sz w:val="21"/>
                      <w:szCs w:val="21"/>
                    </w:rPr>
                    <w:t>17160</w:t>
                  </w:r>
                </w:p>
              </w:tc>
              <w:tc>
                <w:tcPr>
                  <w:tcW w:w="435" w:type="pct"/>
                  <w:noWrap w:val="0"/>
                  <w:vAlign w:val="center"/>
                </w:tcPr>
                <w:p w14:paraId="46F9F61A">
                  <w:pPr>
                    <w:jc w:val="center"/>
                    <w:rPr>
                      <w:rFonts w:ascii="Times New Roman" w:hAnsi="Times New Roman" w:cs="Times New Roman"/>
                      <w:color w:val="0000FF"/>
                      <w:sz w:val="21"/>
                      <w:szCs w:val="21"/>
                    </w:rPr>
                  </w:pPr>
                  <w:r>
                    <w:rPr>
                      <w:rFonts w:ascii="Times New Roman" w:hAnsi="Times New Roman" w:cs="Times New Roman"/>
                      <w:color w:val="0000FF"/>
                      <w:sz w:val="21"/>
                      <w:szCs w:val="21"/>
                    </w:rPr>
                    <w:t>5</w:t>
                  </w:r>
                  <w:r>
                    <w:rPr>
                      <w:rFonts w:ascii="Times New Roman" w:hAnsi="Times New Roman" w:cs="Times New Roman"/>
                      <w:color w:val="0000FF"/>
                      <w:sz w:val="21"/>
                      <w:szCs w:val="21"/>
                    </w:rPr>
                    <w:cr/>
                  </w:r>
                  <w:r>
                    <w:rPr>
                      <w:rFonts w:ascii="Times New Roman" w:hAnsi="Times New Roman" w:cs="Times New Roman"/>
                      <w:color w:val="0000FF"/>
                      <w:sz w:val="21"/>
                      <w:szCs w:val="21"/>
                    </w:rPr>
                    <w:t xml:space="preserve">42 </w:t>
                  </w:r>
                </w:p>
              </w:tc>
              <w:tc>
                <w:tcPr>
                  <w:tcW w:w="435" w:type="pct"/>
                  <w:noWrap w:val="0"/>
                  <w:vAlign w:val="center"/>
                </w:tcPr>
                <w:p w14:paraId="584A52D5">
                  <w:pPr>
                    <w:jc w:val="center"/>
                    <w:rPr>
                      <w:rFonts w:ascii="Times New Roman" w:hAnsi="Times New Roman" w:cs="Times New Roman"/>
                      <w:color w:val="0000FF"/>
                      <w:sz w:val="21"/>
                      <w:szCs w:val="21"/>
                    </w:rPr>
                  </w:pPr>
                  <w:r>
                    <w:rPr>
                      <w:rFonts w:ascii="Times New Roman" w:hAnsi="Times New Roman" w:cs="Times New Roman"/>
                      <w:color w:val="0000FF"/>
                      <w:sz w:val="21"/>
                      <w:szCs w:val="21"/>
                    </w:rPr>
                    <w:t>130</w:t>
                  </w:r>
                </w:p>
              </w:tc>
              <w:tc>
                <w:tcPr>
                  <w:tcW w:w="609" w:type="pct"/>
                  <w:noWrap w:val="0"/>
                  <w:vAlign w:val="center"/>
                </w:tcPr>
                <w:p w14:paraId="78A7D954">
                  <w:pPr>
                    <w:jc w:val="center"/>
                    <w:rPr>
                      <w:rFonts w:ascii="Times New Roman" w:hAnsi="Times New Roman" w:cs="Times New Roman"/>
                      <w:color w:val="0000FF"/>
                      <w:sz w:val="21"/>
                      <w:szCs w:val="21"/>
                    </w:rPr>
                  </w:pPr>
                  <w:r>
                    <w:rPr>
                      <w:rFonts w:ascii="Times New Roman" w:hAnsi="Times New Roman" w:cs="Times New Roman"/>
                      <w:color w:val="0000FF"/>
                      <w:sz w:val="21"/>
                      <w:szCs w:val="21"/>
                    </w:rPr>
                    <w:t>42900</w:t>
                  </w:r>
                </w:p>
              </w:tc>
            </w:tr>
            <w:tr w14:paraId="1B6D9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9" w:type="pct"/>
                  <w:noWrap w:val="0"/>
                  <w:vAlign w:val="center"/>
                </w:tcPr>
                <w:p w14:paraId="6CD04930">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污泥</w:t>
                  </w:r>
                </w:p>
              </w:tc>
              <w:tc>
                <w:tcPr>
                  <w:tcW w:w="675" w:type="pct"/>
                  <w:noWrap w:val="0"/>
                  <w:vAlign w:val="center"/>
                </w:tcPr>
                <w:p w14:paraId="0B2A75BC">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80</w:t>
                  </w:r>
                </w:p>
              </w:tc>
              <w:tc>
                <w:tcPr>
                  <w:tcW w:w="435" w:type="pct"/>
                  <w:noWrap w:val="0"/>
                  <w:vAlign w:val="center"/>
                </w:tcPr>
                <w:p w14:paraId="31B18D33">
                  <w:pPr>
                    <w:jc w:val="center"/>
                    <w:rPr>
                      <w:rFonts w:ascii="Times New Roman" w:hAnsi="Times New Roman" w:cs="Times New Roman"/>
                      <w:color w:val="0000FF"/>
                      <w:sz w:val="21"/>
                      <w:szCs w:val="21"/>
                    </w:rPr>
                  </w:pPr>
                </w:p>
              </w:tc>
              <w:tc>
                <w:tcPr>
                  <w:tcW w:w="436" w:type="pct"/>
                  <w:noWrap w:val="0"/>
                  <w:vAlign w:val="center"/>
                </w:tcPr>
                <w:p w14:paraId="71E42F7E">
                  <w:pPr>
                    <w:jc w:val="center"/>
                    <w:rPr>
                      <w:rFonts w:ascii="Times New Roman" w:hAnsi="Times New Roman" w:cs="Times New Roman"/>
                      <w:color w:val="0000FF"/>
                      <w:sz w:val="21"/>
                      <w:szCs w:val="21"/>
                    </w:rPr>
                  </w:pPr>
                </w:p>
              </w:tc>
              <w:tc>
                <w:tcPr>
                  <w:tcW w:w="435" w:type="pct"/>
                  <w:noWrap w:val="0"/>
                  <w:vAlign w:val="center"/>
                </w:tcPr>
                <w:p w14:paraId="1D2002ED">
                  <w:pPr>
                    <w:jc w:val="center"/>
                    <w:rPr>
                      <w:rFonts w:ascii="Times New Roman" w:hAnsi="Times New Roman" w:cs="Times New Roman"/>
                      <w:color w:val="0000FF"/>
                      <w:sz w:val="21"/>
                      <w:szCs w:val="21"/>
                    </w:rPr>
                  </w:pPr>
                  <w:r>
                    <w:rPr>
                      <w:rFonts w:ascii="Times New Roman" w:hAnsi="Times New Roman" w:cs="Times New Roman"/>
                      <w:color w:val="0000FF"/>
                      <w:sz w:val="21"/>
                      <w:szCs w:val="21"/>
                    </w:rPr>
                    <w:t xml:space="preserve">0.58 </w:t>
                  </w:r>
                </w:p>
              </w:tc>
              <w:tc>
                <w:tcPr>
                  <w:tcW w:w="435" w:type="pct"/>
                  <w:noWrap w:val="0"/>
                  <w:vAlign w:val="center"/>
                </w:tcPr>
                <w:p w14:paraId="46A1D226">
                  <w:pPr>
                    <w:jc w:val="center"/>
                    <w:rPr>
                      <w:rFonts w:ascii="Times New Roman" w:hAnsi="Times New Roman" w:cs="Times New Roman"/>
                      <w:color w:val="0000FF"/>
                      <w:sz w:val="21"/>
                      <w:szCs w:val="21"/>
                    </w:rPr>
                  </w:pPr>
                  <w:r>
                    <w:rPr>
                      <w:rFonts w:ascii="Times New Roman" w:hAnsi="Times New Roman" w:cs="Times New Roman"/>
                      <w:color w:val="0000FF"/>
                      <w:sz w:val="21"/>
                      <w:szCs w:val="21"/>
                    </w:rPr>
                    <w:t>14</w:t>
                  </w:r>
                </w:p>
              </w:tc>
              <w:tc>
                <w:tcPr>
                  <w:tcW w:w="522" w:type="pct"/>
                  <w:noWrap w:val="0"/>
                  <w:vAlign w:val="center"/>
                </w:tcPr>
                <w:p w14:paraId="369B56B3">
                  <w:pPr>
                    <w:jc w:val="center"/>
                    <w:rPr>
                      <w:rFonts w:ascii="Times New Roman" w:hAnsi="Times New Roman" w:cs="Times New Roman"/>
                      <w:color w:val="0000FF"/>
                      <w:sz w:val="21"/>
                      <w:szCs w:val="21"/>
                    </w:rPr>
                  </w:pPr>
                  <w:r>
                    <w:rPr>
                      <w:rFonts w:ascii="Times New Roman" w:hAnsi="Times New Roman" w:cs="Times New Roman"/>
                      <w:color w:val="0000FF"/>
                      <w:sz w:val="21"/>
                      <w:szCs w:val="21"/>
                    </w:rPr>
                    <w:t>4620</w:t>
                  </w:r>
                </w:p>
              </w:tc>
              <w:tc>
                <w:tcPr>
                  <w:tcW w:w="435" w:type="pct"/>
                  <w:noWrap w:val="0"/>
                  <w:vAlign w:val="center"/>
                </w:tcPr>
                <w:p w14:paraId="683467F1">
                  <w:pPr>
                    <w:jc w:val="center"/>
                    <w:rPr>
                      <w:rFonts w:ascii="Times New Roman" w:hAnsi="Times New Roman" w:cs="Times New Roman"/>
                      <w:color w:val="0000FF"/>
                      <w:sz w:val="21"/>
                      <w:szCs w:val="21"/>
                    </w:rPr>
                  </w:pPr>
                  <w:r>
                    <w:rPr>
                      <w:rFonts w:ascii="Times New Roman" w:hAnsi="Times New Roman" w:cs="Times New Roman"/>
                      <w:color w:val="0000FF"/>
                      <w:sz w:val="21"/>
                      <w:szCs w:val="21"/>
                    </w:rPr>
                    <w:t xml:space="preserve">2.92 </w:t>
                  </w:r>
                </w:p>
              </w:tc>
              <w:tc>
                <w:tcPr>
                  <w:tcW w:w="435" w:type="pct"/>
                  <w:noWrap w:val="0"/>
                  <w:vAlign w:val="center"/>
                </w:tcPr>
                <w:p w14:paraId="71161CC0">
                  <w:pPr>
                    <w:jc w:val="center"/>
                    <w:rPr>
                      <w:rFonts w:ascii="Times New Roman" w:hAnsi="Times New Roman" w:cs="Times New Roman"/>
                      <w:color w:val="0000FF"/>
                      <w:sz w:val="21"/>
                      <w:szCs w:val="21"/>
                    </w:rPr>
                  </w:pPr>
                  <w:r>
                    <w:rPr>
                      <w:rFonts w:ascii="Times New Roman" w:hAnsi="Times New Roman" w:cs="Times New Roman"/>
                      <w:color w:val="0000FF"/>
                      <w:sz w:val="21"/>
                      <w:szCs w:val="21"/>
                    </w:rPr>
                    <w:t>70</w:t>
                  </w:r>
                </w:p>
              </w:tc>
              <w:tc>
                <w:tcPr>
                  <w:tcW w:w="609" w:type="pct"/>
                  <w:noWrap w:val="0"/>
                  <w:vAlign w:val="center"/>
                </w:tcPr>
                <w:p w14:paraId="7AA8E023">
                  <w:pPr>
                    <w:jc w:val="center"/>
                    <w:rPr>
                      <w:rFonts w:ascii="Times New Roman" w:hAnsi="Times New Roman" w:cs="Times New Roman"/>
                      <w:color w:val="0000FF"/>
                      <w:sz w:val="21"/>
                      <w:szCs w:val="21"/>
                    </w:rPr>
                  </w:pPr>
                  <w:r>
                    <w:rPr>
                      <w:rFonts w:ascii="Times New Roman" w:hAnsi="Times New Roman" w:cs="Times New Roman"/>
                      <w:color w:val="0000FF"/>
                      <w:sz w:val="21"/>
                      <w:szCs w:val="21"/>
                    </w:rPr>
                    <w:t>23100</w:t>
                  </w:r>
                </w:p>
              </w:tc>
            </w:tr>
          </w:tbl>
          <w:p w14:paraId="2C4BC28F">
            <w:pPr>
              <w:pStyle w:val="9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0000FF"/>
                <w:kern w:val="0"/>
                <w:sz w:val="24"/>
                <w:szCs w:val="24"/>
                <w:lang w:val="en-US" w:eastAsia="zh-CN" w:bidi="ar-SA"/>
              </w:rPr>
            </w:pPr>
            <w:r>
              <w:rPr>
                <w:rFonts w:hint="eastAsia" w:cs="Times New Roman"/>
                <w:color w:val="0000FF"/>
                <w:kern w:val="0"/>
                <w:sz w:val="24"/>
                <w:szCs w:val="24"/>
                <w:lang w:val="en-US" w:eastAsia="zh-CN" w:bidi="ar-SA"/>
              </w:rPr>
              <w:t>2</w:t>
            </w:r>
            <w:r>
              <w:rPr>
                <w:rFonts w:hint="eastAsia" w:ascii="Times New Roman" w:hAnsi="Times New Roman" w:eastAsia="宋体" w:cs="Times New Roman"/>
                <w:color w:val="0000FF"/>
                <w:kern w:val="0"/>
                <w:sz w:val="24"/>
                <w:szCs w:val="24"/>
                <w:lang w:val="en-US" w:eastAsia="zh-CN" w:bidi="ar-SA"/>
              </w:rPr>
              <w:t>、氯平衡</w:t>
            </w:r>
          </w:p>
          <w:p w14:paraId="7D1B7034">
            <w:pPr>
              <w:pStyle w:val="9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eastAsia" w:cs="Times New Roman"/>
                <w:color w:val="0000FF"/>
                <w:kern w:val="0"/>
                <w:sz w:val="24"/>
                <w:szCs w:val="24"/>
                <w:lang w:val="en-US" w:eastAsia="zh-CN" w:bidi="ar-SA"/>
              </w:rPr>
            </w:pPr>
            <w:r>
              <w:rPr>
                <w:rFonts w:hint="eastAsia" w:cs="Times New Roman"/>
                <w:color w:val="0000FF"/>
                <w:kern w:val="0"/>
                <w:sz w:val="24"/>
                <w:szCs w:val="24"/>
                <w:lang w:val="en-US" w:eastAsia="zh-CN" w:bidi="ar-SA"/>
              </w:rPr>
              <w:t>本项目氯主要为固体废物进入水泥窑协同处置后，通过进入熟料以及废气的形式产出。本次熟料产生氯的固化效率依据《安徽铜陵海螺水泥有限公司2#水泥窑替代燃料综合利用项目环境影响报告表》中数据，取97.116%。改造前本项目水泥窑熟料生产线氯元素平衡见下表。</w:t>
            </w:r>
          </w:p>
          <w:p w14:paraId="1C7450C9">
            <w:pPr>
              <w:autoSpaceDE w:val="0"/>
              <w:autoSpaceDN w:val="0"/>
              <w:adjustRightInd w:val="0"/>
              <w:jc w:val="center"/>
              <w:rPr>
                <w:rFonts w:hint="eastAsia" w:cs="Times New Roman"/>
                <w:b/>
                <w:color w:val="0000FF"/>
                <w:lang w:eastAsia="zh-CN"/>
              </w:rPr>
            </w:pPr>
            <w:r>
              <w:rPr>
                <w:rFonts w:hint="eastAsia" w:ascii="Times New Roman" w:hAnsi="Times New Roman" w:cs="Times New Roman"/>
                <w:b/>
                <w:color w:val="0000FF"/>
              </w:rPr>
              <w:t>表</w:t>
            </w:r>
            <w:r>
              <w:rPr>
                <w:rFonts w:ascii="Times New Roman" w:hAnsi="Times New Roman" w:cs="Times New Roman"/>
                <w:b/>
                <w:color w:val="0000FF"/>
              </w:rPr>
              <w:t>2</w:t>
            </w:r>
            <w:r>
              <w:rPr>
                <w:rFonts w:hint="eastAsia" w:ascii="Times New Roman" w:hAnsi="Times New Roman" w:cs="Times New Roman"/>
                <w:b/>
                <w:color w:val="0000FF"/>
                <w:lang w:val="en-US" w:eastAsia="zh-CN"/>
              </w:rPr>
              <w:t>-</w:t>
            </w:r>
            <w:r>
              <w:rPr>
                <w:rFonts w:hint="eastAsia" w:cs="Times New Roman"/>
                <w:b/>
                <w:color w:val="0000FF"/>
                <w:lang w:val="en-US" w:eastAsia="zh-CN"/>
              </w:rPr>
              <w:t xml:space="preserve">27 </w:t>
            </w:r>
            <w:r>
              <w:rPr>
                <w:rFonts w:hint="eastAsia" w:cs="Times New Roman"/>
                <w:b/>
                <w:color w:val="0000FF"/>
                <w:lang w:eastAsia="zh-CN"/>
              </w:rPr>
              <w:t>改造前水泥窑氯元素平衡表</w:t>
            </w:r>
          </w:p>
          <w:tbl>
            <w:tblPr>
              <w:tblStyle w:val="2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4"/>
              <w:gridCol w:w="1534"/>
              <w:gridCol w:w="1534"/>
              <w:gridCol w:w="1536"/>
              <w:gridCol w:w="1535"/>
              <w:gridCol w:w="1535"/>
            </w:tblGrid>
            <w:tr w14:paraId="2FEA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3333" w:type="pct"/>
                  <w:gridSpan w:val="4"/>
                </w:tcPr>
                <w:p w14:paraId="2A780087">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投入</w:t>
                  </w:r>
                </w:p>
              </w:tc>
              <w:tc>
                <w:tcPr>
                  <w:tcW w:w="1666" w:type="pct"/>
                  <w:gridSpan w:val="2"/>
                </w:tcPr>
                <w:p w14:paraId="26B6A2BD">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产出</w:t>
                  </w:r>
                </w:p>
              </w:tc>
            </w:tr>
            <w:tr w14:paraId="6A8E9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33" w:type="pct"/>
                </w:tcPr>
                <w:p w14:paraId="438159DB">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物料</w:t>
                  </w:r>
                </w:p>
              </w:tc>
              <w:tc>
                <w:tcPr>
                  <w:tcW w:w="833" w:type="pct"/>
                </w:tcPr>
                <w:p w14:paraId="76F88306">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用量（t/a）</w:t>
                  </w:r>
                </w:p>
              </w:tc>
              <w:tc>
                <w:tcPr>
                  <w:tcW w:w="833" w:type="pct"/>
                </w:tcPr>
                <w:p w14:paraId="57B41771">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含氯量（%）</w:t>
                  </w:r>
                </w:p>
              </w:tc>
              <w:tc>
                <w:tcPr>
                  <w:tcW w:w="833" w:type="pct"/>
                </w:tcPr>
                <w:p w14:paraId="20217382">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氯含量（t/a）</w:t>
                  </w:r>
                </w:p>
              </w:tc>
              <w:tc>
                <w:tcPr>
                  <w:tcW w:w="833" w:type="pct"/>
                </w:tcPr>
                <w:p w14:paraId="0324E448">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去向</w:t>
                  </w:r>
                </w:p>
              </w:tc>
              <w:tc>
                <w:tcPr>
                  <w:tcW w:w="833" w:type="pct"/>
                </w:tcPr>
                <w:p w14:paraId="3FF70ABA">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氯含量（t/a）</w:t>
                  </w:r>
                </w:p>
              </w:tc>
            </w:tr>
            <w:tr w14:paraId="6BB47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33" w:type="pct"/>
                  <w:vAlign w:val="center"/>
                </w:tcPr>
                <w:p w14:paraId="20CCA33A">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废纺</w:t>
                  </w:r>
                </w:p>
              </w:tc>
              <w:tc>
                <w:tcPr>
                  <w:tcW w:w="833" w:type="pct"/>
                  <w:vAlign w:val="center"/>
                </w:tcPr>
                <w:p w14:paraId="4D3FDA16">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w:t>
                  </w:r>
                </w:p>
              </w:tc>
              <w:tc>
                <w:tcPr>
                  <w:tcW w:w="833" w:type="pct"/>
                  <w:vAlign w:val="center"/>
                </w:tcPr>
                <w:p w14:paraId="0A96B5BA">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2.455</w:t>
                  </w:r>
                </w:p>
              </w:tc>
              <w:tc>
                <w:tcPr>
                  <w:tcW w:w="833" w:type="pct"/>
                </w:tcPr>
                <w:p w14:paraId="0C88240D">
                  <w:pPr>
                    <w:adjustRightInd w:val="0"/>
                    <w:snapToGrid w:val="0"/>
                    <w:jc w:val="center"/>
                    <w:rPr>
                      <w:rFonts w:hint="default" w:ascii="Times New Roman" w:hAnsi="Times New Roman" w:eastAsia="宋体" w:cs="Times New Roman"/>
                      <w:bCs/>
                      <w:color w:val="0000FF"/>
                      <w:szCs w:val="21"/>
                      <w:lang w:val="en-US" w:eastAsia="zh-CN"/>
                    </w:rPr>
                  </w:pPr>
                </w:p>
              </w:tc>
              <w:tc>
                <w:tcPr>
                  <w:tcW w:w="833" w:type="pct"/>
                </w:tcPr>
                <w:p w14:paraId="13C647F6">
                  <w:pPr>
                    <w:adjustRightInd w:val="0"/>
                    <w:snapToGrid w:val="0"/>
                    <w:jc w:val="center"/>
                    <w:rPr>
                      <w:rFonts w:hint="default" w:ascii="Times New Roman" w:hAnsi="Times New Roman" w:eastAsia="宋体" w:cs="Times New Roman"/>
                      <w:bCs/>
                      <w:color w:val="0000FF"/>
                      <w:szCs w:val="21"/>
                      <w:lang w:val="en-US" w:eastAsia="zh-CN"/>
                    </w:rPr>
                  </w:pPr>
                </w:p>
              </w:tc>
              <w:tc>
                <w:tcPr>
                  <w:tcW w:w="833" w:type="pct"/>
                </w:tcPr>
                <w:p w14:paraId="591074A5">
                  <w:pPr>
                    <w:adjustRightInd w:val="0"/>
                    <w:snapToGrid w:val="0"/>
                    <w:jc w:val="center"/>
                    <w:rPr>
                      <w:rFonts w:hint="default" w:ascii="Times New Roman" w:hAnsi="Times New Roman" w:eastAsia="宋体" w:cs="Times New Roman"/>
                      <w:bCs/>
                      <w:color w:val="0000FF"/>
                      <w:szCs w:val="21"/>
                      <w:lang w:val="en-US" w:eastAsia="zh-CN"/>
                    </w:rPr>
                  </w:pPr>
                </w:p>
              </w:tc>
            </w:tr>
            <w:tr w14:paraId="502DC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33" w:type="pct"/>
                  <w:vAlign w:val="center"/>
                </w:tcPr>
                <w:p w14:paraId="02D97221">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生物质（木屑）</w:t>
                  </w:r>
                </w:p>
              </w:tc>
              <w:tc>
                <w:tcPr>
                  <w:tcW w:w="833" w:type="pct"/>
                  <w:vAlign w:val="center"/>
                </w:tcPr>
                <w:p w14:paraId="009F3800">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w:t>
                  </w:r>
                </w:p>
              </w:tc>
              <w:tc>
                <w:tcPr>
                  <w:tcW w:w="833" w:type="pct"/>
                  <w:vAlign w:val="center"/>
                </w:tcPr>
                <w:p w14:paraId="0ED31A9E">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0..033</w:t>
                  </w:r>
                </w:p>
              </w:tc>
              <w:tc>
                <w:tcPr>
                  <w:tcW w:w="833" w:type="pct"/>
                </w:tcPr>
                <w:p w14:paraId="00FCDCA3">
                  <w:pPr>
                    <w:adjustRightInd w:val="0"/>
                    <w:snapToGrid w:val="0"/>
                    <w:jc w:val="center"/>
                    <w:rPr>
                      <w:rFonts w:hint="default" w:ascii="Times New Roman" w:hAnsi="Times New Roman" w:eastAsia="宋体" w:cs="Times New Roman"/>
                      <w:bCs/>
                      <w:color w:val="0000FF"/>
                      <w:szCs w:val="21"/>
                      <w:lang w:val="en-US" w:eastAsia="zh-CN"/>
                    </w:rPr>
                  </w:pPr>
                </w:p>
              </w:tc>
              <w:tc>
                <w:tcPr>
                  <w:tcW w:w="833" w:type="pct"/>
                </w:tcPr>
                <w:p w14:paraId="57A766D4">
                  <w:pPr>
                    <w:adjustRightInd w:val="0"/>
                    <w:snapToGrid w:val="0"/>
                    <w:jc w:val="center"/>
                    <w:rPr>
                      <w:rFonts w:hint="default" w:ascii="Times New Roman" w:hAnsi="Times New Roman" w:eastAsia="宋体" w:cs="Times New Roman"/>
                      <w:bCs/>
                      <w:color w:val="0000FF"/>
                      <w:szCs w:val="21"/>
                      <w:lang w:val="en-US" w:eastAsia="zh-CN"/>
                    </w:rPr>
                  </w:pPr>
                </w:p>
              </w:tc>
              <w:tc>
                <w:tcPr>
                  <w:tcW w:w="833" w:type="pct"/>
                </w:tcPr>
                <w:p w14:paraId="59A71267">
                  <w:pPr>
                    <w:adjustRightInd w:val="0"/>
                    <w:snapToGrid w:val="0"/>
                    <w:jc w:val="center"/>
                    <w:rPr>
                      <w:rFonts w:hint="default" w:ascii="Times New Roman" w:hAnsi="Times New Roman" w:eastAsia="宋体" w:cs="Times New Roman"/>
                      <w:bCs/>
                      <w:color w:val="0000FF"/>
                      <w:szCs w:val="21"/>
                      <w:lang w:val="en-US" w:eastAsia="zh-CN"/>
                    </w:rPr>
                  </w:pPr>
                </w:p>
              </w:tc>
            </w:tr>
            <w:tr w14:paraId="17C8D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33" w:type="pct"/>
                  <w:vAlign w:val="center"/>
                </w:tcPr>
                <w:p w14:paraId="1A8AAA2C">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煤</w:t>
                  </w:r>
                </w:p>
              </w:tc>
              <w:tc>
                <w:tcPr>
                  <w:tcW w:w="833" w:type="pct"/>
                  <w:vAlign w:val="center"/>
                </w:tcPr>
                <w:p w14:paraId="027D50E3">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237600</w:t>
                  </w:r>
                </w:p>
              </w:tc>
              <w:tc>
                <w:tcPr>
                  <w:tcW w:w="833" w:type="pct"/>
                  <w:vAlign w:val="center"/>
                </w:tcPr>
                <w:p w14:paraId="088B1679">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0.0096</w:t>
                  </w:r>
                </w:p>
              </w:tc>
              <w:tc>
                <w:tcPr>
                  <w:tcW w:w="833" w:type="pct"/>
                </w:tcPr>
                <w:p w14:paraId="1A5DDD1D">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26.78</w:t>
                  </w:r>
                </w:p>
              </w:tc>
              <w:tc>
                <w:tcPr>
                  <w:tcW w:w="833" w:type="pct"/>
                </w:tcPr>
                <w:p w14:paraId="1407D1FD">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进入水泥</w:t>
                  </w:r>
                </w:p>
              </w:tc>
              <w:tc>
                <w:tcPr>
                  <w:tcW w:w="833" w:type="pct"/>
                </w:tcPr>
                <w:p w14:paraId="39C92AF9">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215.77</w:t>
                  </w:r>
                </w:p>
              </w:tc>
            </w:tr>
            <w:tr w14:paraId="5AAB4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33" w:type="pct"/>
                  <w:vAlign w:val="center"/>
                </w:tcPr>
                <w:p w14:paraId="4258442C">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生料</w:t>
                  </w:r>
                </w:p>
              </w:tc>
              <w:tc>
                <w:tcPr>
                  <w:tcW w:w="833" w:type="pct"/>
                  <w:vAlign w:val="center"/>
                </w:tcPr>
                <w:p w14:paraId="0682B511">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2470875</w:t>
                  </w:r>
                </w:p>
              </w:tc>
              <w:tc>
                <w:tcPr>
                  <w:tcW w:w="833" w:type="pct"/>
                  <w:vAlign w:val="center"/>
                </w:tcPr>
                <w:p w14:paraId="5AE33A6F">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0.0083</w:t>
                  </w:r>
                </w:p>
              </w:tc>
              <w:tc>
                <w:tcPr>
                  <w:tcW w:w="833" w:type="pct"/>
                </w:tcPr>
                <w:p w14:paraId="5AF9F5BB">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180.86</w:t>
                  </w:r>
                </w:p>
              </w:tc>
              <w:tc>
                <w:tcPr>
                  <w:tcW w:w="833" w:type="pct"/>
                </w:tcPr>
                <w:p w14:paraId="5D0D5F49">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外排大气</w:t>
                  </w:r>
                </w:p>
              </w:tc>
              <w:tc>
                <w:tcPr>
                  <w:tcW w:w="833" w:type="pct"/>
                </w:tcPr>
                <w:p w14:paraId="3D6B7EC5">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8.13</w:t>
                  </w:r>
                </w:p>
              </w:tc>
            </w:tr>
            <w:tr w14:paraId="15E28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33" w:type="pct"/>
                </w:tcPr>
                <w:p w14:paraId="73CBAB35">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合计</w:t>
                  </w:r>
                </w:p>
              </w:tc>
              <w:tc>
                <w:tcPr>
                  <w:tcW w:w="833" w:type="pct"/>
                </w:tcPr>
                <w:p w14:paraId="6A095C1E">
                  <w:pPr>
                    <w:adjustRightInd w:val="0"/>
                    <w:snapToGrid w:val="0"/>
                    <w:jc w:val="center"/>
                    <w:rPr>
                      <w:rFonts w:hint="default" w:ascii="Times New Roman" w:hAnsi="Times New Roman" w:eastAsia="宋体" w:cs="Times New Roman"/>
                      <w:bCs/>
                      <w:color w:val="0000FF"/>
                      <w:szCs w:val="21"/>
                      <w:lang w:val="en-US" w:eastAsia="zh-CN"/>
                    </w:rPr>
                  </w:pPr>
                </w:p>
              </w:tc>
              <w:tc>
                <w:tcPr>
                  <w:tcW w:w="833" w:type="pct"/>
                </w:tcPr>
                <w:p w14:paraId="320587FF">
                  <w:pPr>
                    <w:adjustRightInd w:val="0"/>
                    <w:snapToGrid w:val="0"/>
                    <w:jc w:val="center"/>
                    <w:rPr>
                      <w:rFonts w:hint="default" w:ascii="Times New Roman" w:hAnsi="Times New Roman" w:eastAsia="宋体" w:cs="Times New Roman"/>
                      <w:bCs/>
                      <w:color w:val="0000FF"/>
                      <w:szCs w:val="21"/>
                      <w:lang w:val="en-US" w:eastAsia="zh-CN"/>
                    </w:rPr>
                  </w:pPr>
                </w:p>
              </w:tc>
              <w:tc>
                <w:tcPr>
                  <w:tcW w:w="833" w:type="pct"/>
                </w:tcPr>
                <w:p w14:paraId="533729C5">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207.64</w:t>
                  </w:r>
                </w:p>
              </w:tc>
              <w:tc>
                <w:tcPr>
                  <w:tcW w:w="833" w:type="pct"/>
                </w:tcPr>
                <w:p w14:paraId="797113C0">
                  <w:pPr>
                    <w:adjustRightInd w:val="0"/>
                    <w:snapToGrid w:val="0"/>
                    <w:jc w:val="center"/>
                    <w:rPr>
                      <w:rFonts w:hint="default" w:ascii="Times New Roman" w:hAnsi="Times New Roman" w:eastAsia="宋体" w:cs="Times New Roman"/>
                      <w:bCs/>
                      <w:color w:val="0000FF"/>
                      <w:szCs w:val="21"/>
                      <w:lang w:val="en-US" w:eastAsia="zh-CN"/>
                    </w:rPr>
                  </w:pPr>
                </w:p>
              </w:tc>
              <w:tc>
                <w:tcPr>
                  <w:tcW w:w="833" w:type="pct"/>
                </w:tcPr>
                <w:p w14:paraId="47371937">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207.64</w:t>
                  </w:r>
                </w:p>
              </w:tc>
            </w:tr>
          </w:tbl>
          <w:p w14:paraId="74F2E603">
            <w:pPr>
              <w:pStyle w:val="9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cs="Times New Roman"/>
                <w:b/>
                <w:color w:val="0000FF"/>
              </w:rPr>
            </w:pPr>
            <w:r>
              <w:rPr>
                <w:rFonts w:hint="eastAsia" w:cs="Times New Roman"/>
                <w:color w:val="0000FF"/>
                <w:kern w:val="0"/>
                <w:sz w:val="24"/>
                <w:szCs w:val="24"/>
                <w:lang w:val="en-US" w:eastAsia="zh-CN" w:bidi="ar-SA"/>
              </w:rPr>
              <w:t>改造后本项目水泥窑熟料生产线氯元素平衡见下表。</w:t>
            </w:r>
          </w:p>
          <w:p w14:paraId="1CAFDAF4">
            <w:pPr>
              <w:autoSpaceDE w:val="0"/>
              <w:autoSpaceDN w:val="0"/>
              <w:adjustRightInd w:val="0"/>
              <w:jc w:val="center"/>
              <w:rPr>
                <w:rFonts w:hint="eastAsia" w:cs="Times New Roman"/>
                <w:b/>
                <w:color w:val="0000FF"/>
                <w:lang w:eastAsia="zh-CN"/>
              </w:rPr>
            </w:pPr>
            <w:r>
              <w:rPr>
                <w:rFonts w:hint="eastAsia" w:ascii="Times New Roman" w:hAnsi="Times New Roman" w:cs="Times New Roman"/>
                <w:b/>
                <w:color w:val="0000FF"/>
              </w:rPr>
              <w:t>表</w:t>
            </w:r>
            <w:r>
              <w:rPr>
                <w:rFonts w:ascii="Times New Roman" w:hAnsi="Times New Roman" w:cs="Times New Roman"/>
                <w:b/>
                <w:color w:val="0000FF"/>
              </w:rPr>
              <w:t>2</w:t>
            </w:r>
            <w:r>
              <w:rPr>
                <w:rFonts w:hint="eastAsia" w:ascii="Times New Roman" w:hAnsi="Times New Roman" w:cs="Times New Roman"/>
                <w:b/>
                <w:color w:val="0000FF"/>
                <w:lang w:val="en-US" w:eastAsia="zh-CN"/>
              </w:rPr>
              <w:t>-</w:t>
            </w:r>
            <w:r>
              <w:rPr>
                <w:rFonts w:hint="eastAsia" w:cs="Times New Roman"/>
                <w:b/>
                <w:color w:val="0000FF"/>
                <w:lang w:val="en-US" w:eastAsia="zh-CN"/>
              </w:rPr>
              <w:t>28</w:t>
            </w:r>
            <w:r>
              <w:rPr>
                <w:rFonts w:ascii="Times New Roman" w:hAnsi="Times New Roman" w:cs="Times New Roman"/>
                <w:b/>
                <w:color w:val="0000FF"/>
              </w:rPr>
              <w:t xml:space="preserve"> </w:t>
            </w:r>
            <w:r>
              <w:rPr>
                <w:rFonts w:hint="eastAsia" w:cs="Times New Roman"/>
                <w:b/>
                <w:color w:val="0000FF"/>
                <w:lang w:eastAsia="zh-CN"/>
              </w:rPr>
              <w:t>改造后水泥窑氯元素平衡表</w:t>
            </w:r>
          </w:p>
          <w:tbl>
            <w:tblPr>
              <w:tblStyle w:val="2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4"/>
              <w:gridCol w:w="1534"/>
              <w:gridCol w:w="1534"/>
              <w:gridCol w:w="1536"/>
              <w:gridCol w:w="1535"/>
              <w:gridCol w:w="1535"/>
            </w:tblGrid>
            <w:tr w14:paraId="7C00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3333" w:type="pct"/>
                  <w:gridSpan w:val="4"/>
                </w:tcPr>
                <w:p w14:paraId="3C9CBD51">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投入</w:t>
                  </w:r>
                </w:p>
              </w:tc>
              <w:tc>
                <w:tcPr>
                  <w:tcW w:w="1666" w:type="pct"/>
                  <w:gridSpan w:val="2"/>
                </w:tcPr>
                <w:p w14:paraId="00D68FD5">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产出</w:t>
                  </w:r>
                </w:p>
              </w:tc>
            </w:tr>
            <w:tr w14:paraId="52656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33" w:type="pct"/>
                </w:tcPr>
                <w:p w14:paraId="5FAB9F71">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物料</w:t>
                  </w:r>
                </w:p>
              </w:tc>
              <w:tc>
                <w:tcPr>
                  <w:tcW w:w="833" w:type="pct"/>
                </w:tcPr>
                <w:p w14:paraId="032B7D95">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用量（t/a）</w:t>
                  </w:r>
                </w:p>
              </w:tc>
              <w:tc>
                <w:tcPr>
                  <w:tcW w:w="833" w:type="pct"/>
                </w:tcPr>
                <w:p w14:paraId="058C6ED4">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含氯量（%）</w:t>
                  </w:r>
                </w:p>
              </w:tc>
              <w:tc>
                <w:tcPr>
                  <w:tcW w:w="833" w:type="pct"/>
                </w:tcPr>
                <w:p w14:paraId="2CADDBD8">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氯含量（t/a）</w:t>
                  </w:r>
                </w:p>
              </w:tc>
              <w:tc>
                <w:tcPr>
                  <w:tcW w:w="833" w:type="pct"/>
                </w:tcPr>
                <w:p w14:paraId="181C8D8A">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去向</w:t>
                  </w:r>
                </w:p>
              </w:tc>
              <w:tc>
                <w:tcPr>
                  <w:tcW w:w="833" w:type="pct"/>
                </w:tcPr>
                <w:p w14:paraId="503E98E3">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氯含量（t/a）</w:t>
                  </w:r>
                </w:p>
              </w:tc>
            </w:tr>
            <w:tr w14:paraId="04B5E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33" w:type="pct"/>
                  <w:vAlign w:val="center"/>
                </w:tcPr>
                <w:p w14:paraId="2F822007">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废纺</w:t>
                  </w:r>
                </w:p>
              </w:tc>
              <w:tc>
                <w:tcPr>
                  <w:tcW w:w="1532" w:type="dxa"/>
                  <w:vAlign w:val="center"/>
                </w:tcPr>
                <w:p w14:paraId="67E7BDB9">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50000</w:t>
                  </w:r>
                </w:p>
              </w:tc>
              <w:tc>
                <w:tcPr>
                  <w:tcW w:w="1533" w:type="dxa"/>
                  <w:vAlign w:val="center"/>
                </w:tcPr>
                <w:p w14:paraId="10507A7D">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2.455</w:t>
                  </w:r>
                </w:p>
              </w:tc>
              <w:tc>
                <w:tcPr>
                  <w:tcW w:w="833" w:type="pct"/>
                </w:tcPr>
                <w:p w14:paraId="4418D625">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70</w:t>
                  </w:r>
                </w:p>
              </w:tc>
              <w:tc>
                <w:tcPr>
                  <w:tcW w:w="833" w:type="pct"/>
                  <w:vAlign w:val="top"/>
                </w:tcPr>
                <w:p w14:paraId="6C091B1D">
                  <w:pPr>
                    <w:adjustRightInd w:val="0"/>
                    <w:snapToGrid w:val="0"/>
                    <w:jc w:val="center"/>
                    <w:rPr>
                      <w:rFonts w:hint="default" w:ascii="Times New Roman" w:hAnsi="Times New Roman" w:eastAsia="宋体" w:cs="Times New Roman"/>
                      <w:bCs/>
                      <w:color w:val="0000FF"/>
                      <w:szCs w:val="21"/>
                      <w:lang w:val="en-US" w:eastAsia="zh-CN"/>
                    </w:rPr>
                  </w:pPr>
                </w:p>
              </w:tc>
              <w:tc>
                <w:tcPr>
                  <w:tcW w:w="833" w:type="pct"/>
                </w:tcPr>
                <w:p w14:paraId="6814F68B">
                  <w:pPr>
                    <w:adjustRightInd w:val="0"/>
                    <w:snapToGrid w:val="0"/>
                    <w:jc w:val="center"/>
                    <w:rPr>
                      <w:rFonts w:hint="default" w:ascii="Times New Roman" w:hAnsi="Times New Roman" w:eastAsia="宋体" w:cs="Times New Roman"/>
                      <w:bCs/>
                      <w:color w:val="0000FF"/>
                      <w:szCs w:val="21"/>
                      <w:lang w:val="en-US" w:eastAsia="zh-CN"/>
                    </w:rPr>
                  </w:pPr>
                </w:p>
              </w:tc>
            </w:tr>
            <w:tr w14:paraId="77E48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33" w:type="pct"/>
                  <w:vAlign w:val="center"/>
                </w:tcPr>
                <w:p w14:paraId="5473F334">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生物质（木屑）</w:t>
                  </w:r>
                </w:p>
              </w:tc>
              <w:tc>
                <w:tcPr>
                  <w:tcW w:w="1532" w:type="dxa"/>
                  <w:vAlign w:val="center"/>
                </w:tcPr>
                <w:p w14:paraId="41896461">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50000</w:t>
                  </w:r>
                </w:p>
              </w:tc>
              <w:tc>
                <w:tcPr>
                  <w:tcW w:w="1533" w:type="dxa"/>
                  <w:vAlign w:val="center"/>
                </w:tcPr>
                <w:p w14:paraId="49C7F505">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0..033</w:t>
                  </w:r>
                </w:p>
              </w:tc>
              <w:tc>
                <w:tcPr>
                  <w:tcW w:w="833" w:type="pct"/>
                </w:tcPr>
                <w:p w14:paraId="444D3E4C">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33</w:t>
                  </w:r>
                </w:p>
              </w:tc>
              <w:tc>
                <w:tcPr>
                  <w:tcW w:w="833" w:type="pct"/>
                  <w:vAlign w:val="top"/>
                </w:tcPr>
                <w:p w14:paraId="2FC358A4">
                  <w:pPr>
                    <w:adjustRightInd w:val="0"/>
                    <w:snapToGrid w:val="0"/>
                    <w:jc w:val="center"/>
                    <w:rPr>
                      <w:rFonts w:hint="default" w:ascii="Times New Roman" w:hAnsi="Times New Roman" w:eastAsia="宋体" w:cs="Times New Roman"/>
                      <w:bCs/>
                      <w:color w:val="0000FF"/>
                      <w:szCs w:val="21"/>
                      <w:lang w:val="en-US" w:eastAsia="zh-CN"/>
                    </w:rPr>
                  </w:pPr>
                </w:p>
              </w:tc>
              <w:tc>
                <w:tcPr>
                  <w:tcW w:w="833" w:type="pct"/>
                </w:tcPr>
                <w:p w14:paraId="1507C9F9">
                  <w:pPr>
                    <w:adjustRightInd w:val="0"/>
                    <w:snapToGrid w:val="0"/>
                    <w:jc w:val="center"/>
                    <w:rPr>
                      <w:rFonts w:hint="default" w:ascii="Times New Roman" w:hAnsi="Times New Roman" w:eastAsia="宋体" w:cs="Times New Roman"/>
                      <w:bCs/>
                      <w:color w:val="0000FF"/>
                      <w:szCs w:val="21"/>
                      <w:lang w:val="en-US" w:eastAsia="zh-CN"/>
                    </w:rPr>
                  </w:pPr>
                </w:p>
              </w:tc>
            </w:tr>
            <w:tr w14:paraId="1A4BA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33" w:type="pct"/>
                  <w:vAlign w:val="center"/>
                </w:tcPr>
                <w:p w14:paraId="68D3F1B8">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煤</w:t>
                  </w:r>
                </w:p>
              </w:tc>
              <w:tc>
                <w:tcPr>
                  <w:tcW w:w="1532" w:type="dxa"/>
                  <w:vAlign w:val="center"/>
                </w:tcPr>
                <w:p w14:paraId="7FD18EC1">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192700</w:t>
                  </w:r>
                </w:p>
              </w:tc>
              <w:tc>
                <w:tcPr>
                  <w:tcW w:w="833" w:type="pct"/>
                  <w:vAlign w:val="center"/>
                </w:tcPr>
                <w:p w14:paraId="514DD78E">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0.0096</w:t>
                  </w:r>
                </w:p>
              </w:tc>
              <w:tc>
                <w:tcPr>
                  <w:tcW w:w="833" w:type="pct"/>
                </w:tcPr>
                <w:p w14:paraId="309D9A65">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22.47</w:t>
                  </w:r>
                </w:p>
              </w:tc>
              <w:tc>
                <w:tcPr>
                  <w:tcW w:w="833" w:type="pct"/>
                  <w:vAlign w:val="top"/>
                </w:tcPr>
                <w:p w14:paraId="007BB0ED">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进入水泥</w:t>
                  </w:r>
                </w:p>
              </w:tc>
              <w:tc>
                <w:tcPr>
                  <w:tcW w:w="833" w:type="pct"/>
                </w:tcPr>
                <w:p w14:paraId="1B1E53EB">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295.01</w:t>
                  </w:r>
                </w:p>
              </w:tc>
            </w:tr>
            <w:tr w14:paraId="71943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33" w:type="pct"/>
                  <w:vAlign w:val="center"/>
                </w:tcPr>
                <w:p w14:paraId="2125F991">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生料</w:t>
                  </w:r>
                </w:p>
              </w:tc>
              <w:tc>
                <w:tcPr>
                  <w:tcW w:w="1532" w:type="dxa"/>
                  <w:vAlign w:val="center"/>
                </w:tcPr>
                <w:p w14:paraId="084F75BC">
                  <w:pPr>
                    <w:adjustRightInd w:val="0"/>
                    <w:snapToGrid w:val="0"/>
                    <w:jc w:val="center"/>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2470875</w:t>
                  </w:r>
                </w:p>
              </w:tc>
              <w:tc>
                <w:tcPr>
                  <w:tcW w:w="833" w:type="pct"/>
                  <w:vAlign w:val="center"/>
                </w:tcPr>
                <w:p w14:paraId="37C1A0C1">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0.0083</w:t>
                  </w:r>
                </w:p>
              </w:tc>
              <w:tc>
                <w:tcPr>
                  <w:tcW w:w="833" w:type="pct"/>
                </w:tcPr>
                <w:p w14:paraId="1E7E487E">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180.86</w:t>
                  </w:r>
                </w:p>
              </w:tc>
              <w:tc>
                <w:tcPr>
                  <w:tcW w:w="833" w:type="pct"/>
                  <w:vAlign w:val="top"/>
                </w:tcPr>
                <w:p w14:paraId="378087EE">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外排大气</w:t>
                  </w:r>
                </w:p>
              </w:tc>
              <w:tc>
                <w:tcPr>
                  <w:tcW w:w="833" w:type="pct"/>
                </w:tcPr>
                <w:p w14:paraId="5AAB3606">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11.32</w:t>
                  </w:r>
                </w:p>
              </w:tc>
            </w:tr>
            <w:tr w14:paraId="3574B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33" w:type="pct"/>
                </w:tcPr>
                <w:p w14:paraId="20F8FC47">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合计</w:t>
                  </w:r>
                </w:p>
              </w:tc>
              <w:tc>
                <w:tcPr>
                  <w:tcW w:w="833" w:type="pct"/>
                </w:tcPr>
                <w:p w14:paraId="2737C6D8">
                  <w:pPr>
                    <w:adjustRightInd w:val="0"/>
                    <w:snapToGrid w:val="0"/>
                    <w:jc w:val="center"/>
                    <w:rPr>
                      <w:rFonts w:hint="default" w:ascii="Times New Roman" w:hAnsi="Times New Roman" w:eastAsia="宋体" w:cs="Times New Roman"/>
                      <w:bCs/>
                      <w:color w:val="0000FF"/>
                      <w:szCs w:val="21"/>
                      <w:lang w:val="en-US" w:eastAsia="zh-CN"/>
                    </w:rPr>
                  </w:pPr>
                </w:p>
              </w:tc>
              <w:tc>
                <w:tcPr>
                  <w:tcW w:w="833" w:type="pct"/>
                </w:tcPr>
                <w:p w14:paraId="6AD09B13">
                  <w:pPr>
                    <w:adjustRightInd w:val="0"/>
                    <w:snapToGrid w:val="0"/>
                    <w:jc w:val="center"/>
                    <w:rPr>
                      <w:rFonts w:hint="default" w:ascii="Times New Roman" w:hAnsi="Times New Roman" w:eastAsia="宋体" w:cs="Times New Roman"/>
                      <w:bCs/>
                      <w:color w:val="0000FF"/>
                      <w:szCs w:val="21"/>
                      <w:lang w:val="en-US" w:eastAsia="zh-CN"/>
                    </w:rPr>
                  </w:pPr>
                </w:p>
              </w:tc>
              <w:tc>
                <w:tcPr>
                  <w:tcW w:w="833" w:type="pct"/>
                </w:tcPr>
                <w:p w14:paraId="3602F3D9">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306.33</w:t>
                  </w:r>
                </w:p>
              </w:tc>
              <w:tc>
                <w:tcPr>
                  <w:tcW w:w="833" w:type="pct"/>
                </w:tcPr>
                <w:p w14:paraId="135AA331">
                  <w:pPr>
                    <w:adjustRightInd w:val="0"/>
                    <w:snapToGrid w:val="0"/>
                    <w:jc w:val="center"/>
                    <w:rPr>
                      <w:rFonts w:hint="default" w:ascii="Times New Roman" w:hAnsi="Times New Roman" w:eastAsia="宋体" w:cs="Times New Roman"/>
                      <w:bCs/>
                      <w:color w:val="0000FF"/>
                      <w:szCs w:val="21"/>
                      <w:lang w:val="en-US" w:eastAsia="zh-CN"/>
                    </w:rPr>
                  </w:pPr>
                </w:p>
              </w:tc>
              <w:tc>
                <w:tcPr>
                  <w:tcW w:w="833" w:type="pct"/>
                </w:tcPr>
                <w:p w14:paraId="5587BDBF">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306.33</w:t>
                  </w:r>
                </w:p>
              </w:tc>
            </w:tr>
          </w:tbl>
          <w:p w14:paraId="5500B5D2">
            <w:pPr>
              <w:pStyle w:val="9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0000FF"/>
                <w:kern w:val="0"/>
                <w:sz w:val="24"/>
                <w:szCs w:val="24"/>
                <w:lang w:val="en-US" w:eastAsia="zh-CN" w:bidi="ar-SA"/>
              </w:rPr>
            </w:pPr>
            <w:r>
              <w:rPr>
                <w:rFonts w:hint="eastAsia" w:cs="Times New Roman"/>
                <w:color w:val="0000FF"/>
                <w:kern w:val="0"/>
                <w:sz w:val="24"/>
                <w:szCs w:val="24"/>
                <w:lang w:val="en-US" w:eastAsia="zh-CN" w:bidi="ar-SA"/>
              </w:rPr>
              <w:t>3</w:t>
            </w:r>
            <w:r>
              <w:rPr>
                <w:rFonts w:hint="eastAsia" w:ascii="Times New Roman" w:hAnsi="Times New Roman" w:eastAsia="宋体" w:cs="Times New Roman"/>
                <w:color w:val="0000FF"/>
                <w:kern w:val="0"/>
                <w:sz w:val="24"/>
                <w:szCs w:val="24"/>
                <w:lang w:val="en-US" w:eastAsia="zh-CN" w:bidi="ar-SA"/>
              </w:rPr>
              <w:t>、氟平衡</w:t>
            </w:r>
          </w:p>
          <w:p w14:paraId="65E60F11">
            <w:pPr>
              <w:pStyle w:val="9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eastAsia" w:cs="Times New Roman"/>
                <w:color w:val="0000FF"/>
                <w:kern w:val="0"/>
                <w:sz w:val="24"/>
                <w:szCs w:val="24"/>
                <w:lang w:val="en-US" w:eastAsia="zh-CN" w:bidi="ar-SA"/>
              </w:rPr>
            </w:pPr>
            <w:r>
              <w:rPr>
                <w:rFonts w:hint="eastAsia" w:cs="Times New Roman"/>
                <w:color w:val="0000FF"/>
                <w:kern w:val="0"/>
                <w:sz w:val="24"/>
                <w:szCs w:val="24"/>
                <w:lang w:val="en-US" w:eastAsia="zh-CN" w:bidi="ar-SA"/>
              </w:rPr>
              <w:t>本项目氟主要为固体废物进入水泥窑协同处置后，通过进入熟料以及废气的形式产出。本次熟料生产氟的固化效率取97%。改造前、后本项目水泥窑熟料生产线氟元素平衡见下表。</w:t>
            </w:r>
          </w:p>
          <w:p w14:paraId="10E975F3">
            <w:pPr>
              <w:autoSpaceDE w:val="0"/>
              <w:autoSpaceDN w:val="0"/>
              <w:adjustRightInd w:val="0"/>
              <w:jc w:val="center"/>
              <w:rPr>
                <w:rFonts w:hint="eastAsia" w:cs="Times New Roman"/>
                <w:color w:val="0000FF"/>
                <w:kern w:val="0"/>
                <w:sz w:val="24"/>
                <w:szCs w:val="24"/>
                <w:lang w:val="en-US" w:eastAsia="zh-CN" w:bidi="ar-SA"/>
              </w:rPr>
            </w:pPr>
            <w:r>
              <w:rPr>
                <w:rFonts w:hint="eastAsia" w:ascii="Times New Roman" w:hAnsi="Times New Roman" w:cs="Times New Roman"/>
                <w:b/>
                <w:color w:val="0000FF"/>
              </w:rPr>
              <w:t>表</w:t>
            </w:r>
            <w:r>
              <w:rPr>
                <w:rFonts w:ascii="Times New Roman" w:hAnsi="Times New Roman" w:cs="Times New Roman"/>
                <w:b/>
                <w:color w:val="0000FF"/>
              </w:rPr>
              <w:t>2</w:t>
            </w:r>
            <w:r>
              <w:rPr>
                <w:rFonts w:hint="eastAsia" w:ascii="Times New Roman" w:hAnsi="Times New Roman" w:cs="Times New Roman"/>
                <w:b/>
                <w:color w:val="0000FF"/>
                <w:lang w:val="en-US" w:eastAsia="zh-CN"/>
              </w:rPr>
              <w:t>-</w:t>
            </w:r>
            <w:r>
              <w:rPr>
                <w:rFonts w:hint="eastAsia" w:cs="Times New Roman"/>
                <w:b/>
                <w:color w:val="0000FF"/>
                <w:lang w:val="en-US" w:eastAsia="zh-CN"/>
              </w:rPr>
              <w:t xml:space="preserve">29 </w:t>
            </w:r>
            <w:r>
              <w:rPr>
                <w:rFonts w:hint="eastAsia" w:cs="Times New Roman"/>
                <w:b/>
                <w:color w:val="0000FF"/>
                <w:lang w:eastAsia="zh-CN"/>
              </w:rPr>
              <w:t>改造前水泥窑氟元素平衡表</w:t>
            </w:r>
          </w:p>
          <w:tbl>
            <w:tblPr>
              <w:tblStyle w:val="2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4"/>
              <w:gridCol w:w="1534"/>
              <w:gridCol w:w="1534"/>
              <w:gridCol w:w="1536"/>
              <w:gridCol w:w="1535"/>
              <w:gridCol w:w="1535"/>
            </w:tblGrid>
            <w:tr w14:paraId="76E0D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3" w:type="pct"/>
                  <w:gridSpan w:val="4"/>
                </w:tcPr>
                <w:p w14:paraId="0C0BFCBD">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投入</w:t>
                  </w:r>
                </w:p>
              </w:tc>
              <w:tc>
                <w:tcPr>
                  <w:tcW w:w="1666" w:type="pct"/>
                  <w:gridSpan w:val="2"/>
                </w:tcPr>
                <w:p w14:paraId="01E20B0E">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产出</w:t>
                  </w:r>
                </w:p>
              </w:tc>
            </w:tr>
            <w:tr w14:paraId="27D79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7DECE035">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物料</w:t>
                  </w:r>
                </w:p>
              </w:tc>
              <w:tc>
                <w:tcPr>
                  <w:tcW w:w="833" w:type="pct"/>
                </w:tcPr>
                <w:p w14:paraId="0770D936">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用量（t/a）</w:t>
                  </w:r>
                </w:p>
              </w:tc>
              <w:tc>
                <w:tcPr>
                  <w:tcW w:w="833" w:type="pct"/>
                </w:tcPr>
                <w:p w14:paraId="1E163647">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含氟量（%）</w:t>
                  </w:r>
                </w:p>
              </w:tc>
              <w:tc>
                <w:tcPr>
                  <w:tcW w:w="833" w:type="pct"/>
                </w:tcPr>
                <w:p w14:paraId="575AFA9B">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氟含量（t/a）</w:t>
                  </w:r>
                </w:p>
              </w:tc>
              <w:tc>
                <w:tcPr>
                  <w:tcW w:w="833" w:type="pct"/>
                </w:tcPr>
                <w:p w14:paraId="1D685C5F">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去向</w:t>
                  </w:r>
                </w:p>
              </w:tc>
              <w:tc>
                <w:tcPr>
                  <w:tcW w:w="833" w:type="pct"/>
                </w:tcPr>
                <w:p w14:paraId="3ED54D91">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氟含量（t/a）</w:t>
                  </w:r>
                </w:p>
              </w:tc>
            </w:tr>
            <w:tr w14:paraId="695E5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pct"/>
                  <w:vAlign w:val="center"/>
                </w:tcPr>
                <w:p w14:paraId="78506A56">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废纺</w:t>
                  </w:r>
                </w:p>
              </w:tc>
              <w:tc>
                <w:tcPr>
                  <w:tcW w:w="1532" w:type="dxa"/>
                  <w:vAlign w:val="center"/>
                </w:tcPr>
                <w:p w14:paraId="3C8A30DB">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w:t>
                  </w:r>
                </w:p>
              </w:tc>
              <w:tc>
                <w:tcPr>
                  <w:tcW w:w="833" w:type="pct"/>
                  <w:vAlign w:val="center"/>
                </w:tcPr>
                <w:p w14:paraId="0906BD26">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0.08</w:t>
                  </w:r>
                </w:p>
              </w:tc>
              <w:tc>
                <w:tcPr>
                  <w:tcW w:w="833" w:type="pct"/>
                </w:tcPr>
                <w:p w14:paraId="3F7E13E2">
                  <w:pPr>
                    <w:adjustRightInd w:val="0"/>
                    <w:snapToGrid w:val="0"/>
                    <w:jc w:val="center"/>
                    <w:rPr>
                      <w:rFonts w:hint="default" w:ascii="Times New Roman" w:hAnsi="Times New Roman" w:eastAsia="宋体" w:cs="Times New Roman"/>
                      <w:bCs/>
                      <w:color w:val="0000FF"/>
                      <w:szCs w:val="21"/>
                      <w:lang w:val="en-US" w:eastAsia="zh-CN"/>
                    </w:rPr>
                  </w:pPr>
                </w:p>
              </w:tc>
              <w:tc>
                <w:tcPr>
                  <w:tcW w:w="833" w:type="pct"/>
                  <w:vAlign w:val="top"/>
                </w:tcPr>
                <w:p w14:paraId="078E1B97">
                  <w:pPr>
                    <w:adjustRightInd w:val="0"/>
                    <w:snapToGrid w:val="0"/>
                    <w:jc w:val="center"/>
                    <w:rPr>
                      <w:rFonts w:hint="default" w:ascii="Times New Roman" w:hAnsi="Times New Roman" w:eastAsia="宋体" w:cs="Times New Roman"/>
                      <w:bCs/>
                      <w:color w:val="0000FF"/>
                      <w:szCs w:val="21"/>
                      <w:lang w:val="en-US" w:eastAsia="zh-CN"/>
                    </w:rPr>
                  </w:pPr>
                </w:p>
              </w:tc>
              <w:tc>
                <w:tcPr>
                  <w:tcW w:w="833" w:type="pct"/>
                </w:tcPr>
                <w:p w14:paraId="36EC7593">
                  <w:pPr>
                    <w:adjustRightInd w:val="0"/>
                    <w:snapToGrid w:val="0"/>
                    <w:jc w:val="center"/>
                    <w:rPr>
                      <w:rFonts w:hint="default" w:ascii="Times New Roman" w:hAnsi="Times New Roman" w:eastAsia="宋体" w:cs="Times New Roman"/>
                      <w:bCs/>
                      <w:color w:val="0000FF"/>
                      <w:szCs w:val="21"/>
                      <w:lang w:val="en-US" w:eastAsia="zh-CN"/>
                    </w:rPr>
                  </w:pPr>
                </w:p>
              </w:tc>
            </w:tr>
            <w:tr w14:paraId="18A36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833" w:type="pct"/>
                  <w:vAlign w:val="center"/>
                </w:tcPr>
                <w:p w14:paraId="5AD4F29E">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生物质（木屑）</w:t>
                  </w:r>
                </w:p>
              </w:tc>
              <w:tc>
                <w:tcPr>
                  <w:tcW w:w="1532" w:type="dxa"/>
                  <w:vAlign w:val="center"/>
                </w:tcPr>
                <w:p w14:paraId="01EEF919">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w:t>
                  </w:r>
                </w:p>
              </w:tc>
              <w:tc>
                <w:tcPr>
                  <w:tcW w:w="833" w:type="pct"/>
                  <w:vAlign w:val="center"/>
                </w:tcPr>
                <w:p w14:paraId="18EA0A92">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0.07</w:t>
                  </w:r>
                </w:p>
              </w:tc>
              <w:tc>
                <w:tcPr>
                  <w:tcW w:w="833" w:type="pct"/>
                  <w:vAlign w:val="top"/>
                </w:tcPr>
                <w:p w14:paraId="256C4800">
                  <w:pPr>
                    <w:adjustRightInd w:val="0"/>
                    <w:snapToGrid w:val="0"/>
                    <w:jc w:val="center"/>
                    <w:rPr>
                      <w:rFonts w:hint="default" w:ascii="Times New Roman" w:hAnsi="Times New Roman" w:eastAsia="宋体" w:cs="Times New Roman"/>
                      <w:bCs/>
                      <w:color w:val="0000FF"/>
                      <w:szCs w:val="21"/>
                      <w:lang w:val="en-US" w:eastAsia="zh-CN"/>
                    </w:rPr>
                  </w:pPr>
                </w:p>
              </w:tc>
              <w:tc>
                <w:tcPr>
                  <w:tcW w:w="833" w:type="pct"/>
                  <w:vAlign w:val="top"/>
                </w:tcPr>
                <w:p w14:paraId="1A5AC6F4">
                  <w:pPr>
                    <w:adjustRightInd w:val="0"/>
                    <w:snapToGrid w:val="0"/>
                    <w:jc w:val="center"/>
                    <w:rPr>
                      <w:rFonts w:hint="default" w:ascii="Times New Roman" w:hAnsi="Times New Roman" w:eastAsia="宋体" w:cs="Times New Roman"/>
                      <w:bCs/>
                      <w:color w:val="0000FF"/>
                      <w:szCs w:val="21"/>
                      <w:lang w:val="en-US" w:eastAsia="zh-CN"/>
                    </w:rPr>
                  </w:pPr>
                </w:p>
              </w:tc>
              <w:tc>
                <w:tcPr>
                  <w:tcW w:w="833" w:type="pct"/>
                  <w:vAlign w:val="top"/>
                </w:tcPr>
                <w:p w14:paraId="32F1880A">
                  <w:pPr>
                    <w:adjustRightInd w:val="0"/>
                    <w:snapToGrid w:val="0"/>
                    <w:jc w:val="center"/>
                    <w:rPr>
                      <w:rFonts w:hint="default" w:ascii="Times New Roman" w:hAnsi="Times New Roman" w:eastAsia="宋体" w:cs="Times New Roman"/>
                      <w:bCs/>
                      <w:color w:val="0000FF"/>
                      <w:szCs w:val="21"/>
                      <w:lang w:val="en-US" w:eastAsia="zh-CN"/>
                    </w:rPr>
                  </w:pPr>
                </w:p>
              </w:tc>
            </w:tr>
            <w:tr w14:paraId="4D5E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14:paraId="7244140B">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煤</w:t>
                  </w:r>
                </w:p>
              </w:tc>
              <w:tc>
                <w:tcPr>
                  <w:tcW w:w="1532" w:type="dxa"/>
                  <w:vAlign w:val="center"/>
                </w:tcPr>
                <w:p w14:paraId="37A645C0">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237600</w:t>
                  </w:r>
                </w:p>
              </w:tc>
              <w:tc>
                <w:tcPr>
                  <w:tcW w:w="833" w:type="pct"/>
                  <w:vAlign w:val="center"/>
                </w:tcPr>
                <w:p w14:paraId="48720E24">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0.0009</w:t>
                  </w:r>
                </w:p>
              </w:tc>
              <w:tc>
                <w:tcPr>
                  <w:tcW w:w="833" w:type="pct"/>
                  <w:vAlign w:val="top"/>
                </w:tcPr>
                <w:p w14:paraId="5F9E0960">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2.51</w:t>
                  </w:r>
                </w:p>
              </w:tc>
              <w:tc>
                <w:tcPr>
                  <w:tcW w:w="833" w:type="pct"/>
                  <w:vAlign w:val="top"/>
                </w:tcPr>
                <w:p w14:paraId="47325E5F">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进入水泥</w:t>
                  </w:r>
                </w:p>
              </w:tc>
              <w:tc>
                <w:tcPr>
                  <w:tcW w:w="833" w:type="pct"/>
                  <w:vAlign w:val="top"/>
                </w:tcPr>
                <w:p w14:paraId="68C9343B">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25.69</w:t>
                  </w:r>
                </w:p>
              </w:tc>
            </w:tr>
            <w:tr w14:paraId="18A0A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14:paraId="0A9E1093">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生料</w:t>
                  </w:r>
                </w:p>
              </w:tc>
              <w:tc>
                <w:tcPr>
                  <w:tcW w:w="1532" w:type="dxa"/>
                  <w:vAlign w:val="center"/>
                </w:tcPr>
                <w:p w14:paraId="422872C6">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2470875</w:t>
                  </w:r>
                </w:p>
              </w:tc>
              <w:tc>
                <w:tcPr>
                  <w:tcW w:w="833" w:type="pct"/>
                  <w:vAlign w:val="center"/>
                </w:tcPr>
                <w:p w14:paraId="7FC81ACB">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0.0011</w:t>
                  </w:r>
                </w:p>
              </w:tc>
              <w:tc>
                <w:tcPr>
                  <w:tcW w:w="833" w:type="pct"/>
                  <w:vAlign w:val="top"/>
                </w:tcPr>
                <w:p w14:paraId="24B71463">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23.97</w:t>
                  </w:r>
                </w:p>
              </w:tc>
              <w:tc>
                <w:tcPr>
                  <w:tcW w:w="833" w:type="pct"/>
                  <w:vAlign w:val="top"/>
                </w:tcPr>
                <w:p w14:paraId="749EEE0D">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外排大气</w:t>
                  </w:r>
                </w:p>
              </w:tc>
              <w:tc>
                <w:tcPr>
                  <w:tcW w:w="833" w:type="pct"/>
                  <w:vAlign w:val="top"/>
                </w:tcPr>
                <w:p w14:paraId="75772E99">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0.79</w:t>
                  </w:r>
                </w:p>
              </w:tc>
            </w:tr>
            <w:tr w14:paraId="22895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238B0C2C">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合计</w:t>
                  </w:r>
                </w:p>
              </w:tc>
              <w:tc>
                <w:tcPr>
                  <w:tcW w:w="833" w:type="pct"/>
                </w:tcPr>
                <w:p w14:paraId="3721D50F">
                  <w:pPr>
                    <w:adjustRightInd w:val="0"/>
                    <w:snapToGrid w:val="0"/>
                    <w:jc w:val="center"/>
                    <w:rPr>
                      <w:rFonts w:hint="default" w:ascii="Times New Roman" w:hAnsi="Times New Roman" w:eastAsia="宋体" w:cs="Times New Roman"/>
                      <w:bCs/>
                      <w:color w:val="0000FF"/>
                      <w:szCs w:val="21"/>
                      <w:lang w:val="en-US" w:eastAsia="zh-CN"/>
                    </w:rPr>
                  </w:pPr>
                </w:p>
              </w:tc>
              <w:tc>
                <w:tcPr>
                  <w:tcW w:w="833" w:type="pct"/>
                </w:tcPr>
                <w:p w14:paraId="3222B2AA">
                  <w:pPr>
                    <w:adjustRightInd w:val="0"/>
                    <w:snapToGrid w:val="0"/>
                    <w:jc w:val="center"/>
                    <w:rPr>
                      <w:rFonts w:hint="default" w:ascii="Times New Roman" w:hAnsi="Times New Roman" w:eastAsia="宋体" w:cs="Times New Roman"/>
                      <w:bCs/>
                      <w:color w:val="0000FF"/>
                      <w:szCs w:val="21"/>
                      <w:lang w:val="en-US" w:eastAsia="zh-CN"/>
                    </w:rPr>
                  </w:pPr>
                </w:p>
              </w:tc>
              <w:tc>
                <w:tcPr>
                  <w:tcW w:w="833" w:type="pct"/>
                </w:tcPr>
                <w:p w14:paraId="25FF9AEE">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26.48</w:t>
                  </w:r>
                </w:p>
              </w:tc>
              <w:tc>
                <w:tcPr>
                  <w:tcW w:w="833" w:type="pct"/>
                </w:tcPr>
                <w:p w14:paraId="22C53D0E">
                  <w:pPr>
                    <w:adjustRightInd w:val="0"/>
                    <w:snapToGrid w:val="0"/>
                    <w:jc w:val="center"/>
                    <w:rPr>
                      <w:rFonts w:hint="default" w:ascii="Times New Roman" w:hAnsi="Times New Roman" w:eastAsia="宋体" w:cs="Times New Roman"/>
                      <w:bCs/>
                      <w:color w:val="0000FF"/>
                      <w:szCs w:val="21"/>
                      <w:lang w:val="en-US" w:eastAsia="zh-CN"/>
                    </w:rPr>
                  </w:pPr>
                </w:p>
              </w:tc>
              <w:tc>
                <w:tcPr>
                  <w:tcW w:w="833" w:type="pct"/>
                </w:tcPr>
                <w:p w14:paraId="3D7869A0">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26.48</w:t>
                  </w:r>
                </w:p>
              </w:tc>
            </w:tr>
          </w:tbl>
          <w:p w14:paraId="31171A7E">
            <w:pPr>
              <w:autoSpaceDE w:val="0"/>
              <w:autoSpaceDN w:val="0"/>
              <w:adjustRightInd w:val="0"/>
              <w:jc w:val="center"/>
              <w:rPr>
                <w:rFonts w:hint="eastAsia" w:cs="Times New Roman"/>
                <w:color w:val="0000FF"/>
                <w:kern w:val="0"/>
                <w:sz w:val="24"/>
                <w:szCs w:val="24"/>
                <w:lang w:val="en-US" w:eastAsia="zh-CN" w:bidi="ar-SA"/>
              </w:rPr>
            </w:pPr>
            <w:r>
              <w:rPr>
                <w:rFonts w:hint="eastAsia" w:ascii="Times New Roman" w:hAnsi="Times New Roman" w:cs="Times New Roman"/>
                <w:b/>
                <w:color w:val="0000FF"/>
              </w:rPr>
              <w:t>表</w:t>
            </w:r>
            <w:r>
              <w:rPr>
                <w:rFonts w:ascii="Times New Roman" w:hAnsi="Times New Roman" w:cs="Times New Roman"/>
                <w:b/>
                <w:color w:val="0000FF"/>
              </w:rPr>
              <w:t>2</w:t>
            </w:r>
            <w:r>
              <w:rPr>
                <w:rFonts w:hint="eastAsia" w:ascii="Times New Roman" w:hAnsi="Times New Roman" w:cs="Times New Roman"/>
                <w:b/>
                <w:color w:val="0000FF"/>
                <w:lang w:val="en-US" w:eastAsia="zh-CN"/>
              </w:rPr>
              <w:t>-</w:t>
            </w:r>
            <w:r>
              <w:rPr>
                <w:rFonts w:hint="eastAsia" w:cs="Times New Roman"/>
                <w:b/>
                <w:color w:val="0000FF"/>
                <w:lang w:val="en-US" w:eastAsia="zh-CN"/>
              </w:rPr>
              <w:t>30</w:t>
            </w:r>
            <w:r>
              <w:rPr>
                <w:rFonts w:ascii="Times New Roman" w:hAnsi="Times New Roman" w:cs="Times New Roman"/>
                <w:b/>
                <w:color w:val="0000FF"/>
              </w:rPr>
              <w:t xml:space="preserve"> </w:t>
            </w:r>
            <w:r>
              <w:rPr>
                <w:rFonts w:hint="eastAsia" w:cs="Times New Roman"/>
                <w:b/>
                <w:color w:val="0000FF"/>
                <w:lang w:eastAsia="zh-CN"/>
              </w:rPr>
              <w:t>改造后水泥窑氟元素平衡表</w:t>
            </w:r>
          </w:p>
          <w:tbl>
            <w:tblPr>
              <w:tblStyle w:val="2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4"/>
              <w:gridCol w:w="1534"/>
              <w:gridCol w:w="1534"/>
              <w:gridCol w:w="1536"/>
              <w:gridCol w:w="1535"/>
              <w:gridCol w:w="1535"/>
            </w:tblGrid>
            <w:tr w14:paraId="3A746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3" w:type="pct"/>
                  <w:gridSpan w:val="4"/>
                </w:tcPr>
                <w:p w14:paraId="6002AF03">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投入</w:t>
                  </w:r>
                </w:p>
              </w:tc>
              <w:tc>
                <w:tcPr>
                  <w:tcW w:w="1666" w:type="pct"/>
                  <w:gridSpan w:val="2"/>
                </w:tcPr>
                <w:p w14:paraId="5819E9EB">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产出</w:t>
                  </w:r>
                </w:p>
              </w:tc>
            </w:tr>
            <w:tr w14:paraId="16F80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30C88DE5">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物料</w:t>
                  </w:r>
                </w:p>
              </w:tc>
              <w:tc>
                <w:tcPr>
                  <w:tcW w:w="833" w:type="pct"/>
                </w:tcPr>
                <w:p w14:paraId="29CDA0E6">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用量（t/a）</w:t>
                  </w:r>
                </w:p>
              </w:tc>
              <w:tc>
                <w:tcPr>
                  <w:tcW w:w="833" w:type="pct"/>
                </w:tcPr>
                <w:p w14:paraId="6EBA193E">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含氟量（%）</w:t>
                  </w:r>
                </w:p>
              </w:tc>
              <w:tc>
                <w:tcPr>
                  <w:tcW w:w="833" w:type="pct"/>
                </w:tcPr>
                <w:p w14:paraId="2853EA8B">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氟含量（t/a）</w:t>
                  </w:r>
                </w:p>
              </w:tc>
              <w:tc>
                <w:tcPr>
                  <w:tcW w:w="833" w:type="pct"/>
                </w:tcPr>
                <w:p w14:paraId="19846C6A">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去向</w:t>
                  </w:r>
                </w:p>
              </w:tc>
              <w:tc>
                <w:tcPr>
                  <w:tcW w:w="833" w:type="pct"/>
                </w:tcPr>
                <w:p w14:paraId="527A6446">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氟含量（t/a）</w:t>
                  </w:r>
                </w:p>
              </w:tc>
            </w:tr>
            <w:tr w14:paraId="15D01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14:paraId="42C3A6C4">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废纺</w:t>
                  </w:r>
                </w:p>
              </w:tc>
              <w:tc>
                <w:tcPr>
                  <w:tcW w:w="1532" w:type="dxa"/>
                  <w:vAlign w:val="center"/>
                </w:tcPr>
                <w:p w14:paraId="3054CA4B">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50000</w:t>
                  </w:r>
                </w:p>
              </w:tc>
              <w:tc>
                <w:tcPr>
                  <w:tcW w:w="1533" w:type="dxa"/>
                  <w:vAlign w:val="center"/>
                </w:tcPr>
                <w:p w14:paraId="0CDFDECC">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0.08</w:t>
                  </w:r>
                </w:p>
              </w:tc>
              <w:tc>
                <w:tcPr>
                  <w:tcW w:w="833" w:type="pct"/>
                </w:tcPr>
                <w:p w14:paraId="0457A80B">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13.65</w:t>
                  </w:r>
                </w:p>
              </w:tc>
              <w:tc>
                <w:tcPr>
                  <w:tcW w:w="833" w:type="pct"/>
                  <w:vAlign w:val="top"/>
                </w:tcPr>
                <w:p w14:paraId="7533E911">
                  <w:pPr>
                    <w:adjustRightInd w:val="0"/>
                    <w:snapToGrid w:val="0"/>
                    <w:jc w:val="center"/>
                    <w:rPr>
                      <w:rFonts w:hint="default" w:ascii="Times New Roman" w:hAnsi="Times New Roman" w:eastAsia="宋体" w:cs="Times New Roman"/>
                      <w:bCs/>
                      <w:color w:val="0000FF"/>
                      <w:szCs w:val="21"/>
                      <w:lang w:val="en-US" w:eastAsia="zh-CN"/>
                    </w:rPr>
                  </w:pPr>
                </w:p>
              </w:tc>
              <w:tc>
                <w:tcPr>
                  <w:tcW w:w="833" w:type="pct"/>
                </w:tcPr>
                <w:p w14:paraId="207FD19E">
                  <w:pPr>
                    <w:adjustRightInd w:val="0"/>
                    <w:snapToGrid w:val="0"/>
                    <w:jc w:val="center"/>
                    <w:rPr>
                      <w:rFonts w:hint="default" w:ascii="Times New Roman" w:hAnsi="Times New Roman" w:eastAsia="宋体" w:cs="Times New Roman"/>
                      <w:bCs/>
                      <w:color w:val="0000FF"/>
                      <w:szCs w:val="21"/>
                      <w:lang w:val="en-US" w:eastAsia="zh-CN"/>
                    </w:rPr>
                  </w:pPr>
                </w:p>
              </w:tc>
            </w:tr>
            <w:tr w14:paraId="21C6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14:paraId="615E90CD">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生物质（木屑）</w:t>
                  </w:r>
                </w:p>
              </w:tc>
              <w:tc>
                <w:tcPr>
                  <w:tcW w:w="1532" w:type="dxa"/>
                  <w:vAlign w:val="center"/>
                </w:tcPr>
                <w:p w14:paraId="2A0007D8">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50000</w:t>
                  </w:r>
                </w:p>
              </w:tc>
              <w:tc>
                <w:tcPr>
                  <w:tcW w:w="1533" w:type="dxa"/>
                  <w:vAlign w:val="center"/>
                </w:tcPr>
                <w:p w14:paraId="35756412">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0.07</w:t>
                  </w:r>
                </w:p>
              </w:tc>
              <w:tc>
                <w:tcPr>
                  <w:tcW w:w="833" w:type="pct"/>
                  <w:vAlign w:val="top"/>
                </w:tcPr>
                <w:p w14:paraId="725879DD">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0.12</w:t>
                  </w:r>
                </w:p>
              </w:tc>
              <w:tc>
                <w:tcPr>
                  <w:tcW w:w="833" w:type="pct"/>
                  <w:vAlign w:val="top"/>
                </w:tcPr>
                <w:p w14:paraId="23D0161C">
                  <w:pPr>
                    <w:adjustRightInd w:val="0"/>
                    <w:snapToGrid w:val="0"/>
                    <w:jc w:val="center"/>
                    <w:rPr>
                      <w:rFonts w:hint="default" w:ascii="Times New Roman" w:hAnsi="Times New Roman" w:eastAsia="宋体" w:cs="Times New Roman"/>
                      <w:bCs/>
                      <w:color w:val="0000FF"/>
                      <w:szCs w:val="21"/>
                      <w:lang w:val="en-US" w:eastAsia="zh-CN"/>
                    </w:rPr>
                  </w:pPr>
                </w:p>
              </w:tc>
              <w:tc>
                <w:tcPr>
                  <w:tcW w:w="833" w:type="pct"/>
                  <w:vAlign w:val="top"/>
                </w:tcPr>
                <w:p w14:paraId="2705F44F">
                  <w:pPr>
                    <w:adjustRightInd w:val="0"/>
                    <w:snapToGrid w:val="0"/>
                    <w:jc w:val="center"/>
                    <w:rPr>
                      <w:rFonts w:hint="default" w:ascii="Times New Roman" w:hAnsi="Times New Roman" w:eastAsia="宋体" w:cs="Times New Roman"/>
                      <w:bCs/>
                      <w:color w:val="0000FF"/>
                      <w:szCs w:val="21"/>
                      <w:lang w:val="en-US" w:eastAsia="zh-CN"/>
                    </w:rPr>
                  </w:pPr>
                </w:p>
              </w:tc>
            </w:tr>
            <w:tr w14:paraId="25174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14:paraId="368C9222">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煤</w:t>
                  </w:r>
                </w:p>
              </w:tc>
              <w:tc>
                <w:tcPr>
                  <w:tcW w:w="1532" w:type="dxa"/>
                  <w:vAlign w:val="center"/>
                </w:tcPr>
                <w:p w14:paraId="75D25B5A">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192700</w:t>
                  </w:r>
                </w:p>
              </w:tc>
              <w:tc>
                <w:tcPr>
                  <w:tcW w:w="833" w:type="pct"/>
                  <w:vAlign w:val="center"/>
                </w:tcPr>
                <w:p w14:paraId="13BAB3AC">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0.0009</w:t>
                  </w:r>
                </w:p>
              </w:tc>
              <w:tc>
                <w:tcPr>
                  <w:tcW w:w="833" w:type="pct"/>
                  <w:vAlign w:val="top"/>
                </w:tcPr>
                <w:p w14:paraId="14141461">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2.11</w:t>
                  </w:r>
                </w:p>
              </w:tc>
              <w:tc>
                <w:tcPr>
                  <w:tcW w:w="833" w:type="pct"/>
                  <w:vAlign w:val="top"/>
                </w:tcPr>
                <w:p w14:paraId="47D3BD8E">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进入水泥</w:t>
                  </w:r>
                </w:p>
              </w:tc>
              <w:tc>
                <w:tcPr>
                  <w:tcW w:w="833" w:type="pct"/>
                  <w:vAlign w:val="top"/>
                </w:tcPr>
                <w:p w14:paraId="5D33A3C6">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38.57</w:t>
                  </w:r>
                </w:p>
              </w:tc>
            </w:tr>
            <w:tr w14:paraId="7ED4A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14:paraId="6B4C274F">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生料</w:t>
                  </w:r>
                </w:p>
              </w:tc>
              <w:tc>
                <w:tcPr>
                  <w:tcW w:w="1532" w:type="dxa"/>
                  <w:vAlign w:val="center"/>
                </w:tcPr>
                <w:p w14:paraId="363DA0CF">
                  <w:pPr>
                    <w:adjustRightInd w:val="0"/>
                    <w:snapToGrid w:val="0"/>
                    <w:jc w:val="center"/>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2470875</w:t>
                  </w:r>
                </w:p>
              </w:tc>
              <w:tc>
                <w:tcPr>
                  <w:tcW w:w="833" w:type="pct"/>
                  <w:vAlign w:val="center"/>
                </w:tcPr>
                <w:p w14:paraId="4A163560">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0.0011</w:t>
                  </w:r>
                </w:p>
              </w:tc>
              <w:tc>
                <w:tcPr>
                  <w:tcW w:w="833" w:type="pct"/>
                  <w:vAlign w:val="top"/>
                </w:tcPr>
                <w:p w14:paraId="2C0BF32A">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23.97</w:t>
                  </w:r>
                </w:p>
              </w:tc>
              <w:tc>
                <w:tcPr>
                  <w:tcW w:w="833" w:type="pct"/>
                  <w:vAlign w:val="top"/>
                </w:tcPr>
                <w:p w14:paraId="60AB1DC0">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外排大气</w:t>
                  </w:r>
                </w:p>
              </w:tc>
              <w:tc>
                <w:tcPr>
                  <w:tcW w:w="833" w:type="pct"/>
                  <w:vAlign w:val="top"/>
                </w:tcPr>
                <w:p w14:paraId="2C14B73B">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1.28</w:t>
                  </w:r>
                </w:p>
              </w:tc>
            </w:tr>
            <w:tr w14:paraId="081DE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16EBE292">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合计</w:t>
                  </w:r>
                </w:p>
              </w:tc>
              <w:tc>
                <w:tcPr>
                  <w:tcW w:w="833" w:type="pct"/>
                </w:tcPr>
                <w:p w14:paraId="5897DB87">
                  <w:pPr>
                    <w:adjustRightInd w:val="0"/>
                    <w:snapToGrid w:val="0"/>
                    <w:jc w:val="center"/>
                    <w:rPr>
                      <w:rFonts w:hint="default" w:ascii="Times New Roman" w:hAnsi="Times New Roman" w:eastAsia="宋体" w:cs="Times New Roman"/>
                      <w:bCs/>
                      <w:color w:val="0000FF"/>
                      <w:szCs w:val="21"/>
                      <w:lang w:val="en-US" w:eastAsia="zh-CN"/>
                    </w:rPr>
                  </w:pPr>
                </w:p>
              </w:tc>
              <w:tc>
                <w:tcPr>
                  <w:tcW w:w="833" w:type="pct"/>
                </w:tcPr>
                <w:p w14:paraId="696C5D45">
                  <w:pPr>
                    <w:adjustRightInd w:val="0"/>
                    <w:snapToGrid w:val="0"/>
                    <w:jc w:val="center"/>
                    <w:rPr>
                      <w:rFonts w:hint="default" w:ascii="Times New Roman" w:hAnsi="Times New Roman" w:eastAsia="宋体" w:cs="Times New Roman"/>
                      <w:bCs/>
                      <w:color w:val="0000FF"/>
                      <w:szCs w:val="21"/>
                      <w:lang w:val="en-US" w:eastAsia="zh-CN"/>
                    </w:rPr>
                  </w:pPr>
                </w:p>
              </w:tc>
              <w:tc>
                <w:tcPr>
                  <w:tcW w:w="833" w:type="pct"/>
                </w:tcPr>
                <w:p w14:paraId="61D88E65">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39.85</w:t>
                  </w:r>
                </w:p>
              </w:tc>
              <w:tc>
                <w:tcPr>
                  <w:tcW w:w="833" w:type="pct"/>
                </w:tcPr>
                <w:p w14:paraId="5E55C207">
                  <w:pPr>
                    <w:adjustRightInd w:val="0"/>
                    <w:snapToGrid w:val="0"/>
                    <w:jc w:val="center"/>
                    <w:rPr>
                      <w:rFonts w:hint="default" w:ascii="Times New Roman" w:hAnsi="Times New Roman" w:eastAsia="宋体" w:cs="Times New Roman"/>
                      <w:bCs/>
                      <w:color w:val="0000FF"/>
                      <w:szCs w:val="21"/>
                      <w:lang w:val="en-US" w:eastAsia="zh-CN"/>
                    </w:rPr>
                  </w:pPr>
                </w:p>
              </w:tc>
              <w:tc>
                <w:tcPr>
                  <w:tcW w:w="833" w:type="pct"/>
                </w:tcPr>
                <w:p w14:paraId="37861CD8">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39.85</w:t>
                  </w:r>
                </w:p>
              </w:tc>
            </w:tr>
          </w:tbl>
          <w:p w14:paraId="121971E4">
            <w:pPr>
              <w:pStyle w:val="9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0000FF"/>
                <w:kern w:val="0"/>
                <w:sz w:val="24"/>
                <w:szCs w:val="24"/>
                <w:lang w:val="en-US" w:eastAsia="zh-CN" w:bidi="ar-SA"/>
              </w:rPr>
            </w:pPr>
            <w:r>
              <w:rPr>
                <w:rFonts w:hint="eastAsia" w:cs="Times New Roman"/>
                <w:color w:val="0000FF"/>
                <w:kern w:val="0"/>
                <w:sz w:val="24"/>
                <w:szCs w:val="24"/>
                <w:lang w:val="en-US" w:eastAsia="zh-CN" w:bidi="ar-SA"/>
              </w:rPr>
              <w:t>4</w:t>
            </w:r>
            <w:r>
              <w:rPr>
                <w:rFonts w:hint="eastAsia" w:ascii="Times New Roman" w:hAnsi="Times New Roman" w:eastAsia="宋体" w:cs="Times New Roman"/>
                <w:color w:val="0000FF"/>
                <w:kern w:val="0"/>
                <w:sz w:val="24"/>
                <w:szCs w:val="24"/>
                <w:lang w:val="en-US" w:eastAsia="zh-CN" w:bidi="ar-SA"/>
              </w:rPr>
              <w:t>、硫平衡</w:t>
            </w:r>
          </w:p>
          <w:p w14:paraId="38A8DFC9">
            <w:pPr>
              <w:pStyle w:val="9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0000FF"/>
                <w:kern w:val="2"/>
                <w:sz w:val="24"/>
                <w:szCs w:val="24"/>
                <w:highlight w:val="none"/>
                <w:lang w:val="en-US" w:eastAsia="zh-CN" w:bidi="ar-SA"/>
              </w:rPr>
            </w:pPr>
            <w:r>
              <w:rPr>
                <w:rFonts w:hint="eastAsia" w:ascii="Times New Roman" w:hAnsi="Times New Roman" w:eastAsia="宋体" w:cs="Times New Roman"/>
                <w:color w:val="0000FF"/>
                <w:kern w:val="2"/>
                <w:sz w:val="24"/>
                <w:szCs w:val="24"/>
                <w:highlight w:val="none"/>
                <w:lang w:val="en-US" w:eastAsia="zh-CN" w:bidi="ar-SA"/>
              </w:rPr>
              <w:t>现有厂区水泥熟料对硫的固化率为99.8109~99.8951%。水泥窑协同处置后硫的固化率按不变考虑，本项目以99.8109%计，改造前</w:t>
            </w:r>
            <w:r>
              <w:rPr>
                <w:rFonts w:hint="eastAsia" w:cs="Times New Roman"/>
                <w:color w:val="0000FF"/>
                <w:kern w:val="2"/>
                <w:sz w:val="24"/>
                <w:szCs w:val="24"/>
                <w:highlight w:val="none"/>
                <w:lang w:val="en-US" w:eastAsia="zh-CN" w:bidi="ar-SA"/>
              </w:rPr>
              <w:t>、后</w:t>
            </w:r>
            <w:r>
              <w:rPr>
                <w:rFonts w:hint="eastAsia" w:ascii="Times New Roman" w:hAnsi="Times New Roman" w:eastAsia="宋体" w:cs="Times New Roman"/>
                <w:color w:val="0000FF"/>
                <w:kern w:val="2"/>
                <w:sz w:val="24"/>
                <w:szCs w:val="24"/>
                <w:highlight w:val="none"/>
                <w:lang w:val="en-US" w:eastAsia="zh-CN" w:bidi="ar-SA"/>
              </w:rPr>
              <w:t>水泥窑熟料生产线硫元素平衡见下表。</w:t>
            </w:r>
          </w:p>
          <w:p w14:paraId="77B98260">
            <w:pPr>
              <w:autoSpaceDE w:val="0"/>
              <w:autoSpaceDN w:val="0"/>
              <w:adjustRightInd w:val="0"/>
              <w:jc w:val="center"/>
              <w:rPr>
                <w:rFonts w:hint="eastAsia" w:cs="Times New Roman"/>
                <w:color w:val="0000FF"/>
                <w:kern w:val="0"/>
                <w:sz w:val="24"/>
                <w:szCs w:val="24"/>
                <w:lang w:val="en-US" w:eastAsia="zh-CN" w:bidi="ar-SA"/>
              </w:rPr>
            </w:pPr>
            <w:bookmarkStart w:id="83" w:name="OLE_LINK89"/>
            <w:r>
              <w:rPr>
                <w:rFonts w:hint="eastAsia" w:ascii="Times New Roman" w:hAnsi="Times New Roman" w:cs="Times New Roman"/>
                <w:b/>
                <w:color w:val="0000FF"/>
              </w:rPr>
              <w:t>表</w:t>
            </w:r>
            <w:r>
              <w:rPr>
                <w:rFonts w:ascii="Times New Roman" w:hAnsi="Times New Roman" w:cs="Times New Roman"/>
                <w:b/>
                <w:color w:val="0000FF"/>
              </w:rPr>
              <w:t>2</w:t>
            </w:r>
            <w:r>
              <w:rPr>
                <w:rFonts w:hint="eastAsia" w:ascii="Times New Roman" w:hAnsi="Times New Roman" w:cs="Times New Roman"/>
                <w:b/>
                <w:color w:val="0000FF"/>
                <w:lang w:val="en-US" w:eastAsia="zh-CN"/>
              </w:rPr>
              <w:t>-</w:t>
            </w:r>
            <w:r>
              <w:rPr>
                <w:rFonts w:hint="eastAsia" w:cs="Times New Roman"/>
                <w:b/>
                <w:color w:val="0000FF"/>
                <w:lang w:val="en-US" w:eastAsia="zh-CN"/>
              </w:rPr>
              <w:t>31</w:t>
            </w:r>
            <w:r>
              <w:rPr>
                <w:rFonts w:ascii="Times New Roman" w:hAnsi="Times New Roman" w:cs="Times New Roman"/>
                <w:b/>
                <w:color w:val="0000FF"/>
              </w:rPr>
              <w:t xml:space="preserve"> </w:t>
            </w:r>
            <w:r>
              <w:rPr>
                <w:rFonts w:hint="eastAsia" w:cs="Times New Roman"/>
                <w:b/>
                <w:color w:val="0000FF"/>
                <w:lang w:eastAsia="zh-CN"/>
              </w:rPr>
              <w:t>改造前水泥窑硫元素平衡表</w:t>
            </w:r>
          </w:p>
          <w:bookmarkEnd w:id="83"/>
          <w:tbl>
            <w:tblPr>
              <w:tblStyle w:val="2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4"/>
              <w:gridCol w:w="1534"/>
              <w:gridCol w:w="1534"/>
              <w:gridCol w:w="1536"/>
              <w:gridCol w:w="1535"/>
              <w:gridCol w:w="1535"/>
            </w:tblGrid>
            <w:tr w14:paraId="2534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3" w:type="pct"/>
                  <w:gridSpan w:val="4"/>
                </w:tcPr>
                <w:p w14:paraId="61C11DED">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投入</w:t>
                  </w:r>
                </w:p>
              </w:tc>
              <w:tc>
                <w:tcPr>
                  <w:tcW w:w="1666" w:type="pct"/>
                  <w:gridSpan w:val="2"/>
                </w:tcPr>
                <w:p w14:paraId="24920313">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产出</w:t>
                  </w:r>
                </w:p>
              </w:tc>
            </w:tr>
            <w:tr w14:paraId="5D2D7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1E752E5E">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物料</w:t>
                  </w:r>
                </w:p>
              </w:tc>
              <w:tc>
                <w:tcPr>
                  <w:tcW w:w="833" w:type="pct"/>
                </w:tcPr>
                <w:p w14:paraId="33D34080">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用量（t/a）</w:t>
                  </w:r>
                </w:p>
              </w:tc>
              <w:tc>
                <w:tcPr>
                  <w:tcW w:w="833" w:type="pct"/>
                </w:tcPr>
                <w:p w14:paraId="2A8A5D75">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含硫量（%）</w:t>
                  </w:r>
                </w:p>
              </w:tc>
              <w:tc>
                <w:tcPr>
                  <w:tcW w:w="833" w:type="pct"/>
                </w:tcPr>
                <w:p w14:paraId="0CE4C676">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硫含量（t/a）</w:t>
                  </w:r>
                </w:p>
              </w:tc>
              <w:tc>
                <w:tcPr>
                  <w:tcW w:w="833" w:type="pct"/>
                </w:tcPr>
                <w:p w14:paraId="4DC42D39">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去向</w:t>
                  </w:r>
                </w:p>
              </w:tc>
              <w:tc>
                <w:tcPr>
                  <w:tcW w:w="833" w:type="pct"/>
                </w:tcPr>
                <w:p w14:paraId="64779BB1">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硫含量（t/a）</w:t>
                  </w:r>
                </w:p>
              </w:tc>
            </w:tr>
            <w:tr w14:paraId="5E877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14:paraId="645BA5FE">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废纺</w:t>
                  </w:r>
                </w:p>
              </w:tc>
              <w:tc>
                <w:tcPr>
                  <w:tcW w:w="1532" w:type="dxa"/>
                  <w:vAlign w:val="center"/>
                </w:tcPr>
                <w:p w14:paraId="2C7CB84E">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w:t>
                  </w:r>
                </w:p>
              </w:tc>
              <w:tc>
                <w:tcPr>
                  <w:tcW w:w="833" w:type="pct"/>
                  <w:vAlign w:val="center"/>
                </w:tcPr>
                <w:p w14:paraId="165609B3">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w:t>
                  </w:r>
                </w:p>
              </w:tc>
              <w:tc>
                <w:tcPr>
                  <w:tcW w:w="833" w:type="pct"/>
                </w:tcPr>
                <w:p w14:paraId="2E790C0B">
                  <w:pPr>
                    <w:adjustRightInd w:val="0"/>
                    <w:snapToGrid w:val="0"/>
                    <w:jc w:val="center"/>
                    <w:rPr>
                      <w:rFonts w:hint="default" w:ascii="Times New Roman" w:hAnsi="Times New Roman" w:eastAsia="宋体" w:cs="Times New Roman"/>
                      <w:bCs/>
                      <w:color w:val="0000FF"/>
                      <w:szCs w:val="21"/>
                      <w:lang w:val="en-US" w:eastAsia="zh-CN"/>
                    </w:rPr>
                  </w:pPr>
                </w:p>
              </w:tc>
              <w:tc>
                <w:tcPr>
                  <w:tcW w:w="833" w:type="pct"/>
                  <w:vAlign w:val="top"/>
                </w:tcPr>
                <w:p w14:paraId="047EB008">
                  <w:pPr>
                    <w:adjustRightInd w:val="0"/>
                    <w:snapToGrid w:val="0"/>
                    <w:jc w:val="center"/>
                    <w:rPr>
                      <w:rFonts w:hint="default" w:ascii="Times New Roman" w:hAnsi="Times New Roman" w:eastAsia="宋体" w:cs="Times New Roman"/>
                      <w:bCs/>
                      <w:color w:val="0000FF"/>
                      <w:szCs w:val="21"/>
                      <w:lang w:val="en-US" w:eastAsia="zh-CN"/>
                    </w:rPr>
                  </w:pPr>
                </w:p>
              </w:tc>
              <w:tc>
                <w:tcPr>
                  <w:tcW w:w="833" w:type="pct"/>
                </w:tcPr>
                <w:p w14:paraId="67B15BC0">
                  <w:pPr>
                    <w:adjustRightInd w:val="0"/>
                    <w:snapToGrid w:val="0"/>
                    <w:jc w:val="center"/>
                    <w:rPr>
                      <w:rFonts w:hint="default" w:ascii="Times New Roman" w:hAnsi="Times New Roman" w:eastAsia="宋体" w:cs="Times New Roman"/>
                      <w:bCs/>
                      <w:color w:val="0000FF"/>
                      <w:szCs w:val="21"/>
                      <w:lang w:val="en-US" w:eastAsia="zh-CN"/>
                    </w:rPr>
                  </w:pPr>
                </w:p>
              </w:tc>
            </w:tr>
            <w:tr w14:paraId="22A98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14:paraId="5C18C603">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生物质（木屑）</w:t>
                  </w:r>
                </w:p>
              </w:tc>
              <w:tc>
                <w:tcPr>
                  <w:tcW w:w="1532" w:type="dxa"/>
                  <w:vAlign w:val="center"/>
                </w:tcPr>
                <w:p w14:paraId="60069A11">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w:t>
                  </w:r>
                </w:p>
              </w:tc>
              <w:tc>
                <w:tcPr>
                  <w:tcW w:w="833" w:type="pct"/>
                  <w:vAlign w:val="center"/>
                </w:tcPr>
                <w:p w14:paraId="2AA6928F">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0.04</w:t>
                  </w:r>
                </w:p>
              </w:tc>
              <w:tc>
                <w:tcPr>
                  <w:tcW w:w="833" w:type="pct"/>
                </w:tcPr>
                <w:p w14:paraId="3B7B9CA8">
                  <w:pPr>
                    <w:adjustRightInd w:val="0"/>
                    <w:snapToGrid w:val="0"/>
                    <w:jc w:val="center"/>
                    <w:rPr>
                      <w:rFonts w:hint="default" w:ascii="Times New Roman" w:hAnsi="Times New Roman" w:eastAsia="宋体" w:cs="Times New Roman"/>
                      <w:bCs/>
                      <w:color w:val="0000FF"/>
                      <w:szCs w:val="21"/>
                      <w:lang w:val="en-US" w:eastAsia="zh-CN"/>
                    </w:rPr>
                  </w:pPr>
                </w:p>
              </w:tc>
              <w:tc>
                <w:tcPr>
                  <w:tcW w:w="833" w:type="pct"/>
                  <w:vAlign w:val="top"/>
                </w:tcPr>
                <w:p w14:paraId="1A207B45">
                  <w:pPr>
                    <w:adjustRightInd w:val="0"/>
                    <w:snapToGrid w:val="0"/>
                    <w:jc w:val="center"/>
                    <w:rPr>
                      <w:rFonts w:hint="default" w:ascii="Times New Roman" w:hAnsi="Times New Roman" w:eastAsia="宋体" w:cs="Times New Roman"/>
                      <w:bCs/>
                      <w:color w:val="0000FF"/>
                      <w:szCs w:val="21"/>
                      <w:lang w:val="en-US" w:eastAsia="zh-CN"/>
                    </w:rPr>
                  </w:pPr>
                </w:p>
              </w:tc>
              <w:tc>
                <w:tcPr>
                  <w:tcW w:w="833" w:type="pct"/>
                </w:tcPr>
                <w:p w14:paraId="7C779BFC">
                  <w:pPr>
                    <w:adjustRightInd w:val="0"/>
                    <w:snapToGrid w:val="0"/>
                    <w:jc w:val="center"/>
                    <w:rPr>
                      <w:rFonts w:hint="default" w:ascii="Times New Roman" w:hAnsi="Times New Roman" w:eastAsia="宋体" w:cs="Times New Roman"/>
                      <w:bCs/>
                      <w:color w:val="0000FF"/>
                      <w:szCs w:val="21"/>
                      <w:lang w:val="en-US" w:eastAsia="zh-CN"/>
                    </w:rPr>
                  </w:pPr>
                </w:p>
              </w:tc>
            </w:tr>
            <w:tr w14:paraId="2DDE7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14:paraId="0914445A">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煤</w:t>
                  </w:r>
                </w:p>
              </w:tc>
              <w:tc>
                <w:tcPr>
                  <w:tcW w:w="1532" w:type="dxa"/>
                  <w:vAlign w:val="center"/>
                </w:tcPr>
                <w:p w14:paraId="30193B22">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237600</w:t>
                  </w:r>
                </w:p>
              </w:tc>
              <w:tc>
                <w:tcPr>
                  <w:tcW w:w="833" w:type="pct"/>
                  <w:vAlign w:val="center"/>
                </w:tcPr>
                <w:p w14:paraId="7895694F">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1.11</w:t>
                  </w:r>
                </w:p>
              </w:tc>
              <w:tc>
                <w:tcPr>
                  <w:tcW w:w="833" w:type="pct"/>
                </w:tcPr>
                <w:p w14:paraId="161EFE8E">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3096.56</w:t>
                  </w:r>
                </w:p>
              </w:tc>
              <w:tc>
                <w:tcPr>
                  <w:tcW w:w="833" w:type="pct"/>
                  <w:vAlign w:val="top"/>
                </w:tcPr>
                <w:p w14:paraId="328A8373">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进入水泥</w:t>
                  </w:r>
                </w:p>
              </w:tc>
              <w:tc>
                <w:tcPr>
                  <w:tcW w:w="833" w:type="pct"/>
                </w:tcPr>
                <w:p w14:paraId="557A2AED">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4181.15</w:t>
                  </w:r>
                </w:p>
              </w:tc>
            </w:tr>
            <w:tr w14:paraId="61466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pct"/>
                  <w:vAlign w:val="center"/>
                </w:tcPr>
                <w:p w14:paraId="527AF475">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生料</w:t>
                  </w:r>
                </w:p>
              </w:tc>
              <w:tc>
                <w:tcPr>
                  <w:tcW w:w="1532" w:type="dxa"/>
                  <w:vAlign w:val="center"/>
                </w:tcPr>
                <w:p w14:paraId="5E0FF485">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2470875</w:t>
                  </w:r>
                </w:p>
              </w:tc>
              <w:tc>
                <w:tcPr>
                  <w:tcW w:w="833" w:type="pct"/>
                  <w:vAlign w:val="center"/>
                </w:tcPr>
                <w:p w14:paraId="4512683E">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0.05</w:t>
                  </w:r>
                </w:p>
              </w:tc>
              <w:tc>
                <w:tcPr>
                  <w:tcW w:w="833" w:type="pct"/>
                </w:tcPr>
                <w:p w14:paraId="6306F332">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1089.50</w:t>
                  </w:r>
                </w:p>
              </w:tc>
              <w:tc>
                <w:tcPr>
                  <w:tcW w:w="833" w:type="pct"/>
                  <w:vAlign w:val="top"/>
                </w:tcPr>
                <w:p w14:paraId="71A30A03">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外排大气</w:t>
                  </w:r>
                </w:p>
              </w:tc>
              <w:tc>
                <w:tcPr>
                  <w:tcW w:w="833" w:type="pct"/>
                </w:tcPr>
                <w:p w14:paraId="3344A27E">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4.91</w:t>
                  </w:r>
                </w:p>
              </w:tc>
            </w:tr>
            <w:tr w14:paraId="63177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7667E7F4">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合计</w:t>
                  </w:r>
                </w:p>
              </w:tc>
              <w:tc>
                <w:tcPr>
                  <w:tcW w:w="833" w:type="pct"/>
                </w:tcPr>
                <w:p w14:paraId="0511A594">
                  <w:pPr>
                    <w:adjustRightInd w:val="0"/>
                    <w:snapToGrid w:val="0"/>
                    <w:jc w:val="center"/>
                    <w:rPr>
                      <w:rFonts w:hint="default" w:ascii="Times New Roman" w:hAnsi="Times New Roman" w:eastAsia="宋体" w:cs="Times New Roman"/>
                      <w:bCs/>
                      <w:color w:val="0000FF"/>
                      <w:szCs w:val="21"/>
                      <w:lang w:val="en-US" w:eastAsia="zh-CN"/>
                    </w:rPr>
                  </w:pPr>
                </w:p>
              </w:tc>
              <w:tc>
                <w:tcPr>
                  <w:tcW w:w="833" w:type="pct"/>
                </w:tcPr>
                <w:p w14:paraId="58B5C9E0">
                  <w:pPr>
                    <w:adjustRightInd w:val="0"/>
                    <w:snapToGrid w:val="0"/>
                    <w:jc w:val="center"/>
                    <w:rPr>
                      <w:rFonts w:hint="default" w:ascii="Times New Roman" w:hAnsi="Times New Roman" w:eastAsia="宋体" w:cs="Times New Roman"/>
                      <w:bCs/>
                      <w:color w:val="0000FF"/>
                      <w:szCs w:val="21"/>
                      <w:lang w:val="en-US" w:eastAsia="zh-CN"/>
                    </w:rPr>
                  </w:pPr>
                </w:p>
              </w:tc>
              <w:tc>
                <w:tcPr>
                  <w:tcW w:w="833" w:type="pct"/>
                </w:tcPr>
                <w:p w14:paraId="2BFF2127">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4186.06</w:t>
                  </w:r>
                </w:p>
              </w:tc>
              <w:tc>
                <w:tcPr>
                  <w:tcW w:w="833" w:type="pct"/>
                </w:tcPr>
                <w:p w14:paraId="628EDF45">
                  <w:pPr>
                    <w:adjustRightInd w:val="0"/>
                    <w:snapToGrid w:val="0"/>
                    <w:jc w:val="center"/>
                    <w:rPr>
                      <w:rFonts w:hint="default" w:ascii="Times New Roman" w:hAnsi="Times New Roman" w:eastAsia="宋体" w:cs="Times New Roman"/>
                      <w:bCs/>
                      <w:color w:val="0000FF"/>
                      <w:szCs w:val="21"/>
                      <w:lang w:val="en-US" w:eastAsia="zh-CN"/>
                    </w:rPr>
                  </w:pPr>
                </w:p>
              </w:tc>
              <w:tc>
                <w:tcPr>
                  <w:tcW w:w="833" w:type="pct"/>
                </w:tcPr>
                <w:p w14:paraId="6370AD30">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4186.06</w:t>
                  </w:r>
                </w:p>
              </w:tc>
            </w:tr>
          </w:tbl>
          <w:p w14:paraId="3EAF07A4">
            <w:pPr>
              <w:autoSpaceDE w:val="0"/>
              <w:autoSpaceDN w:val="0"/>
              <w:adjustRightInd w:val="0"/>
              <w:jc w:val="center"/>
              <w:rPr>
                <w:rFonts w:hint="eastAsia" w:cs="Times New Roman"/>
                <w:color w:val="0000FF"/>
                <w:kern w:val="0"/>
                <w:sz w:val="24"/>
                <w:szCs w:val="24"/>
                <w:lang w:val="en-US" w:eastAsia="zh-CN" w:bidi="ar-SA"/>
              </w:rPr>
            </w:pPr>
            <w:r>
              <w:rPr>
                <w:rFonts w:hint="eastAsia" w:ascii="Times New Roman" w:hAnsi="Times New Roman" w:cs="Times New Roman"/>
                <w:b/>
                <w:color w:val="0000FF"/>
              </w:rPr>
              <w:t>表</w:t>
            </w:r>
            <w:r>
              <w:rPr>
                <w:rFonts w:ascii="Times New Roman" w:hAnsi="Times New Roman" w:cs="Times New Roman"/>
                <w:b/>
                <w:color w:val="0000FF"/>
              </w:rPr>
              <w:t>2</w:t>
            </w:r>
            <w:r>
              <w:rPr>
                <w:rFonts w:hint="eastAsia" w:ascii="Times New Roman" w:hAnsi="Times New Roman" w:cs="Times New Roman"/>
                <w:b/>
                <w:color w:val="0000FF"/>
                <w:lang w:val="en-US" w:eastAsia="zh-CN"/>
              </w:rPr>
              <w:t>-</w:t>
            </w:r>
            <w:r>
              <w:rPr>
                <w:rFonts w:hint="eastAsia" w:cs="Times New Roman"/>
                <w:b/>
                <w:color w:val="0000FF"/>
                <w:lang w:val="en-US" w:eastAsia="zh-CN"/>
              </w:rPr>
              <w:t>32</w:t>
            </w:r>
            <w:r>
              <w:rPr>
                <w:rFonts w:ascii="Times New Roman" w:hAnsi="Times New Roman" w:cs="Times New Roman"/>
                <w:b/>
                <w:color w:val="0000FF"/>
              </w:rPr>
              <w:t xml:space="preserve"> </w:t>
            </w:r>
            <w:r>
              <w:rPr>
                <w:rFonts w:hint="eastAsia" w:cs="Times New Roman"/>
                <w:b/>
                <w:color w:val="0000FF"/>
                <w:lang w:eastAsia="zh-CN"/>
              </w:rPr>
              <w:t>改造后水泥窑硫元素平衡表</w:t>
            </w:r>
          </w:p>
          <w:tbl>
            <w:tblPr>
              <w:tblStyle w:val="2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4"/>
              <w:gridCol w:w="1534"/>
              <w:gridCol w:w="1534"/>
              <w:gridCol w:w="1536"/>
              <w:gridCol w:w="1535"/>
              <w:gridCol w:w="1535"/>
            </w:tblGrid>
            <w:tr w14:paraId="51FDB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3" w:type="pct"/>
                  <w:gridSpan w:val="4"/>
                </w:tcPr>
                <w:p w14:paraId="05FA727D">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投入</w:t>
                  </w:r>
                </w:p>
              </w:tc>
              <w:tc>
                <w:tcPr>
                  <w:tcW w:w="1666" w:type="pct"/>
                  <w:gridSpan w:val="2"/>
                </w:tcPr>
                <w:p w14:paraId="7F7FF1A4">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产出</w:t>
                  </w:r>
                </w:p>
              </w:tc>
            </w:tr>
            <w:tr w14:paraId="7DA27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6FACC5B6">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物料</w:t>
                  </w:r>
                </w:p>
              </w:tc>
              <w:tc>
                <w:tcPr>
                  <w:tcW w:w="833" w:type="pct"/>
                </w:tcPr>
                <w:p w14:paraId="2439F43B">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用量（t/a）</w:t>
                  </w:r>
                </w:p>
              </w:tc>
              <w:tc>
                <w:tcPr>
                  <w:tcW w:w="833" w:type="pct"/>
                </w:tcPr>
                <w:p w14:paraId="2042AEF2">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含硫量（%）</w:t>
                  </w:r>
                </w:p>
              </w:tc>
              <w:tc>
                <w:tcPr>
                  <w:tcW w:w="833" w:type="pct"/>
                </w:tcPr>
                <w:p w14:paraId="0AE8C840">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硫含量（t/a）</w:t>
                  </w:r>
                </w:p>
              </w:tc>
              <w:tc>
                <w:tcPr>
                  <w:tcW w:w="833" w:type="pct"/>
                </w:tcPr>
                <w:p w14:paraId="32F1CE5B">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去向</w:t>
                  </w:r>
                </w:p>
              </w:tc>
              <w:tc>
                <w:tcPr>
                  <w:tcW w:w="833" w:type="pct"/>
                </w:tcPr>
                <w:p w14:paraId="5088B721">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硫含量（t/a）</w:t>
                  </w:r>
                </w:p>
              </w:tc>
            </w:tr>
            <w:tr w14:paraId="2E6A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14:paraId="33F4C038">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废纺</w:t>
                  </w:r>
                </w:p>
              </w:tc>
              <w:tc>
                <w:tcPr>
                  <w:tcW w:w="1532" w:type="dxa"/>
                  <w:vAlign w:val="center"/>
                </w:tcPr>
                <w:p w14:paraId="08205814">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50000</w:t>
                  </w:r>
                </w:p>
              </w:tc>
              <w:tc>
                <w:tcPr>
                  <w:tcW w:w="833" w:type="pct"/>
                  <w:vAlign w:val="center"/>
                </w:tcPr>
                <w:p w14:paraId="51E93DE8">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w:t>
                  </w:r>
                </w:p>
              </w:tc>
              <w:tc>
                <w:tcPr>
                  <w:tcW w:w="833" w:type="pct"/>
                </w:tcPr>
                <w:p w14:paraId="22758ACD">
                  <w:pPr>
                    <w:adjustRightInd w:val="0"/>
                    <w:snapToGrid w:val="0"/>
                    <w:jc w:val="center"/>
                    <w:rPr>
                      <w:rFonts w:hint="default" w:ascii="Times New Roman" w:hAnsi="Times New Roman" w:eastAsia="宋体" w:cs="Times New Roman"/>
                      <w:bCs/>
                      <w:color w:val="0000FF"/>
                      <w:szCs w:val="21"/>
                      <w:lang w:val="en-US" w:eastAsia="zh-CN"/>
                    </w:rPr>
                  </w:pPr>
                </w:p>
              </w:tc>
              <w:tc>
                <w:tcPr>
                  <w:tcW w:w="833" w:type="pct"/>
                  <w:vAlign w:val="top"/>
                </w:tcPr>
                <w:p w14:paraId="7CBF8D27">
                  <w:pPr>
                    <w:adjustRightInd w:val="0"/>
                    <w:snapToGrid w:val="0"/>
                    <w:jc w:val="center"/>
                    <w:rPr>
                      <w:rFonts w:hint="default" w:ascii="Times New Roman" w:hAnsi="Times New Roman" w:eastAsia="宋体" w:cs="Times New Roman"/>
                      <w:bCs/>
                      <w:color w:val="0000FF"/>
                      <w:szCs w:val="21"/>
                      <w:lang w:val="en-US" w:eastAsia="zh-CN"/>
                    </w:rPr>
                  </w:pPr>
                </w:p>
              </w:tc>
              <w:tc>
                <w:tcPr>
                  <w:tcW w:w="833" w:type="pct"/>
                </w:tcPr>
                <w:p w14:paraId="762F7FB3">
                  <w:pPr>
                    <w:adjustRightInd w:val="0"/>
                    <w:snapToGrid w:val="0"/>
                    <w:jc w:val="center"/>
                    <w:rPr>
                      <w:rFonts w:hint="default" w:ascii="Times New Roman" w:hAnsi="Times New Roman" w:eastAsia="宋体" w:cs="Times New Roman"/>
                      <w:bCs/>
                      <w:color w:val="0000FF"/>
                      <w:szCs w:val="21"/>
                      <w:lang w:val="en-US" w:eastAsia="zh-CN"/>
                    </w:rPr>
                  </w:pPr>
                </w:p>
              </w:tc>
            </w:tr>
            <w:tr w14:paraId="47B06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pct"/>
                  <w:vAlign w:val="center"/>
                </w:tcPr>
                <w:p w14:paraId="64F0C1AD">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生物质（木屑）</w:t>
                  </w:r>
                </w:p>
              </w:tc>
              <w:tc>
                <w:tcPr>
                  <w:tcW w:w="1532" w:type="dxa"/>
                  <w:vAlign w:val="center"/>
                </w:tcPr>
                <w:p w14:paraId="46E4731D">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50000</w:t>
                  </w:r>
                </w:p>
              </w:tc>
              <w:tc>
                <w:tcPr>
                  <w:tcW w:w="833" w:type="pct"/>
                  <w:vAlign w:val="center"/>
                </w:tcPr>
                <w:p w14:paraId="5C62791F">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0.04</w:t>
                  </w:r>
                </w:p>
              </w:tc>
              <w:tc>
                <w:tcPr>
                  <w:tcW w:w="833" w:type="pct"/>
                </w:tcPr>
                <w:p w14:paraId="0B7A8D43">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299</w:t>
                  </w:r>
                </w:p>
              </w:tc>
              <w:tc>
                <w:tcPr>
                  <w:tcW w:w="833" w:type="pct"/>
                  <w:vAlign w:val="top"/>
                </w:tcPr>
                <w:p w14:paraId="1013ABCE">
                  <w:pPr>
                    <w:adjustRightInd w:val="0"/>
                    <w:snapToGrid w:val="0"/>
                    <w:jc w:val="center"/>
                    <w:rPr>
                      <w:rFonts w:hint="default" w:ascii="Times New Roman" w:hAnsi="Times New Roman" w:eastAsia="宋体" w:cs="Times New Roman"/>
                      <w:bCs/>
                      <w:color w:val="0000FF"/>
                      <w:szCs w:val="21"/>
                      <w:lang w:val="en-US" w:eastAsia="zh-CN"/>
                    </w:rPr>
                  </w:pPr>
                </w:p>
              </w:tc>
              <w:tc>
                <w:tcPr>
                  <w:tcW w:w="833" w:type="pct"/>
                </w:tcPr>
                <w:p w14:paraId="03743E54">
                  <w:pPr>
                    <w:adjustRightInd w:val="0"/>
                    <w:snapToGrid w:val="0"/>
                    <w:jc w:val="center"/>
                    <w:rPr>
                      <w:rFonts w:hint="default" w:ascii="Times New Roman" w:hAnsi="Times New Roman" w:eastAsia="宋体" w:cs="Times New Roman"/>
                      <w:bCs/>
                      <w:color w:val="0000FF"/>
                      <w:szCs w:val="21"/>
                      <w:lang w:val="en-US" w:eastAsia="zh-CN"/>
                    </w:rPr>
                  </w:pPr>
                </w:p>
              </w:tc>
            </w:tr>
            <w:tr w14:paraId="3D311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14:paraId="449BA0C6">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煤</w:t>
                  </w:r>
                </w:p>
              </w:tc>
              <w:tc>
                <w:tcPr>
                  <w:tcW w:w="1532" w:type="dxa"/>
                  <w:vAlign w:val="center"/>
                </w:tcPr>
                <w:p w14:paraId="4910054F">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192700</w:t>
                  </w:r>
                </w:p>
              </w:tc>
              <w:tc>
                <w:tcPr>
                  <w:tcW w:w="833" w:type="pct"/>
                  <w:vAlign w:val="center"/>
                </w:tcPr>
                <w:p w14:paraId="1C864BB9">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1.11</w:t>
                  </w:r>
                </w:p>
              </w:tc>
              <w:tc>
                <w:tcPr>
                  <w:tcW w:w="833" w:type="pct"/>
                </w:tcPr>
                <w:p w14:paraId="153F32F7">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2598.17</w:t>
                  </w:r>
                </w:p>
              </w:tc>
              <w:tc>
                <w:tcPr>
                  <w:tcW w:w="833" w:type="pct"/>
                  <w:vAlign w:val="top"/>
                </w:tcPr>
                <w:p w14:paraId="30CA3051">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进入水泥</w:t>
                  </w:r>
                </w:p>
              </w:tc>
              <w:tc>
                <w:tcPr>
                  <w:tcW w:w="833" w:type="pct"/>
                </w:tcPr>
                <w:p w14:paraId="1FD4E74D">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3981.99</w:t>
                  </w:r>
                </w:p>
              </w:tc>
            </w:tr>
            <w:tr w14:paraId="55C0E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14:paraId="12899509">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生料</w:t>
                  </w:r>
                </w:p>
              </w:tc>
              <w:tc>
                <w:tcPr>
                  <w:tcW w:w="1532" w:type="dxa"/>
                  <w:vAlign w:val="center"/>
                </w:tcPr>
                <w:p w14:paraId="57420FB8">
                  <w:pPr>
                    <w:adjustRightInd w:val="0"/>
                    <w:snapToGrid w:val="0"/>
                    <w:jc w:val="center"/>
                    <w:rPr>
                      <w:rFonts w:hint="default"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2470875</w:t>
                  </w:r>
                </w:p>
              </w:tc>
              <w:tc>
                <w:tcPr>
                  <w:tcW w:w="833" w:type="pct"/>
                  <w:vAlign w:val="center"/>
                </w:tcPr>
                <w:p w14:paraId="5C534AD7">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0.05</w:t>
                  </w:r>
                </w:p>
              </w:tc>
              <w:tc>
                <w:tcPr>
                  <w:tcW w:w="833" w:type="pct"/>
                </w:tcPr>
                <w:p w14:paraId="48D72188">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1089.50</w:t>
                  </w:r>
                </w:p>
              </w:tc>
              <w:tc>
                <w:tcPr>
                  <w:tcW w:w="833" w:type="pct"/>
                  <w:vAlign w:val="top"/>
                </w:tcPr>
                <w:p w14:paraId="37FA2621">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外排大气</w:t>
                  </w:r>
                </w:p>
              </w:tc>
              <w:tc>
                <w:tcPr>
                  <w:tcW w:w="833" w:type="pct"/>
                </w:tcPr>
                <w:p w14:paraId="341CC61C">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4.68</w:t>
                  </w:r>
                </w:p>
              </w:tc>
            </w:tr>
            <w:tr w14:paraId="77631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48C3468B">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合计</w:t>
                  </w:r>
                </w:p>
              </w:tc>
              <w:tc>
                <w:tcPr>
                  <w:tcW w:w="833" w:type="pct"/>
                </w:tcPr>
                <w:p w14:paraId="60899644">
                  <w:pPr>
                    <w:adjustRightInd w:val="0"/>
                    <w:snapToGrid w:val="0"/>
                    <w:jc w:val="center"/>
                    <w:rPr>
                      <w:rFonts w:hint="default" w:ascii="Times New Roman" w:hAnsi="Times New Roman" w:eastAsia="宋体" w:cs="Times New Roman"/>
                      <w:bCs/>
                      <w:color w:val="0000FF"/>
                      <w:szCs w:val="21"/>
                      <w:lang w:val="en-US" w:eastAsia="zh-CN"/>
                    </w:rPr>
                  </w:pPr>
                </w:p>
              </w:tc>
              <w:tc>
                <w:tcPr>
                  <w:tcW w:w="833" w:type="pct"/>
                </w:tcPr>
                <w:p w14:paraId="258508E7">
                  <w:pPr>
                    <w:adjustRightInd w:val="0"/>
                    <w:snapToGrid w:val="0"/>
                    <w:jc w:val="center"/>
                    <w:rPr>
                      <w:rFonts w:hint="default" w:ascii="Times New Roman" w:hAnsi="Times New Roman" w:eastAsia="宋体" w:cs="Times New Roman"/>
                      <w:bCs/>
                      <w:color w:val="0000FF"/>
                      <w:szCs w:val="21"/>
                      <w:lang w:val="en-US" w:eastAsia="zh-CN"/>
                    </w:rPr>
                  </w:pPr>
                </w:p>
              </w:tc>
              <w:tc>
                <w:tcPr>
                  <w:tcW w:w="833" w:type="pct"/>
                </w:tcPr>
                <w:p w14:paraId="631D491D">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3986.67</w:t>
                  </w:r>
                </w:p>
              </w:tc>
              <w:tc>
                <w:tcPr>
                  <w:tcW w:w="833" w:type="pct"/>
                </w:tcPr>
                <w:p w14:paraId="243D8176">
                  <w:pPr>
                    <w:adjustRightInd w:val="0"/>
                    <w:snapToGrid w:val="0"/>
                    <w:jc w:val="center"/>
                    <w:rPr>
                      <w:rFonts w:hint="default" w:ascii="Times New Roman" w:hAnsi="Times New Roman" w:eastAsia="宋体" w:cs="Times New Roman"/>
                      <w:bCs/>
                      <w:color w:val="0000FF"/>
                      <w:szCs w:val="21"/>
                      <w:lang w:val="en-US" w:eastAsia="zh-CN"/>
                    </w:rPr>
                  </w:pPr>
                </w:p>
              </w:tc>
              <w:tc>
                <w:tcPr>
                  <w:tcW w:w="833" w:type="pct"/>
                </w:tcPr>
                <w:p w14:paraId="4A37A9ED">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3986.67</w:t>
                  </w:r>
                </w:p>
              </w:tc>
            </w:tr>
          </w:tbl>
          <w:p w14:paraId="62E815A5">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default" w:cs="Times New Roman"/>
                <w:b/>
                <w:bCs/>
                <w:color w:val="0000FF"/>
                <w:kern w:val="2"/>
                <w:sz w:val="24"/>
                <w:szCs w:val="24"/>
                <w:vertAlign w:val="baseline"/>
                <w:lang w:val="en-US" w:eastAsia="zh-CN" w:bidi="ar-SA"/>
              </w:rPr>
            </w:pPr>
          </w:p>
        </w:tc>
      </w:tr>
    </w:tbl>
    <w:p w14:paraId="16B71E6D">
      <w:pPr>
        <w:pStyle w:val="24"/>
        <w:spacing w:before="0" w:beforeAutospacing="0" w:after="0" w:afterAutospacing="0"/>
        <w:jc w:val="center"/>
        <w:outlineLvl w:val="0"/>
        <w:rPr>
          <w:rFonts w:hint="default" w:ascii="Times New Roman" w:hAnsi="Times New Roman" w:eastAsia="黑体" w:cs="Times New Roman"/>
          <w:snapToGrid w:val="0"/>
          <w:color w:val="0000FF"/>
          <w:sz w:val="30"/>
          <w:szCs w:val="30"/>
        </w:rPr>
        <w:sectPr>
          <w:pgSz w:w="11907" w:h="16840"/>
          <w:pgMar w:top="1644"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8"/>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1"/>
        <w:gridCol w:w="15179"/>
      </w:tblGrid>
      <w:tr w14:paraId="696EBA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8" w:type="pct"/>
            <w:tcBorders>
              <w:bottom w:val="single" w:color="auto" w:sz="8" w:space="0"/>
            </w:tcBorders>
            <w:vAlign w:val="center"/>
          </w:tcPr>
          <w:p w14:paraId="019A2C8F">
            <w:pPr>
              <w:adjustRightInd w:val="0"/>
              <w:snapToGrid w:val="0"/>
              <w:spacing w:line="460" w:lineRule="exact"/>
              <w:jc w:val="center"/>
              <w:rPr>
                <w:rFonts w:hint="eastAsia" w:ascii="Times New Roman" w:hAnsi="Times New Roman" w:eastAsia="宋体" w:cs="Times New Roman"/>
                <w:color w:val="0000FF"/>
                <w:kern w:val="0"/>
                <w:sz w:val="24"/>
                <w:szCs w:val="24"/>
                <w:lang w:eastAsia="zh-CN"/>
              </w:rPr>
            </w:pPr>
          </w:p>
        </w:tc>
        <w:tc>
          <w:tcPr>
            <w:tcW w:w="4861" w:type="pct"/>
            <w:tcBorders>
              <w:bottom w:val="single" w:color="auto" w:sz="8" w:space="0"/>
            </w:tcBorders>
            <w:vAlign w:val="top"/>
          </w:tcPr>
          <w:p w14:paraId="31431FF8">
            <w:pPr>
              <w:pStyle w:val="9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0000FF"/>
                <w:kern w:val="0"/>
                <w:sz w:val="24"/>
                <w:szCs w:val="24"/>
                <w:lang w:val="en-US" w:eastAsia="zh-CN" w:bidi="ar-SA"/>
              </w:rPr>
            </w:pPr>
            <w:r>
              <w:rPr>
                <w:rFonts w:hint="eastAsia" w:cs="Times New Roman"/>
                <w:color w:val="0000FF"/>
                <w:kern w:val="0"/>
                <w:sz w:val="24"/>
                <w:szCs w:val="24"/>
                <w:lang w:val="en-US" w:eastAsia="zh-CN" w:bidi="ar-SA"/>
              </w:rPr>
              <w:t>5</w:t>
            </w:r>
            <w:r>
              <w:rPr>
                <w:rFonts w:hint="eastAsia" w:ascii="Times New Roman" w:hAnsi="Times New Roman" w:eastAsia="宋体" w:cs="Times New Roman"/>
                <w:color w:val="0000FF"/>
                <w:kern w:val="0"/>
                <w:sz w:val="24"/>
                <w:szCs w:val="24"/>
                <w:lang w:val="en-US" w:eastAsia="zh-CN" w:bidi="ar-SA"/>
              </w:rPr>
              <w:t>、重金属平衡</w:t>
            </w:r>
          </w:p>
          <w:p w14:paraId="1ADDA4C9">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0000FF"/>
                <w:kern w:val="0"/>
                <w:sz w:val="24"/>
                <w:szCs w:val="24"/>
                <w:lang w:val="en-US" w:eastAsia="zh-CN" w:bidi="ar-SA"/>
              </w:rPr>
            </w:pPr>
            <w:r>
              <w:rPr>
                <w:rFonts w:hint="eastAsia" w:cs="Times New Roman"/>
                <w:color w:val="0000FF"/>
                <w:kern w:val="0"/>
                <w:sz w:val="24"/>
                <w:szCs w:val="24"/>
                <w:lang w:val="en-US" w:eastAsia="zh-CN" w:bidi="ar-SA"/>
              </w:rPr>
              <w:t>本项目协同处置过程中，会涉及到重金属的转移。重金属在水泥窑的高温条件下，部分进入烟气，部分进入熟料，窑灰全部返回水泥窑循环利用生产熟料。结合各类重金属的挥发特性以及分配系数进行估算，大部分重金属分配系数取《固体废物生产水泥污染控制标准》（征求意见稿）编制说明中4.2章节中重金属在水泥窑的挥发和分配的最不利数据（进入烟气最大值核算数据来自标准编制课题组开展的试烧试验），部分数据根据淮北众城水泥有限责任公司现有5000t/d熟料生产线运行情况确定。本项目协同处置前后熟料生产线重金属平衡以及协同处置后熟料生产线重金属元素变化情况见下表。</w:t>
            </w:r>
          </w:p>
          <w:p w14:paraId="53C12C55">
            <w:pPr>
              <w:autoSpaceDE w:val="0"/>
              <w:autoSpaceDN w:val="0"/>
              <w:adjustRightInd w:val="0"/>
              <w:jc w:val="center"/>
              <w:rPr>
                <w:rFonts w:hint="eastAsia" w:cs="Times New Roman"/>
                <w:color w:val="0000FF"/>
                <w:kern w:val="0"/>
                <w:sz w:val="24"/>
                <w:szCs w:val="24"/>
                <w:lang w:val="en-US" w:eastAsia="zh-CN" w:bidi="ar-SA"/>
              </w:rPr>
            </w:pPr>
            <w:r>
              <w:rPr>
                <w:rFonts w:hint="eastAsia" w:ascii="Times New Roman" w:hAnsi="Times New Roman" w:cs="Times New Roman"/>
                <w:b/>
                <w:color w:val="0000FF"/>
              </w:rPr>
              <w:t>表</w:t>
            </w:r>
            <w:r>
              <w:rPr>
                <w:rFonts w:ascii="Times New Roman" w:hAnsi="Times New Roman" w:cs="Times New Roman"/>
                <w:b/>
                <w:color w:val="0000FF"/>
              </w:rPr>
              <w:t>2</w:t>
            </w:r>
            <w:r>
              <w:rPr>
                <w:rFonts w:hint="eastAsia" w:ascii="Times New Roman" w:hAnsi="Times New Roman" w:cs="Times New Roman"/>
                <w:b/>
                <w:color w:val="0000FF"/>
                <w:lang w:val="en-US" w:eastAsia="zh-CN"/>
              </w:rPr>
              <w:t>-</w:t>
            </w:r>
            <w:r>
              <w:rPr>
                <w:rFonts w:hint="eastAsia" w:cs="Times New Roman"/>
                <w:b/>
                <w:color w:val="0000FF"/>
                <w:lang w:val="en-US" w:eastAsia="zh-CN"/>
              </w:rPr>
              <w:t>33 协同处置</w:t>
            </w:r>
            <w:r>
              <w:rPr>
                <w:rFonts w:hint="eastAsia" w:cs="Times New Roman"/>
                <w:b/>
                <w:color w:val="0000FF"/>
                <w:lang w:eastAsia="zh-CN"/>
              </w:rPr>
              <w:t>前水泥窑重金属元素平衡一览表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
              <w:gridCol w:w="1785"/>
              <w:gridCol w:w="990"/>
              <w:gridCol w:w="930"/>
              <w:gridCol w:w="1020"/>
              <w:gridCol w:w="1005"/>
              <w:gridCol w:w="1215"/>
              <w:gridCol w:w="1080"/>
              <w:gridCol w:w="1095"/>
              <w:gridCol w:w="840"/>
              <w:gridCol w:w="1035"/>
              <w:gridCol w:w="1035"/>
              <w:gridCol w:w="1275"/>
              <w:gridCol w:w="1278"/>
            </w:tblGrid>
            <w:tr w14:paraId="77FEF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 w:type="pct"/>
                  <w:vAlign w:val="center"/>
                </w:tcPr>
                <w:p w14:paraId="73FA73DB">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产线</w:t>
                  </w:r>
                </w:p>
              </w:tc>
              <w:tc>
                <w:tcPr>
                  <w:tcW w:w="596" w:type="pct"/>
                  <w:vAlign w:val="center"/>
                </w:tcPr>
                <w:p w14:paraId="031E4CB5">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原料名称</w:t>
                  </w:r>
                </w:p>
              </w:tc>
              <w:tc>
                <w:tcPr>
                  <w:tcW w:w="331" w:type="pct"/>
                  <w:vAlign w:val="center"/>
                </w:tcPr>
                <w:p w14:paraId="27838B80">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生料</w:t>
                  </w:r>
                </w:p>
              </w:tc>
              <w:tc>
                <w:tcPr>
                  <w:tcW w:w="310" w:type="pct"/>
                  <w:vAlign w:val="center"/>
                </w:tcPr>
                <w:p w14:paraId="4B796E4B">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煤</w:t>
                  </w:r>
                </w:p>
              </w:tc>
              <w:tc>
                <w:tcPr>
                  <w:tcW w:w="341" w:type="pct"/>
                  <w:vAlign w:val="center"/>
                </w:tcPr>
                <w:p w14:paraId="2D5BCA28">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生物质（木屑）</w:t>
                  </w:r>
                </w:p>
              </w:tc>
              <w:tc>
                <w:tcPr>
                  <w:tcW w:w="336" w:type="pct"/>
                  <w:vAlign w:val="center"/>
                </w:tcPr>
                <w:p w14:paraId="1183F1F6">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废纺</w:t>
                  </w:r>
                </w:p>
              </w:tc>
              <w:tc>
                <w:tcPr>
                  <w:tcW w:w="406" w:type="pct"/>
                  <w:vMerge w:val="restart"/>
                  <w:vAlign w:val="center"/>
                </w:tcPr>
                <w:p w14:paraId="64504C7B">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重金属量</w:t>
                  </w:r>
                </w:p>
              </w:tc>
              <w:tc>
                <w:tcPr>
                  <w:tcW w:w="727" w:type="pct"/>
                  <w:gridSpan w:val="2"/>
                  <w:vAlign w:val="center"/>
                </w:tcPr>
                <w:p w14:paraId="5FDC8F92">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分配系数</w:t>
                  </w:r>
                </w:p>
              </w:tc>
              <w:tc>
                <w:tcPr>
                  <w:tcW w:w="280" w:type="pct"/>
                  <w:vMerge w:val="restart"/>
                  <w:vAlign w:val="center"/>
                </w:tcPr>
                <w:p w14:paraId="13672AF1">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除尘系统效率（%）</w:t>
                  </w:r>
                </w:p>
              </w:tc>
              <w:tc>
                <w:tcPr>
                  <w:tcW w:w="346" w:type="pct"/>
                  <w:vMerge w:val="restart"/>
                  <w:vAlign w:val="center"/>
                </w:tcPr>
                <w:p w14:paraId="541FA8E9">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固化到熟料中的重金属（kg/a）</w:t>
                  </w:r>
                </w:p>
              </w:tc>
              <w:tc>
                <w:tcPr>
                  <w:tcW w:w="346" w:type="pct"/>
                  <w:vMerge w:val="restart"/>
                  <w:vAlign w:val="center"/>
                </w:tcPr>
                <w:p w14:paraId="7529FC5A">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初始烟气中的重金属（kg/a）</w:t>
                  </w:r>
                </w:p>
              </w:tc>
              <w:tc>
                <w:tcPr>
                  <w:tcW w:w="426" w:type="pct"/>
                  <w:vMerge w:val="restart"/>
                  <w:vAlign w:val="center"/>
                </w:tcPr>
                <w:p w14:paraId="715C5273">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窑灰中重金属（kg/a）</w:t>
                  </w:r>
                </w:p>
              </w:tc>
              <w:tc>
                <w:tcPr>
                  <w:tcW w:w="427" w:type="pct"/>
                  <w:vMerge w:val="restart"/>
                  <w:vAlign w:val="center"/>
                </w:tcPr>
                <w:p w14:paraId="19BC5091">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排入大气中重金属量（kg/a）</w:t>
                  </w:r>
                </w:p>
              </w:tc>
            </w:tr>
            <w:tr w14:paraId="4ECBF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 w:type="pct"/>
                  <w:vMerge w:val="restart"/>
                  <w:vAlign w:val="center"/>
                </w:tcPr>
                <w:p w14:paraId="6E29AB70">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一线</w:t>
                  </w:r>
                </w:p>
              </w:tc>
              <w:tc>
                <w:tcPr>
                  <w:tcW w:w="596" w:type="pct"/>
                  <w:vAlign w:val="center"/>
                </w:tcPr>
                <w:p w14:paraId="5DE46EDE">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投加量</w:t>
                  </w:r>
                </w:p>
              </w:tc>
              <w:tc>
                <w:tcPr>
                  <w:tcW w:w="331" w:type="pct"/>
                  <w:vAlign w:val="center"/>
                </w:tcPr>
                <w:p w14:paraId="322531A9">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2470875</w:t>
                  </w:r>
                </w:p>
              </w:tc>
              <w:tc>
                <w:tcPr>
                  <w:tcW w:w="310" w:type="pct"/>
                  <w:vAlign w:val="center"/>
                </w:tcPr>
                <w:p w14:paraId="5B83CF6B">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237600</w:t>
                  </w:r>
                </w:p>
              </w:tc>
              <w:tc>
                <w:tcPr>
                  <w:tcW w:w="341" w:type="pct"/>
                  <w:vAlign w:val="center"/>
                </w:tcPr>
                <w:p w14:paraId="087708E3">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w:t>
                  </w:r>
                </w:p>
              </w:tc>
              <w:tc>
                <w:tcPr>
                  <w:tcW w:w="336" w:type="pct"/>
                  <w:vAlign w:val="center"/>
                </w:tcPr>
                <w:p w14:paraId="0E41A95D">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w:t>
                  </w:r>
                </w:p>
              </w:tc>
              <w:tc>
                <w:tcPr>
                  <w:tcW w:w="406" w:type="pct"/>
                  <w:vMerge w:val="continue"/>
                  <w:vAlign w:val="center"/>
                </w:tcPr>
                <w:p w14:paraId="67289268">
                  <w:pPr>
                    <w:adjustRightInd w:val="0"/>
                    <w:snapToGrid w:val="0"/>
                    <w:jc w:val="center"/>
                    <w:rPr>
                      <w:rFonts w:hint="eastAsia" w:cs="Times New Roman"/>
                      <w:bCs/>
                      <w:color w:val="0000FF"/>
                      <w:szCs w:val="21"/>
                      <w:lang w:val="en-US" w:eastAsia="zh-CN"/>
                    </w:rPr>
                  </w:pPr>
                </w:p>
              </w:tc>
              <w:tc>
                <w:tcPr>
                  <w:tcW w:w="361" w:type="pct"/>
                  <w:vAlign w:val="center"/>
                </w:tcPr>
                <w:p w14:paraId="3AEA3A1F">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进入熟料</w:t>
                  </w:r>
                </w:p>
              </w:tc>
              <w:tc>
                <w:tcPr>
                  <w:tcW w:w="366" w:type="pct"/>
                  <w:vAlign w:val="center"/>
                </w:tcPr>
                <w:p w14:paraId="66467E39">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初始烟气</w:t>
                  </w:r>
                </w:p>
              </w:tc>
              <w:tc>
                <w:tcPr>
                  <w:tcW w:w="280" w:type="pct"/>
                  <w:vMerge w:val="continue"/>
                  <w:vAlign w:val="center"/>
                </w:tcPr>
                <w:p w14:paraId="6474FA38">
                  <w:pPr>
                    <w:adjustRightInd w:val="0"/>
                    <w:snapToGrid w:val="0"/>
                    <w:jc w:val="center"/>
                    <w:rPr>
                      <w:rFonts w:hint="eastAsia" w:cs="Times New Roman"/>
                      <w:bCs/>
                      <w:color w:val="0000FF"/>
                      <w:szCs w:val="21"/>
                      <w:lang w:val="en-US" w:eastAsia="zh-CN"/>
                    </w:rPr>
                  </w:pPr>
                </w:p>
              </w:tc>
              <w:tc>
                <w:tcPr>
                  <w:tcW w:w="346" w:type="pct"/>
                  <w:vMerge w:val="continue"/>
                  <w:vAlign w:val="center"/>
                </w:tcPr>
                <w:p w14:paraId="43E7B759">
                  <w:pPr>
                    <w:adjustRightInd w:val="0"/>
                    <w:snapToGrid w:val="0"/>
                    <w:jc w:val="center"/>
                    <w:rPr>
                      <w:rFonts w:hint="eastAsia" w:cs="Times New Roman"/>
                      <w:bCs/>
                      <w:color w:val="0000FF"/>
                      <w:szCs w:val="21"/>
                      <w:lang w:val="en-US" w:eastAsia="zh-CN"/>
                    </w:rPr>
                  </w:pPr>
                </w:p>
              </w:tc>
              <w:tc>
                <w:tcPr>
                  <w:tcW w:w="346" w:type="pct"/>
                  <w:vMerge w:val="continue"/>
                  <w:vAlign w:val="center"/>
                </w:tcPr>
                <w:p w14:paraId="51335BE4">
                  <w:pPr>
                    <w:adjustRightInd w:val="0"/>
                    <w:snapToGrid w:val="0"/>
                    <w:jc w:val="center"/>
                    <w:rPr>
                      <w:rFonts w:hint="eastAsia" w:cs="Times New Roman"/>
                      <w:bCs/>
                      <w:color w:val="0000FF"/>
                      <w:szCs w:val="21"/>
                      <w:lang w:val="en-US" w:eastAsia="zh-CN"/>
                    </w:rPr>
                  </w:pPr>
                </w:p>
              </w:tc>
              <w:tc>
                <w:tcPr>
                  <w:tcW w:w="426" w:type="pct"/>
                  <w:vMerge w:val="continue"/>
                  <w:vAlign w:val="center"/>
                </w:tcPr>
                <w:p w14:paraId="2D475ABB">
                  <w:pPr>
                    <w:adjustRightInd w:val="0"/>
                    <w:snapToGrid w:val="0"/>
                    <w:jc w:val="center"/>
                    <w:rPr>
                      <w:rFonts w:hint="eastAsia" w:cs="Times New Roman"/>
                      <w:bCs/>
                      <w:color w:val="0000FF"/>
                      <w:szCs w:val="21"/>
                      <w:lang w:val="en-US" w:eastAsia="zh-CN"/>
                    </w:rPr>
                  </w:pPr>
                </w:p>
              </w:tc>
              <w:tc>
                <w:tcPr>
                  <w:tcW w:w="427" w:type="pct"/>
                  <w:vMerge w:val="continue"/>
                  <w:vAlign w:val="center"/>
                </w:tcPr>
                <w:p w14:paraId="6CBED798">
                  <w:pPr>
                    <w:adjustRightInd w:val="0"/>
                    <w:snapToGrid w:val="0"/>
                    <w:jc w:val="center"/>
                    <w:rPr>
                      <w:rFonts w:hint="eastAsia" w:cs="Times New Roman"/>
                      <w:bCs/>
                      <w:color w:val="0000FF"/>
                      <w:szCs w:val="21"/>
                      <w:lang w:val="en-US" w:eastAsia="zh-CN"/>
                    </w:rPr>
                  </w:pPr>
                </w:p>
              </w:tc>
            </w:tr>
            <w:tr w14:paraId="4B4BA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3" w:type="pct"/>
                  <w:vMerge w:val="continue"/>
                  <w:vAlign w:val="center"/>
                </w:tcPr>
                <w:p w14:paraId="4EB1B085">
                  <w:pPr>
                    <w:adjustRightInd w:val="0"/>
                    <w:snapToGrid w:val="0"/>
                    <w:jc w:val="center"/>
                    <w:rPr>
                      <w:rFonts w:hint="eastAsia" w:cs="Times New Roman"/>
                      <w:bCs/>
                      <w:color w:val="0000FF"/>
                      <w:szCs w:val="21"/>
                      <w:lang w:val="en-US" w:eastAsia="zh-CN"/>
                    </w:rPr>
                  </w:pPr>
                </w:p>
              </w:tc>
              <w:tc>
                <w:tcPr>
                  <w:tcW w:w="596" w:type="pct"/>
                  <w:vAlign w:val="center"/>
                </w:tcPr>
                <w:p w14:paraId="4A01FD04">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Hg</w:t>
                  </w:r>
                </w:p>
              </w:tc>
              <w:tc>
                <w:tcPr>
                  <w:tcW w:w="331" w:type="pct"/>
                  <w:vAlign w:val="center"/>
                </w:tcPr>
                <w:p w14:paraId="0408EA0F">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0.062</w:t>
                  </w:r>
                </w:p>
              </w:tc>
              <w:tc>
                <w:tcPr>
                  <w:tcW w:w="310" w:type="pct"/>
                  <w:vAlign w:val="center"/>
                </w:tcPr>
                <w:p w14:paraId="3B0A87E7">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0.102</w:t>
                  </w:r>
                </w:p>
              </w:tc>
              <w:tc>
                <w:tcPr>
                  <w:tcW w:w="341" w:type="pct"/>
                  <w:vAlign w:val="center"/>
                </w:tcPr>
                <w:p w14:paraId="105AEABA">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w:t>
                  </w:r>
                </w:p>
              </w:tc>
              <w:tc>
                <w:tcPr>
                  <w:tcW w:w="336" w:type="pct"/>
                  <w:vAlign w:val="center"/>
                </w:tcPr>
                <w:p w14:paraId="4CE21FD8">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w:t>
                  </w:r>
                </w:p>
              </w:tc>
              <w:tc>
                <w:tcPr>
                  <w:tcW w:w="406" w:type="pct"/>
                  <w:vAlign w:val="center"/>
                </w:tcPr>
                <w:p w14:paraId="27F04079">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174.93</w:t>
                  </w:r>
                </w:p>
              </w:tc>
              <w:tc>
                <w:tcPr>
                  <w:tcW w:w="361" w:type="pct"/>
                  <w:vAlign w:val="center"/>
                </w:tcPr>
                <w:p w14:paraId="1971D2FE">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w:t>
                  </w:r>
                </w:p>
              </w:tc>
              <w:tc>
                <w:tcPr>
                  <w:tcW w:w="366" w:type="pct"/>
                  <w:vAlign w:val="center"/>
                </w:tcPr>
                <w:p w14:paraId="2796C4A2">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100</w:t>
                  </w:r>
                </w:p>
              </w:tc>
              <w:tc>
                <w:tcPr>
                  <w:tcW w:w="280" w:type="pct"/>
                  <w:vAlign w:val="center"/>
                </w:tcPr>
                <w:p w14:paraId="4409145D">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95</w:t>
                  </w:r>
                </w:p>
              </w:tc>
              <w:tc>
                <w:tcPr>
                  <w:tcW w:w="346" w:type="pct"/>
                  <w:vAlign w:val="center"/>
                </w:tcPr>
                <w:p w14:paraId="0E75809C">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w:t>
                  </w:r>
                </w:p>
              </w:tc>
              <w:tc>
                <w:tcPr>
                  <w:tcW w:w="346" w:type="pct"/>
                  <w:vAlign w:val="center"/>
                </w:tcPr>
                <w:p w14:paraId="476A8083">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173.93</w:t>
                  </w:r>
                </w:p>
              </w:tc>
              <w:tc>
                <w:tcPr>
                  <w:tcW w:w="426" w:type="pct"/>
                  <w:vAlign w:val="center"/>
                </w:tcPr>
                <w:p w14:paraId="00C81C31">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166.19</w:t>
                  </w:r>
                </w:p>
              </w:tc>
              <w:tc>
                <w:tcPr>
                  <w:tcW w:w="427" w:type="pct"/>
                  <w:vAlign w:val="center"/>
                </w:tcPr>
                <w:p w14:paraId="19EC4803">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8.746692</w:t>
                  </w:r>
                </w:p>
              </w:tc>
            </w:tr>
            <w:tr w14:paraId="331DA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 w:type="pct"/>
                  <w:vMerge w:val="continue"/>
                  <w:vAlign w:val="center"/>
                </w:tcPr>
                <w:p w14:paraId="20EBE47E">
                  <w:pPr>
                    <w:adjustRightInd w:val="0"/>
                    <w:snapToGrid w:val="0"/>
                    <w:jc w:val="center"/>
                    <w:rPr>
                      <w:rFonts w:hint="eastAsia" w:cs="Times New Roman"/>
                      <w:bCs/>
                      <w:color w:val="0000FF"/>
                      <w:szCs w:val="21"/>
                      <w:lang w:val="en-US" w:eastAsia="zh-CN"/>
                    </w:rPr>
                  </w:pPr>
                </w:p>
              </w:tc>
              <w:tc>
                <w:tcPr>
                  <w:tcW w:w="596" w:type="pct"/>
                  <w:vAlign w:val="center"/>
                </w:tcPr>
                <w:p w14:paraId="28FEFEAC">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Cd</w:t>
                  </w:r>
                </w:p>
              </w:tc>
              <w:tc>
                <w:tcPr>
                  <w:tcW w:w="331" w:type="pct"/>
                  <w:vAlign w:val="center"/>
                </w:tcPr>
                <w:p w14:paraId="4A0F876E">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0.8</w:t>
                  </w:r>
                </w:p>
              </w:tc>
              <w:tc>
                <w:tcPr>
                  <w:tcW w:w="310" w:type="pct"/>
                  <w:vAlign w:val="center"/>
                </w:tcPr>
                <w:p w14:paraId="4CF40E0C">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w:t>
                  </w:r>
                </w:p>
              </w:tc>
              <w:tc>
                <w:tcPr>
                  <w:tcW w:w="341" w:type="pct"/>
                  <w:vAlign w:val="center"/>
                </w:tcPr>
                <w:p w14:paraId="04BCABAD">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2.20</w:t>
                  </w:r>
                </w:p>
              </w:tc>
              <w:tc>
                <w:tcPr>
                  <w:tcW w:w="336" w:type="pct"/>
                  <w:vAlign w:val="center"/>
                </w:tcPr>
                <w:p w14:paraId="542A7A11">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1.80</w:t>
                  </w:r>
                </w:p>
              </w:tc>
              <w:tc>
                <w:tcPr>
                  <w:tcW w:w="406" w:type="pct"/>
                  <w:vAlign w:val="center"/>
                </w:tcPr>
                <w:p w14:paraId="16117593">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2064.87</w:t>
                  </w:r>
                </w:p>
              </w:tc>
              <w:tc>
                <w:tcPr>
                  <w:tcW w:w="361" w:type="pct"/>
                  <w:vAlign w:val="center"/>
                </w:tcPr>
                <w:p w14:paraId="7FC39CF1">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99.685</w:t>
                  </w:r>
                </w:p>
              </w:tc>
              <w:tc>
                <w:tcPr>
                  <w:tcW w:w="366" w:type="pct"/>
                  <w:vAlign w:val="center"/>
                </w:tcPr>
                <w:p w14:paraId="1C9D9EE9">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0.315</w:t>
                  </w:r>
                </w:p>
              </w:tc>
              <w:tc>
                <w:tcPr>
                  <w:tcW w:w="280" w:type="pct"/>
                  <w:vAlign w:val="center"/>
                </w:tcPr>
                <w:p w14:paraId="10E1EBEC">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99</w:t>
                  </w:r>
                </w:p>
              </w:tc>
              <w:tc>
                <w:tcPr>
                  <w:tcW w:w="346" w:type="pct"/>
                  <w:vAlign w:val="center"/>
                </w:tcPr>
                <w:p w14:paraId="7368004A">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2058</w:t>
                  </w:r>
                </w:p>
              </w:tc>
              <w:tc>
                <w:tcPr>
                  <w:tcW w:w="346" w:type="pct"/>
                  <w:vAlign w:val="center"/>
                </w:tcPr>
                <w:p w14:paraId="672441FC">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7</w:t>
                  </w:r>
                </w:p>
              </w:tc>
              <w:tc>
                <w:tcPr>
                  <w:tcW w:w="426" w:type="pct"/>
                  <w:vAlign w:val="center"/>
                </w:tcPr>
                <w:p w14:paraId="6404BEFF">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6.44</w:t>
                  </w:r>
                </w:p>
              </w:tc>
              <w:tc>
                <w:tcPr>
                  <w:tcW w:w="427" w:type="pct"/>
                  <w:vAlign w:val="center"/>
                </w:tcPr>
                <w:p w14:paraId="3EE82AC8">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0.065043</w:t>
                  </w:r>
                </w:p>
              </w:tc>
            </w:tr>
            <w:tr w14:paraId="2691C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 w:type="pct"/>
                  <w:vMerge w:val="continue"/>
                  <w:vAlign w:val="center"/>
                </w:tcPr>
                <w:p w14:paraId="1EB8C8AC">
                  <w:pPr>
                    <w:adjustRightInd w:val="0"/>
                    <w:snapToGrid w:val="0"/>
                    <w:jc w:val="center"/>
                    <w:rPr>
                      <w:rFonts w:hint="eastAsia" w:cs="Times New Roman"/>
                      <w:bCs/>
                      <w:color w:val="0000FF"/>
                      <w:szCs w:val="21"/>
                      <w:lang w:val="en-US" w:eastAsia="zh-CN"/>
                    </w:rPr>
                  </w:pPr>
                </w:p>
              </w:tc>
              <w:tc>
                <w:tcPr>
                  <w:tcW w:w="596" w:type="pct"/>
                  <w:vAlign w:val="center"/>
                </w:tcPr>
                <w:p w14:paraId="70386E42">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Pb</w:t>
                  </w:r>
                </w:p>
              </w:tc>
              <w:tc>
                <w:tcPr>
                  <w:tcW w:w="331" w:type="pct"/>
                  <w:vAlign w:val="center"/>
                </w:tcPr>
                <w:p w14:paraId="3D9E5795">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1.5</w:t>
                  </w:r>
                </w:p>
              </w:tc>
              <w:tc>
                <w:tcPr>
                  <w:tcW w:w="310" w:type="pct"/>
                  <w:vAlign w:val="center"/>
                </w:tcPr>
                <w:p w14:paraId="57E6CA32">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21.2</w:t>
                  </w:r>
                </w:p>
              </w:tc>
              <w:tc>
                <w:tcPr>
                  <w:tcW w:w="341" w:type="pct"/>
                  <w:vAlign w:val="center"/>
                </w:tcPr>
                <w:p w14:paraId="4162684B">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103.4</w:t>
                  </w:r>
                </w:p>
              </w:tc>
              <w:tc>
                <w:tcPr>
                  <w:tcW w:w="336" w:type="pct"/>
                  <w:vAlign w:val="center"/>
                </w:tcPr>
                <w:p w14:paraId="3DDD4658">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110.8</w:t>
                  </w:r>
                </w:p>
              </w:tc>
              <w:tc>
                <w:tcPr>
                  <w:tcW w:w="406" w:type="pct"/>
                  <w:vAlign w:val="center"/>
                </w:tcPr>
                <w:p w14:paraId="5C6B0222">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6826.39</w:t>
                  </w:r>
                </w:p>
              </w:tc>
              <w:tc>
                <w:tcPr>
                  <w:tcW w:w="361" w:type="pct"/>
                  <w:vAlign w:val="center"/>
                </w:tcPr>
                <w:p w14:paraId="312F20E4">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99.578</w:t>
                  </w:r>
                </w:p>
              </w:tc>
              <w:tc>
                <w:tcPr>
                  <w:tcW w:w="366" w:type="pct"/>
                  <w:vAlign w:val="center"/>
                </w:tcPr>
                <w:p w14:paraId="71860A8E">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0.422</w:t>
                  </w:r>
                </w:p>
              </w:tc>
              <w:tc>
                <w:tcPr>
                  <w:tcW w:w="280" w:type="pct"/>
                  <w:vAlign w:val="center"/>
                </w:tcPr>
                <w:p w14:paraId="60E2C2DC">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99</w:t>
                  </w:r>
                </w:p>
              </w:tc>
              <w:tc>
                <w:tcPr>
                  <w:tcW w:w="346" w:type="pct"/>
                  <w:vAlign w:val="center"/>
                </w:tcPr>
                <w:p w14:paraId="2AF83CEF">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6798</w:t>
                  </w:r>
                </w:p>
              </w:tc>
              <w:tc>
                <w:tcPr>
                  <w:tcW w:w="346" w:type="pct"/>
                  <w:vAlign w:val="center"/>
                </w:tcPr>
                <w:p w14:paraId="277900EF">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29</w:t>
                  </w:r>
                </w:p>
              </w:tc>
              <w:tc>
                <w:tcPr>
                  <w:tcW w:w="426" w:type="pct"/>
                  <w:vAlign w:val="center"/>
                </w:tcPr>
                <w:p w14:paraId="05C0C6C3">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28.52</w:t>
                  </w:r>
                </w:p>
              </w:tc>
              <w:tc>
                <w:tcPr>
                  <w:tcW w:w="427" w:type="pct"/>
                  <w:vAlign w:val="center"/>
                </w:tcPr>
                <w:p w14:paraId="6E089AA7">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0.288073</w:t>
                  </w:r>
                </w:p>
              </w:tc>
            </w:tr>
            <w:tr w14:paraId="7881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 w:hRule="atLeast"/>
                <w:jc w:val="center"/>
              </w:trPr>
              <w:tc>
                <w:tcPr>
                  <w:tcW w:w="123" w:type="pct"/>
                  <w:vMerge w:val="continue"/>
                  <w:vAlign w:val="center"/>
                </w:tcPr>
                <w:p w14:paraId="7C6226E0">
                  <w:pPr>
                    <w:adjustRightInd w:val="0"/>
                    <w:snapToGrid w:val="0"/>
                    <w:jc w:val="center"/>
                    <w:rPr>
                      <w:rFonts w:hint="eastAsia" w:cs="Times New Roman"/>
                      <w:bCs/>
                      <w:color w:val="0000FF"/>
                      <w:szCs w:val="21"/>
                      <w:lang w:val="en-US" w:eastAsia="zh-CN"/>
                    </w:rPr>
                  </w:pPr>
                </w:p>
              </w:tc>
              <w:tc>
                <w:tcPr>
                  <w:tcW w:w="596" w:type="pct"/>
                  <w:vAlign w:val="center"/>
                </w:tcPr>
                <w:p w14:paraId="666712D5">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As</w:t>
                  </w:r>
                </w:p>
              </w:tc>
              <w:tc>
                <w:tcPr>
                  <w:tcW w:w="331" w:type="pct"/>
                  <w:vAlign w:val="center"/>
                </w:tcPr>
                <w:p w14:paraId="6DA602C5">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3.8</w:t>
                  </w:r>
                </w:p>
              </w:tc>
              <w:tc>
                <w:tcPr>
                  <w:tcW w:w="310" w:type="pct"/>
                  <w:vAlign w:val="center"/>
                </w:tcPr>
                <w:p w14:paraId="741E05AC">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12.2</w:t>
                  </w:r>
                </w:p>
              </w:tc>
              <w:tc>
                <w:tcPr>
                  <w:tcW w:w="341" w:type="pct"/>
                  <w:vAlign w:val="center"/>
                </w:tcPr>
                <w:p w14:paraId="77E1FDFC">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3.936</w:t>
                  </w:r>
                </w:p>
              </w:tc>
              <w:tc>
                <w:tcPr>
                  <w:tcW w:w="336" w:type="pct"/>
                  <w:vAlign w:val="center"/>
                </w:tcPr>
                <w:p w14:paraId="064FCB4C">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28.395</w:t>
                  </w:r>
                </w:p>
              </w:tc>
              <w:tc>
                <w:tcPr>
                  <w:tcW w:w="406" w:type="pct"/>
                  <w:vAlign w:val="center"/>
                </w:tcPr>
                <w:p w14:paraId="1B69F923">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11508.52</w:t>
                  </w:r>
                </w:p>
              </w:tc>
              <w:tc>
                <w:tcPr>
                  <w:tcW w:w="361" w:type="pct"/>
                  <w:vAlign w:val="center"/>
                </w:tcPr>
                <w:p w14:paraId="7D6406ED">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94.821</w:t>
                  </w:r>
                </w:p>
              </w:tc>
              <w:tc>
                <w:tcPr>
                  <w:tcW w:w="366" w:type="pct"/>
                  <w:vAlign w:val="center"/>
                </w:tcPr>
                <w:p w14:paraId="008CF612">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5.179</w:t>
                  </w:r>
                </w:p>
              </w:tc>
              <w:tc>
                <w:tcPr>
                  <w:tcW w:w="280" w:type="pct"/>
                  <w:vAlign w:val="center"/>
                </w:tcPr>
                <w:p w14:paraId="0C30CEF6">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99</w:t>
                  </w:r>
                </w:p>
              </w:tc>
              <w:tc>
                <w:tcPr>
                  <w:tcW w:w="346" w:type="pct"/>
                  <w:vAlign w:val="center"/>
                </w:tcPr>
                <w:p w14:paraId="224BF37F">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10912</w:t>
                  </w:r>
                </w:p>
              </w:tc>
              <w:tc>
                <w:tcPr>
                  <w:tcW w:w="346" w:type="pct"/>
                  <w:vAlign w:val="center"/>
                </w:tcPr>
                <w:p w14:paraId="7829F846">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596</w:t>
                  </w:r>
                </w:p>
              </w:tc>
              <w:tc>
                <w:tcPr>
                  <w:tcW w:w="426" w:type="pct"/>
                  <w:vAlign w:val="center"/>
                </w:tcPr>
                <w:p w14:paraId="552359D3">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590.07</w:t>
                  </w:r>
                </w:p>
              </w:tc>
              <w:tc>
                <w:tcPr>
                  <w:tcW w:w="427" w:type="pct"/>
                  <w:vAlign w:val="center"/>
                </w:tcPr>
                <w:p w14:paraId="73B7EB4F">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5.960261</w:t>
                  </w:r>
                </w:p>
              </w:tc>
            </w:tr>
            <w:tr w14:paraId="63B8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 w:type="pct"/>
                  <w:vMerge w:val="continue"/>
                  <w:vAlign w:val="center"/>
                </w:tcPr>
                <w:p w14:paraId="3A111261">
                  <w:pPr>
                    <w:adjustRightInd w:val="0"/>
                    <w:snapToGrid w:val="0"/>
                    <w:jc w:val="center"/>
                    <w:rPr>
                      <w:rFonts w:hint="eastAsia" w:cs="Times New Roman"/>
                      <w:bCs/>
                      <w:color w:val="0000FF"/>
                      <w:szCs w:val="21"/>
                      <w:lang w:val="en-US" w:eastAsia="zh-CN"/>
                    </w:rPr>
                  </w:pPr>
                </w:p>
              </w:tc>
              <w:tc>
                <w:tcPr>
                  <w:tcW w:w="596" w:type="pct"/>
                  <w:vAlign w:val="center"/>
                </w:tcPr>
                <w:p w14:paraId="6ED3065C">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Cr</w:t>
                  </w:r>
                </w:p>
              </w:tc>
              <w:tc>
                <w:tcPr>
                  <w:tcW w:w="331" w:type="pct"/>
                  <w:vAlign w:val="center"/>
                </w:tcPr>
                <w:p w14:paraId="1D2CA9AA">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16.5</w:t>
                  </w:r>
                </w:p>
              </w:tc>
              <w:tc>
                <w:tcPr>
                  <w:tcW w:w="310" w:type="pct"/>
                  <w:vAlign w:val="center"/>
                </w:tcPr>
                <w:p w14:paraId="7AE6A6BE">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27</w:t>
                  </w:r>
                </w:p>
              </w:tc>
              <w:tc>
                <w:tcPr>
                  <w:tcW w:w="341" w:type="pct"/>
                  <w:vAlign w:val="center"/>
                </w:tcPr>
                <w:p w14:paraId="517D77F3">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250.5</w:t>
                  </w:r>
                </w:p>
              </w:tc>
              <w:tc>
                <w:tcPr>
                  <w:tcW w:w="336" w:type="pct"/>
                  <w:vAlign w:val="center"/>
                </w:tcPr>
                <w:p w14:paraId="11F94BA2">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92.54</w:t>
                  </w:r>
                </w:p>
              </w:tc>
              <w:tc>
                <w:tcPr>
                  <w:tcW w:w="406" w:type="pct"/>
                  <w:vAlign w:val="center"/>
                </w:tcPr>
                <w:p w14:paraId="005F0435">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46502.61</w:t>
                  </w:r>
                </w:p>
              </w:tc>
              <w:tc>
                <w:tcPr>
                  <w:tcW w:w="361" w:type="pct"/>
                  <w:vAlign w:val="center"/>
                </w:tcPr>
                <w:p w14:paraId="32D70AD4">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99.92</w:t>
                  </w:r>
                </w:p>
              </w:tc>
              <w:tc>
                <w:tcPr>
                  <w:tcW w:w="366" w:type="pct"/>
                  <w:vAlign w:val="center"/>
                </w:tcPr>
                <w:p w14:paraId="7FEDB6CC">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0.08</w:t>
                  </w:r>
                </w:p>
              </w:tc>
              <w:tc>
                <w:tcPr>
                  <w:tcW w:w="280" w:type="pct"/>
                  <w:vAlign w:val="center"/>
                </w:tcPr>
                <w:p w14:paraId="7DC69021">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99</w:t>
                  </w:r>
                </w:p>
              </w:tc>
              <w:tc>
                <w:tcPr>
                  <w:tcW w:w="346" w:type="pct"/>
                  <w:vAlign w:val="center"/>
                </w:tcPr>
                <w:p w14:paraId="4F85B28E">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46465</w:t>
                  </w:r>
                </w:p>
              </w:tc>
              <w:tc>
                <w:tcPr>
                  <w:tcW w:w="346" w:type="pct"/>
                  <w:vAlign w:val="center"/>
                </w:tcPr>
                <w:p w14:paraId="56E84C4B">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37</w:t>
                  </w:r>
                </w:p>
              </w:tc>
              <w:tc>
                <w:tcPr>
                  <w:tcW w:w="426" w:type="pct"/>
                  <w:vAlign w:val="center"/>
                </w:tcPr>
                <w:p w14:paraId="310D67D5">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36.83</w:t>
                  </w:r>
                </w:p>
              </w:tc>
              <w:tc>
                <w:tcPr>
                  <w:tcW w:w="427" w:type="pct"/>
                  <w:vAlign w:val="center"/>
                </w:tcPr>
                <w:p w14:paraId="165321BC">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0.372021</w:t>
                  </w:r>
                </w:p>
              </w:tc>
            </w:tr>
            <w:tr w14:paraId="0938C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 w:type="pct"/>
                  <w:vMerge w:val="continue"/>
                  <w:vAlign w:val="center"/>
                </w:tcPr>
                <w:p w14:paraId="7B8D4EC2">
                  <w:pPr>
                    <w:adjustRightInd w:val="0"/>
                    <w:snapToGrid w:val="0"/>
                    <w:jc w:val="center"/>
                    <w:rPr>
                      <w:rFonts w:hint="eastAsia" w:cs="Times New Roman"/>
                      <w:bCs/>
                      <w:color w:val="0000FF"/>
                      <w:szCs w:val="21"/>
                      <w:lang w:val="en-US" w:eastAsia="zh-CN"/>
                    </w:rPr>
                  </w:pPr>
                </w:p>
              </w:tc>
              <w:tc>
                <w:tcPr>
                  <w:tcW w:w="596" w:type="pct"/>
                  <w:vAlign w:val="center"/>
                </w:tcPr>
                <w:p w14:paraId="3B43BA1D">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Cu</w:t>
                  </w:r>
                </w:p>
              </w:tc>
              <w:tc>
                <w:tcPr>
                  <w:tcW w:w="331" w:type="pct"/>
                  <w:vAlign w:val="center"/>
                </w:tcPr>
                <w:p w14:paraId="78510E7E">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20</w:t>
                  </w:r>
                </w:p>
              </w:tc>
              <w:tc>
                <w:tcPr>
                  <w:tcW w:w="310" w:type="pct"/>
                  <w:vAlign w:val="center"/>
                </w:tcPr>
                <w:p w14:paraId="718FE522">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16.2</w:t>
                  </w:r>
                </w:p>
              </w:tc>
              <w:tc>
                <w:tcPr>
                  <w:tcW w:w="341" w:type="pct"/>
                  <w:vAlign w:val="center"/>
                </w:tcPr>
                <w:p w14:paraId="083FB936">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377.8</w:t>
                  </w:r>
                </w:p>
              </w:tc>
              <w:tc>
                <w:tcPr>
                  <w:tcW w:w="336" w:type="pct"/>
                  <w:vAlign w:val="center"/>
                </w:tcPr>
                <w:p w14:paraId="5AE29AE8">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86.32</w:t>
                  </w:r>
                </w:p>
              </w:tc>
              <w:tc>
                <w:tcPr>
                  <w:tcW w:w="406" w:type="pct"/>
                  <w:vAlign w:val="center"/>
                </w:tcPr>
                <w:p w14:paraId="26EDE3E3">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53879.68</w:t>
                  </w:r>
                </w:p>
              </w:tc>
              <w:tc>
                <w:tcPr>
                  <w:tcW w:w="361" w:type="pct"/>
                  <w:vAlign w:val="center"/>
                </w:tcPr>
                <w:p w14:paraId="2D623A1B">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99.659</w:t>
                  </w:r>
                </w:p>
              </w:tc>
              <w:tc>
                <w:tcPr>
                  <w:tcW w:w="366" w:type="pct"/>
                  <w:vAlign w:val="center"/>
                </w:tcPr>
                <w:p w14:paraId="356A7397">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0.341</w:t>
                  </w:r>
                </w:p>
              </w:tc>
              <w:tc>
                <w:tcPr>
                  <w:tcW w:w="280" w:type="pct"/>
                  <w:vAlign w:val="center"/>
                </w:tcPr>
                <w:p w14:paraId="5412639E">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99</w:t>
                  </w:r>
                </w:p>
              </w:tc>
              <w:tc>
                <w:tcPr>
                  <w:tcW w:w="346" w:type="pct"/>
                  <w:vAlign w:val="center"/>
                </w:tcPr>
                <w:p w14:paraId="00251440">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53696</w:t>
                  </w:r>
                </w:p>
              </w:tc>
              <w:tc>
                <w:tcPr>
                  <w:tcW w:w="346" w:type="pct"/>
                  <w:vAlign w:val="center"/>
                </w:tcPr>
                <w:p w14:paraId="363609A0">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184</w:t>
                  </w:r>
                </w:p>
              </w:tc>
              <w:tc>
                <w:tcPr>
                  <w:tcW w:w="426" w:type="pct"/>
                  <w:vAlign w:val="center"/>
                </w:tcPr>
                <w:p w14:paraId="7410FB93">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181.89</w:t>
                  </w:r>
                </w:p>
              </w:tc>
              <w:tc>
                <w:tcPr>
                  <w:tcW w:w="427" w:type="pct"/>
                  <w:vAlign w:val="center"/>
                </w:tcPr>
                <w:p w14:paraId="7E0BB017">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1.837297</w:t>
                  </w:r>
                </w:p>
              </w:tc>
            </w:tr>
            <w:tr w14:paraId="4C8F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 w:type="pct"/>
                  <w:vMerge w:val="continue"/>
                  <w:vAlign w:val="center"/>
                </w:tcPr>
                <w:p w14:paraId="02D22F08">
                  <w:pPr>
                    <w:adjustRightInd w:val="0"/>
                    <w:snapToGrid w:val="0"/>
                    <w:jc w:val="center"/>
                    <w:rPr>
                      <w:rFonts w:hint="eastAsia" w:cs="Times New Roman"/>
                      <w:bCs/>
                      <w:color w:val="0000FF"/>
                      <w:szCs w:val="21"/>
                      <w:lang w:val="en-US" w:eastAsia="zh-CN"/>
                    </w:rPr>
                  </w:pPr>
                </w:p>
              </w:tc>
              <w:tc>
                <w:tcPr>
                  <w:tcW w:w="596" w:type="pct"/>
                  <w:vAlign w:val="center"/>
                </w:tcPr>
                <w:p w14:paraId="4BAAB29F">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Mn</w:t>
                  </w:r>
                </w:p>
              </w:tc>
              <w:tc>
                <w:tcPr>
                  <w:tcW w:w="331" w:type="pct"/>
                  <w:vAlign w:val="center"/>
                </w:tcPr>
                <w:p w14:paraId="65081561">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323</w:t>
                  </w:r>
                </w:p>
              </w:tc>
              <w:tc>
                <w:tcPr>
                  <w:tcW w:w="310" w:type="pct"/>
                  <w:vAlign w:val="center"/>
                </w:tcPr>
                <w:p w14:paraId="4FEF6559">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54</w:t>
                  </w:r>
                </w:p>
              </w:tc>
              <w:tc>
                <w:tcPr>
                  <w:tcW w:w="341" w:type="pct"/>
                  <w:vAlign w:val="center"/>
                </w:tcPr>
                <w:p w14:paraId="576C5DD7">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w:t>
                  </w:r>
                </w:p>
              </w:tc>
              <w:tc>
                <w:tcPr>
                  <w:tcW w:w="336" w:type="pct"/>
                  <w:vAlign w:val="center"/>
                </w:tcPr>
                <w:p w14:paraId="0F0DE2E2">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w:t>
                  </w:r>
                </w:p>
              </w:tc>
              <w:tc>
                <w:tcPr>
                  <w:tcW w:w="406" w:type="pct"/>
                  <w:vAlign w:val="center"/>
                </w:tcPr>
                <w:p w14:paraId="3899EAE7">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841218.40</w:t>
                  </w:r>
                </w:p>
              </w:tc>
              <w:tc>
                <w:tcPr>
                  <w:tcW w:w="361" w:type="pct"/>
                  <w:vAlign w:val="center"/>
                </w:tcPr>
                <w:p w14:paraId="7CFC8BB3">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96.49</w:t>
                  </w:r>
                </w:p>
              </w:tc>
              <w:tc>
                <w:tcPr>
                  <w:tcW w:w="366" w:type="pct"/>
                  <w:vAlign w:val="center"/>
                </w:tcPr>
                <w:p w14:paraId="35C7D5A3">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3.51</w:t>
                  </w:r>
                </w:p>
              </w:tc>
              <w:tc>
                <w:tcPr>
                  <w:tcW w:w="280" w:type="pct"/>
                  <w:vAlign w:val="center"/>
                </w:tcPr>
                <w:p w14:paraId="14CA9DCE">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99</w:t>
                  </w:r>
                </w:p>
              </w:tc>
              <w:tc>
                <w:tcPr>
                  <w:tcW w:w="346" w:type="pct"/>
                  <w:vAlign w:val="center"/>
                </w:tcPr>
                <w:p w14:paraId="5877C560">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811692</w:t>
                  </w:r>
                </w:p>
              </w:tc>
              <w:tc>
                <w:tcPr>
                  <w:tcW w:w="346" w:type="pct"/>
                  <w:vAlign w:val="center"/>
                </w:tcPr>
                <w:p w14:paraId="10C920D5">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29527</w:t>
                  </w:r>
                </w:p>
              </w:tc>
              <w:tc>
                <w:tcPr>
                  <w:tcW w:w="426" w:type="pct"/>
                  <w:vAlign w:val="center"/>
                </w:tcPr>
                <w:p w14:paraId="11D51031">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29231.50</w:t>
                  </w:r>
                </w:p>
              </w:tc>
              <w:tc>
                <w:tcPr>
                  <w:tcW w:w="427" w:type="pct"/>
                  <w:vAlign w:val="center"/>
                </w:tcPr>
                <w:p w14:paraId="56888FA8">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295.267660</w:t>
                  </w:r>
                </w:p>
              </w:tc>
            </w:tr>
            <w:tr w14:paraId="4E07C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 w:type="pct"/>
                  <w:vMerge w:val="continue"/>
                  <w:vAlign w:val="center"/>
                </w:tcPr>
                <w:p w14:paraId="4DDF6EA6">
                  <w:pPr>
                    <w:adjustRightInd w:val="0"/>
                    <w:snapToGrid w:val="0"/>
                    <w:jc w:val="center"/>
                    <w:rPr>
                      <w:rFonts w:hint="eastAsia" w:cs="Times New Roman"/>
                      <w:bCs/>
                      <w:color w:val="0000FF"/>
                      <w:szCs w:val="21"/>
                      <w:lang w:val="en-US" w:eastAsia="zh-CN"/>
                    </w:rPr>
                  </w:pPr>
                </w:p>
              </w:tc>
              <w:tc>
                <w:tcPr>
                  <w:tcW w:w="596" w:type="pct"/>
                  <w:vAlign w:val="center"/>
                </w:tcPr>
                <w:p w14:paraId="5FDB2913">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Ni</w:t>
                  </w:r>
                </w:p>
              </w:tc>
              <w:tc>
                <w:tcPr>
                  <w:tcW w:w="331" w:type="pct"/>
                  <w:vAlign w:val="center"/>
                </w:tcPr>
                <w:p w14:paraId="7EF582E4">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1.8</w:t>
                  </w:r>
                </w:p>
              </w:tc>
              <w:tc>
                <w:tcPr>
                  <w:tcW w:w="310" w:type="pct"/>
                  <w:vAlign w:val="center"/>
                </w:tcPr>
                <w:p w14:paraId="1AAAC2B1">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8.1</w:t>
                  </w:r>
                </w:p>
              </w:tc>
              <w:tc>
                <w:tcPr>
                  <w:tcW w:w="341" w:type="pct"/>
                  <w:vAlign w:val="center"/>
                </w:tcPr>
                <w:p w14:paraId="28522A32">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174.4</w:t>
                  </w:r>
                </w:p>
              </w:tc>
              <w:tc>
                <w:tcPr>
                  <w:tcW w:w="336" w:type="pct"/>
                  <w:vAlign w:val="center"/>
                </w:tcPr>
                <w:p w14:paraId="5AEAA62C">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41.36</w:t>
                  </w:r>
                </w:p>
              </w:tc>
              <w:tc>
                <w:tcPr>
                  <w:tcW w:w="406" w:type="pct"/>
                  <w:vAlign w:val="center"/>
                </w:tcPr>
                <w:p w14:paraId="768D9E33">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5774.90</w:t>
                  </w:r>
                </w:p>
              </w:tc>
              <w:tc>
                <w:tcPr>
                  <w:tcW w:w="361" w:type="pct"/>
                  <w:vAlign w:val="center"/>
                </w:tcPr>
                <w:p w14:paraId="5BA75E7F">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99.986</w:t>
                  </w:r>
                </w:p>
              </w:tc>
              <w:tc>
                <w:tcPr>
                  <w:tcW w:w="366" w:type="pct"/>
                  <w:vAlign w:val="center"/>
                </w:tcPr>
                <w:p w14:paraId="07F0E065">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0.014</w:t>
                  </w:r>
                </w:p>
              </w:tc>
              <w:tc>
                <w:tcPr>
                  <w:tcW w:w="280" w:type="pct"/>
                  <w:vAlign w:val="center"/>
                </w:tcPr>
                <w:p w14:paraId="115ACD34">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99</w:t>
                  </w:r>
                </w:p>
              </w:tc>
              <w:tc>
                <w:tcPr>
                  <w:tcW w:w="346" w:type="pct"/>
                  <w:vAlign w:val="center"/>
                </w:tcPr>
                <w:p w14:paraId="05A69C0A">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5774</w:t>
                  </w:r>
                </w:p>
              </w:tc>
              <w:tc>
                <w:tcPr>
                  <w:tcW w:w="346" w:type="pct"/>
                  <w:vAlign w:val="center"/>
                </w:tcPr>
                <w:p w14:paraId="05239B36">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w:t>
                  </w:r>
                </w:p>
              </w:tc>
              <w:tc>
                <w:tcPr>
                  <w:tcW w:w="426" w:type="pct"/>
                  <w:vAlign w:val="center"/>
                </w:tcPr>
                <w:p w14:paraId="6328E0AE">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0.80</w:t>
                  </w:r>
                </w:p>
              </w:tc>
              <w:tc>
                <w:tcPr>
                  <w:tcW w:w="427" w:type="pct"/>
                  <w:vAlign w:val="center"/>
                </w:tcPr>
                <w:p w14:paraId="67850FF8">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0.008085</w:t>
                  </w:r>
                </w:p>
              </w:tc>
            </w:tr>
            <w:tr w14:paraId="5839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23" w:type="pct"/>
                  <w:vMerge w:val="continue"/>
                  <w:vAlign w:val="center"/>
                </w:tcPr>
                <w:p w14:paraId="5E8BFF18">
                  <w:pPr>
                    <w:adjustRightInd w:val="0"/>
                    <w:snapToGrid w:val="0"/>
                    <w:jc w:val="center"/>
                    <w:rPr>
                      <w:rFonts w:hint="eastAsia" w:cs="Times New Roman"/>
                      <w:bCs/>
                      <w:color w:val="0000FF"/>
                      <w:szCs w:val="21"/>
                      <w:lang w:val="en-US" w:eastAsia="zh-CN"/>
                    </w:rPr>
                  </w:pPr>
                </w:p>
              </w:tc>
              <w:tc>
                <w:tcPr>
                  <w:tcW w:w="596" w:type="pct"/>
                  <w:vAlign w:val="center"/>
                </w:tcPr>
                <w:p w14:paraId="7DE857DC">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Tl+Cd+Pb+As</w:t>
                  </w:r>
                </w:p>
              </w:tc>
              <w:tc>
                <w:tcPr>
                  <w:tcW w:w="331" w:type="pct"/>
                  <w:vAlign w:val="center"/>
                </w:tcPr>
                <w:p w14:paraId="127B62B5">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18.3</w:t>
                  </w:r>
                </w:p>
              </w:tc>
              <w:tc>
                <w:tcPr>
                  <w:tcW w:w="310" w:type="pct"/>
                  <w:vAlign w:val="center"/>
                </w:tcPr>
                <w:p w14:paraId="700E5761">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33.4</w:t>
                  </w:r>
                </w:p>
              </w:tc>
              <w:tc>
                <w:tcPr>
                  <w:tcW w:w="341" w:type="pct"/>
                  <w:vAlign w:val="center"/>
                </w:tcPr>
                <w:p w14:paraId="786F883C">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0.109536</w:t>
                  </w:r>
                </w:p>
              </w:tc>
              <w:tc>
                <w:tcPr>
                  <w:tcW w:w="336" w:type="pct"/>
                  <w:vAlign w:val="center"/>
                </w:tcPr>
                <w:p w14:paraId="024319E4">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0.140995</w:t>
                  </w:r>
                </w:p>
              </w:tc>
              <w:tc>
                <w:tcPr>
                  <w:tcW w:w="406" w:type="pct"/>
                  <w:vAlign w:val="center"/>
                </w:tcPr>
                <w:p w14:paraId="1C791D9A">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51889.08</w:t>
                  </w:r>
                </w:p>
              </w:tc>
              <w:tc>
                <w:tcPr>
                  <w:tcW w:w="361" w:type="pct"/>
                  <w:vAlign w:val="center"/>
                </w:tcPr>
                <w:p w14:paraId="3941F99F">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w:t>
                  </w:r>
                </w:p>
              </w:tc>
              <w:tc>
                <w:tcPr>
                  <w:tcW w:w="366" w:type="pct"/>
                  <w:vAlign w:val="center"/>
                </w:tcPr>
                <w:p w14:paraId="66E3B666">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w:t>
                  </w:r>
                </w:p>
              </w:tc>
              <w:tc>
                <w:tcPr>
                  <w:tcW w:w="280" w:type="pct"/>
                  <w:vAlign w:val="center"/>
                </w:tcPr>
                <w:p w14:paraId="130793FF">
                  <w:pPr>
                    <w:adjustRightInd w:val="0"/>
                    <w:snapToGrid w:val="0"/>
                    <w:jc w:val="center"/>
                    <w:rPr>
                      <w:rFonts w:hint="eastAsia" w:cs="Times New Roman"/>
                      <w:bCs/>
                      <w:color w:val="0000FF"/>
                      <w:szCs w:val="21"/>
                      <w:lang w:val="en-US" w:eastAsia="zh-CN"/>
                    </w:rPr>
                  </w:pPr>
                </w:p>
              </w:tc>
              <w:tc>
                <w:tcPr>
                  <w:tcW w:w="346" w:type="pct"/>
                  <w:vAlign w:val="center"/>
                </w:tcPr>
                <w:p w14:paraId="783F97D4">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19768</w:t>
                  </w:r>
                </w:p>
              </w:tc>
              <w:tc>
                <w:tcPr>
                  <w:tcW w:w="346" w:type="pct"/>
                  <w:vAlign w:val="center"/>
                </w:tcPr>
                <w:p w14:paraId="389DBBF5">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32121</w:t>
                  </w:r>
                </w:p>
              </w:tc>
              <w:tc>
                <w:tcPr>
                  <w:tcW w:w="426" w:type="pct"/>
                  <w:vAlign w:val="center"/>
                </w:tcPr>
                <w:p w14:paraId="3E47B88A">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31799.43</w:t>
                  </w:r>
                </w:p>
              </w:tc>
              <w:tc>
                <w:tcPr>
                  <w:tcW w:w="427" w:type="pct"/>
                  <w:vAlign w:val="center"/>
                </w:tcPr>
                <w:p w14:paraId="2AA4440B">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321.206390</w:t>
                  </w:r>
                </w:p>
              </w:tc>
            </w:tr>
            <w:tr w14:paraId="5C72B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3" w:type="pct"/>
                  <w:vMerge w:val="continue"/>
                  <w:vAlign w:val="center"/>
                </w:tcPr>
                <w:p w14:paraId="4590942C">
                  <w:pPr>
                    <w:adjustRightInd w:val="0"/>
                    <w:snapToGrid w:val="0"/>
                    <w:jc w:val="center"/>
                    <w:rPr>
                      <w:rFonts w:hint="eastAsia" w:cs="Times New Roman"/>
                      <w:bCs/>
                      <w:color w:val="0000FF"/>
                      <w:szCs w:val="21"/>
                      <w:lang w:val="en-US" w:eastAsia="zh-CN"/>
                    </w:rPr>
                  </w:pPr>
                </w:p>
              </w:tc>
              <w:tc>
                <w:tcPr>
                  <w:tcW w:w="596" w:type="pct"/>
                  <w:vAlign w:val="center"/>
                </w:tcPr>
                <w:p w14:paraId="1880B688">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Be+Cr+Sn+Sb+Cu+Co+Mn+Ni+V</w:t>
                  </w:r>
                </w:p>
              </w:tc>
              <w:tc>
                <w:tcPr>
                  <w:tcW w:w="331" w:type="pct"/>
                  <w:vAlign w:val="center"/>
                </w:tcPr>
                <w:p w14:paraId="1FA78CEF">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393.57</w:t>
                  </w:r>
                </w:p>
              </w:tc>
              <w:tc>
                <w:tcPr>
                  <w:tcW w:w="310" w:type="pct"/>
                  <w:vAlign w:val="center"/>
                </w:tcPr>
                <w:p w14:paraId="6080A743">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140.142</w:t>
                  </w:r>
                </w:p>
              </w:tc>
              <w:tc>
                <w:tcPr>
                  <w:tcW w:w="341" w:type="pct"/>
                  <w:vAlign w:val="center"/>
                </w:tcPr>
                <w:p w14:paraId="0927F7CA">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0.8027</w:t>
                  </w:r>
                </w:p>
              </w:tc>
              <w:tc>
                <w:tcPr>
                  <w:tcW w:w="336" w:type="pct"/>
                  <w:vAlign w:val="center"/>
                </w:tcPr>
                <w:p w14:paraId="7D094124">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0.2222</w:t>
                  </w:r>
                </w:p>
              </w:tc>
              <w:tc>
                <w:tcPr>
                  <w:tcW w:w="406" w:type="pct"/>
                  <w:vAlign w:val="center"/>
                </w:tcPr>
                <w:p w14:paraId="76A83E3A">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1035523.49</w:t>
                  </w:r>
                </w:p>
              </w:tc>
              <w:tc>
                <w:tcPr>
                  <w:tcW w:w="361" w:type="pct"/>
                  <w:vAlign w:val="center"/>
                </w:tcPr>
                <w:p w14:paraId="77D26099">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w:t>
                  </w:r>
                </w:p>
              </w:tc>
              <w:tc>
                <w:tcPr>
                  <w:tcW w:w="366" w:type="pct"/>
                  <w:vAlign w:val="center"/>
                </w:tcPr>
                <w:p w14:paraId="792F09E0">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w:t>
                  </w:r>
                </w:p>
              </w:tc>
              <w:tc>
                <w:tcPr>
                  <w:tcW w:w="280" w:type="pct"/>
                  <w:vAlign w:val="center"/>
                </w:tcPr>
                <w:p w14:paraId="1E4F5129">
                  <w:pPr>
                    <w:adjustRightInd w:val="0"/>
                    <w:snapToGrid w:val="0"/>
                    <w:jc w:val="center"/>
                    <w:rPr>
                      <w:rFonts w:hint="eastAsia" w:cs="Times New Roman"/>
                      <w:bCs/>
                      <w:color w:val="0000FF"/>
                      <w:szCs w:val="21"/>
                      <w:lang w:val="en-US" w:eastAsia="zh-CN"/>
                    </w:rPr>
                  </w:pPr>
                </w:p>
              </w:tc>
              <w:tc>
                <w:tcPr>
                  <w:tcW w:w="346" w:type="pct"/>
                  <w:vAlign w:val="center"/>
                </w:tcPr>
                <w:p w14:paraId="1C0F24C3">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1005433</w:t>
                  </w:r>
                </w:p>
              </w:tc>
              <w:tc>
                <w:tcPr>
                  <w:tcW w:w="346" w:type="pct"/>
                  <w:vAlign w:val="center"/>
                </w:tcPr>
                <w:p w14:paraId="31B0429D">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30091</w:t>
                  </w:r>
                </w:p>
              </w:tc>
              <w:tc>
                <w:tcPr>
                  <w:tcW w:w="426" w:type="pct"/>
                  <w:vAlign w:val="center"/>
                </w:tcPr>
                <w:p w14:paraId="6343C60E">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29789.65</w:t>
                  </w:r>
                </w:p>
              </w:tc>
              <w:tc>
                <w:tcPr>
                  <w:tcW w:w="427" w:type="pct"/>
                  <w:vAlign w:val="center"/>
                </w:tcPr>
                <w:p w14:paraId="4F4CEC3C">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300.905527</w:t>
                  </w:r>
                </w:p>
              </w:tc>
            </w:tr>
          </w:tbl>
          <w:p w14:paraId="339918A4">
            <w:pPr>
              <w:autoSpaceDE w:val="0"/>
              <w:autoSpaceDN w:val="0"/>
              <w:adjustRightInd w:val="0"/>
              <w:jc w:val="center"/>
              <w:rPr>
                <w:rFonts w:hint="eastAsia" w:cs="Times New Roman"/>
                <w:color w:val="0000FF"/>
                <w:kern w:val="0"/>
                <w:sz w:val="24"/>
                <w:szCs w:val="24"/>
                <w:lang w:val="en-US" w:eastAsia="zh-CN" w:bidi="ar-SA"/>
              </w:rPr>
            </w:pPr>
            <w:r>
              <w:rPr>
                <w:rFonts w:hint="eastAsia" w:ascii="Times New Roman" w:hAnsi="Times New Roman" w:cs="Times New Roman"/>
                <w:b/>
                <w:color w:val="0000FF"/>
              </w:rPr>
              <w:t>表</w:t>
            </w:r>
            <w:r>
              <w:rPr>
                <w:rFonts w:ascii="Times New Roman" w:hAnsi="Times New Roman" w:cs="Times New Roman"/>
                <w:b/>
                <w:color w:val="0000FF"/>
              </w:rPr>
              <w:t>2</w:t>
            </w:r>
            <w:r>
              <w:rPr>
                <w:rFonts w:hint="eastAsia" w:ascii="Times New Roman" w:hAnsi="Times New Roman" w:cs="Times New Roman"/>
                <w:b/>
                <w:color w:val="0000FF"/>
                <w:lang w:val="en-US" w:eastAsia="zh-CN"/>
              </w:rPr>
              <w:t>-</w:t>
            </w:r>
            <w:r>
              <w:rPr>
                <w:rFonts w:hint="eastAsia" w:cs="Times New Roman"/>
                <w:b/>
                <w:color w:val="0000FF"/>
                <w:lang w:val="en-US" w:eastAsia="zh-CN"/>
              </w:rPr>
              <w:t>34 协同处置后</w:t>
            </w:r>
            <w:r>
              <w:rPr>
                <w:rFonts w:hint="eastAsia" w:cs="Times New Roman"/>
                <w:b/>
                <w:color w:val="0000FF"/>
                <w:lang w:eastAsia="zh-CN"/>
              </w:rPr>
              <w:t>水泥窑重金属元素平衡一览表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1721"/>
              <w:gridCol w:w="1005"/>
              <w:gridCol w:w="930"/>
              <w:gridCol w:w="1020"/>
              <w:gridCol w:w="990"/>
              <w:gridCol w:w="1245"/>
              <w:gridCol w:w="1080"/>
              <w:gridCol w:w="1095"/>
              <w:gridCol w:w="840"/>
              <w:gridCol w:w="1035"/>
              <w:gridCol w:w="1005"/>
              <w:gridCol w:w="1290"/>
              <w:gridCol w:w="1278"/>
            </w:tblGrid>
            <w:tr w14:paraId="4E8A5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40" w:type="pct"/>
                  <w:vAlign w:val="center"/>
                </w:tcPr>
                <w:p w14:paraId="51E79712">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产线</w:t>
                  </w:r>
                </w:p>
              </w:tc>
              <w:tc>
                <w:tcPr>
                  <w:tcW w:w="575" w:type="pct"/>
                  <w:vAlign w:val="center"/>
                </w:tcPr>
                <w:p w14:paraId="64F1AF44">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原料名称</w:t>
                  </w:r>
                </w:p>
              </w:tc>
              <w:tc>
                <w:tcPr>
                  <w:tcW w:w="336" w:type="pct"/>
                  <w:vAlign w:val="center"/>
                </w:tcPr>
                <w:p w14:paraId="2CC37FD4">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生料</w:t>
                  </w:r>
                </w:p>
              </w:tc>
              <w:tc>
                <w:tcPr>
                  <w:tcW w:w="310" w:type="pct"/>
                  <w:vAlign w:val="center"/>
                </w:tcPr>
                <w:p w14:paraId="4EA30F77">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煤</w:t>
                  </w:r>
                </w:p>
              </w:tc>
              <w:tc>
                <w:tcPr>
                  <w:tcW w:w="341" w:type="pct"/>
                  <w:vAlign w:val="center"/>
                </w:tcPr>
                <w:p w14:paraId="542AEE78">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生物质（木屑）</w:t>
                  </w:r>
                </w:p>
              </w:tc>
              <w:tc>
                <w:tcPr>
                  <w:tcW w:w="331" w:type="pct"/>
                  <w:vAlign w:val="center"/>
                </w:tcPr>
                <w:p w14:paraId="06C26D5E">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废纺</w:t>
                  </w:r>
                </w:p>
              </w:tc>
              <w:tc>
                <w:tcPr>
                  <w:tcW w:w="416" w:type="pct"/>
                  <w:vMerge w:val="restart"/>
                  <w:vAlign w:val="center"/>
                </w:tcPr>
                <w:p w14:paraId="4637B11B">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重金属量</w:t>
                  </w:r>
                </w:p>
              </w:tc>
              <w:tc>
                <w:tcPr>
                  <w:tcW w:w="727" w:type="pct"/>
                  <w:gridSpan w:val="2"/>
                  <w:vAlign w:val="center"/>
                </w:tcPr>
                <w:p w14:paraId="3D070018">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分配系数</w:t>
                  </w:r>
                </w:p>
              </w:tc>
              <w:tc>
                <w:tcPr>
                  <w:tcW w:w="280" w:type="pct"/>
                  <w:vMerge w:val="restart"/>
                  <w:vAlign w:val="center"/>
                </w:tcPr>
                <w:p w14:paraId="26679E27">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除尘系统效率（%）</w:t>
                  </w:r>
                </w:p>
              </w:tc>
              <w:tc>
                <w:tcPr>
                  <w:tcW w:w="346" w:type="pct"/>
                  <w:vMerge w:val="restart"/>
                  <w:vAlign w:val="center"/>
                </w:tcPr>
                <w:p w14:paraId="1AFE897E">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固化到熟料中的重金属（kg/a）</w:t>
                  </w:r>
                </w:p>
              </w:tc>
              <w:tc>
                <w:tcPr>
                  <w:tcW w:w="336" w:type="pct"/>
                  <w:vMerge w:val="restart"/>
                  <w:vAlign w:val="center"/>
                </w:tcPr>
                <w:p w14:paraId="697B324F">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初始烟气中的重金属（kg/a）</w:t>
                  </w:r>
                </w:p>
              </w:tc>
              <w:tc>
                <w:tcPr>
                  <w:tcW w:w="431" w:type="pct"/>
                  <w:vMerge w:val="restart"/>
                  <w:vAlign w:val="center"/>
                </w:tcPr>
                <w:p w14:paraId="12EE249E">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窑灰中重金属（kg/a）</w:t>
                  </w:r>
                </w:p>
              </w:tc>
              <w:tc>
                <w:tcPr>
                  <w:tcW w:w="427" w:type="pct"/>
                  <w:vMerge w:val="restart"/>
                  <w:vAlign w:val="center"/>
                </w:tcPr>
                <w:p w14:paraId="0073B8CF">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排入大气中重金属量（kg/a）</w:t>
                  </w:r>
                </w:p>
              </w:tc>
            </w:tr>
            <w:tr w14:paraId="7A15A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40" w:type="pct"/>
                  <w:vMerge w:val="restart"/>
                  <w:vAlign w:val="center"/>
                </w:tcPr>
                <w:p w14:paraId="48B3E222">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一线</w:t>
                  </w:r>
                </w:p>
              </w:tc>
              <w:tc>
                <w:tcPr>
                  <w:tcW w:w="575" w:type="pct"/>
                  <w:vAlign w:val="center"/>
                </w:tcPr>
                <w:p w14:paraId="772827F5">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投加量</w:t>
                  </w:r>
                </w:p>
              </w:tc>
              <w:tc>
                <w:tcPr>
                  <w:tcW w:w="336" w:type="pct"/>
                  <w:vAlign w:val="center"/>
                </w:tcPr>
                <w:p w14:paraId="586C7311">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2470875</w:t>
                  </w:r>
                </w:p>
              </w:tc>
              <w:tc>
                <w:tcPr>
                  <w:tcW w:w="310" w:type="pct"/>
                  <w:vAlign w:val="center"/>
                </w:tcPr>
                <w:p w14:paraId="255B878F">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192700</w:t>
                  </w:r>
                </w:p>
              </w:tc>
              <w:tc>
                <w:tcPr>
                  <w:tcW w:w="341" w:type="pct"/>
                  <w:vAlign w:val="center"/>
                </w:tcPr>
                <w:p w14:paraId="1D66C6CB">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50000</w:t>
                  </w:r>
                </w:p>
              </w:tc>
              <w:tc>
                <w:tcPr>
                  <w:tcW w:w="331" w:type="pct"/>
                  <w:vAlign w:val="center"/>
                </w:tcPr>
                <w:p w14:paraId="76F63499">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50000</w:t>
                  </w:r>
                </w:p>
              </w:tc>
              <w:tc>
                <w:tcPr>
                  <w:tcW w:w="416" w:type="pct"/>
                  <w:vMerge w:val="continue"/>
                  <w:vAlign w:val="center"/>
                </w:tcPr>
                <w:p w14:paraId="49E61901">
                  <w:pPr>
                    <w:adjustRightInd w:val="0"/>
                    <w:snapToGrid w:val="0"/>
                    <w:jc w:val="center"/>
                    <w:rPr>
                      <w:rFonts w:hint="eastAsia" w:cs="Times New Roman"/>
                      <w:bCs/>
                      <w:color w:val="0000FF"/>
                      <w:szCs w:val="21"/>
                      <w:lang w:val="en-US" w:eastAsia="zh-CN"/>
                    </w:rPr>
                  </w:pPr>
                </w:p>
              </w:tc>
              <w:tc>
                <w:tcPr>
                  <w:tcW w:w="361" w:type="pct"/>
                  <w:vAlign w:val="center"/>
                </w:tcPr>
                <w:p w14:paraId="7E36F495">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进入熟料</w:t>
                  </w:r>
                </w:p>
              </w:tc>
              <w:tc>
                <w:tcPr>
                  <w:tcW w:w="366" w:type="pct"/>
                  <w:vAlign w:val="center"/>
                </w:tcPr>
                <w:p w14:paraId="4F7CA0F5">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初始烟气</w:t>
                  </w:r>
                </w:p>
              </w:tc>
              <w:tc>
                <w:tcPr>
                  <w:tcW w:w="280" w:type="pct"/>
                  <w:vMerge w:val="continue"/>
                  <w:vAlign w:val="center"/>
                </w:tcPr>
                <w:p w14:paraId="11677467">
                  <w:pPr>
                    <w:adjustRightInd w:val="0"/>
                    <w:snapToGrid w:val="0"/>
                    <w:jc w:val="center"/>
                    <w:rPr>
                      <w:rFonts w:hint="eastAsia" w:cs="Times New Roman"/>
                      <w:bCs/>
                      <w:color w:val="0000FF"/>
                      <w:szCs w:val="21"/>
                      <w:lang w:val="en-US" w:eastAsia="zh-CN"/>
                    </w:rPr>
                  </w:pPr>
                </w:p>
              </w:tc>
              <w:tc>
                <w:tcPr>
                  <w:tcW w:w="346" w:type="pct"/>
                  <w:vMerge w:val="continue"/>
                  <w:vAlign w:val="center"/>
                </w:tcPr>
                <w:p w14:paraId="5530DEF3">
                  <w:pPr>
                    <w:adjustRightInd w:val="0"/>
                    <w:snapToGrid w:val="0"/>
                    <w:jc w:val="center"/>
                    <w:rPr>
                      <w:rFonts w:hint="eastAsia" w:cs="Times New Roman"/>
                      <w:bCs/>
                      <w:color w:val="0000FF"/>
                      <w:szCs w:val="21"/>
                      <w:lang w:val="en-US" w:eastAsia="zh-CN"/>
                    </w:rPr>
                  </w:pPr>
                </w:p>
              </w:tc>
              <w:tc>
                <w:tcPr>
                  <w:tcW w:w="336" w:type="pct"/>
                  <w:vMerge w:val="continue"/>
                  <w:vAlign w:val="center"/>
                </w:tcPr>
                <w:p w14:paraId="13F95AB5">
                  <w:pPr>
                    <w:adjustRightInd w:val="0"/>
                    <w:snapToGrid w:val="0"/>
                    <w:jc w:val="center"/>
                    <w:rPr>
                      <w:rFonts w:hint="eastAsia" w:cs="Times New Roman"/>
                      <w:bCs/>
                      <w:color w:val="0000FF"/>
                      <w:szCs w:val="21"/>
                      <w:lang w:val="en-US" w:eastAsia="zh-CN"/>
                    </w:rPr>
                  </w:pPr>
                </w:p>
              </w:tc>
              <w:tc>
                <w:tcPr>
                  <w:tcW w:w="431" w:type="pct"/>
                  <w:vMerge w:val="continue"/>
                  <w:vAlign w:val="center"/>
                </w:tcPr>
                <w:p w14:paraId="7B1B8C33">
                  <w:pPr>
                    <w:adjustRightInd w:val="0"/>
                    <w:snapToGrid w:val="0"/>
                    <w:jc w:val="center"/>
                    <w:rPr>
                      <w:rFonts w:hint="eastAsia" w:cs="Times New Roman"/>
                      <w:bCs/>
                      <w:color w:val="0000FF"/>
                      <w:szCs w:val="21"/>
                      <w:lang w:val="en-US" w:eastAsia="zh-CN"/>
                    </w:rPr>
                  </w:pPr>
                </w:p>
              </w:tc>
              <w:tc>
                <w:tcPr>
                  <w:tcW w:w="427" w:type="pct"/>
                  <w:vMerge w:val="continue"/>
                  <w:vAlign w:val="center"/>
                </w:tcPr>
                <w:p w14:paraId="369B1900">
                  <w:pPr>
                    <w:adjustRightInd w:val="0"/>
                    <w:snapToGrid w:val="0"/>
                    <w:jc w:val="center"/>
                    <w:rPr>
                      <w:rFonts w:hint="eastAsia" w:cs="Times New Roman"/>
                      <w:bCs/>
                      <w:color w:val="0000FF"/>
                      <w:szCs w:val="21"/>
                      <w:lang w:val="en-US" w:eastAsia="zh-CN"/>
                    </w:rPr>
                  </w:pPr>
                </w:p>
              </w:tc>
            </w:tr>
            <w:tr w14:paraId="153AF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40" w:type="pct"/>
                  <w:vMerge w:val="continue"/>
                  <w:vAlign w:val="center"/>
                </w:tcPr>
                <w:p w14:paraId="243C95DB">
                  <w:pPr>
                    <w:adjustRightInd w:val="0"/>
                    <w:snapToGrid w:val="0"/>
                    <w:jc w:val="center"/>
                    <w:rPr>
                      <w:rFonts w:hint="eastAsia" w:cs="Times New Roman"/>
                      <w:bCs/>
                      <w:color w:val="0000FF"/>
                      <w:szCs w:val="21"/>
                      <w:lang w:val="en-US" w:eastAsia="zh-CN"/>
                    </w:rPr>
                  </w:pPr>
                </w:p>
              </w:tc>
              <w:tc>
                <w:tcPr>
                  <w:tcW w:w="575" w:type="pct"/>
                  <w:vAlign w:val="center"/>
                </w:tcPr>
                <w:p w14:paraId="372F8E09">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Hg</w:t>
                  </w:r>
                </w:p>
              </w:tc>
              <w:tc>
                <w:tcPr>
                  <w:tcW w:w="336" w:type="pct"/>
                  <w:vAlign w:val="center"/>
                </w:tcPr>
                <w:p w14:paraId="6C8C0E82">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0.062</w:t>
                  </w:r>
                </w:p>
              </w:tc>
              <w:tc>
                <w:tcPr>
                  <w:tcW w:w="310" w:type="pct"/>
                  <w:vAlign w:val="center"/>
                </w:tcPr>
                <w:p w14:paraId="51D70F68">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0.102</w:t>
                  </w:r>
                </w:p>
              </w:tc>
              <w:tc>
                <w:tcPr>
                  <w:tcW w:w="341" w:type="pct"/>
                  <w:vAlign w:val="center"/>
                </w:tcPr>
                <w:p w14:paraId="2A379597">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0</w:t>
                  </w:r>
                </w:p>
              </w:tc>
              <w:tc>
                <w:tcPr>
                  <w:tcW w:w="331" w:type="pct"/>
                  <w:vAlign w:val="center"/>
                </w:tcPr>
                <w:p w14:paraId="2B8513DC">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0</w:t>
                  </w:r>
                </w:p>
              </w:tc>
              <w:tc>
                <w:tcPr>
                  <w:tcW w:w="416" w:type="pct"/>
                  <w:vAlign w:val="center"/>
                </w:tcPr>
                <w:p w14:paraId="498AEAFA">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174.87</w:t>
                  </w:r>
                </w:p>
              </w:tc>
              <w:tc>
                <w:tcPr>
                  <w:tcW w:w="361" w:type="pct"/>
                  <w:vAlign w:val="center"/>
                </w:tcPr>
                <w:p w14:paraId="194BC70E">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w:t>
                  </w:r>
                </w:p>
              </w:tc>
              <w:tc>
                <w:tcPr>
                  <w:tcW w:w="366" w:type="pct"/>
                  <w:vAlign w:val="center"/>
                </w:tcPr>
                <w:p w14:paraId="47D4674E">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100</w:t>
                  </w:r>
                </w:p>
              </w:tc>
              <w:tc>
                <w:tcPr>
                  <w:tcW w:w="280" w:type="pct"/>
                  <w:vAlign w:val="center"/>
                </w:tcPr>
                <w:p w14:paraId="264ADEBE">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95</w:t>
                  </w:r>
                </w:p>
              </w:tc>
              <w:tc>
                <w:tcPr>
                  <w:tcW w:w="346" w:type="pct"/>
                  <w:vAlign w:val="center"/>
                </w:tcPr>
                <w:p w14:paraId="2A033F95">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w:t>
                  </w:r>
                </w:p>
              </w:tc>
              <w:tc>
                <w:tcPr>
                  <w:tcW w:w="336" w:type="pct"/>
                  <w:vAlign w:val="center"/>
                </w:tcPr>
                <w:p w14:paraId="6CBA78A4">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174.87</w:t>
                  </w:r>
                </w:p>
              </w:tc>
              <w:tc>
                <w:tcPr>
                  <w:tcW w:w="431" w:type="pct"/>
                  <w:vAlign w:val="center"/>
                </w:tcPr>
                <w:p w14:paraId="23980B28">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166.13</w:t>
                  </w:r>
                </w:p>
              </w:tc>
              <w:tc>
                <w:tcPr>
                  <w:tcW w:w="427" w:type="pct"/>
                  <w:vAlign w:val="center"/>
                </w:tcPr>
                <w:p w14:paraId="56321C06">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8.743560</w:t>
                  </w:r>
                </w:p>
              </w:tc>
            </w:tr>
            <w:tr w14:paraId="2B472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40" w:type="pct"/>
                  <w:vMerge w:val="continue"/>
                  <w:vAlign w:val="center"/>
                </w:tcPr>
                <w:p w14:paraId="16712C1B">
                  <w:pPr>
                    <w:adjustRightInd w:val="0"/>
                    <w:snapToGrid w:val="0"/>
                    <w:jc w:val="center"/>
                    <w:rPr>
                      <w:rFonts w:hint="eastAsia" w:cs="Times New Roman"/>
                      <w:bCs/>
                      <w:color w:val="0000FF"/>
                      <w:szCs w:val="21"/>
                      <w:lang w:val="en-US" w:eastAsia="zh-CN"/>
                    </w:rPr>
                  </w:pPr>
                </w:p>
              </w:tc>
              <w:tc>
                <w:tcPr>
                  <w:tcW w:w="575" w:type="pct"/>
                  <w:vAlign w:val="center"/>
                </w:tcPr>
                <w:p w14:paraId="13306E77">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Cd</w:t>
                  </w:r>
                </w:p>
              </w:tc>
              <w:tc>
                <w:tcPr>
                  <w:tcW w:w="336" w:type="pct"/>
                  <w:vAlign w:val="center"/>
                </w:tcPr>
                <w:p w14:paraId="4FBB5133">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0.8</w:t>
                  </w:r>
                </w:p>
              </w:tc>
              <w:tc>
                <w:tcPr>
                  <w:tcW w:w="310" w:type="pct"/>
                  <w:vAlign w:val="center"/>
                </w:tcPr>
                <w:p w14:paraId="4184F2AC">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0</w:t>
                  </w:r>
                </w:p>
              </w:tc>
              <w:tc>
                <w:tcPr>
                  <w:tcW w:w="341" w:type="pct"/>
                  <w:vAlign w:val="center"/>
                </w:tcPr>
                <w:p w14:paraId="37406BC2">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2.20</w:t>
                  </w:r>
                </w:p>
              </w:tc>
              <w:tc>
                <w:tcPr>
                  <w:tcW w:w="331" w:type="pct"/>
                  <w:vAlign w:val="center"/>
                </w:tcPr>
                <w:p w14:paraId="6775154D">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1.80</w:t>
                  </w:r>
                </w:p>
              </w:tc>
              <w:tc>
                <w:tcPr>
                  <w:tcW w:w="416" w:type="pct"/>
                  <w:vAlign w:val="center"/>
                </w:tcPr>
                <w:p w14:paraId="1A9C6051">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2064.87</w:t>
                  </w:r>
                </w:p>
              </w:tc>
              <w:tc>
                <w:tcPr>
                  <w:tcW w:w="361" w:type="pct"/>
                  <w:vAlign w:val="center"/>
                </w:tcPr>
                <w:p w14:paraId="7BD63F63">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99.685</w:t>
                  </w:r>
                </w:p>
              </w:tc>
              <w:tc>
                <w:tcPr>
                  <w:tcW w:w="366" w:type="pct"/>
                  <w:vAlign w:val="center"/>
                </w:tcPr>
                <w:p w14:paraId="0FFAB394">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0.315</w:t>
                  </w:r>
                </w:p>
              </w:tc>
              <w:tc>
                <w:tcPr>
                  <w:tcW w:w="280" w:type="pct"/>
                  <w:vAlign w:val="center"/>
                </w:tcPr>
                <w:p w14:paraId="56DA828F">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99</w:t>
                  </w:r>
                </w:p>
              </w:tc>
              <w:tc>
                <w:tcPr>
                  <w:tcW w:w="346" w:type="pct"/>
                  <w:vAlign w:val="center"/>
                </w:tcPr>
                <w:p w14:paraId="6C15010A">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2058</w:t>
                  </w:r>
                </w:p>
              </w:tc>
              <w:tc>
                <w:tcPr>
                  <w:tcW w:w="336" w:type="pct"/>
                  <w:vAlign w:val="center"/>
                </w:tcPr>
                <w:p w14:paraId="1ECA54BA">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7</w:t>
                  </w:r>
                </w:p>
              </w:tc>
              <w:tc>
                <w:tcPr>
                  <w:tcW w:w="431" w:type="pct"/>
                  <w:vAlign w:val="center"/>
                </w:tcPr>
                <w:p w14:paraId="34F70202">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6.44</w:t>
                  </w:r>
                </w:p>
              </w:tc>
              <w:tc>
                <w:tcPr>
                  <w:tcW w:w="427" w:type="pct"/>
                  <w:vAlign w:val="center"/>
                </w:tcPr>
                <w:p w14:paraId="25C63BA7">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0.065043</w:t>
                  </w:r>
                </w:p>
              </w:tc>
            </w:tr>
            <w:tr w14:paraId="7B213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40" w:type="pct"/>
                  <w:vMerge w:val="continue"/>
                  <w:vAlign w:val="center"/>
                </w:tcPr>
                <w:p w14:paraId="013EE475">
                  <w:pPr>
                    <w:adjustRightInd w:val="0"/>
                    <w:snapToGrid w:val="0"/>
                    <w:jc w:val="center"/>
                    <w:rPr>
                      <w:rFonts w:hint="eastAsia" w:cs="Times New Roman"/>
                      <w:bCs/>
                      <w:color w:val="0000FF"/>
                      <w:szCs w:val="21"/>
                      <w:lang w:val="en-US" w:eastAsia="zh-CN"/>
                    </w:rPr>
                  </w:pPr>
                </w:p>
              </w:tc>
              <w:tc>
                <w:tcPr>
                  <w:tcW w:w="575" w:type="pct"/>
                  <w:vAlign w:val="center"/>
                </w:tcPr>
                <w:p w14:paraId="5F7983D2">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Pb</w:t>
                  </w:r>
                </w:p>
              </w:tc>
              <w:tc>
                <w:tcPr>
                  <w:tcW w:w="336" w:type="pct"/>
                  <w:vAlign w:val="center"/>
                </w:tcPr>
                <w:p w14:paraId="460CA965">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1.5</w:t>
                  </w:r>
                </w:p>
              </w:tc>
              <w:tc>
                <w:tcPr>
                  <w:tcW w:w="310" w:type="pct"/>
                  <w:vAlign w:val="center"/>
                </w:tcPr>
                <w:p w14:paraId="2FAC27B6">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21.2</w:t>
                  </w:r>
                </w:p>
              </w:tc>
              <w:tc>
                <w:tcPr>
                  <w:tcW w:w="341" w:type="pct"/>
                  <w:vAlign w:val="center"/>
                </w:tcPr>
                <w:p w14:paraId="58D62466">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103.4</w:t>
                  </w:r>
                </w:p>
              </w:tc>
              <w:tc>
                <w:tcPr>
                  <w:tcW w:w="331" w:type="pct"/>
                  <w:vAlign w:val="center"/>
                </w:tcPr>
                <w:p w14:paraId="211ED932">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110.8</w:t>
                  </w:r>
                </w:p>
              </w:tc>
              <w:tc>
                <w:tcPr>
                  <w:tcW w:w="416" w:type="pct"/>
                  <w:vAlign w:val="center"/>
                </w:tcPr>
                <w:p w14:paraId="2F5373B8">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6637.22</w:t>
                  </w:r>
                </w:p>
              </w:tc>
              <w:tc>
                <w:tcPr>
                  <w:tcW w:w="361" w:type="pct"/>
                  <w:vAlign w:val="center"/>
                </w:tcPr>
                <w:p w14:paraId="720A776E">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99.578</w:t>
                  </w:r>
                </w:p>
              </w:tc>
              <w:tc>
                <w:tcPr>
                  <w:tcW w:w="366" w:type="pct"/>
                  <w:vAlign w:val="center"/>
                </w:tcPr>
                <w:p w14:paraId="6266CA6D">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0.422</w:t>
                  </w:r>
                </w:p>
              </w:tc>
              <w:tc>
                <w:tcPr>
                  <w:tcW w:w="280" w:type="pct"/>
                  <w:vAlign w:val="center"/>
                </w:tcPr>
                <w:p w14:paraId="556B68C9">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99</w:t>
                  </w:r>
                </w:p>
              </w:tc>
              <w:tc>
                <w:tcPr>
                  <w:tcW w:w="346" w:type="pct"/>
                  <w:vAlign w:val="center"/>
                </w:tcPr>
                <w:p w14:paraId="1F4316CB">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6609</w:t>
                  </w:r>
                </w:p>
              </w:tc>
              <w:tc>
                <w:tcPr>
                  <w:tcW w:w="336" w:type="pct"/>
                  <w:vAlign w:val="center"/>
                </w:tcPr>
                <w:p w14:paraId="2AE457AC">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28</w:t>
                  </w:r>
                </w:p>
              </w:tc>
              <w:tc>
                <w:tcPr>
                  <w:tcW w:w="431" w:type="pct"/>
                  <w:vAlign w:val="center"/>
                </w:tcPr>
                <w:p w14:paraId="6C3174BF">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27.73</w:t>
                  </w:r>
                </w:p>
              </w:tc>
              <w:tc>
                <w:tcPr>
                  <w:tcW w:w="427" w:type="pct"/>
                  <w:vAlign w:val="center"/>
                </w:tcPr>
                <w:p w14:paraId="76D0DE75">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0.280091</w:t>
                  </w:r>
                </w:p>
              </w:tc>
            </w:tr>
            <w:tr w14:paraId="0A8A8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40" w:type="pct"/>
                  <w:vMerge w:val="continue"/>
                  <w:vAlign w:val="center"/>
                </w:tcPr>
                <w:p w14:paraId="3DA29C3E">
                  <w:pPr>
                    <w:adjustRightInd w:val="0"/>
                    <w:snapToGrid w:val="0"/>
                    <w:jc w:val="center"/>
                    <w:rPr>
                      <w:rFonts w:hint="eastAsia" w:cs="Times New Roman"/>
                      <w:bCs/>
                      <w:color w:val="0000FF"/>
                      <w:szCs w:val="21"/>
                      <w:lang w:val="en-US" w:eastAsia="zh-CN"/>
                    </w:rPr>
                  </w:pPr>
                </w:p>
              </w:tc>
              <w:tc>
                <w:tcPr>
                  <w:tcW w:w="575" w:type="pct"/>
                  <w:vAlign w:val="center"/>
                </w:tcPr>
                <w:p w14:paraId="0D3695B6">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As</w:t>
                  </w:r>
                </w:p>
              </w:tc>
              <w:tc>
                <w:tcPr>
                  <w:tcW w:w="336" w:type="pct"/>
                  <w:vAlign w:val="center"/>
                </w:tcPr>
                <w:p w14:paraId="15BE470D">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3.8</w:t>
                  </w:r>
                </w:p>
              </w:tc>
              <w:tc>
                <w:tcPr>
                  <w:tcW w:w="310" w:type="pct"/>
                  <w:vAlign w:val="center"/>
                </w:tcPr>
                <w:p w14:paraId="73BC6B47">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12.2</w:t>
                  </w:r>
                </w:p>
              </w:tc>
              <w:tc>
                <w:tcPr>
                  <w:tcW w:w="341" w:type="pct"/>
                  <w:vAlign w:val="center"/>
                </w:tcPr>
                <w:p w14:paraId="05FECFB3">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3.936</w:t>
                  </w:r>
                </w:p>
              </w:tc>
              <w:tc>
                <w:tcPr>
                  <w:tcW w:w="331" w:type="pct"/>
                  <w:vAlign w:val="center"/>
                </w:tcPr>
                <w:p w14:paraId="5E51077F">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28.395</w:t>
                  </w:r>
                </w:p>
              </w:tc>
              <w:tc>
                <w:tcPr>
                  <w:tcW w:w="416" w:type="pct"/>
                  <w:vAlign w:val="center"/>
                </w:tcPr>
                <w:p w14:paraId="682F5120">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11407.16</w:t>
                  </w:r>
                </w:p>
              </w:tc>
              <w:tc>
                <w:tcPr>
                  <w:tcW w:w="361" w:type="pct"/>
                  <w:vAlign w:val="center"/>
                </w:tcPr>
                <w:p w14:paraId="71F0E900">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94.821</w:t>
                  </w:r>
                </w:p>
              </w:tc>
              <w:tc>
                <w:tcPr>
                  <w:tcW w:w="366" w:type="pct"/>
                  <w:vAlign w:val="center"/>
                </w:tcPr>
                <w:p w14:paraId="2850EA1C">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5.179</w:t>
                  </w:r>
                </w:p>
              </w:tc>
              <w:tc>
                <w:tcPr>
                  <w:tcW w:w="280" w:type="pct"/>
                  <w:vAlign w:val="center"/>
                </w:tcPr>
                <w:p w14:paraId="264B32B1">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99</w:t>
                  </w:r>
                </w:p>
              </w:tc>
              <w:tc>
                <w:tcPr>
                  <w:tcW w:w="346" w:type="pct"/>
                  <w:vAlign w:val="center"/>
                </w:tcPr>
                <w:p w14:paraId="1BD9F033">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10816</w:t>
                  </w:r>
                </w:p>
              </w:tc>
              <w:tc>
                <w:tcPr>
                  <w:tcW w:w="336" w:type="pct"/>
                  <w:vAlign w:val="center"/>
                </w:tcPr>
                <w:p w14:paraId="09AE0F76">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591</w:t>
                  </w:r>
                </w:p>
              </w:tc>
              <w:tc>
                <w:tcPr>
                  <w:tcW w:w="431" w:type="pct"/>
                  <w:vAlign w:val="center"/>
                </w:tcPr>
                <w:p w14:paraId="54DB5444">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584.87</w:t>
                  </w:r>
                </w:p>
              </w:tc>
              <w:tc>
                <w:tcPr>
                  <w:tcW w:w="427" w:type="pct"/>
                  <w:vAlign w:val="center"/>
                </w:tcPr>
                <w:p w14:paraId="439124AD">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5.907767</w:t>
                  </w:r>
                </w:p>
              </w:tc>
            </w:tr>
            <w:tr w14:paraId="0F96E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40" w:type="pct"/>
                  <w:vMerge w:val="continue"/>
                  <w:vAlign w:val="center"/>
                </w:tcPr>
                <w:p w14:paraId="70BAB3D9">
                  <w:pPr>
                    <w:adjustRightInd w:val="0"/>
                    <w:snapToGrid w:val="0"/>
                    <w:jc w:val="center"/>
                    <w:rPr>
                      <w:rFonts w:hint="eastAsia" w:cs="Times New Roman"/>
                      <w:bCs/>
                      <w:color w:val="0000FF"/>
                      <w:szCs w:val="21"/>
                      <w:lang w:val="en-US" w:eastAsia="zh-CN"/>
                    </w:rPr>
                  </w:pPr>
                </w:p>
              </w:tc>
              <w:tc>
                <w:tcPr>
                  <w:tcW w:w="575" w:type="pct"/>
                  <w:vAlign w:val="center"/>
                </w:tcPr>
                <w:p w14:paraId="155F83F6">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Cr</w:t>
                  </w:r>
                </w:p>
              </w:tc>
              <w:tc>
                <w:tcPr>
                  <w:tcW w:w="336" w:type="pct"/>
                  <w:vAlign w:val="center"/>
                </w:tcPr>
                <w:p w14:paraId="470C7542">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16.5</w:t>
                  </w:r>
                </w:p>
              </w:tc>
              <w:tc>
                <w:tcPr>
                  <w:tcW w:w="310" w:type="pct"/>
                  <w:vAlign w:val="center"/>
                </w:tcPr>
                <w:p w14:paraId="3840E417">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27</w:t>
                  </w:r>
                </w:p>
              </w:tc>
              <w:tc>
                <w:tcPr>
                  <w:tcW w:w="341" w:type="pct"/>
                  <w:vAlign w:val="center"/>
                </w:tcPr>
                <w:p w14:paraId="11E139C9">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250.5</w:t>
                  </w:r>
                </w:p>
              </w:tc>
              <w:tc>
                <w:tcPr>
                  <w:tcW w:w="331" w:type="pct"/>
                  <w:vAlign w:val="center"/>
                </w:tcPr>
                <w:p w14:paraId="302E7BB5">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92.54</w:t>
                  </w:r>
                </w:p>
              </w:tc>
              <w:tc>
                <w:tcPr>
                  <w:tcW w:w="416" w:type="pct"/>
                  <w:vAlign w:val="center"/>
                </w:tcPr>
                <w:p w14:paraId="25D89C34">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58185.94</w:t>
                  </w:r>
                </w:p>
              </w:tc>
              <w:tc>
                <w:tcPr>
                  <w:tcW w:w="361" w:type="pct"/>
                  <w:vAlign w:val="center"/>
                </w:tcPr>
                <w:p w14:paraId="6821E08A">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99.92</w:t>
                  </w:r>
                </w:p>
              </w:tc>
              <w:tc>
                <w:tcPr>
                  <w:tcW w:w="366" w:type="pct"/>
                  <w:vAlign w:val="center"/>
                </w:tcPr>
                <w:p w14:paraId="6C84D52E">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0.08</w:t>
                  </w:r>
                </w:p>
              </w:tc>
              <w:tc>
                <w:tcPr>
                  <w:tcW w:w="280" w:type="pct"/>
                  <w:vAlign w:val="center"/>
                </w:tcPr>
                <w:p w14:paraId="1ACCEEFA">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99</w:t>
                  </w:r>
                </w:p>
              </w:tc>
              <w:tc>
                <w:tcPr>
                  <w:tcW w:w="346" w:type="pct"/>
                  <w:vAlign w:val="center"/>
                </w:tcPr>
                <w:p w14:paraId="75883FCB">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58139</w:t>
                  </w:r>
                </w:p>
              </w:tc>
              <w:tc>
                <w:tcPr>
                  <w:tcW w:w="336" w:type="pct"/>
                  <w:vAlign w:val="center"/>
                </w:tcPr>
                <w:p w14:paraId="35A6955C">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47</w:t>
                  </w:r>
                </w:p>
              </w:tc>
              <w:tc>
                <w:tcPr>
                  <w:tcW w:w="431" w:type="pct"/>
                  <w:vAlign w:val="center"/>
                </w:tcPr>
                <w:p w14:paraId="242E5458">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46.08</w:t>
                  </w:r>
                </w:p>
              </w:tc>
              <w:tc>
                <w:tcPr>
                  <w:tcW w:w="427" w:type="pct"/>
                  <w:vAlign w:val="center"/>
                </w:tcPr>
                <w:p w14:paraId="4B30D824">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0.465488</w:t>
                  </w:r>
                </w:p>
              </w:tc>
            </w:tr>
            <w:tr w14:paraId="5B75D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40" w:type="pct"/>
                  <w:vMerge w:val="continue"/>
                  <w:vAlign w:val="center"/>
                </w:tcPr>
                <w:p w14:paraId="2D7436C8">
                  <w:pPr>
                    <w:adjustRightInd w:val="0"/>
                    <w:snapToGrid w:val="0"/>
                    <w:jc w:val="center"/>
                    <w:rPr>
                      <w:rFonts w:hint="eastAsia" w:cs="Times New Roman"/>
                      <w:bCs/>
                      <w:color w:val="0000FF"/>
                      <w:szCs w:val="21"/>
                      <w:lang w:val="en-US" w:eastAsia="zh-CN"/>
                    </w:rPr>
                  </w:pPr>
                </w:p>
              </w:tc>
              <w:tc>
                <w:tcPr>
                  <w:tcW w:w="575" w:type="pct"/>
                  <w:vAlign w:val="center"/>
                </w:tcPr>
                <w:p w14:paraId="38B9A8BC">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Cu</w:t>
                  </w:r>
                </w:p>
              </w:tc>
              <w:tc>
                <w:tcPr>
                  <w:tcW w:w="336" w:type="pct"/>
                  <w:vAlign w:val="center"/>
                </w:tcPr>
                <w:p w14:paraId="307E69EB">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20</w:t>
                  </w:r>
                </w:p>
              </w:tc>
              <w:tc>
                <w:tcPr>
                  <w:tcW w:w="310" w:type="pct"/>
                  <w:vAlign w:val="center"/>
                </w:tcPr>
                <w:p w14:paraId="4B578BDB">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16.2</w:t>
                  </w:r>
                </w:p>
              </w:tc>
              <w:tc>
                <w:tcPr>
                  <w:tcW w:w="341" w:type="pct"/>
                  <w:vAlign w:val="center"/>
                </w:tcPr>
                <w:p w14:paraId="70131B31">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377.8</w:t>
                  </w:r>
                </w:p>
              </w:tc>
              <w:tc>
                <w:tcPr>
                  <w:tcW w:w="331" w:type="pct"/>
                  <w:vAlign w:val="center"/>
                </w:tcPr>
                <w:p w14:paraId="64167C83">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86.32</w:t>
                  </w:r>
                </w:p>
              </w:tc>
              <w:tc>
                <w:tcPr>
                  <w:tcW w:w="416" w:type="pct"/>
                  <w:vAlign w:val="center"/>
                </w:tcPr>
                <w:p w14:paraId="21D77A0B">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54230.13</w:t>
                  </w:r>
                </w:p>
              </w:tc>
              <w:tc>
                <w:tcPr>
                  <w:tcW w:w="361" w:type="pct"/>
                  <w:vAlign w:val="center"/>
                </w:tcPr>
                <w:p w14:paraId="64C39CD4">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99.659</w:t>
                  </w:r>
                </w:p>
              </w:tc>
              <w:tc>
                <w:tcPr>
                  <w:tcW w:w="366" w:type="pct"/>
                  <w:vAlign w:val="center"/>
                </w:tcPr>
                <w:p w14:paraId="5A9C8830">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0.341</w:t>
                  </w:r>
                </w:p>
              </w:tc>
              <w:tc>
                <w:tcPr>
                  <w:tcW w:w="280" w:type="pct"/>
                  <w:vAlign w:val="center"/>
                </w:tcPr>
                <w:p w14:paraId="1FDFCA94">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99</w:t>
                  </w:r>
                </w:p>
              </w:tc>
              <w:tc>
                <w:tcPr>
                  <w:tcW w:w="346" w:type="pct"/>
                  <w:vAlign w:val="center"/>
                </w:tcPr>
                <w:p w14:paraId="3CC5FEE6">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54045</w:t>
                  </w:r>
                </w:p>
              </w:tc>
              <w:tc>
                <w:tcPr>
                  <w:tcW w:w="336" w:type="pct"/>
                  <w:vAlign w:val="center"/>
                </w:tcPr>
                <w:p w14:paraId="5A6AD5DE">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185</w:t>
                  </w:r>
                </w:p>
              </w:tc>
              <w:tc>
                <w:tcPr>
                  <w:tcW w:w="431" w:type="pct"/>
                  <w:vAlign w:val="center"/>
                </w:tcPr>
                <w:p w14:paraId="21CCEF4B">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183.08</w:t>
                  </w:r>
                </w:p>
              </w:tc>
              <w:tc>
                <w:tcPr>
                  <w:tcW w:w="427" w:type="pct"/>
                  <w:vAlign w:val="center"/>
                </w:tcPr>
                <w:p w14:paraId="66B28185">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1.849247</w:t>
                  </w:r>
                </w:p>
              </w:tc>
            </w:tr>
            <w:tr w14:paraId="6D15F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140" w:type="pct"/>
                  <w:vMerge w:val="continue"/>
                  <w:vAlign w:val="center"/>
                </w:tcPr>
                <w:p w14:paraId="175B41C1">
                  <w:pPr>
                    <w:adjustRightInd w:val="0"/>
                    <w:snapToGrid w:val="0"/>
                    <w:jc w:val="center"/>
                    <w:rPr>
                      <w:rFonts w:hint="eastAsia" w:cs="Times New Roman"/>
                      <w:bCs/>
                      <w:color w:val="0000FF"/>
                      <w:szCs w:val="21"/>
                      <w:lang w:val="en-US" w:eastAsia="zh-CN"/>
                    </w:rPr>
                  </w:pPr>
                </w:p>
              </w:tc>
              <w:tc>
                <w:tcPr>
                  <w:tcW w:w="575" w:type="pct"/>
                  <w:vAlign w:val="center"/>
                </w:tcPr>
                <w:p w14:paraId="0650587D">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Mn</w:t>
                  </w:r>
                </w:p>
              </w:tc>
              <w:tc>
                <w:tcPr>
                  <w:tcW w:w="336" w:type="pct"/>
                  <w:vAlign w:val="center"/>
                </w:tcPr>
                <w:p w14:paraId="0C2254CF">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323</w:t>
                  </w:r>
                </w:p>
              </w:tc>
              <w:tc>
                <w:tcPr>
                  <w:tcW w:w="310" w:type="pct"/>
                  <w:vAlign w:val="center"/>
                </w:tcPr>
                <w:p w14:paraId="210630AB">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54</w:t>
                  </w:r>
                </w:p>
              </w:tc>
              <w:tc>
                <w:tcPr>
                  <w:tcW w:w="341" w:type="pct"/>
                  <w:vAlign w:val="center"/>
                </w:tcPr>
                <w:p w14:paraId="6B43242B">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0</w:t>
                  </w:r>
                </w:p>
              </w:tc>
              <w:tc>
                <w:tcPr>
                  <w:tcW w:w="331" w:type="pct"/>
                  <w:vAlign w:val="center"/>
                </w:tcPr>
                <w:p w14:paraId="2094342E">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0</w:t>
                  </w:r>
                </w:p>
              </w:tc>
              <w:tc>
                <w:tcPr>
                  <w:tcW w:w="416" w:type="pct"/>
                  <w:vAlign w:val="center"/>
                </w:tcPr>
                <w:p w14:paraId="6693BE1A">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841254.06</w:t>
                  </w:r>
                </w:p>
              </w:tc>
              <w:tc>
                <w:tcPr>
                  <w:tcW w:w="361" w:type="pct"/>
                  <w:vAlign w:val="center"/>
                </w:tcPr>
                <w:p w14:paraId="65F2758E">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96.49</w:t>
                  </w:r>
                </w:p>
              </w:tc>
              <w:tc>
                <w:tcPr>
                  <w:tcW w:w="366" w:type="pct"/>
                  <w:vAlign w:val="center"/>
                </w:tcPr>
                <w:p w14:paraId="7F215527">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3.51</w:t>
                  </w:r>
                </w:p>
              </w:tc>
              <w:tc>
                <w:tcPr>
                  <w:tcW w:w="280" w:type="pct"/>
                  <w:vAlign w:val="center"/>
                </w:tcPr>
                <w:p w14:paraId="0E92F96A">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99</w:t>
                  </w:r>
                </w:p>
              </w:tc>
              <w:tc>
                <w:tcPr>
                  <w:tcW w:w="346" w:type="pct"/>
                  <w:vAlign w:val="center"/>
                </w:tcPr>
                <w:p w14:paraId="1ACC956C">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811726</w:t>
                  </w:r>
                </w:p>
              </w:tc>
              <w:tc>
                <w:tcPr>
                  <w:tcW w:w="336" w:type="pct"/>
                  <w:vAlign w:val="center"/>
                </w:tcPr>
                <w:p w14:paraId="12E60864">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29528</w:t>
                  </w:r>
                </w:p>
              </w:tc>
              <w:tc>
                <w:tcPr>
                  <w:tcW w:w="431" w:type="pct"/>
                  <w:vAlign w:val="center"/>
                </w:tcPr>
                <w:p w14:paraId="3604C7F1">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29232.74</w:t>
                  </w:r>
                </w:p>
              </w:tc>
              <w:tc>
                <w:tcPr>
                  <w:tcW w:w="427" w:type="pct"/>
                  <w:vAlign w:val="center"/>
                </w:tcPr>
                <w:p w14:paraId="5EA977CA">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295.280176</w:t>
                  </w:r>
                </w:p>
              </w:tc>
            </w:tr>
            <w:tr w14:paraId="131FE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40" w:type="pct"/>
                  <w:vMerge w:val="continue"/>
                  <w:vAlign w:val="center"/>
                </w:tcPr>
                <w:p w14:paraId="6E580B36">
                  <w:pPr>
                    <w:adjustRightInd w:val="0"/>
                    <w:snapToGrid w:val="0"/>
                    <w:jc w:val="center"/>
                    <w:rPr>
                      <w:rFonts w:hint="eastAsia" w:cs="Times New Roman"/>
                      <w:bCs/>
                      <w:color w:val="0000FF"/>
                      <w:szCs w:val="21"/>
                      <w:lang w:val="en-US" w:eastAsia="zh-CN"/>
                    </w:rPr>
                  </w:pPr>
                </w:p>
              </w:tc>
              <w:tc>
                <w:tcPr>
                  <w:tcW w:w="575" w:type="pct"/>
                  <w:vAlign w:val="center"/>
                </w:tcPr>
                <w:p w14:paraId="6F3A7A31">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Ni</w:t>
                  </w:r>
                </w:p>
              </w:tc>
              <w:tc>
                <w:tcPr>
                  <w:tcW w:w="336" w:type="pct"/>
                  <w:vAlign w:val="center"/>
                </w:tcPr>
                <w:p w14:paraId="28649135">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1.8</w:t>
                  </w:r>
                </w:p>
              </w:tc>
              <w:tc>
                <w:tcPr>
                  <w:tcW w:w="310" w:type="pct"/>
                  <w:vAlign w:val="center"/>
                </w:tcPr>
                <w:p w14:paraId="4E3D3179">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8.1</w:t>
                  </w:r>
                </w:p>
              </w:tc>
              <w:tc>
                <w:tcPr>
                  <w:tcW w:w="341" w:type="pct"/>
                  <w:vAlign w:val="center"/>
                </w:tcPr>
                <w:p w14:paraId="67C0E427">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174.4</w:t>
                  </w:r>
                </w:p>
              </w:tc>
              <w:tc>
                <w:tcPr>
                  <w:tcW w:w="331" w:type="pct"/>
                  <w:vAlign w:val="center"/>
                </w:tcPr>
                <w:p w14:paraId="79744AF4">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41.36</w:t>
                  </w:r>
                </w:p>
              </w:tc>
              <w:tc>
                <w:tcPr>
                  <w:tcW w:w="416" w:type="pct"/>
                  <w:vAlign w:val="center"/>
                </w:tcPr>
                <w:p w14:paraId="232E35B7">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5800.12</w:t>
                  </w:r>
                </w:p>
              </w:tc>
              <w:tc>
                <w:tcPr>
                  <w:tcW w:w="361" w:type="pct"/>
                  <w:vAlign w:val="center"/>
                </w:tcPr>
                <w:p w14:paraId="61CA8C25">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99.986</w:t>
                  </w:r>
                </w:p>
              </w:tc>
              <w:tc>
                <w:tcPr>
                  <w:tcW w:w="366" w:type="pct"/>
                  <w:vAlign w:val="center"/>
                </w:tcPr>
                <w:p w14:paraId="6F04F9AD">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0.014</w:t>
                  </w:r>
                </w:p>
              </w:tc>
              <w:tc>
                <w:tcPr>
                  <w:tcW w:w="280" w:type="pct"/>
                  <w:vAlign w:val="center"/>
                </w:tcPr>
                <w:p w14:paraId="27DA63F8">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99</w:t>
                  </w:r>
                </w:p>
              </w:tc>
              <w:tc>
                <w:tcPr>
                  <w:tcW w:w="346" w:type="pct"/>
                  <w:vAlign w:val="center"/>
                </w:tcPr>
                <w:p w14:paraId="0207F3F1">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5799</w:t>
                  </w:r>
                </w:p>
              </w:tc>
              <w:tc>
                <w:tcPr>
                  <w:tcW w:w="336" w:type="pct"/>
                  <w:vAlign w:val="center"/>
                </w:tcPr>
                <w:p w14:paraId="40EFEB7A">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w:t>
                  </w:r>
                </w:p>
              </w:tc>
              <w:tc>
                <w:tcPr>
                  <w:tcW w:w="431" w:type="pct"/>
                  <w:vAlign w:val="center"/>
                </w:tcPr>
                <w:p w14:paraId="280FED30">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0.80</w:t>
                  </w:r>
                </w:p>
              </w:tc>
              <w:tc>
                <w:tcPr>
                  <w:tcW w:w="427" w:type="pct"/>
                  <w:vAlign w:val="center"/>
                </w:tcPr>
                <w:p w14:paraId="1608678D">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0.008120</w:t>
                  </w:r>
                </w:p>
              </w:tc>
            </w:tr>
            <w:tr w14:paraId="39E14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40" w:type="pct"/>
                  <w:vMerge w:val="continue"/>
                  <w:vAlign w:val="center"/>
                </w:tcPr>
                <w:p w14:paraId="422D77FD">
                  <w:pPr>
                    <w:adjustRightInd w:val="0"/>
                    <w:snapToGrid w:val="0"/>
                    <w:jc w:val="center"/>
                    <w:rPr>
                      <w:rFonts w:hint="eastAsia" w:cs="Times New Roman"/>
                      <w:bCs/>
                      <w:color w:val="0000FF"/>
                      <w:szCs w:val="21"/>
                      <w:lang w:val="en-US" w:eastAsia="zh-CN"/>
                    </w:rPr>
                  </w:pPr>
                </w:p>
              </w:tc>
              <w:tc>
                <w:tcPr>
                  <w:tcW w:w="575" w:type="pct"/>
                  <w:vAlign w:val="center"/>
                </w:tcPr>
                <w:p w14:paraId="1341E399">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Tl+Cd+Pb+As</w:t>
                  </w:r>
                </w:p>
              </w:tc>
              <w:tc>
                <w:tcPr>
                  <w:tcW w:w="336" w:type="pct"/>
                  <w:vAlign w:val="center"/>
                </w:tcPr>
                <w:p w14:paraId="22103928">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18.3</w:t>
                  </w:r>
                </w:p>
              </w:tc>
              <w:tc>
                <w:tcPr>
                  <w:tcW w:w="310" w:type="pct"/>
                  <w:vAlign w:val="center"/>
                </w:tcPr>
                <w:p w14:paraId="516F6BBB">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33.4</w:t>
                  </w:r>
                </w:p>
              </w:tc>
              <w:tc>
                <w:tcPr>
                  <w:tcW w:w="341" w:type="pct"/>
                  <w:vAlign w:val="center"/>
                </w:tcPr>
                <w:p w14:paraId="6682FEDF">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0.109536</w:t>
                  </w:r>
                </w:p>
              </w:tc>
              <w:tc>
                <w:tcPr>
                  <w:tcW w:w="331" w:type="pct"/>
                  <w:vAlign w:val="center"/>
                </w:tcPr>
                <w:p w14:paraId="4CEE5CEA">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0.140995</w:t>
                  </w:r>
                </w:p>
              </w:tc>
              <w:tc>
                <w:tcPr>
                  <w:tcW w:w="416" w:type="pct"/>
                  <w:vAlign w:val="center"/>
                </w:tcPr>
                <w:p w14:paraId="17B54E01">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51598.55</w:t>
                  </w:r>
                </w:p>
              </w:tc>
              <w:tc>
                <w:tcPr>
                  <w:tcW w:w="361" w:type="pct"/>
                  <w:vAlign w:val="center"/>
                </w:tcPr>
                <w:p w14:paraId="59ACFB1D">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w:t>
                  </w:r>
                </w:p>
              </w:tc>
              <w:tc>
                <w:tcPr>
                  <w:tcW w:w="366" w:type="pct"/>
                  <w:vAlign w:val="center"/>
                </w:tcPr>
                <w:p w14:paraId="69481F3F">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w:t>
                  </w:r>
                </w:p>
              </w:tc>
              <w:tc>
                <w:tcPr>
                  <w:tcW w:w="280" w:type="pct"/>
                  <w:vAlign w:val="center"/>
                </w:tcPr>
                <w:p w14:paraId="0670ADA1">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99</w:t>
                  </w:r>
                </w:p>
              </w:tc>
              <w:tc>
                <w:tcPr>
                  <w:tcW w:w="346" w:type="pct"/>
                  <w:vAlign w:val="center"/>
                </w:tcPr>
                <w:p w14:paraId="152DDAC9">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19484</w:t>
                  </w:r>
                </w:p>
              </w:tc>
              <w:tc>
                <w:tcPr>
                  <w:tcW w:w="336" w:type="pct"/>
                  <w:vAlign w:val="center"/>
                </w:tcPr>
                <w:p w14:paraId="141A635B">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32115</w:t>
                  </w:r>
                </w:p>
              </w:tc>
              <w:tc>
                <w:tcPr>
                  <w:tcW w:w="431" w:type="pct"/>
                  <w:vAlign w:val="center"/>
                </w:tcPr>
                <w:p w14:paraId="3E90680B">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31793.45</w:t>
                  </w:r>
                </w:p>
              </w:tc>
              <w:tc>
                <w:tcPr>
                  <w:tcW w:w="427" w:type="pct"/>
                  <w:vAlign w:val="center"/>
                </w:tcPr>
                <w:p w14:paraId="69F11924">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321.145913</w:t>
                  </w:r>
                </w:p>
              </w:tc>
            </w:tr>
            <w:tr w14:paraId="554DE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40" w:type="pct"/>
                  <w:vMerge w:val="continue"/>
                  <w:vAlign w:val="center"/>
                </w:tcPr>
                <w:p w14:paraId="03440755">
                  <w:pPr>
                    <w:adjustRightInd w:val="0"/>
                    <w:snapToGrid w:val="0"/>
                    <w:jc w:val="center"/>
                    <w:rPr>
                      <w:rFonts w:hint="eastAsia" w:cs="Times New Roman"/>
                      <w:bCs/>
                      <w:color w:val="0000FF"/>
                      <w:szCs w:val="21"/>
                      <w:lang w:val="en-US" w:eastAsia="zh-CN"/>
                    </w:rPr>
                  </w:pPr>
                </w:p>
              </w:tc>
              <w:tc>
                <w:tcPr>
                  <w:tcW w:w="575" w:type="pct"/>
                  <w:vAlign w:val="center"/>
                </w:tcPr>
                <w:p w14:paraId="18D0D9C7">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Be+Cr+Sn+Sb+Cu+Co+Mn+Ni+V</w:t>
                  </w:r>
                </w:p>
              </w:tc>
              <w:tc>
                <w:tcPr>
                  <w:tcW w:w="336" w:type="pct"/>
                  <w:vAlign w:val="center"/>
                </w:tcPr>
                <w:p w14:paraId="26150FBD">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393.57</w:t>
                  </w:r>
                </w:p>
              </w:tc>
              <w:tc>
                <w:tcPr>
                  <w:tcW w:w="310" w:type="pct"/>
                  <w:vAlign w:val="center"/>
                </w:tcPr>
                <w:p w14:paraId="53B78A52">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140.142</w:t>
                  </w:r>
                </w:p>
              </w:tc>
              <w:tc>
                <w:tcPr>
                  <w:tcW w:w="341" w:type="pct"/>
                  <w:vAlign w:val="center"/>
                </w:tcPr>
                <w:p w14:paraId="123872D4">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0.8027</w:t>
                  </w:r>
                </w:p>
              </w:tc>
              <w:tc>
                <w:tcPr>
                  <w:tcW w:w="331" w:type="pct"/>
                  <w:vAlign w:val="center"/>
                </w:tcPr>
                <w:p w14:paraId="3042922E">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0.2222</w:t>
                  </w:r>
                </w:p>
              </w:tc>
              <w:tc>
                <w:tcPr>
                  <w:tcW w:w="416" w:type="pct"/>
                  <w:vAlign w:val="center"/>
                </w:tcPr>
                <w:p w14:paraId="2D383371">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1049803.25</w:t>
                  </w:r>
                </w:p>
              </w:tc>
              <w:tc>
                <w:tcPr>
                  <w:tcW w:w="361" w:type="pct"/>
                  <w:vAlign w:val="center"/>
                </w:tcPr>
                <w:p w14:paraId="41FB3F53">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w:t>
                  </w:r>
                </w:p>
              </w:tc>
              <w:tc>
                <w:tcPr>
                  <w:tcW w:w="366" w:type="pct"/>
                  <w:vAlign w:val="center"/>
                </w:tcPr>
                <w:p w14:paraId="22648F9E">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w:t>
                  </w:r>
                </w:p>
              </w:tc>
              <w:tc>
                <w:tcPr>
                  <w:tcW w:w="280" w:type="pct"/>
                  <w:vAlign w:val="center"/>
                </w:tcPr>
                <w:p w14:paraId="2661A581">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99</w:t>
                  </w:r>
                </w:p>
              </w:tc>
              <w:tc>
                <w:tcPr>
                  <w:tcW w:w="346" w:type="pct"/>
                  <w:vAlign w:val="center"/>
                </w:tcPr>
                <w:p w14:paraId="33D3103E">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1019652</w:t>
                  </w:r>
                </w:p>
              </w:tc>
              <w:tc>
                <w:tcPr>
                  <w:tcW w:w="336" w:type="pct"/>
                  <w:vAlign w:val="center"/>
                </w:tcPr>
                <w:p w14:paraId="32AAA49D">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30152</w:t>
                  </w:r>
                </w:p>
              </w:tc>
              <w:tc>
                <w:tcPr>
                  <w:tcW w:w="431" w:type="pct"/>
                  <w:vAlign w:val="center"/>
                </w:tcPr>
                <w:p w14:paraId="33FD477F">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29849.99</w:t>
                  </w:r>
                </w:p>
              </w:tc>
              <w:tc>
                <w:tcPr>
                  <w:tcW w:w="427" w:type="pct"/>
                  <w:vAlign w:val="center"/>
                </w:tcPr>
                <w:p w14:paraId="2CF1DA32">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301.515050</w:t>
                  </w:r>
                </w:p>
              </w:tc>
            </w:tr>
          </w:tbl>
          <w:p w14:paraId="2D9C6CC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FF"/>
                <w:vertAlign w:val="baseline"/>
                <w:lang w:val="en-US" w:eastAsia="zh-CN"/>
              </w:rPr>
            </w:pPr>
          </w:p>
        </w:tc>
      </w:tr>
    </w:tbl>
    <w:p w14:paraId="53EF311D">
      <w:pPr>
        <w:pStyle w:val="24"/>
        <w:jc w:val="center"/>
        <w:outlineLvl w:val="0"/>
        <w:rPr>
          <w:rFonts w:hint="default" w:ascii="Times New Roman" w:hAnsi="Times New Roman" w:eastAsia="黑体" w:cs="Times New Roman"/>
          <w:snapToGrid w:val="0"/>
          <w:color w:val="auto"/>
          <w:sz w:val="30"/>
          <w:szCs w:val="30"/>
        </w:rPr>
        <w:sectPr>
          <w:pgSz w:w="16840" w:h="11907" w:orient="landscape"/>
          <w:pgMar w:top="720" w:right="720" w:bottom="720" w:left="72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8"/>
        <w:tblW w:w="988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426"/>
      </w:tblGrid>
      <w:tr w14:paraId="0A62C8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456" w:type="dxa"/>
            <w:tcBorders>
              <w:top w:val="single" w:color="auto" w:sz="8" w:space="0"/>
              <w:bottom w:val="single" w:color="auto" w:sz="8" w:space="0"/>
            </w:tcBorders>
            <w:vAlign w:val="center"/>
          </w:tcPr>
          <w:p w14:paraId="15ECF8FC">
            <w:pPr>
              <w:pStyle w:val="24"/>
              <w:adjustRightInd w:val="0"/>
              <w:snapToGrid w:val="0"/>
              <w:spacing w:before="0" w:beforeAutospacing="0" w:after="0" w:afterAutospacing="0" w:line="460" w:lineRule="exact"/>
              <w:jc w:val="center"/>
              <w:rPr>
                <w:rFonts w:hint="default" w:ascii="Times New Roman" w:hAnsi="Times New Roman" w:cs="Times New Roman"/>
                <w:color w:val="auto"/>
              </w:rPr>
            </w:pPr>
          </w:p>
        </w:tc>
        <w:tc>
          <w:tcPr>
            <w:tcW w:w="9426" w:type="dxa"/>
            <w:tcBorders>
              <w:top w:val="single" w:color="auto" w:sz="8" w:space="0"/>
              <w:bottom w:val="single" w:color="auto" w:sz="8" w:space="0"/>
            </w:tcBorders>
          </w:tcPr>
          <w:p w14:paraId="66CEA2B7">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vertAlign w:val="baseline"/>
                <w:lang w:val="en-US" w:eastAsia="zh-CN" w:bidi="ar-SA"/>
              </w:rPr>
            </w:pPr>
            <w:r>
              <w:rPr>
                <w:rFonts w:hint="eastAsia" w:ascii="Times New Roman" w:hAnsi="Times New Roman" w:eastAsia="宋体" w:cs="Times New Roman"/>
                <w:b/>
                <w:bCs/>
                <w:color w:val="auto"/>
                <w:kern w:val="2"/>
                <w:sz w:val="24"/>
                <w:szCs w:val="24"/>
                <w:vertAlign w:val="baseline"/>
                <w:lang w:val="en-US" w:eastAsia="zh-CN" w:bidi="ar-SA"/>
              </w:rPr>
              <w:t>十二、劳动定员及</w:t>
            </w:r>
            <w:r>
              <w:rPr>
                <w:rFonts w:hint="eastAsia" w:cs="Times New Roman"/>
                <w:b/>
                <w:bCs/>
                <w:color w:val="auto"/>
                <w:kern w:val="2"/>
                <w:sz w:val="24"/>
                <w:szCs w:val="24"/>
                <w:vertAlign w:val="baseline"/>
                <w:lang w:val="en-US" w:eastAsia="zh-CN" w:bidi="ar-SA"/>
              </w:rPr>
              <w:t>工作</w:t>
            </w:r>
            <w:r>
              <w:rPr>
                <w:rFonts w:hint="eastAsia" w:ascii="Times New Roman" w:hAnsi="Times New Roman" w:eastAsia="宋体" w:cs="Times New Roman"/>
                <w:b/>
                <w:bCs/>
                <w:color w:val="auto"/>
                <w:kern w:val="2"/>
                <w:sz w:val="24"/>
                <w:szCs w:val="24"/>
                <w:vertAlign w:val="baseline"/>
                <w:lang w:val="en-US" w:eastAsia="zh-CN" w:bidi="ar-SA"/>
              </w:rPr>
              <w:t>制度</w:t>
            </w:r>
          </w:p>
          <w:p w14:paraId="719DA6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FF0000"/>
                <w:kern w:val="2"/>
                <w:sz w:val="24"/>
                <w:szCs w:val="24"/>
                <w:highlight w:val="yellow"/>
                <w:vertAlign w:val="baseline"/>
                <w:lang w:val="en-US" w:eastAsia="zh-CN" w:bidi="ar-SA"/>
              </w:rPr>
            </w:pPr>
            <w:r>
              <w:rPr>
                <w:rFonts w:hint="eastAsia" w:cs="Times New Roman"/>
                <w:color w:val="auto"/>
                <w:sz w:val="24"/>
                <w:szCs w:val="24"/>
                <w:highlight w:val="none"/>
                <w:lang w:val="en-US" w:eastAsia="zh-CN"/>
              </w:rPr>
              <w:t>由于本次技改项目仅涉及燃料改变，不新增项目产能，因此本次技改项目不新增劳动定员。本项目现有员工260人，</w:t>
            </w:r>
            <w:bookmarkStart w:id="84" w:name="OLE_LINK141"/>
            <w:r>
              <w:rPr>
                <w:rFonts w:hint="eastAsia" w:cs="Times New Roman"/>
                <w:color w:val="auto"/>
                <w:sz w:val="24"/>
                <w:szCs w:val="24"/>
                <w:highlight w:val="none"/>
                <w:lang w:val="en-US" w:eastAsia="zh-CN"/>
              </w:rPr>
              <w:t>实行三班连续运转，即三班/天，年工作330天。</w:t>
            </w:r>
          </w:p>
          <w:bookmarkEnd w:id="84"/>
          <w:p w14:paraId="7FA20B38">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eastAsia" w:cs="Times New Roman"/>
                <w:b/>
                <w:bCs/>
                <w:color w:val="auto"/>
                <w:kern w:val="2"/>
                <w:sz w:val="24"/>
                <w:szCs w:val="24"/>
                <w:vertAlign w:val="baseline"/>
                <w:lang w:val="en-US" w:eastAsia="zh-CN" w:bidi="ar-SA"/>
              </w:rPr>
            </w:pPr>
            <w:r>
              <w:rPr>
                <w:rFonts w:hint="eastAsia" w:cs="Times New Roman"/>
                <w:b/>
                <w:bCs/>
                <w:color w:val="auto"/>
                <w:kern w:val="2"/>
                <w:sz w:val="24"/>
                <w:szCs w:val="24"/>
                <w:vertAlign w:val="baseline"/>
                <w:lang w:val="en-US" w:eastAsia="zh-CN" w:bidi="ar-SA"/>
              </w:rPr>
              <w:t>十三</w:t>
            </w:r>
            <w:r>
              <w:rPr>
                <w:rFonts w:hint="eastAsia" w:ascii="Times New Roman" w:hAnsi="Times New Roman" w:eastAsia="宋体" w:cs="Times New Roman"/>
                <w:b/>
                <w:bCs/>
                <w:color w:val="auto"/>
                <w:kern w:val="2"/>
                <w:sz w:val="24"/>
                <w:szCs w:val="24"/>
                <w:vertAlign w:val="baseline"/>
                <w:lang w:val="en-US" w:eastAsia="zh-CN" w:bidi="ar-SA"/>
              </w:rPr>
              <w:t>、</w:t>
            </w:r>
            <w:r>
              <w:rPr>
                <w:rFonts w:hint="eastAsia" w:cs="Times New Roman"/>
                <w:b/>
                <w:bCs/>
                <w:color w:val="auto"/>
                <w:kern w:val="2"/>
                <w:sz w:val="24"/>
                <w:szCs w:val="24"/>
                <w:vertAlign w:val="baseline"/>
                <w:lang w:val="en-US" w:eastAsia="zh-CN" w:bidi="ar-SA"/>
              </w:rPr>
              <w:t>平面布置</w:t>
            </w:r>
          </w:p>
          <w:p w14:paraId="45418FFD">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bCs/>
                <w:color w:val="auto"/>
                <w:kern w:val="2"/>
                <w:sz w:val="24"/>
                <w:szCs w:val="24"/>
                <w:vertAlign w:val="baseline"/>
                <w:lang w:val="en-US" w:eastAsia="zh-CN" w:bidi="ar-SA"/>
              </w:rPr>
            </w:pPr>
            <w:r>
              <w:rPr>
                <w:rFonts w:hint="eastAsia" w:cs="Times New Roman"/>
                <w:color w:val="auto"/>
                <w:sz w:val="24"/>
                <w:szCs w:val="24"/>
                <w:highlight w:val="none"/>
                <w:lang w:val="en-US" w:eastAsia="zh-CN"/>
              </w:rPr>
              <w:t>厂区东侧为大门以及员工办公区域，其余部分为生产区域。厂区总体平面布置较为合理，具体内容见附图12-附图15。本项目新增设备位于窑尾预热器旁，不新增占地，不改变项目现有生产布局。厂区平面布局满足生产工艺要求，满足安全生产要求，符合消防规范。同时在布置时根据实际生产需要，充分考虑了工艺流畅性与完整性。从总体上看，本项目总平面布置合理。</w:t>
            </w:r>
          </w:p>
          <w:p w14:paraId="56FF9088">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eastAsia" w:cs="Times New Roman"/>
                <w:b/>
                <w:bCs/>
                <w:color w:val="0000FF"/>
                <w:kern w:val="2"/>
                <w:sz w:val="24"/>
                <w:szCs w:val="24"/>
                <w:vertAlign w:val="baseline"/>
                <w:lang w:val="en-US" w:eastAsia="zh-CN" w:bidi="ar-SA"/>
              </w:rPr>
            </w:pPr>
            <w:r>
              <w:rPr>
                <w:rFonts w:hint="eastAsia" w:cs="Times New Roman"/>
                <w:b/>
                <w:bCs/>
                <w:color w:val="0000FF"/>
                <w:kern w:val="2"/>
                <w:sz w:val="24"/>
                <w:szCs w:val="24"/>
                <w:vertAlign w:val="baseline"/>
                <w:lang w:val="en-US" w:eastAsia="zh-CN" w:bidi="ar-SA"/>
              </w:rPr>
              <w:t>十四</w:t>
            </w:r>
            <w:r>
              <w:rPr>
                <w:rFonts w:hint="eastAsia" w:ascii="Times New Roman" w:hAnsi="Times New Roman" w:eastAsia="宋体" w:cs="Times New Roman"/>
                <w:b/>
                <w:bCs/>
                <w:color w:val="0000FF"/>
                <w:kern w:val="2"/>
                <w:sz w:val="24"/>
                <w:szCs w:val="24"/>
                <w:vertAlign w:val="baseline"/>
                <w:lang w:val="en-US" w:eastAsia="zh-CN" w:bidi="ar-SA"/>
              </w:rPr>
              <w:t>、</w:t>
            </w:r>
            <w:r>
              <w:rPr>
                <w:rFonts w:hint="eastAsia" w:cs="Times New Roman"/>
                <w:b/>
                <w:bCs/>
                <w:color w:val="0000FF"/>
                <w:kern w:val="2"/>
                <w:sz w:val="24"/>
                <w:szCs w:val="24"/>
                <w:vertAlign w:val="baseline"/>
                <w:lang w:val="en-US" w:eastAsia="zh-CN" w:bidi="ar-SA"/>
              </w:rPr>
              <w:t>用水量及水平衡</w:t>
            </w:r>
          </w:p>
          <w:p w14:paraId="6AFC1A27">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0000FF"/>
                <w:kern w:val="2"/>
                <w:sz w:val="24"/>
                <w:szCs w:val="24"/>
                <w:vertAlign w:val="baseline"/>
                <w:lang w:val="en-US" w:eastAsia="zh-CN" w:bidi="ar-SA"/>
              </w:rPr>
            </w:pPr>
            <w:r>
              <w:rPr>
                <w:rFonts w:hint="eastAsia" w:cs="Times New Roman"/>
                <w:b w:val="0"/>
                <w:bCs w:val="0"/>
                <w:color w:val="0000FF"/>
                <w:kern w:val="2"/>
                <w:sz w:val="24"/>
                <w:szCs w:val="24"/>
                <w:vertAlign w:val="baseline"/>
                <w:lang w:val="en-US" w:eastAsia="zh-CN" w:bidi="ar-SA"/>
              </w:rPr>
              <w:t>根据分析，本项目无生产废水，运营期不新增劳动定员，无生活污水产生。本项目具体用水情况以及水量平衡如下，本次技改前后厂区水平衡图不发生变化。</w:t>
            </w:r>
          </w:p>
          <w:p w14:paraId="233CC49B">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0000FF"/>
                <w:kern w:val="2"/>
                <w:sz w:val="24"/>
                <w:szCs w:val="24"/>
                <w:highlight w:val="yellow"/>
                <w:vertAlign w:val="baseline"/>
                <w:lang w:val="en-US" w:eastAsia="zh-CN" w:bidi="ar-SA"/>
              </w:rPr>
            </w:pPr>
            <w:r>
              <w:rPr>
                <w:rFonts w:hint="eastAsia" w:ascii="Times New Roman" w:hAnsi="Times New Roman" w:eastAsia="宋体" w:cs="Times New Roman"/>
                <w:b w:val="0"/>
                <w:bCs w:val="0"/>
                <w:color w:val="0000FF"/>
                <w:kern w:val="2"/>
                <w:sz w:val="24"/>
                <w:szCs w:val="24"/>
                <w:highlight w:val="yellow"/>
                <w:vertAlign w:val="baseline"/>
                <w:lang w:val="en-US" w:eastAsia="zh-CN" w:bidi="ar-SA"/>
              </w:rPr>
              <w:drawing>
                <wp:inline distT="0" distB="0" distL="114300" distR="114300">
                  <wp:extent cx="3752215" cy="4493260"/>
                  <wp:effectExtent l="0" t="0" r="0" b="0"/>
                  <wp:docPr id="5" name="图片 5"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图片1.png图片1"/>
                          <pic:cNvPicPr>
                            <a:picLocks noChangeAspect="1"/>
                          </pic:cNvPicPr>
                        </pic:nvPicPr>
                        <pic:blipFill>
                          <a:blip r:embed="rId7"/>
                          <a:srcRect l="868" r="974" b="1276"/>
                          <a:stretch>
                            <a:fillRect/>
                          </a:stretch>
                        </pic:blipFill>
                        <pic:spPr>
                          <a:xfrm>
                            <a:off x="0" y="0"/>
                            <a:ext cx="3752215" cy="4493260"/>
                          </a:xfrm>
                          <a:prstGeom prst="rect">
                            <a:avLst/>
                          </a:prstGeom>
                        </pic:spPr>
                      </pic:pic>
                    </a:graphicData>
                  </a:graphic>
                </wp:inline>
              </w:drawing>
            </w:r>
          </w:p>
          <w:p w14:paraId="1CF6C3FC">
            <w:pPr>
              <w:jc w:val="center"/>
              <w:rPr>
                <w:rFonts w:hint="eastAsia" w:cs="Times New Roman"/>
                <w:b/>
                <w:color w:val="0000FF"/>
                <w:szCs w:val="21"/>
                <w:lang w:eastAsia="zh-CN"/>
              </w:rPr>
            </w:pPr>
            <w:r>
              <w:rPr>
                <w:rFonts w:hint="eastAsia" w:cs="Times New Roman"/>
                <w:b/>
                <w:color w:val="0000FF"/>
                <w:szCs w:val="21"/>
                <w:lang w:eastAsia="zh-CN"/>
              </w:rPr>
              <w:t>图</w:t>
            </w:r>
            <w:r>
              <w:rPr>
                <w:rFonts w:hint="eastAsia" w:cs="Times New Roman"/>
                <w:b/>
                <w:color w:val="0000FF"/>
                <w:szCs w:val="21"/>
                <w:lang w:val="en-US" w:eastAsia="zh-CN"/>
              </w:rPr>
              <w:t>2-1 现有工程</w:t>
            </w:r>
            <w:r>
              <w:rPr>
                <w:rFonts w:hint="eastAsia" w:cs="Times New Roman"/>
                <w:b/>
                <w:color w:val="0000FF"/>
                <w:szCs w:val="21"/>
                <w:lang w:eastAsia="zh-CN"/>
              </w:rPr>
              <w:t>水平衡图</w:t>
            </w:r>
            <w:r>
              <w:rPr>
                <w:rFonts w:hint="eastAsia" w:cs="Times New Roman"/>
                <w:b/>
                <w:color w:val="0000FF"/>
                <w:szCs w:val="21"/>
                <w:lang w:val="en-US" w:eastAsia="zh-CN"/>
              </w:rPr>
              <w:t xml:space="preserve"> </w:t>
            </w:r>
            <w:r>
              <w:rPr>
                <w:rFonts w:hint="eastAsia" w:cs="Times New Roman"/>
                <w:b/>
                <w:color w:val="0000FF"/>
                <w:szCs w:val="21"/>
                <w:lang w:eastAsia="zh-CN"/>
              </w:rPr>
              <w:t>单位：m</w:t>
            </w:r>
            <w:r>
              <w:rPr>
                <w:rFonts w:hint="eastAsia" w:cs="Times New Roman"/>
                <w:b/>
                <w:color w:val="0000FF"/>
                <w:szCs w:val="21"/>
                <w:vertAlign w:val="superscript"/>
                <w:lang w:eastAsia="zh-CN"/>
              </w:rPr>
              <w:t>3</w:t>
            </w:r>
            <w:r>
              <w:rPr>
                <w:rFonts w:hint="eastAsia" w:cs="Times New Roman"/>
                <w:b/>
                <w:color w:val="0000FF"/>
                <w:szCs w:val="21"/>
                <w:lang w:eastAsia="zh-CN"/>
              </w:rPr>
              <w:t>/d（本次技改前后不发生变化）</w:t>
            </w:r>
          </w:p>
          <w:p w14:paraId="5A14E78B">
            <w:pPr>
              <w:autoSpaceDE w:val="0"/>
              <w:autoSpaceDN w:val="0"/>
              <w:adjustRightInd w:val="0"/>
              <w:jc w:val="center"/>
              <w:rPr>
                <w:rFonts w:hint="eastAsia" w:ascii="Times New Roman" w:hAnsi="Times New Roman" w:eastAsia="宋体" w:cs="Times New Roman"/>
                <w:b/>
                <w:color w:val="0000FF"/>
                <w:szCs w:val="21"/>
              </w:rPr>
            </w:pPr>
            <w:r>
              <w:rPr>
                <w:rFonts w:hint="eastAsia" w:ascii="Times New Roman" w:hAnsi="Times New Roman" w:eastAsia="宋体" w:cs="Times New Roman"/>
                <w:b/>
                <w:color w:val="0000FF"/>
                <w:szCs w:val="21"/>
              </w:rPr>
              <w:t>表</w:t>
            </w:r>
            <w:r>
              <w:rPr>
                <w:rFonts w:hint="eastAsia" w:cs="Times New Roman"/>
                <w:b/>
                <w:color w:val="0000FF"/>
                <w:szCs w:val="21"/>
                <w:lang w:val="en-US" w:eastAsia="zh-CN"/>
              </w:rPr>
              <w:t>2-35 现有工程</w:t>
            </w:r>
            <w:r>
              <w:rPr>
                <w:rFonts w:hint="eastAsia" w:ascii="Times New Roman" w:hAnsi="Times New Roman" w:eastAsia="宋体" w:cs="Times New Roman"/>
                <w:b/>
                <w:color w:val="0000FF"/>
                <w:szCs w:val="21"/>
              </w:rPr>
              <w:t>各项用水</w:t>
            </w:r>
            <w:r>
              <w:rPr>
                <w:rFonts w:hint="eastAsia" w:cs="Times New Roman"/>
                <w:b/>
                <w:color w:val="0000FF"/>
                <w:szCs w:val="21"/>
                <w:lang w:eastAsia="zh-CN"/>
              </w:rPr>
              <w:t>情况</w:t>
            </w:r>
            <w:r>
              <w:rPr>
                <w:rFonts w:hint="eastAsia" w:ascii="Times New Roman" w:hAnsi="Times New Roman" w:eastAsia="宋体" w:cs="Times New Roman"/>
                <w:b/>
                <w:color w:val="0000FF"/>
                <w:szCs w:val="21"/>
              </w:rPr>
              <w:t>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
              <w:gridCol w:w="2870"/>
              <w:gridCol w:w="2642"/>
              <w:gridCol w:w="2722"/>
            </w:tblGrid>
            <w:tr w14:paraId="224F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23" w:type="pct"/>
                  <w:noWrap w:val="0"/>
                  <w:vAlign w:val="center"/>
                </w:tcPr>
                <w:p w14:paraId="0FE85DE5">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序号</w:t>
                  </w:r>
                </w:p>
              </w:tc>
              <w:tc>
                <w:tcPr>
                  <w:tcW w:w="1560" w:type="pct"/>
                  <w:noWrap w:val="0"/>
                  <w:vAlign w:val="center"/>
                </w:tcPr>
                <w:p w14:paraId="2D0F2286">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项  目</w:t>
                  </w:r>
                </w:p>
              </w:tc>
              <w:tc>
                <w:tcPr>
                  <w:tcW w:w="1436" w:type="pct"/>
                  <w:noWrap w:val="0"/>
                  <w:vAlign w:val="center"/>
                </w:tcPr>
                <w:p w14:paraId="6AA4DEDE">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每天用水量（t）</w:t>
                  </w:r>
                </w:p>
              </w:tc>
              <w:tc>
                <w:tcPr>
                  <w:tcW w:w="1479" w:type="pct"/>
                  <w:noWrap w:val="0"/>
                  <w:vAlign w:val="center"/>
                </w:tcPr>
                <w:p w14:paraId="12B90FED">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年用水量（t）</w:t>
                  </w:r>
                </w:p>
              </w:tc>
            </w:tr>
            <w:tr w14:paraId="29728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3" w:type="pct"/>
                  <w:noWrap w:val="0"/>
                  <w:vAlign w:val="center"/>
                </w:tcPr>
                <w:p w14:paraId="758C5E86">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1</w:t>
                  </w:r>
                </w:p>
              </w:tc>
              <w:tc>
                <w:tcPr>
                  <w:tcW w:w="1560" w:type="pct"/>
                  <w:noWrap w:val="0"/>
                  <w:vAlign w:val="center"/>
                </w:tcPr>
                <w:p w14:paraId="343C04A4">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循环系统补充水量</w:t>
                  </w:r>
                </w:p>
              </w:tc>
              <w:tc>
                <w:tcPr>
                  <w:tcW w:w="1436" w:type="pct"/>
                  <w:noWrap w:val="0"/>
                  <w:vAlign w:val="center"/>
                </w:tcPr>
                <w:p w14:paraId="2EB0FF02">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720</w:t>
                  </w:r>
                </w:p>
              </w:tc>
              <w:tc>
                <w:tcPr>
                  <w:tcW w:w="1479" w:type="pct"/>
                  <w:noWrap w:val="0"/>
                  <w:vAlign w:val="center"/>
                </w:tcPr>
                <w:p w14:paraId="2BA5F965">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237600</w:t>
                  </w:r>
                </w:p>
              </w:tc>
            </w:tr>
            <w:tr w14:paraId="2D7A6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3" w:type="pct"/>
                  <w:noWrap w:val="0"/>
                  <w:vAlign w:val="center"/>
                </w:tcPr>
                <w:p w14:paraId="2D2EDC11">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2</w:t>
                  </w:r>
                </w:p>
              </w:tc>
              <w:tc>
                <w:tcPr>
                  <w:tcW w:w="1560" w:type="pct"/>
                  <w:noWrap w:val="0"/>
                  <w:vAlign w:val="center"/>
                </w:tcPr>
                <w:p w14:paraId="2458E03D">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生产用水</w:t>
                  </w:r>
                </w:p>
              </w:tc>
              <w:tc>
                <w:tcPr>
                  <w:tcW w:w="1436" w:type="pct"/>
                  <w:noWrap w:val="0"/>
                  <w:vAlign w:val="center"/>
                </w:tcPr>
                <w:p w14:paraId="70611FDC">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1200</w:t>
                  </w:r>
                </w:p>
              </w:tc>
              <w:tc>
                <w:tcPr>
                  <w:tcW w:w="1479" w:type="pct"/>
                  <w:noWrap w:val="0"/>
                  <w:vAlign w:val="center"/>
                </w:tcPr>
                <w:p w14:paraId="7D35CAC9">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396000</w:t>
                  </w:r>
                </w:p>
              </w:tc>
            </w:tr>
            <w:tr w14:paraId="70D46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3" w:type="pct"/>
                  <w:noWrap w:val="0"/>
                  <w:vAlign w:val="center"/>
                </w:tcPr>
                <w:p w14:paraId="2DF733E8">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3</w:t>
                  </w:r>
                </w:p>
              </w:tc>
              <w:tc>
                <w:tcPr>
                  <w:tcW w:w="1560" w:type="pct"/>
                  <w:noWrap w:val="0"/>
                  <w:vAlign w:val="center"/>
                </w:tcPr>
                <w:p w14:paraId="3CB65DCA">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余热发电工程</w:t>
                  </w:r>
                </w:p>
              </w:tc>
              <w:tc>
                <w:tcPr>
                  <w:tcW w:w="1436" w:type="pct"/>
                  <w:noWrap w:val="0"/>
                  <w:vAlign w:val="center"/>
                </w:tcPr>
                <w:p w14:paraId="45601C99">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1970</w:t>
                  </w:r>
                </w:p>
              </w:tc>
              <w:tc>
                <w:tcPr>
                  <w:tcW w:w="1479" w:type="pct"/>
                  <w:noWrap w:val="0"/>
                  <w:vAlign w:val="center"/>
                </w:tcPr>
                <w:p w14:paraId="4F37B1E3">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650100</w:t>
                  </w:r>
                </w:p>
              </w:tc>
            </w:tr>
            <w:tr w14:paraId="65C98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3" w:type="pct"/>
                  <w:noWrap w:val="0"/>
                  <w:vAlign w:val="center"/>
                </w:tcPr>
                <w:p w14:paraId="3C28DA3A">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4</w:t>
                  </w:r>
                </w:p>
              </w:tc>
              <w:tc>
                <w:tcPr>
                  <w:tcW w:w="1560" w:type="pct"/>
                  <w:noWrap w:val="0"/>
                  <w:vAlign w:val="center"/>
                </w:tcPr>
                <w:p w14:paraId="03FAF865">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生活用水</w:t>
                  </w:r>
                </w:p>
              </w:tc>
              <w:tc>
                <w:tcPr>
                  <w:tcW w:w="1436" w:type="pct"/>
                  <w:noWrap w:val="0"/>
                  <w:vAlign w:val="center"/>
                </w:tcPr>
                <w:p w14:paraId="5D190084">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50</w:t>
                  </w:r>
                </w:p>
              </w:tc>
              <w:tc>
                <w:tcPr>
                  <w:tcW w:w="1479" w:type="pct"/>
                  <w:noWrap w:val="0"/>
                  <w:vAlign w:val="center"/>
                </w:tcPr>
                <w:p w14:paraId="5B47AA16">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16500</w:t>
                  </w:r>
                </w:p>
              </w:tc>
            </w:tr>
            <w:tr w14:paraId="37EB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3" w:type="pct"/>
                  <w:noWrap w:val="0"/>
                  <w:vAlign w:val="center"/>
                </w:tcPr>
                <w:p w14:paraId="30C05B33">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5</w:t>
                  </w:r>
                </w:p>
              </w:tc>
              <w:tc>
                <w:tcPr>
                  <w:tcW w:w="1560" w:type="pct"/>
                  <w:noWrap w:val="0"/>
                  <w:vAlign w:val="center"/>
                </w:tcPr>
                <w:p w14:paraId="6CC9CE12">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合  计</w:t>
                  </w:r>
                </w:p>
              </w:tc>
              <w:tc>
                <w:tcPr>
                  <w:tcW w:w="1436" w:type="pct"/>
                  <w:noWrap w:val="0"/>
                  <w:vAlign w:val="center"/>
                </w:tcPr>
                <w:p w14:paraId="0B27EF7C">
                  <w:pPr>
                    <w:adjustRightInd w:val="0"/>
                    <w:snapToGrid w:val="0"/>
                    <w:jc w:val="center"/>
                    <w:rPr>
                      <w:rFonts w:hint="eastAsia" w:ascii="Times New Roman" w:hAnsi="Times New Roman" w:eastAsia="宋体" w:cs="Times New Roman"/>
                      <w:bCs/>
                      <w:color w:val="0000FF"/>
                      <w:szCs w:val="21"/>
                      <w:lang w:val="en-US" w:eastAsia="zh-CN"/>
                    </w:rPr>
                  </w:pPr>
                  <w:r>
                    <w:rPr>
                      <w:rFonts w:hint="eastAsia" w:ascii="Times New Roman" w:hAnsi="Times New Roman" w:eastAsia="宋体" w:cs="Times New Roman"/>
                      <w:bCs/>
                      <w:color w:val="0000FF"/>
                      <w:szCs w:val="21"/>
                      <w:lang w:val="en-US" w:eastAsia="zh-CN"/>
                    </w:rPr>
                    <w:t>3940</w:t>
                  </w:r>
                </w:p>
              </w:tc>
              <w:tc>
                <w:tcPr>
                  <w:tcW w:w="1479" w:type="pct"/>
                  <w:noWrap w:val="0"/>
                  <w:vAlign w:val="center"/>
                </w:tcPr>
                <w:p w14:paraId="573C36B5">
                  <w:pPr>
                    <w:adjustRightInd w:val="0"/>
                    <w:snapToGrid w:val="0"/>
                    <w:jc w:val="center"/>
                    <w:rPr>
                      <w:rFonts w:hint="default" w:ascii="Times New Roman" w:hAnsi="Times New Roman" w:eastAsia="宋体" w:cs="Times New Roman"/>
                      <w:bCs/>
                      <w:color w:val="0000FF"/>
                      <w:szCs w:val="21"/>
                      <w:lang w:val="en-US" w:eastAsia="zh-CN"/>
                    </w:rPr>
                  </w:pPr>
                  <w:r>
                    <w:rPr>
                      <w:rFonts w:hint="eastAsia" w:cs="Times New Roman"/>
                      <w:bCs/>
                      <w:color w:val="0000FF"/>
                      <w:szCs w:val="21"/>
                      <w:lang w:val="en-US" w:eastAsia="zh-CN"/>
                    </w:rPr>
                    <w:t>1300200</w:t>
                  </w:r>
                </w:p>
              </w:tc>
            </w:tr>
          </w:tbl>
          <w:p w14:paraId="762F7AEF">
            <w:pPr>
              <w:jc w:val="center"/>
              <w:rPr>
                <w:rFonts w:hint="default" w:cs="Times New Roman"/>
                <w:b/>
                <w:color w:val="auto"/>
                <w:szCs w:val="21"/>
                <w:lang w:val="en-US" w:eastAsia="zh-CN"/>
              </w:rPr>
            </w:pPr>
          </w:p>
        </w:tc>
      </w:tr>
      <w:tr w14:paraId="0DC788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tcBorders>
              <w:top w:val="single" w:color="auto" w:sz="8" w:space="0"/>
              <w:bottom w:val="single" w:color="auto" w:sz="8" w:space="0"/>
            </w:tcBorders>
            <w:vAlign w:val="center"/>
          </w:tcPr>
          <w:p w14:paraId="7C700803">
            <w:pPr>
              <w:pStyle w:val="24"/>
              <w:adjustRightInd w:val="0"/>
              <w:snapToGrid w:val="0"/>
              <w:spacing w:before="0" w:beforeAutospacing="0" w:after="0" w:afterAutospacing="0" w:line="460" w:lineRule="exact"/>
              <w:jc w:val="both"/>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工艺流程和产排污环节</w:t>
            </w:r>
          </w:p>
        </w:tc>
        <w:tc>
          <w:tcPr>
            <w:tcW w:w="9426" w:type="dxa"/>
            <w:tcBorders>
              <w:top w:val="single" w:color="auto" w:sz="8" w:space="0"/>
              <w:bottom w:val="single" w:color="auto" w:sz="8" w:space="0"/>
            </w:tcBorders>
          </w:tcPr>
          <w:p w14:paraId="2369B793">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2"/>
                <w:sz w:val="24"/>
                <w:szCs w:val="24"/>
                <w:vertAlign w:val="baseline"/>
                <w:lang w:val="en-US" w:eastAsia="zh-CN" w:bidi="ar-SA"/>
              </w:rPr>
            </w:pPr>
            <w:r>
              <w:rPr>
                <w:rFonts w:hint="eastAsia" w:ascii="Times New Roman" w:hAnsi="Times New Roman" w:eastAsia="宋体" w:cs="Times New Roman"/>
                <w:b/>
                <w:bCs/>
                <w:color w:val="auto"/>
                <w:kern w:val="2"/>
                <w:sz w:val="24"/>
                <w:szCs w:val="24"/>
                <w:vertAlign w:val="baseline"/>
                <w:lang w:val="en-US" w:eastAsia="zh-CN" w:bidi="ar-SA"/>
              </w:rPr>
              <w:t>一、施工期</w:t>
            </w:r>
          </w:p>
          <w:p w14:paraId="7A226FCC">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ascii="Times New Roman" w:hAnsi="Times New Roman" w:eastAsia="宋体" w:cs="Times New Roman"/>
                <w:b w:val="0"/>
                <w:bCs w:val="0"/>
                <w:color w:val="auto"/>
                <w:kern w:val="2"/>
                <w:sz w:val="24"/>
                <w:szCs w:val="24"/>
                <w:vertAlign w:val="baseline"/>
                <w:lang w:val="en-US" w:eastAsia="zh-CN" w:bidi="ar-SA"/>
              </w:rPr>
              <w:t>本次技术改造项目，不改变现有工房结构主体，不进行土建施工，设备安装时间较短</w:t>
            </w:r>
            <w:r>
              <w:rPr>
                <w:rFonts w:hint="eastAsia" w:cs="Times New Roman"/>
                <w:b w:val="0"/>
                <w:bCs w:val="0"/>
                <w:color w:val="auto"/>
                <w:kern w:val="2"/>
                <w:sz w:val="24"/>
                <w:szCs w:val="24"/>
                <w:vertAlign w:val="baseline"/>
                <w:lang w:val="en-US" w:eastAsia="zh-CN" w:bidi="ar-SA"/>
              </w:rPr>
              <w:t>，</w:t>
            </w:r>
            <w:r>
              <w:rPr>
                <w:rFonts w:hint="eastAsia" w:ascii="Times New Roman" w:hAnsi="Times New Roman" w:eastAsia="宋体" w:cs="Times New Roman"/>
                <w:b w:val="0"/>
                <w:bCs w:val="0"/>
                <w:color w:val="auto"/>
                <w:kern w:val="2"/>
                <w:sz w:val="24"/>
                <w:szCs w:val="24"/>
                <w:vertAlign w:val="baseline"/>
                <w:lang w:val="en-US" w:eastAsia="zh-CN" w:bidi="ar-SA"/>
              </w:rPr>
              <w:t>经设备安装、调试后便可投入生产</w:t>
            </w:r>
            <w:r>
              <w:rPr>
                <w:rFonts w:hint="eastAsia" w:cs="Times New Roman"/>
                <w:b w:val="0"/>
                <w:bCs w:val="0"/>
                <w:color w:val="auto"/>
                <w:kern w:val="2"/>
                <w:sz w:val="24"/>
                <w:szCs w:val="24"/>
                <w:vertAlign w:val="baseline"/>
                <w:lang w:val="en-US" w:eastAsia="zh-CN" w:bidi="ar-SA"/>
              </w:rPr>
              <w:t>。</w:t>
            </w:r>
            <w:r>
              <w:rPr>
                <w:rFonts w:hint="eastAsia" w:ascii="Times New Roman" w:hAnsi="Times New Roman" w:eastAsia="宋体" w:cs="Times New Roman"/>
                <w:b w:val="0"/>
                <w:bCs w:val="0"/>
                <w:color w:val="auto"/>
                <w:kern w:val="2"/>
                <w:sz w:val="24"/>
                <w:szCs w:val="24"/>
                <w:vertAlign w:val="baseline"/>
                <w:lang w:val="en-US" w:eastAsia="zh-CN" w:bidi="ar-SA"/>
              </w:rPr>
              <w:t>因此，对施工期污染不再进行分析。</w:t>
            </w:r>
          </w:p>
          <w:p w14:paraId="0155DD5C">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2" w:firstLineChars="200"/>
              <w:jc w:val="both"/>
              <w:textAlignment w:val="auto"/>
              <w:rPr>
                <w:rFonts w:hint="eastAsia" w:ascii="Times New Roman" w:hAnsi="Times New Roman" w:eastAsia="宋体" w:cs="Times New Roman"/>
                <w:b/>
                <w:bCs/>
                <w:color w:val="auto"/>
                <w:kern w:val="2"/>
                <w:sz w:val="24"/>
                <w:szCs w:val="24"/>
                <w:vertAlign w:val="baseline"/>
                <w:lang w:val="en-US" w:eastAsia="zh-CN" w:bidi="ar-SA"/>
              </w:rPr>
            </w:pPr>
            <w:r>
              <w:rPr>
                <w:rFonts w:hint="eastAsia" w:ascii="Times New Roman" w:hAnsi="Times New Roman" w:eastAsia="宋体" w:cs="Times New Roman"/>
                <w:b/>
                <w:bCs/>
                <w:color w:val="auto"/>
                <w:kern w:val="2"/>
                <w:sz w:val="24"/>
                <w:szCs w:val="24"/>
                <w:vertAlign w:val="baseline"/>
                <w:lang w:val="en-US" w:eastAsia="zh-CN" w:bidi="ar-SA"/>
              </w:rPr>
              <w:t>二、运营期</w:t>
            </w:r>
          </w:p>
          <w:p w14:paraId="4487AFE6">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cs="Times New Roman"/>
                <w:b w:val="0"/>
                <w:bCs w:val="0"/>
                <w:color w:val="auto"/>
                <w:kern w:val="2"/>
                <w:sz w:val="24"/>
                <w:szCs w:val="24"/>
                <w:vertAlign w:val="baseline"/>
                <w:lang w:val="en-US" w:eastAsia="zh-CN" w:bidi="ar-SA"/>
              </w:rPr>
            </w:pPr>
            <w:r>
              <w:rPr>
                <w:rFonts w:hint="eastAsia" w:cs="Times New Roman"/>
                <w:b w:val="0"/>
                <w:bCs w:val="0"/>
                <w:color w:val="auto"/>
                <w:kern w:val="2"/>
                <w:sz w:val="24"/>
                <w:szCs w:val="24"/>
                <w:vertAlign w:val="baseline"/>
                <w:lang w:val="en-US" w:eastAsia="zh-CN" w:bidi="ar-SA"/>
              </w:rPr>
              <w:t>水泥窑熟料生产工艺流程较长、产污环节较多，其中煤磨、水泥原料储库、窑头尾气、余热利用等环节污染源几乎无变化，因此本次评价仅就与本项目有关的部分进行阐述，对其他已通过环评的工艺流程及产污环节不再赘述。</w:t>
            </w:r>
          </w:p>
          <w:p w14:paraId="3FDD351E">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cs="Times New Roman"/>
                <w:b w:val="0"/>
                <w:bCs w:val="0"/>
                <w:color w:val="auto"/>
                <w:kern w:val="2"/>
                <w:sz w:val="24"/>
                <w:szCs w:val="24"/>
                <w:vertAlign w:val="baseline"/>
                <w:lang w:val="en-US" w:eastAsia="zh-CN" w:bidi="ar-SA"/>
              </w:rPr>
            </w:pPr>
            <w:r>
              <w:rPr>
                <w:rFonts w:hint="eastAsia" w:ascii="Times New Roman" w:hAnsi="Times New Roman" w:eastAsia="宋体" w:cs="Times New Roman"/>
                <w:b w:val="0"/>
                <w:bCs w:val="0"/>
                <w:color w:val="auto"/>
                <w:kern w:val="2"/>
                <w:sz w:val="24"/>
                <w:szCs w:val="24"/>
                <w:vertAlign w:val="baseline"/>
                <w:lang w:val="en-US" w:eastAsia="zh-CN" w:bidi="ar-SA"/>
              </w:rPr>
              <w:t>1、</w:t>
            </w:r>
            <w:r>
              <w:rPr>
                <w:rFonts w:hint="eastAsia" w:cs="Times New Roman"/>
                <w:b w:val="0"/>
                <w:bCs w:val="0"/>
                <w:color w:val="auto"/>
                <w:kern w:val="2"/>
                <w:sz w:val="24"/>
                <w:szCs w:val="24"/>
                <w:vertAlign w:val="baseline"/>
                <w:lang w:val="en-US" w:eastAsia="zh-CN" w:bidi="ar-SA"/>
              </w:rPr>
              <w:t>本项目准备阶段包括对固体废物进行分类、接收、暂存（废纺进场前已进行过破碎处理，无需进行处理即可直接使用；生物质（木屑）颗粒为细颗粒，直接使用）、下料等工序。</w:t>
            </w:r>
          </w:p>
          <w:p w14:paraId="195DF52C">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cs="Times New Roman"/>
                <w:b w:val="0"/>
                <w:bCs w:val="0"/>
                <w:color w:val="auto"/>
                <w:kern w:val="2"/>
                <w:sz w:val="24"/>
                <w:szCs w:val="24"/>
                <w:vertAlign w:val="baseline"/>
                <w:lang w:val="en-US" w:eastAsia="zh-CN" w:bidi="ar-SA"/>
              </w:rPr>
            </w:pPr>
            <w:r>
              <w:rPr>
                <w:rFonts w:hint="eastAsia" w:ascii="Times New Roman" w:hAnsi="Times New Roman" w:eastAsia="宋体" w:cs="Times New Roman"/>
                <w:b w:val="0"/>
                <w:bCs w:val="0"/>
                <w:color w:val="auto"/>
                <w:kern w:val="2"/>
                <w:sz w:val="24"/>
                <w:szCs w:val="24"/>
                <w:vertAlign w:val="baseline"/>
                <w:lang w:val="en-US" w:eastAsia="zh-CN" w:bidi="ar-SA"/>
              </w:rPr>
              <w:t>（1）</w:t>
            </w:r>
            <w:r>
              <w:rPr>
                <w:rFonts w:hint="eastAsia" w:cs="Times New Roman"/>
                <w:b w:val="0"/>
                <w:bCs w:val="0"/>
                <w:color w:val="auto"/>
                <w:kern w:val="2"/>
                <w:sz w:val="24"/>
                <w:szCs w:val="24"/>
                <w:vertAlign w:val="baseline"/>
                <w:lang w:val="en-US" w:eastAsia="zh-CN" w:bidi="ar-SA"/>
              </w:rPr>
              <w:t>分类、接收和暂存工序</w:t>
            </w:r>
          </w:p>
          <w:p w14:paraId="1A75674E">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cs="Times New Roman"/>
                <w:b w:val="0"/>
                <w:bCs w:val="0"/>
                <w:color w:val="auto"/>
                <w:kern w:val="2"/>
                <w:sz w:val="24"/>
                <w:szCs w:val="24"/>
                <w:vertAlign w:val="baseline"/>
                <w:lang w:val="en-US" w:eastAsia="zh-CN" w:bidi="ar-SA"/>
              </w:rPr>
            </w:pPr>
            <w:r>
              <w:rPr>
                <w:rFonts w:hint="eastAsia" w:cs="Times New Roman"/>
                <w:b w:val="0"/>
                <w:bCs w:val="0"/>
                <w:color w:val="auto"/>
                <w:kern w:val="2"/>
                <w:sz w:val="24"/>
                <w:szCs w:val="24"/>
                <w:vertAlign w:val="baseline"/>
                <w:lang w:val="en-US" w:eastAsia="zh-CN" w:bidi="ar-SA"/>
              </w:rPr>
              <w:t>固废经准入评估满足本项目要求后，根据固体废物取样及特性分析结果、重金属含量、固废存在状态，由建设单位组织第三方车辆对固废进行运输、分类、接收、预处理和暂存。固体运输车辆采用全封闭车辆运输。根据设计，本项目拟处置的一般固废贮存于替代燃料暂存库。与水泥厂的常规原料、燃料和产品分开贮存，不共用贮存设施。</w:t>
            </w:r>
          </w:p>
          <w:p w14:paraId="3EBC44D2">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cs="Times New Roman"/>
                <w:b w:val="0"/>
                <w:bCs w:val="0"/>
                <w:color w:val="auto"/>
                <w:kern w:val="2"/>
                <w:sz w:val="24"/>
                <w:szCs w:val="24"/>
                <w:vertAlign w:val="baseline"/>
                <w:lang w:val="en-US" w:eastAsia="zh-CN" w:bidi="ar-SA"/>
              </w:rPr>
            </w:pPr>
            <w:r>
              <w:rPr>
                <w:rFonts w:hint="eastAsia" w:ascii="Times New Roman" w:hAnsi="Times New Roman" w:eastAsia="宋体" w:cs="Times New Roman"/>
                <w:b w:val="0"/>
                <w:bCs w:val="0"/>
                <w:color w:val="auto"/>
                <w:kern w:val="2"/>
                <w:sz w:val="24"/>
                <w:szCs w:val="24"/>
                <w:vertAlign w:val="baseline"/>
                <w:lang w:val="en-US" w:eastAsia="zh-CN" w:bidi="ar-SA"/>
              </w:rPr>
              <w:t>（2）</w:t>
            </w:r>
            <w:r>
              <w:rPr>
                <w:rFonts w:hint="eastAsia" w:cs="Times New Roman"/>
                <w:b w:val="0"/>
                <w:bCs w:val="0"/>
                <w:color w:val="auto"/>
                <w:kern w:val="2"/>
                <w:sz w:val="24"/>
                <w:szCs w:val="24"/>
                <w:vertAlign w:val="baseline"/>
                <w:lang w:val="en-US" w:eastAsia="zh-CN" w:bidi="ar-SA"/>
              </w:rPr>
              <w:t>下料</w:t>
            </w:r>
          </w:p>
          <w:p w14:paraId="4C91DEFE">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cs="Times New Roman"/>
                <w:b w:val="0"/>
                <w:bCs w:val="0"/>
                <w:color w:val="auto"/>
                <w:kern w:val="2"/>
                <w:sz w:val="24"/>
                <w:szCs w:val="24"/>
                <w:vertAlign w:val="baseline"/>
                <w:lang w:val="en-US" w:eastAsia="zh-CN" w:bidi="ar-SA"/>
              </w:rPr>
            </w:pPr>
            <w:r>
              <w:rPr>
                <w:rFonts w:hint="eastAsia" w:cs="Times New Roman"/>
                <w:b w:val="0"/>
                <w:bCs w:val="0"/>
                <w:color w:val="auto"/>
                <w:kern w:val="2"/>
                <w:sz w:val="24"/>
                <w:szCs w:val="24"/>
                <w:vertAlign w:val="baseline"/>
                <w:lang w:val="en-US" w:eastAsia="zh-CN" w:bidi="ar-SA"/>
              </w:rPr>
              <w:t>替代燃料经电动葫芦吊装后直接进入下料仓内，下料仓自带计量称。下料仓内的替代燃料通过配置计量装置和自动控制系统，可实现定量投料和运行情况监控。替代燃料投加口设有防回火功能。运输管道均采用三面封闭运输，运输过程下料缓慢，且运输燃料为大块固体，运输过程不会产生废气。</w:t>
            </w:r>
          </w:p>
          <w:p w14:paraId="2187AF6B">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cs="Times New Roman"/>
                <w:b w:val="0"/>
                <w:bCs w:val="0"/>
                <w:color w:val="auto"/>
                <w:kern w:val="2"/>
                <w:sz w:val="24"/>
                <w:szCs w:val="24"/>
                <w:vertAlign w:val="baseline"/>
                <w:lang w:val="en-US" w:eastAsia="zh-CN" w:bidi="ar-SA"/>
              </w:rPr>
            </w:pPr>
            <w:r>
              <w:rPr>
                <w:rFonts w:hint="eastAsia" w:ascii="Times New Roman" w:hAnsi="Times New Roman" w:eastAsia="宋体" w:cs="Times New Roman"/>
                <w:b w:val="0"/>
                <w:bCs w:val="0"/>
                <w:color w:val="auto"/>
                <w:kern w:val="2"/>
                <w:sz w:val="24"/>
                <w:szCs w:val="24"/>
                <w:vertAlign w:val="baseline"/>
                <w:lang w:val="en-US" w:eastAsia="zh-CN" w:bidi="ar-SA"/>
              </w:rPr>
              <w:t>2、</w:t>
            </w:r>
            <w:r>
              <w:rPr>
                <w:rFonts w:hint="eastAsia" w:cs="Times New Roman"/>
                <w:b w:val="0"/>
                <w:bCs w:val="0"/>
                <w:color w:val="auto"/>
                <w:kern w:val="2"/>
                <w:sz w:val="24"/>
                <w:szCs w:val="24"/>
                <w:vertAlign w:val="baseline"/>
                <w:lang w:val="en-US" w:eastAsia="zh-CN" w:bidi="ar-SA"/>
              </w:rPr>
              <w:t>协同处置阶段</w:t>
            </w:r>
          </w:p>
          <w:p w14:paraId="0CE68042">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cs="Times New Roman"/>
                <w:b w:val="0"/>
                <w:bCs w:val="0"/>
                <w:color w:val="auto"/>
                <w:kern w:val="2"/>
                <w:sz w:val="24"/>
                <w:szCs w:val="24"/>
                <w:vertAlign w:val="baseline"/>
                <w:lang w:val="en-US" w:eastAsia="zh-CN" w:bidi="ar-SA"/>
              </w:rPr>
            </w:pPr>
            <w:r>
              <w:rPr>
                <w:rFonts w:hint="eastAsia" w:ascii="Times New Roman" w:hAnsi="Times New Roman" w:eastAsia="宋体" w:cs="Times New Roman"/>
                <w:b w:val="0"/>
                <w:bCs w:val="0"/>
                <w:color w:val="auto"/>
                <w:kern w:val="2"/>
                <w:sz w:val="24"/>
                <w:szCs w:val="24"/>
                <w:vertAlign w:val="baseline"/>
                <w:lang w:val="en-US" w:eastAsia="zh-CN" w:bidi="ar-SA"/>
              </w:rPr>
              <w:t>（1）</w:t>
            </w:r>
            <w:r>
              <w:rPr>
                <w:rFonts w:hint="eastAsia" w:cs="Times New Roman"/>
                <w:b w:val="0"/>
                <w:bCs w:val="0"/>
                <w:color w:val="auto"/>
                <w:kern w:val="2"/>
                <w:sz w:val="24"/>
                <w:szCs w:val="24"/>
                <w:vertAlign w:val="baseline"/>
                <w:lang w:val="en-US" w:eastAsia="zh-CN" w:bidi="ar-SA"/>
              </w:rPr>
              <w:t>固废投加点选取及可行性分析</w:t>
            </w:r>
          </w:p>
          <w:p w14:paraId="36ADFD41">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cs="Times New Roman"/>
                <w:b w:val="0"/>
                <w:bCs w:val="0"/>
                <w:color w:val="auto"/>
                <w:kern w:val="2"/>
                <w:sz w:val="24"/>
                <w:szCs w:val="24"/>
                <w:vertAlign w:val="baseline"/>
                <w:lang w:val="en-US" w:eastAsia="zh-CN" w:bidi="ar-SA"/>
              </w:rPr>
            </w:pPr>
            <w:r>
              <w:rPr>
                <w:rFonts w:hint="eastAsia" w:cs="Times New Roman"/>
                <w:b w:val="0"/>
                <w:bCs w:val="0"/>
                <w:color w:val="auto"/>
                <w:kern w:val="2"/>
                <w:sz w:val="24"/>
                <w:szCs w:val="24"/>
                <w:vertAlign w:val="baseline"/>
                <w:lang w:val="en-US" w:eastAsia="zh-CN" w:bidi="ar-SA"/>
              </w:rPr>
              <w:t>①投加点选择相关要求</w:t>
            </w:r>
          </w:p>
          <w:p w14:paraId="0AF6FD9A">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cs="Times New Roman"/>
                <w:b w:val="0"/>
                <w:bCs w:val="0"/>
                <w:color w:val="auto"/>
                <w:kern w:val="2"/>
                <w:sz w:val="24"/>
                <w:szCs w:val="24"/>
                <w:vertAlign w:val="baseline"/>
                <w:lang w:val="en-US" w:eastAsia="zh-CN" w:bidi="ar-SA"/>
              </w:rPr>
            </w:pPr>
            <w:r>
              <w:rPr>
                <w:rFonts w:hint="eastAsia" w:cs="Times New Roman"/>
                <w:b w:val="0"/>
                <w:bCs w:val="0"/>
                <w:color w:val="auto"/>
                <w:kern w:val="2"/>
                <w:sz w:val="24"/>
                <w:szCs w:val="24"/>
                <w:vertAlign w:val="baseline"/>
                <w:lang w:val="en-US" w:eastAsia="zh-CN" w:bidi="ar-SA"/>
              </w:rPr>
              <w:t>对配伍好的固体废物，根据其存在的物理特性、化学特性以及状态形式，选择不同的投料点进行投料。根据</w:t>
            </w:r>
            <w:bookmarkStart w:id="85" w:name="OLE_LINK102"/>
            <w:r>
              <w:rPr>
                <w:rFonts w:hint="eastAsia" w:cs="Times New Roman"/>
                <w:b w:val="0"/>
                <w:bCs w:val="0"/>
                <w:color w:val="auto"/>
                <w:kern w:val="2"/>
                <w:sz w:val="24"/>
                <w:szCs w:val="24"/>
                <w:vertAlign w:val="baseline"/>
                <w:lang w:val="en-US" w:eastAsia="zh-CN" w:bidi="ar-SA"/>
              </w:rPr>
              <w:t>《水泥窑协同处置固体废物环境保护技术规范》</w:t>
            </w:r>
            <w:bookmarkStart w:id="86" w:name="OLE_LINK101"/>
            <w:r>
              <w:rPr>
                <w:rFonts w:hint="eastAsia" w:cs="Times New Roman"/>
                <w:b w:val="0"/>
                <w:bCs w:val="0"/>
                <w:color w:val="auto"/>
                <w:kern w:val="2"/>
                <w:sz w:val="24"/>
                <w:szCs w:val="24"/>
                <w:vertAlign w:val="baseline"/>
                <w:lang w:val="en-US" w:eastAsia="zh-CN" w:bidi="ar-SA"/>
              </w:rPr>
              <w:t>（HJ 662-2013）</w:t>
            </w:r>
            <w:bookmarkEnd w:id="85"/>
            <w:bookmarkEnd w:id="86"/>
            <w:r>
              <w:rPr>
                <w:rFonts w:hint="eastAsia" w:cs="Times New Roman"/>
                <w:b w:val="0"/>
                <w:bCs w:val="0"/>
                <w:color w:val="auto"/>
                <w:kern w:val="2"/>
                <w:sz w:val="24"/>
                <w:szCs w:val="24"/>
                <w:vertAlign w:val="baseline"/>
                <w:lang w:val="en-US" w:eastAsia="zh-CN" w:bidi="ar-SA"/>
              </w:rPr>
              <w:t>，水泥窑进行协同处置的固体废物投加位置包括窑头高温段、窑尾高温段和生料配料系统。相关要求见下表。</w:t>
            </w:r>
          </w:p>
          <w:p w14:paraId="051DE763">
            <w:pPr>
              <w:autoSpaceDE w:val="0"/>
              <w:autoSpaceDN w:val="0"/>
              <w:adjustRightInd w:val="0"/>
              <w:jc w:val="center"/>
              <w:rPr>
                <w:rFonts w:hint="eastAsia" w:cs="Times New Roman"/>
                <w:b/>
                <w:color w:val="auto"/>
                <w:lang w:eastAsia="zh-CN"/>
              </w:rPr>
            </w:pPr>
            <w:bookmarkStart w:id="87" w:name="OLE_LINK96"/>
            <w:bookmarkStart w:id="88" w:name="OLE_LINK108"/>
            <w:r>
              <w:rPr>
                <w:rFonts w:hint="eastAsia" w:ascii="Times New Roman" w:hAnsi="Times New Roman" w:cs="Times New Roman"/>
                <w:b/>
                <w:color w:val="auto"/>
              </w:rPr>
              <w:t>表</w:t>
            </w:r>
            <w:r>
              <w:rPr>
                <w:rFonts w:ascii="Times New Roman" w:hAnsi="Times New Roman" w:cs="Times New Roman"/>
                <w:b/>
                <w:color w:val="auto"/>
              </w:rPr>
              <w:t>2</w:t>
            </w:r>
            <w:r>
              <w:rPr>
                <w:rFonts w:hint="eastAsia" w:ascii="Times New Roman" w:hAnsi="Times New Roman" w:cs="Times New Roman"/>
                <w:b/>
                <w:color w:val="auto"/>
                <w:lang w:val="en-US" w:eastAsia="zh-CN"/>
              </w:rPr>
              <w:t>-</w:t>
            </w:r>
            <w:bookmarkEnd w:id="87"/>
            <w:r>
              <w:rPr>
                <w:rFonts w:hint="eastAsia" w:cs="Times New Roman"/>
                <w:b/>
                <w:color w:val="auto"/>
                <w:lang w:val="en-US" w:eastAsia="zh-CN"/>
              </w:rPr>
              <w:t xml:space="preserve">36 </w:t>
            </w:r>
            <w:r>
              <w:rPr>
                <w:rFonts w:hint="eastAsia" w:cs="Times New Roman"/>
                <w:b/>
                <w:color w:val="auto"/>
                <w:lang w:eastAsia="zh-CN"/>
              </w:rPr>
              <w:t>《</w:t>
            </w:r>
            <w:bookmarkStart w:id="89" w:name="OLE_LINK98"/>
            <w:r>
              <w:rPr>
                <w:rFonts w:hint="eastAsia" w:cs="Times New Roman"/>
                <w:b/>
                <w:color w:val="auto"/>
                <w:lang w:eastAsia="zh-CN"/>
              </w:rPr>
              <w:t>水泥窑协同处置固体废物环境保护技术规范</w:t>
            </w:r>
            <w:bookmarkEnd w:id="89"/>
            <w:r>
              <w:rPr>
                <w:rFonts w:hint="eastAsia" w:cs="Times New Roman"/>
                <w:b/>
                <w:color w:val="auto"/>
                <w:lang w:eastAsia="zh-CN"/>
              </w:rPr>
              <w:t>》（HJ 662-2013）关于投加点相关要求</w:t>
            </w:r>
            <w:bookmarkEnd w:id="88"/>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095"/>
              <w:gridCol w:w="7656"/>
            </w:tblGrid>
            <w:tr w14:paraId="0F606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gridSpan w:val="2"/>
                  <w:vAlign w:val="center"/>
                </w:tcPr>
                <w:p w14:paraId="4A13B626">
                  <w:pPr>
                    <w:adjustRightInd w:val="0"/>
                    <w:snapToGrid w:val="0"/>
                    <w:jc w:val="center"/>
                    <w:rPr>
                      <w:rFonts w:hint="default" w:ascii="Times New Roman" w:hAnsi="Times New Roman" w:eastAsia="宋体" w:cs="Times New Roman"/>
                      <w:bCs/>
                      <w:color w:val="000000"/>
                      <w:szCs w:val="21"/>
                      <w:lang w:val="en-US" w:eastAsia="zh-CN"/>
                    </w:rPr>
                  </w:pPr>
                  <w:bookmarkStart w:id="90" w:name="OLE_LINK97" w:colFirst="0" w:colLast="0"/>
                  <w:r>
                    <w:rPr>
                      <w:rFonts w:hint="eastAsia" w:cs="Times New Roman"/>
                      <w:bCs/>
                      <w:color w:val="000000"/>
                      <w:szCs w:val="21"/>
                      <w:lang w:val="en-US" w:eastAsia="zh-CN"/>
                    </w:rPr>
                    <w:t>投加点</w:t>
                  </w:r>
                </w:p>
              </w:tc>
              <w:tc>
                <w:tcPr>
                  <w:tcW w:w="7656" w:type="dxa"/>
                  <w:vAlign w:val="center"/>
                </w:tcPr>
                <w:p w14:paraId="5D77B959">
                  <w:pPr>
                    <w:adjustRightInd w:val="0"/>
                    <w:snapToGrid w:val="0"/>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固废投加要求</w:t>
                  </w:r>
                </w:p>
              </w:tc>
            </w:tr>
            <w:bookmarkEnd w:id="90"/>
            <w:tr w14:paraId="64764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3" w:type="dxa"/>
                  <w:vMerge w:val="restart"/>
                  <w:vAlign w:val="center"/>
                </w:tcPr>
                <w:p w14:paraId="5CA5EDE4">
                  <w:pPr>
                    <w:adjustRightInd w:val="0"/>
                    <w:snapToGrid w:val="0"/>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窑头高温段</w:t>
                  </w:r>
                </w:p>
              </w:tc>
              <w:tc>
                <w:tcPr>
                  <w:tcW w:w="1095" w:type="dxa"/>
                  <w:vAlign w:val="center"/>
                </w:tcPr>
                <w:p w14:paraId="112BEF60">
                  <w:pPr>
                    <w:adjustRightInd w:val="0"/>
                    <w:snapToGrid w:val="0"/>
                    <w:jc w:val="center"/>
                    <w:rPr>
                      <w:rFonts w:hint="default" w:ascii="Times New Roman" w:hAnsi="Times New Roman" w:eastAsia="宋体" w:cs="Times New Roman"/>
                      <w:bCs/>
                      <w:color w:val="000000"/>
                      <w:szCs w:val="21"/>
                      <w:lang w:val="en-US" w:eastAsia="zh-CN"/>
                    </w:rPr>
                  </w:pPr>
                  <w:bookmarkStart w:id="91" w:name="OLE_LINK99"/>
                  <w:r>
                    <w:rPr>
                      <w:rFonts w:hint="eastAsia" w:cs="Times New Roman"/>
                      <w:bCs/>
                      <w:color w:val="000000"/>
                      <w:szCs w:val="21"/>
                      <w:lang w:val="en-US" w:eastAsia="zh-CN"/>
                    </w:rPr>
                    <w:t>主燃烧器</w:t>
                  </w:r>
                  <w:bookmarkEnd w:id="91"/>
                </w:p>
              </w:tc>
              <w:tc>
                <w:tcPr>
                  <w:tcW w:w="7656" w:type="dxa"/>
                  <w:vAlign w:val="center"/>
                </w:tcPr>
                <w:p w14:paraId="4480B8FD">
                  <w:pPr>
                    <w:adjustRightInd w:val="0"/>
                    <w:snapToGrid w:val="0"/>
                    <w:jc w:val="both"/>
                    <w:rPr>
                      <w:rFonts w:hint="eastAsia" w:cs="Times New Roman"/>
                      <w:bCs/>
                      <w:color w:val="000000"/>
                      <w:szCs w:val="21"/>
                      <w:lang w:val="en-US" w:eastAsia="zh-CN"/>
                    </w:rPr>
                  </w:pPr>
                  <w:r>
                    <w:rPr>
                      <w:rFonts w:hint="eastAsia" w:cs="Times New Roman"/>
                      <w:bCs/>
                      <w:color w:val="000000"/>
                      <w:szCs w:val="21"/>
                      <w:lang w:val="en-US" w:eastAsia="zh-CN"/>
                    </w:rPr>
                    <w:t>a）具有以下特性的固体废物宜在</w:t>
                  </w:r>
                  <w:bookmarkStart w:id="92" w:name="OLE_LINK100"/>
                  <w:r>
                    <w:rPr>
                      <w:rFonts w:hint="eastAsia" w:cs="Times New Roman"/>
                      <w:bCs/>
                      <w:color w:val="000000"/>
                      <w:szCs w:val="21"/>
                      <w:lang w:val="en-US" w:eastAsia="zh-CN"/>
                    </w:rPr>
                    <w:t>主燃烧器投加：</w:t>
                  </w:r>
                </w:p>
                <w:bookmarkEnd w:id="92"/>
                <w:p w14:paraId="516A4A3F">
                  <w:pPr>
                    <w:keepNext w:val="0"/>
                    <w:keepLines w:val="0"/>
                    <w:pageBreakBefore w:val="0"/>
                    <w:widowControl w:val="0"/>
                    <w:kinsoku/>
                    <w:wordWrap/>
                    <w:overflowPunct/>
                    <w:topLinePunct w:val="0"/>
                    <w:autoSpaceDE/>
                    <w:autoSpaceDN/>
                    <w:bidi w:val="0"/>
                    <w:adjustRightInd/>
                    <w:snapToGrid/>
                    <w:ind w:firstLine="315" w:firstLineChars="150"/>
                    <w:textAlignment w:val="auto"/>
                    <w:rPr>
                      <w:rFonts w:hint="eastAsia"/>
                      <w:lang w:val="en-US" w:eastAsia="zh-CN"/>
                    </w:rPr>
                  </w:pPr>
                  <w:r>
                    <w:rPr>
                      <w:rFonts w:hint="eastAsia"/>
                      <w:lang w:val="en-US" w:eastAsia="zh-CN"/>
                    </w:rPr>
                    <w:t>1）液态或易于气力输送的粉状废物；</w:t>
                  </w:r>
                </w:p>
                <w:p w14:paraId="17CDEF56">
                  <w:pPr>
                    <w:keepNext w:val="0"/>
                    <w:keepLines w:val="0"/>
                    <w:pageBreakBefore w:val="0"/>
                    <w:widowControl w:val="0"/>
                    <w:kinsoku/>
                    <w:wordWrap/>
                    <w:overflowPunct/>
                    <w:topLinePunct w:val="0"/>
                    <w:autoSpaceDE/>
                    <w:autoSpaceDN/>
                    <w:bidi w:val="0"/>
                    <w:adjustRightInd/>
                    <w:snapToGrid/>
                    <w:ind w:firstLine="315" w:firstLineChars="150"/>
                    <w:textAlignment w:val="auto"/>
                    <w:rPr>
                      <w:rFonts w:hint="eastAsia"/>
                      <w:lang w:val="en-US" w:eastAsia="zh-CN"/>
                    </w:rPr>
                  </w:pPr>
                  <w:r>
                    <w:rPr>
                      <w:rFonts w:hint="eastAsia"/>
                      <w:lang w:val="en-US" w:eastAsia="zh-CN"/>
                    </w:rPr>
                    <w:t>2）含 POPs 物质或高氯、高毒、难降解有机物质的废物；</w:t>
                  </w:r>
                </w:p>
                <w:p w14:paraId="5D335AB0">
                  <w:pPr>
                    <w:keepNext w:val="0"/>
                    <w:keepLines w:val="0"/>
                    <w:pageBreakBefore w:val="0"/>
                    <w:widowControl w:val="0"/>
                    <w:kinsoku/>
                    <w:wordWrap/>
                    <w:overflowPunct/>
                    <w:topLinePunct w:val="0"/>
                    <w:autoSpaceDE/>
                    <w:autoSpaceDN/>
                    <w:bidi w:val="0"/>
                    <w:adjustRightInd/>
                    <w:snapToGrid/>
                    <w:ind w:firstLine="315" w:firstLineChars="150"/>
                    <w:textAlignment w:val="auto"/>
                    <w:rPr>
                      <w:rFonts w:hint="eastAsia"/>
                      <w:lang w:val="en-US" w:eastAsia="zh-CN"/>
                    </w:rPr>
                  </w:pPr>
                  <w:r>
                    <w:rPr>
                      <w:rFonts w:hint="eastAsia"/>
                      <w:lang w:val="en-US" w:eastAsia="zh-CN"/>
                    </w:rPr>
                    <w:t>3）热值高、含水率低的有机废液。</w:t>
                  </w:r>
                </w:p>
                <w:p w14:paraId="22212D4C">
                  <w:pPr>
                    <w:rPr>
                      <w:rFonts w:hint="default"/>
                      <w:lang w:val="en-US" w:eastAsia="zh-CN"/>
                    </w:rPr>
                  </w:pPr>
                  <w:r>
                    <w:rPr>
                      <w:rFonts w:hint="default"/>
                      <w:lang w:val="en-US" w:eastAsia="zh-CN"/>
                    </w:rPr>
                    <w:t>b）在主燃烧器投加固体废物操作中应满足以下条件：</w:t>
                  </w:r>
                </w:p>
                <w:p w14:paraId="6C73FC61">
                  <w:pPr>
                    <w:keepNext w:val="0"/>
                    <w:keepLines w:val="0"/>
                    <w:pageBreakBefore w:val="0"/>
                    <w:widowControl w:val="0"/>
                    <w:kinsoku/>
                    <w:wordWrap/>
                    <w:overflowPunct/>
                    <w:topLinePunct w:val="0"/>
                    <w:autoSpaceDE/>
                    <w:autoSpaceDN/>
                    <w:bidi w:val="0"/>
                    <w:adjustRightInd/>
                    <w:snapToGrid/>
                    <w:ind w:firstLine="315" w:firstLineChars="150"/>
                    <w:textAlignment w:val="auto"/>
                    <w:rPr>
                      <w:rFonts w:hint="default"/>
                      <w:lang w:val="en-US" w:eastAsia="zh-CN"/>
                    </w:rPr>
                  </w:pPr>
                  <w:r>
                    <w:rPr>
                      <w:rFonts w:hint="default"/>
                      <w:lang w:val="en-US" w:eastAsia="zh-CN"/>
                    </w:rPr>
                    <w:t>1）通过泵力输送投加的液态废物不应含有沉淀物，以免堵塞燃烧器喷嘴；</w:t>
                  </w:r>
                </w:p>
                <w:p w14:paraId="247BDAAB">
                  <w:pPr>
                    <w:keepNext w:val="0"/>
                    <w:keepLines w:val="0"/>
                    <w:pageBreakBefore w:val="0"/>
                    <w:widowControl w:val="0"/>
                    <w:kinsoku/>
                    <w:wordWrap/>
                    <w:overflowPunct/>
                    <w:topLinePunct w:val="0"/>
                    <w:autoSpaceDE/>
                    <w:autoSpaceDN/>
                    <w:bidi w:val="0"/>
                    <w:adjustRightInd/>
                    <w:snapToGrid/>
                    <w:ind w:firstLine="315" w:firstLineChars="150"/>
                    <w:textAlignment w:val="auto"/>
                    <w:rPr>
                      <w:rFonts w:hint="default"/>
                      <w:lang w:val="en-US" w:eastAsia="zh-CN"/>
                    </w:rPr>
                  </w:pPr>
                  <w:r>
                    <w:rPr>
                      <w:rFonts w:hint="default"/>
                      <w:lang w:val="en-US" w:eastAsia="zh-CN"/>
                    </w:rPr>
                    <w:t>2）通过气力输送投加的粉状废物，从多通道燃烧器的不同通道喷入窑内，若</w:t>
                  </w:r>
                </w:p>
                <w:p w14:paraId="145B23DE">
                  <w:pPr>
                    <w:keepNext w:val="0"/>
                    <w:keepLines w:val="0"/>
                    <w:pageBreakBefore w:val="0"/>
                    <w:widowControl w:val="0"/>
                    <w:kinsoku/>
                    <w:wordWrap/>
                    <w:overflowPunct/>
                    <w:topLinePunct w:val="0"/>
                    <w:autoSpaceDE/>
                    <w:autoSpaceDN/>
                    <w:bidi w:val="0"/>
                    <w:adjustRightInd/>
                    <w:snapToGrid/>
                    <w:ind w:firstLine="315" w:firstLineChars="150"/>
                    <w:textAlignment w:val="auto"/>
                    <w:rPr>
                      <w:rFonts w:hint="default"/>
                      <w:lang w:val="en-US" w:eastAsia="zh-CN"/>
                    </w:rPr>
                  </w:pPr>
                  <w:r>
                    <w:rPr>
                      <w:rFonts w:hint="default"/>
                      <w:lang w:val="en-US" w:eastAsia="zh-CN"/>
                    </w:rPr>
                    <w:t>废物灰分含量高，尽可能喷入更远的距离，尽量达到固相反应带。</w:t>
                  </w:r>
                </w:p>
              </w:tc>
            </w:tr>
            <w:tr w14:paraId="2D568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3" w:type="dxa"/>
                  <w:vMerge w:val="continue"/>
                  <w:vAlign w:val="center"/>
                </w:tcPr>
                <w:p w14:paraId="6CA70436">
                  <w:pPr>
                    <w:adjustRightInd w:val="0"/>
                    <w:snapToGrid w:val="0"/>
                    <w:jc w:val="center"/>
                    <w:rPr>
                      <w:rFonts w:hint="default" w:ascii="Times New Roman" w:hAnsi="Times New Roman" w:eastAsia="宋体" w:cs="Times New Roman"/>
                      <w:bCs/>
                      <w:color w:val="000000"/>
                      <w:szCs w:val="21"/>
                      <w:lang w:val="en-US" w:eastAsia="zh-CN"/>
                    </w:rPr>
                  </w:pPr>
                </w:p>
              </w:tc>
              <w:tc>
                <w:tcPr>
                  <w:tcW w:w="1095" w:type="dxa"/>
                  <w:vAlign w:val="center"/>
                </w:tcPr>
                <w:p w14:paraId="7AF00595">
                  <w:pPr>
                    <w:adjustRightInd w:val="0"/>
                    <w:snapToGrid w:val="0"/>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窑门罩</w:t>
                  </w:r>
                </w:p>
              </w:tc>
              <w:tc>
                <w:tcPr>
                  <w:tcW w:w="7656" w:type="dxa"/>
                  <w:vAlign w:val="center"/>
                </w:tcPr>
                <w:p w14:paraId="1287237C">
                  <w:pPr>
                    <w:adjustRightInd w:val="0"/>
                    <w:snapToGrid w:val="0"/>
                    <w:jc w:val="both"/>
                    <w:rPr>
                      <w:rFonts w:hint="default" w:ascii="Times New Roman" w:hAnsi="Times New Roman" w:eastAsia="宋体" w:cs="Times New Roman"/>
                      <w:bCs/>
                      <w:color w:val="000000"/>
                      <w:szCs w:val="21"/>
                      <w:lang w:val="en-US" w:eastAsia="zh-CN"/>
                    </w:rPr>
                  </w:pPr>
                  <w:r>
                    <w:rPr>
                      <w:rFonts w:hint="default" w:ascii="Times New Roman" w:hAnsi="Times New Roman" w:eastAsia="宋体" w:cs="Times New Roman"/>
                      <w:bCs/>
                      <w:color w:val="000000"/>
                      <w:szCs w:val="21"/>
                      <w:lang w:val="en-US" w:eastAsia="zh-CN"/>
                    </w:rPr>
                    <w:t>a）窑门罩宜投加不适于在窑头主燃烧器投加的液体废物，如各种低热值液态废物。</w:t>
                  </w:r>
                </w:p>
                <w:p w14:paraId="063B98BC">
                  <w:pPr>
                    <w:adjustRightInd w:val="0"/>
                    <w:snapToGrid w:val="0"/>
                    <w:jc w:val="both"/>
                    <w:rPr>
                      <w:rFonts w:hint="default" w:ascii="Times New Roman" w:hAnsi="Times New Roman" w:eastAsia="宋体" w:cs="Times New Roman"/>
                      <w:bCs/>
                      <w:color w:val="000000"/>
                      <w:szCs w:val="21"/>
                      <w:lang w:val="en-US" w:eastAsia="zh-CN"/>
                    </w:rPr>
                  </w:pPr>
                  <w:r>
                    <w:rPr>
                      <w:rFonts w:hint="default" w:ascii="Times New Roman" w:hAnsi="Times New Roman" w:eastAsia="宋体" w:cs="Times New Roman"/>
                      <w:bCs/>
                      <w:color w:val="000000"/>
                      <w:szCs w:val="21"/>
                      <w:lang w:val="en-US" w:eastAsia="zh-CN"/>
                    </w:rPr>
                    <w:t>b）在窑门罩投加固态废物时应采用特殊设计的投加设施。投加时应确保将固态废物投至固相反应带，确保废物反应完全。</w:t>
                  </w:r>
                </w:p>
                <w:p w14:paraId="016CEC47">
                  <w:pPr>
                    <w:adjustRightInd w:val="0"/>
                    <w:snapToGrid w:val="0"/>
                    <w:jc w:val="both"/>
                    <w:rPr>
                      <w:rFonts w:hint="default" w:ascii="Times New Roman" w:hAnsi="Times New Roman" w:eastAsia="宋体" w:cs="Times New Roman"/>
                      <w:bCs/>
                      <w:color w:val="000000"/>
                      <w:szCs w:val="21"/>
                      <w:lang w:val="en-US" w:eastAsia="zh-CN"/>
                    </w:rPr>
                  </w:pPr>
                  <w:r>
                    <w:rPr>
                      <w:rFonts w:hint="default" w:ascii="Times New Roman" w:hAnsi="Times New Roman" w:eastAsia="宋体" w:cs="Times New Roman"/>
                      <w:bCs/>
                      <w:color w:val="000000"/>
                      <w:szCs w:val="21"/>
                      <w:lang w:val="en-US" w:eastAsia="zh-CN"/>
                    </w:rPr>
                    <w:t>c）在窑门罩投加的液态废物应通过泵力输送至窑门罩喷入窑内。</w:t>
                  </w:r>
                </w:p>
              </w:tc>
            </w:tr>
            <w:tr w14:paraId="15FF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23" w:type="dxa"/>
                  <w:vMerge w:val="restart"/>
                  <w:vAlign w:val="center"/>
                </w:tcPr>
                <w:p w14:paraId="07DB5A17">
                  <w:pPr>
                    <w:adjustRightInd w:val="0"/>
                    <w:snapToGrid w:val="0"/>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窑尾高温段</w:t>
                  </w:r>
                </w:p>
              </w:tc>
              <w:tc>
                <w:tcPr>
                  <w:tcW w:w="1095" w:type="dxa"/>
                  <w:vAlign w:val="center"/>
                </w:tcPr>
                <w:p w14:paraId="480E5ABE">
                  <w:pPr>
                    <w:adjustRightInd w:val="0"/>
                    <w:snapToGrid w:val="0"/>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分解炉</w:t>
                  </w:r>
                </w:p>
              </w:tc>
              <w:tc>
                <w:tcPr>
                  <w:tcW w:w="7656" w:type="dxa"/>
                  <w:vMerge w:val="restart"/>
                  <w:vAlign w:val="center"/>
                </w:tcPr>
                <w:p w14:paraId="45EE0BB4">
                  <w:pPr>
                    <w:adjustRightInd w:val="0"/>
                    <w:snapToGrid w:val="0"/>
                    <w:jc w:val="both"/>
                    <w:rPr>
                      <w:rFonts w:hint="default" w:ascii="Times New Roman" w:hAnsi="Times New Roman" w:eastAsia="宋体" w:cs="Times New Roman"/>
                      <w:bCs/>
                      <w:color w:val="000000"/>
                      <w:szCs w:val="21"/>
                      <w:lang w:val="en-US" w:eastAsia="zh-CN"/>
                    </w:rPr>
                  </w:pPr>
                  <w:r>
                    <w:rPr>
                      <w:rFonts w:hint="default" w:ascii="Times New Roman" w:hAnsi="Times New Roman" w:eastAsia="宋体" w:cs="Times New Roman"/>
                      <w:bCs/>
                      <w:color w:val="000000"/>
                      <w:szCs w:val="21"/>
                      <w:lang w:val="en-US" w:eastAsia="zh-CN"/>
                    </w:rPr>
                    <w:t>a）含 POPs 物质和高氯、高毒、难降解有机物质的固体废物优先从窑头投加。若受物理特性限制需要从窑尾投加时，优先选择从窑尾烟室投加点。</w:t>
                  </w:r>
                </w:p>
                <w:p w14:paraId="2E4AD22A">
                  <w:pPr>
                    <w:adjustRightInd w:val="0"/>
                    <w:snapToGrid w:val="0"/>
                    <w:jc w:val="both"/>
                    <w:rPr>
                      <w:rFonts w:hint="default" w:ascii="Times New Roman" w:hAnsi="Times New Roman" w:eastAsia="宋体" w:cs="Times New Roman"/>
                      <w:bCs/>
                      <w:color w:val="000000"/>
                      <w:szCs w:val="21"/>
                      <w:lang w:val="en-US" w:eastAsia="zh-CN"/>
                    </w:rPr>
                  </w:pPr>
                  <w:r>
                    <w:rPr>
                      <w:rFonts w:hint="default" w:ascii="Times New Roman" w:hAnsi="Times New Roman" w:eastAsia="宋体" w:cs="Times New Roman"/>
                      <w:bCs/>
                      <w:color w:val="000000"/>
                      <w:szCs w:val="21"/>
                      <w:lang w:val="en-US" w:eastAsia="zh-CN"/>
                    </w:rPr>
                    <w:t>b）含水率高或块状废物应优先选择从窑尾烟室投入。</w:t>
                  </w:r>
                </w:p>
                <w:p w14:paraId="06F294AD">
                  <w:pPr>
                    <w:adjustRightInd w:val="0"/>
                    <w:snapToGrid w:val="0"/>
                    <w:jc w:val="both"/>
                    <w:rPr>
                      <w:rFonts w:hint="default" w:ascii="Times New Roman" w:hAnsi="Times New Roman" w:eastAsia="宋体" w:cs="Times New Roman"/>
                      <w:bCs/>
                      <w:color w:val="000000"/>
                      <w:szCs w:val="21"/>
                      <w:lang w:val="en-US" w:eastAsia="zh-CN"/>
                    </w:rPr>
                  </w:pPr>
                  <w:r>
                    <w:rPr>
                      <w:rFonts w:hint="default" w:ascii="Times New Roman" w:hAnsi="Times New Roman" w:eastAsia="宋体" w:cs="Times New Roman"/>
                      <w:bCs/>
                      <w:color w:val="000000"/>
                      <w:szCs w:val="21"/>
                      <w:lang w:val="en-US" w:eastAsia="zh-CN"/>
                    </w:rPr>
                    <w:t>c）在窑尾投加的液态、浆状废物应通过泵力输送，粉状废物应通过密闭的机械传送装置或气力输送，大块状废物应通过机械传送装置输送。</w:t>
                  </w:r>
                </w:p>
              </w:tc>
            </w:tr>
            <w:tr w14:paraId="29123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23" w:type="dxa"/>
                  <w:vMerge w:val="continue"/>
                  <w:vAlign w:val="center"/>
                </w:tcPr>
                <w:p w14:paraId="5958C401">
                  <w:pPr>
                    <w:adjustRightInd w:val="0"/>
                    <w:snapToGrid w:val="0"/>
                    <w:jc w:val="center"/>
                    <w:rPr>
                      <w:rFonts w:hint="default" w:ascii="Times New Roman" w:hAnsi="Times New Roman" w:eastAsia="宋体" w:cs="Times New Roman"/>
                      <w:bCs/>
                      <w:color w:val="000000"/>
                      <w:szCs w:val="21"/>
                      <w:lang w:val="en-US" w:eastAsia="zh-CN"/>
                    </w:rPr>
                  </w:pPr>
                </w:p>
              </w:tc>
              <w:tc>
                <w:tcPr>
                  <w:tcW w:w="1095" w:type="dxa"/>
                  <w:vAlign w:val="center"/>
                </w:tcPr>
                <w:p w14:paraId="0CF528E4">
                  <w:pPr>
                    <w:adjustRightInd w:val="0"/>
                    <w:snapToGrid w:val="0"/>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窑尾烟室</w:t>
                  </w:r>
                </w:p>
              </w:tc>
              <w:tc>
                <w:tcPr>
                  <w:tcW w:w="7656" w:type="dxa"/>
                  <w:vMerge w:val="continue"/>
                  <w:vAlign w:val="center"/>
                </w:tcPr>
                <w:p w14:paraId="15B2B94A">
                  <w:pPr>
                    <w:adjustRightInd w:val="0"/>
                    <w:snapToGrid w:val="0"/>
                    <w:jc w:val="both"/>
                    <w:rPr>
                      <w:rFonts w:hint="default" w:ascii="Times New Roman" w:hAnsi="Times New Roman" w:eastAsia="宋体" w:cs="Times New Roman"/>
                      <w:bCs/>
                      <w:color w:val="000000"/>
                      <w:szCs w:val="21"/>
                      <w:lang w:val="en-US" w:eastAsia="zh-CN"/>
                    </w:rPr>
                  </w:pPr>
                </w:p>
              </w:tc>
            </w:tr>
            <w:tr w14:paraId="3A8F7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23" w:type="dxa"/>
                  <w:vMerge w:val="continue"/>
                  <w:vAlign w:val="center"/>
                </w:tcPr>
                <w:p w14:paraId="0AC726D3">
                  <w:pPr>
                    <w:adjustRightInd w:val="0"/>
                    <w:snapToGrid w:val="0"/>
                    <w:jc w:val="center"/>
                    <w:rPr>
                      <w:rFonts w:hint="default" w:ascii="Times New Roman" w:hAnsi="Times New Roman" w:eastAsia="宋体" w:cs="Times New Roman"/>
                      <w:bCs/>
                      <w:color w:val="000000"/>
                      <w:szCs w:val="21"/>
                      <w:lang w:val="en-US" w:eastAsia="zh-CN"/>
                    </w:rPr>
                  </w:pPr>
                </w:p>
              </w:tc>
              <w:tc>
                <w:tcPr>
                  <w:tcW w:w="1095" w:type="dxa"/>
                  <w:vAlign w:val="center"/>
                </w:tcPr>
                <w:p w14:paraId="2082CF41">
                  <w:pPr>
                    <w:adjustRightInd w:val="0"/>
                    <w:snapToGrid w:val="0"/>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上升烟道</w:t>
                  </w:r>
                </w:p>
              </w:tc>
              <w:tc>
                <w:tcPr>
                  <w:tcW w:w="7656" w:type="dxa"/>
                  <w:vMerge w:val="continue"/>
                  <w:vAlign w:val="center"/>
                </w:tcPr>
                <w:p w14:paraId="2C0FC3DC">
                  <w:pPr>
                    <w:adjustRightInd w:val="0"/>
                    <w:snapToGrid w:val="0"/>
                    <w:jc w:val="both"/>
                    <w:rPr>
                      <w:rFonts w:hint="default" w:ascii="Times New Roman" w:hAnsi="Times New Roman" w:eastAsia="宋体" w:cs="Times New Roman"/>
                      <w:bCs/>
                      <w:color w:val="000000"/>
                      <w:szCs w:val="21"/>
                      <w:lang w:val="en-US" w:eastAsia="zh-CN"/>
                    </w:rPr>
                  </w:pPr>
                </w:p>
              </w:tc>
            </w:tr>
            <w:tr w14:paraId="7A315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gridSpan w:val="2"/>
                  <w:vAlign w:val="center"/>
                </w:tcPr>
                <w:p w14:paraId="2954175D">
                  <w:pPr>
                    <w:adjustRightInd w:val="0"/>
                    <w:snapToGrid w:val="0"/>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生料配料系统（生料磨）</w:t>
                  </w:r>
                </w:p>
              </w:tc>
              <w:tc>
                <w:tcPr>
                  <w:tcW w:w="7656" w:type="dxa"/>
                  <w:vAlign w:val="center"/>
                </w:tcPr>
                <w:p w14:paraId="20182CE1">
                  <w:pPr>
                    <w:adjustRightInd w:val="0"/>
                    <w:snapToGrid w:val="0"/>
                    <w:jc w:val="both"/>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只能投加不含有机物和挥发半挥发性重金属的固态废物。</w:t>
                  </w:r>
                </w:p>
              </w:tc>
            </w:tr>
          </w:tbl>
          <w:p w14:paraId="01921C9E">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cs="Times New Roman"/>
                <w:b w:val="0"/>
                <w:bCs w:val="0"/>
                <w:color w:val="auto"/>
                <w:kern w:val="2"/>
                <w:sz w:val="24"/>
                <w:szCs w:val="24"/>
                <w:vertAlign w:val="baseline"/>
                <w:lang w:val="en-US" w:eastAsia="zh-CN" w:bidi="ar-SA"/>
              </w:rPr>
            </w:pPr>
            <w:r>
              <w:rPr>
                <w:rFonts w:hint="eastAsia" w:cs="Times New Roman"/>
                <w:b w:val="0"/>
                <w:bCs w:val="0"/>
                <w:color w:val="auto"/>
                <w:kern w:val="2"/>
                <w:sz w:val="24"/>
                <w:szCs w:val="24"/>
                <w:vertAlign w:val="baseline"/>
                <w:lang w:val="en-US" w:eastAsia="zh-CN" w:bidi="ar-SA"/>
              </w:rPr>
              <w:t>②本项目投加点确定及可行性分析</w:t>
            </w:r>
          </w:p>
          <w:p w14:paraId="1111A58A">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cs="Times New Roman"/>
                <w:b w:val="0"/>
                <w:bCs w:val="0"/>
                <w:color w:val="auto"/>
                <w:kern w:val="2"/>
                <w:sz w:val="24"/>
                <w:szCs w:val="24"/>
                <w:vertAlign w:val="baseline"/>
                <w:lang w:val="en-US" w:eastAsia="zh-CN" w:bidi="ar-SA"/>
              </w:rPr>
            </w:pPr>
            <w:r>
              <w:rPr>
                <w:rFonts w:hint="eastAsia" w:cs="Times New Roman"/>
                <w:b w:val="0"/>
                <w:bCs w:val="0"/>
                <w:color w:val="auto"/>
                <w:kern w:val="2"/>
                <w:sz w:val="24"/>
                <w:szCs w:val="24"/>
                <w:vertAlign w:val="baseline"/>
                <w:lang w:val="en-US" w:eastAsia="zh-CN" w:bidi="ar-SA"/>
              </w:rPr>
              <w:t>根据建设单位资料，本项目拟处置的一般固废替代燃料，设计投加点为窑尾高温段</w:t>
            </w:r>
            <w:r>
              <w:rPr>
                <w:rFonts w:hint="default" w:ascii="Times New Roman" w:hAnsi="Times New Roman" w:cs="Times New Roman"/>
                <w:b w:val="0"/>
                <w:bCs w:val="0"/>
                <w:color w:val="auto"/>
                <w:kern w:val="2"/>
                <w:sz w:val="24"/>
                <w:szCs w:val="24"/>
                <w:vertAlign w:val="baseline"/>
                <w:lang w:val="en-US" w:eastAsia="zh-CN" w:bidi="ar-SA"/>
              </w:rPr>
              <w:t>—</w:t>
            </w:r>
            <w:bookmarkStart w:id="93" w:name="OLE_LINK103"/>
            <w:r>
              <w:rPr>
                <w:rFonts w:hint="default" w:ascii="Times New Roman" w:hAnsi="Times New Roman" w:cs="Times New Roman"/>
                <w:b w:val="0"/>
                <w:bCs w:val="0"/>
                <w:color w:val="auto"/>
                <w:kern w:val="2"/>
                <w:sz w:val="24"/>
                <w:szCs w:val="24"/>
                <w:vertAlign w:val="baseline"/>
                <w:lang w:val="en-US" w:eastAsia="zh-CN" w:bidi="ar-SA"/>
              </w:rPr>
              <w:t>—</w:t>
            </w:r>
            <w:bookmarkEnd w:id="93"/>
            <w:r>
              <w:rPr>
                <w:rFonts w:hint="eastAsia" w:ascii="Times New Roman" w:hAnsi="Times New Roman" w:cs="Times New Roman"/>
                <w:b w:val="0"/>
                <w:bCs w:val="0"/>
                <w:color w:val="auto"/>
                <w:kern w:val="2"/>
                <w:sz w:val="24"/>
                <w:szCs w:val="24"/>
                <w:vertAlign w:val="baseline"/>
                <w:lang w:val="en-US" w:eastAsia="zh-CN" w:bidi="ar-SA"/>
              </w:rPr>
              <w:t>窑尾分解炉，符合《水泥窑协同处置固体废物环境保护技术规范》（HJ 662-2013）要求。</w:t>
            </w:r>
          </w:p>
          <w:p w14:paraId="06638D3F">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cs="Times New Roman"/>
                <w:b w:val="0"/>
                <w:bCs w:val="0"/>
                <w:color w:val="auto"/>
                <w:kern w:val="2"/>
                <w:sz w:val="24"/>
                <w:szCs w:val="24"/>
                <w:vertAlign w:val="baseline"/>
                <w:lang w:val="en-US" w:eastAsia="zh-CN" w:bidi="ar-SA"/>
              </w:rPr>
            </w:pPr>
            <w:r>
              <w:rPr>
                <w:rFonts w:hint="eastAsia" w:ascii="Times New Roman" w:hAnsi="Times New Roman" w:cs="Times New Roman"/>
                <w:b w:val="0"/>
                <w:bCs w:val="0"/>
                <w:color w:val="auto"/>
                <w:kern w:val="2"/>
                <w:sz w:val="24"/>
                <w:szCs w:val="24"/>
                <w:vertAlign w:val="baseline"/>
                <w:lang w:val="en-US" w:eastAsia="zh-CN" w:bidi="ar-SA"/>
              </w:rPr>
              <w:t>本项目固废投加点位置示意见下图2-2。</w:t>
            </w:r>
          </w:p>
          <w:p w14:paraId="610C2DCF">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ascii="Times New Roman" w:hAnsi="Times New Roman" w:cs="Times New Roman"/>
                <w:b w:val="0"/>
                <w:bCs w:val="0"/>
                <w:color w:val="auto"/>
                <w:kern w:val="2"/>
                <w:sz w:val="24"/>
                <w:szCs w:val="24"/>
                <w:vertAlign w:val="baseline"/>
                <w:lang w:val="en-US" w:eastAsia="zh-CN" w:bidi="ar-SA"/>
              </w:rPr>
            </w:pPr>
            <w:r>
              <w:rPr>
                <w:rFonts w:hint="eastAsia" w:ascii="Times New Roman" w:hAnsi="Times New Roman" w:cs="Times New Roman"/>
                <w:b w:val="0"/>
                <w:bCs w:val="0"/>
                <w:color w:val="auto"/>
                <w:kern w:val="2"/>
                <w:sz w:val="24"/>
                <w:szCs w:val="24"/>
                <w:vertAlign w:val="baseline"/>
                <w:lang w:val="en-US" w:eastAsia="zh-CN" w:bidi="ar-SA"/>
              </w:rPr>
              <w:drawing>
                <wp:inline distT="0" distB="0" distL="114300" distR="114300">
                  <wp:extent cx="5827395" cy="2992755"/>
                  <wp:effectExtent l="0" t="0" r="0" b="0"/>
                  <wp:docPr id="3" name="图片 3" descr="微信截图_2024082708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40827084450"/>
                          <pic:cNvPicPr>
                            <a:picLocks noChangeAspect="1"/>
                          </pic:cNvPicPr>
                        </pic:nvPicPr>
                        <pic:blipFill>
                          <a:blip r:embed="rId8">
                            <a:clrChange>
                              <a:clrFrom>
                                <a:srgbClr val="FFFFFF">
                                  <a:alpha val="100000"/>
                                </a:srgbClr>
                              </a:clrFrom>
                              <a:clrTo>
                                <a:srgbClr val="FFFFFF">
                                  <a:alpha val="100000"/>
                                  <a:alpha val="0"/>
                                </a:srgbClr>
                              </a:clrTo>
                            </a:clrChange>
                          </a:blip>
                          <a:srcRect b="3303"/>
                          <a:stretch>
                            <a:fillRect/>
                          </a:stretch>
                        </pic:blipFill>
                        <pic:spPr>
                          <a:xfrm>
                            <a:off x="0" y="0"/>
                            <a:ext cx="5827395" cy="2992755"/>
                          </a:xfrm>
                          <a:prstGeom prst="rect">
                            <a:avLst/>
                          </a:prstGeom>
                        </pic:spPr>
                      </pic:pic>
                    </a:graphicData>
                  </a:graphic>
                </wp:inline>
              </w:drawing>
            </w:r>
          </w:p>
          <w:p w14:paraId="02C80DF5">
            <w:pPr>
              <w:autoSpaceDE w:val="0"/>
              <w:autoSpaceDN w:val="0"/>
              <w:adjustRightInd w:val="0"/>
              <w:jc w:val="center"/>
              <w:rPr>
                <w:rFonts w:hint="eastAsia" w:ascii="Times New Roman" w:hAnsi="Times New Roman" w:cs="Times New Roman"/>
                <w:b w:val="0"/>
                <w:bCs w:val="0"/>
                <w:color w:val="auto"/>
                <w:kern w:val="2"/>
                <w:sz w:val="24"/>
                <w:szCs w:val="24"/>
                <w:vertAlign w:val="baseline"/>
                <w:lang w:val="en-US" w:eastAsia="zh-CN" w:bidi="ar-SA"/>
              </w:rPr>
            </w:pPr>
            <w:bookmarkStart w:id="94" w:name="OLE_LINK105"/>
            <w:r>
              <w:rPr>
                <w:rFonts w:hint="eastAsia" w:ascii="Times New Roman" w:hAnsi="Times New Roman" w:cs="Times New Roman"/>
                <w:b/>
                <w:color w:val="auto"/>
                <w:lang w:val="en-US" w:eastAsia="zh-CN"/>
              </w:rPr>
              <w:t>图2-</w:t>
            </w:r>
            <w:r>
              <w:rPr>
                <w:rFonts w:hint="eastAsia" w:cs="Times New Roman"/>
                <w:b/>
                <w:color w:val="auto"/>
                <w:lang w:val="en-US" w:eastAsia="zh-CN"/>
              </w:rPr>
              <w:t>2</w:t>
            </w:r>
            <w:r>
              <w:rPr>
                <w:rFonts w:hint="eastAsia" w:ascii="Times New Roman" w:hAnsi="Times New Roman" w:cs="Times New Roman"/>
                <w:b/>
                <w:color w:val="auto"/>
                <w:lang w:val="en-US" w:eastAsia="zh-CN"/>
              </w:rPr>
              <w:t xml:space="preserve"> </w:t>
            </w:r>
            <w:r>
              <w:rPr>
                <w:rFonts w:hint="eastAsia" w:cs="Times New Roman"/>
                <w:b/>
                <w:color w:val="auto"/>
                <w:lang w:val="en-US" w:eastAsia="zh-CN"/>
              </w:rPr>
              <w:t>本项目固废投加点示意图</w:t>
            </w:r>
          </w:p>
          <w:bookmarkEnd w:id="94"/>
          <w:p w14:paraId="61B4B861">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cs="Times New Roman"/>
                <w:b w:val="0"/>
                <w:bCs w:val="0"/>
                <w:color w:val="auto"/>
                <w:kern w:val="2"/>
                <w:sz w:val="24"/>
                <w:szCs w:val="24"/>
                <w:vertAlign w:val="baseline"/>
                <w:lang w:val="en-US" w:eastAsia="zh-CN" w:bidi="ar-SA"/>
              </w:rPr>
            </w:pPr>
            <w:bookmarkStart w:id="95" w:name="OLE_LINK106"/>
            <w:r>
              <w:rPr>
                <w:rFonts w:hint="eastAsia" w:ascii="Times New Roman" w:hAnsi="Times New Roman" w:eastAsia="宋体" w:cs="Times New Roman"/>
                <w:b w:val="0"/>
                <w:bCs w:val="0"/>
                <w:color w:val="auto"/>
                <w:kern w:val="2"/>
                <w:sz w:val="24"/>
                <w:szCs w:val="24"/>
                <w:vertAlign w:val="baseline"/>
                <w:lang w:val="en-US" w:eastAsia="zh-CN" w:bidi="ar-SA"/>
              </w:rPr>
              <w:t>（2）</w:t>
            </w:r>
            <w:r>
              <w:rPr>
                <w:rFonts w:hint="eastAsia" w:ascii="Times New Roman" w:hAnsi="Times New Roman" w:cs="Times New Roman"/>
                <w:b w:val="0"/>
                <w:bCs w:val="0"/>
                <w:color w:val="auto"/>
                <w:kern w:val="2"/>
                <w:sz w:val="24"/>
                <w:szCs w:val="24"/>
                <w:vertAlign w:val="baseline"/>
                <w:lang w:val="en-US" w:eastAsia="zh-CN" w:bidi="ar-SA"/>
              </w:rPr>
              <w:t>水泥窑协同处置固废过程及相关说明</w:t>
            </w:r>
          </w:p>
          <w:p w14:paraId="33D11D62">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ascii="Times New Roman" w:hAnsi="Times New Roman" w:cs="Times New Roman"/>
                <w:b w:val="0"/>
                <w:bCs w:val="0"/>
                <w:color w:val="auto"/>
                <w:kern w:val="2"/>
                <w:sz w:val="24"/>
                <w:szCs w:val="24"/>
                <w:vertAlign w:val="baseline"/>
                <w:lang w:val="en-US" w:eastAsia="zh-CN" w:bidi="ar-SA"/>
              </w:rPr>
            </w:pPr>
            <w:r>
              <w:rPr>
                <w:rFonts w:hint="eastAsia" w:ascii="Times New Roman" w:hAnsi="Times New Roman" w:cs="Times New Roman"/>
                <w:b w:val="0"/>
                <w:bCs w:val="0"/>
                <w:color w:val="auto"/>
                <w:kern w:val="2"/>
                <w:sz w:val="24"/>
                <w:szCs w:val="24"/>
                <w:vertAlign w:val="baseline"/>
                <w:lang w:val="en-US" w:eastAsia="zh-CN" w:bidi="ar-SA"/>
              </w:rPr>
              <w:t>水泥窑协同处置固废实质上属于焚烧法，其利用水泥窑烧成系统中预热器碱性环境、回转窑高温环境、增湿塔急冷环境等工艺特点，对固废中有害物质进行高温氧化分解、固溶等作用，实现对固废无害化处置。相对于传统的固废焚烧炉，水泥窑具有处理温度高、焚烧空间大、焚烧停留时间长、稳定性强、安全环保二次污染少等优势。</w:t>
            </w:r>
          </w:p>
          <w:p w14:paraId="4DA1DDBA">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ascii="Times New Roman" w:hAnsi="Times New Roman" w:cs="Times New Roman"/>
                <w:b w:val="0"/>
                <w:bCs w:val="0"/>
                <w:color w:val="auto"/>
                <w:kern w:val="2"/>
                <w:sz w:val="24"/>
                <w:szCs w:val="24"/>
                <w:vertAlign w:val="baseline"/>
                <w:lang w:val="en-US" w:eastAsia="zh-CN" w:bidi="ar-SA"/>
              </w:rPr>
            </w:pPr>
            <w:r>
              <w:rPr>
                <w:rFonts w:hint="eastAsia" w:ascii="Times New Roman" w:hAnsi="Times New Roman" w:cs="Times New Roman"/>
                <w:b w:val="0"/>
                <w:bCs w:val="0"/>
                <w:color w:val="auto"/>
                <w:kern w:val="2"/>
                <w:sz w:val="24"/>
                <w:szCs w:val="24"/>
                <w:vertAlign w:val="baseline"/>
                <w:lang w:val="en-US" w:eastAsia="zh-CN" w:bidi="ar-SA"/>
              </w:rPr>
              <w:t>主要工艺过程为：废旧纺织物、</w:t>
            </w:r>
            <w:r>
              <w:rPr>
                <w:rFonts w:hint="eastAsia" w:cs="Times New Roman"/>
                <w:b w:val="0"/>
                <w:bCs w:val="0"/>
                <w:color w:val="auto"/>
                <w:kern w:val="2"/>
                <w:sz w:val="24"/>
                <w:szCs w:val="24"/>
                <w:vertAlign w:val="baseline"/>
                <w:lang w:val="en-US" w:eastAsia="zh-CN" w:bidi="ar-SA"/>
              </w:rPr>
              <w:t>生物质（木屑）</w:t>
            </w:r>
            <w:r>
              <w:rPr>
                <w:rFonts w:hint="eastAsia" w:ascii="Times New Roman" w:hAnsi="Times New Roman" w:cs="Times New Roman"/>
                <w:b w:val="0"/>
                <w:bCs w:val="0"/>
                <w:color w:val="auto"/>
                <w:kern w:val="2"/>
                <w:sz w:val="24"/>
                <w:szCs w:val="24"/>
                <w:vertAlign w:val="baseline"/>
                <w:lang w:val="en-US" w:eastAsia="zh-CN" w:bidi="ar-SA"/>
              </w:rPr>
              <w:t>颗粒经投加点投入水泥窑中进行焚烧处理，焚烧后的残渣进入水泥熟料中，焚烧产生的烟气经“</w:t>
            </w:r>
            <w:r>
              <w:rPr>
                <w:rFonts w:hint="eastAsia" w:cs="Times New Roman"/>
                <w:b w:val="0"/>
                <w:bCs w:val="0"/>
                <w:color w:val="auto"/>
                <w:kern w:val="2"/>
                <w:sz w:val="24"/>
                <w:szCs w:val="24"/>
                <w:vertAlign w:val="baseline"/>
                <w:lang w:val="en-US" w:eastAsia="zh-CN" w:bidi="ar-SA"/>
              </w:rPr>
              <w:t>SNCR</w:t>
            </w:r>
            <w:r>
              <w:rPr>
                <w:rFonts w:hint="eastAsia" w:ascii="Times New Roman" w:hAnsi="Times New Roman" w:cs="Times New Roman"/>
                <w:b w:val="0"/>
                <w:bCs w:val="0"/>
                <w:color w:val="auto"/>
                <w:kern w:val="2"/>
                <w:sz w:val="24"/>
                <w:szCs w:val="24"/>
                <w:vertAlign w:val="baseline"/>
                <w:lang w:val="en-US" w:eastAsia="zh-CN" w:bidi="ar-SA"/>
              </w:rPr>
              <w:t>+布袋除尘器”处理后经窑尾烟尘排放，布袋除尘器收集的窑灰返回水泥窑中再进入水泥产品中。</w:t>
            </w:r>
          </w:p>
          <w:p w14:paraId="447866F4">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ascii="Times New Roman" w:hAnsi="Times New Roman" w:cs="Times New Roman"/>
                <w:b w:val="0"/>
                <w:bCs w:val="0"/>
                <w:color w:val="auto"/>
                <w:kern w:val="2"/>
                <w:sz w:val="24"/>
                <w:szCs w:val="24"/>
                <w:vertAlign w:val="baseline"/>
                <w:lang w:val="en-US" w:eastAsia="zh-CN" w:bidi="ar-SA"/>
              </w:rPr>
            </w:pPr>
            <w:r>
              <w:rPr>
                <w:rFonts w:hint="eastAsia" w:ascii="Times New Roman" w:hAnsi="Times New Roman" w:cs="Times New Roman"/>
                <w:b w:val="0"/>
                <w:bCs w:val="0"/>
                <w:color w:val="auto"/>
                <w:kern w:val="2"/>
                <w:sz w:val="24"/>
                <w:szCs w:val="24"/>
                <w:vertAlign w:val="baseline"/>
                <w:lang w:val="en-US" w:eastAsia="zh-CN" w:bidi="ar-SA"/>
              </w:rPr>
              <w:t>新型干法水泥窑煅烧过程：新型干法窑煅烧过程及气相、固相温度及停留时间等有关参数如下图所示。回转窑窑内物料和烟气流向相反，其中：物料流向为“生料磨</w:t>
            </w:r>
            <w:r>
              <w:rPr>
                <w:rFonts w:hint="default" w:ascii="Times New Roman" w:hAnsi="Times New Roman" w:cs="Times New Roman"/>
                <w:b w:val="0"/>
                <w:bCs w:val="0"/>
                <w:color w:val="auto"/>
                <w:kern w:val="2"/>
                <w:sz w:val="24"/>
                <w:szCs w:val="24"/>
                <w:vertAlign w:val="baseline"/>
                <w:lang w:val="en-US" w:eastAsia="zh-CN" w:bidi="ar-SA"/>
              </w:rPr>
              <w:t>——</w:t>
            </w:r>
            <w:r>
              <w:rPr>
                <w:rFonts w:hint="eastAsia" w:ascii="Times New Roman" w:hAnsi="Times New Roman" w:cs="Times New Roman"/>
                <w:b w:val="0"/>
                <w:bCs w:val="0"/>
                <w:color w:val="auto"/>
                <w:kern w:val="2"/>
                <w:sz w:val="24"/>
                <w:szCs w:val="24"/>
                <w:vertAlign w:val="baseline"/>
                <w:lang w:val="en-US" w:eastAsia="zh-CN" w:bidi="ar-SA"/>
              </w:rPr>
              <w:t>预热器</w:t>
            </w:r>
            <w:r>
              <w:rPr>
                <w:rFonts w:hint="default" w:ascii="Times New Roman" w:hAnsi="Times New Roman" w:cs="Times New Roman"/>
                <w:b w:val="0"/>
                <w:bCs w:val="0"/>
                <w:color w:val="auto"/>
                <w:kern w:val="2"/>
                <w:sz w:val="24"/>
                <w:szCs w:val="24"/>
                <w:vertAlign w:val="baseline"/>
                <w:lang w:val="en-US" w:eastAsia="zh-CN" w:bidi="ar-SA"/>
              </w:rPr>
              <w:t>——</w:t>
            </w:r>
            <w:r>
              <w:rPr>
                <w:rFonts w:hint="eastAsia" w:ascii="Times New Roman" w:hAnsi="Times New Roman" w:cs="Times New Roman"/>
                <w:b w:val="0"/>
                <w:bCs w:val="0"/>
                <w:color w:val="auto"/>
                <w:kern w:val="2"/>
                <w:sz w:val="24"/>
                <w:szCs w:val="24"/>
                <w:vertAlign w:val="baseline"/>
                <w:lang w:val="en-US" w:eastAsia="zh-CN" w:bidi="ar-SA"/>
              </w:rPr>
              <w:t>分解炉</w:t>
            </w:r>
            <w:r>
              <w:rPr>
                <w:rFonts w:hint="default" w:ascii="Times New Roman" w:hAnsi="Times New Roman" w:cs="Times New Roman"/>
                <w:b w:val="0"/>
                <w:bCs w:val="0"/>
                <w:color w:val="auto"/>
                <w:kern w:val="2"/>
                <w:sz w:val="24"/>
                <w:szCs w:val="24"/>
                <w:vertAlign w:val="baseline"/>
                <w:lang w:val="en-US" w:eastAsia="zh-CN" w:bidi="ar-SA"/>
              </w:rPr>
              <w:t>——</w:t>
            </w:r>
            <w:r>
              <w:rPr>
                <w:rFonts w:hint="eastAsia" w:ascii="Times New Roman" w:hAnsi="Times New Roman" w:cs="Times New Roman"/>
                <w:b w:val="0"/>
                <w:bCs w:val="0"/>
                <w:color w:val="auto"/>
                <w:kern w:val="2"/>
                <w:sz w:val="24"/>
                <w:szCs w:val="24"/>
                <w:vertAlign w:val="baseline"/>
                <w:lang w:val="en-US" w:eastAsia="zh-CN" w:bidi="ar-SA"/>
              </w:rPr>
              <w:t>回转窑</w:t>
            </w:r>
            <w:r>
              <w:rPr>
                <w:rFonts w:hint="default" w:ascii="Times New Roman" w:hAnsi="Times New Roman" w:cs="Times New Roman"/>
                <w:b w:val="0"/>
                <w:bCs w:val="0"/>
                <w:color w:val="auto"/>
                <w:kern w:val="2"/>
                <w:sz w:val="24"/>
                <w:szCs w:val="24"/>
                <w:vertAlign w:val="baseline"/>
                <w:lang w:val="en-US" w:eastAsia="zh-CN" w:bidi="ar-SA"/>
              </w:rPr>
              <w:t>——</w:t>
            </w:r>
            <w:r>
              <w:rPr>
                <w:rFonts w:hint="eastAsia" w:ascii="Times New Roman" w:hAnsi="Times New Roman" w:cs="Times New Roman"/>
                <w:b w:val="0"/>
                <w:bCs w:val="0"/>
                <w:color w:val="auto"/>
                <w:kern w:val="2"/>
                <w:sz w:val="24"/>
                <w:szCs w:val="24"/>
                <w:vertAlign w:val="baseline"/>
                <w:lang w:val="en-US" w:eastAsia="zh-CN" w:bidi="ar-SA"/>
              </w:rPr>
              <w:t>冷却机”；烟气流向为“回转窑</w:t>
            </w:r>
            <w:r>
              <w:rPr>
                <w:rFonts w:hint="default" w:ascii="Times New Roman" w:hAnsi="Times New Roman" w:cs="Times New Roman"/>
                <w:b w:val="0"/>
                <w:bCs w:val="0"/>
                <w:color w:val="auto"/>
                <w:kern w:val="2"/>
                <w:sz w:val="24"/>
                <w:szCs w:val="24"/>
                <w:vertAlign w:val="baseline"/>
                <w:lang w:val="en-US" w:eastAsia="zh-CN" w:bidi="ar-SA"/>
              </w:rPr>
              <w:t>——</w:t>
            </w:r>
            <w:r>
              <w:rPr>
                <w:rFonts w:hint="eastAsia" w:ascii="Times New Roman" w:hAnsi="Times New Roman" w:cs="Times New Roman"/>
                <w:b w:val="0"/>
                <w:bCs w:val="0"/>
                <w:color w:val="auto"/>
                <w:kern w:val="2"/>
                <w:sz w:val="24"/>
                <w:szCs w:val="24"/>
                <w:vertAlign w:val="baseline"/>
                <w:lang w:val="en-US" w:eastAsia="zh-CN" w:bidi="ar-SA"/>
              </w:rPr>
              <w:t>分解炉</w:t>
            </w:r>
            <w:r>
              <w:rPr>
                <w:rFonts w:hint="default" w:ascii="Times New Roman" w:hAnsi="Times New Roman" w:cs="Times New Roman"/>
                <w:b w:val="0"/>
                <w:bCs w:val="0"/>
                <w:color w:val="auto"/>
                <w:kern w:val="2"/>
                <w:sz w:val="24"/>
                <w:szCs w:val="24"/>
                <w:vertAlign w:val="baseline"/>
                <w:lang w:val="en-US" w:eastAsia="zh-CN" w:bidi="ar-SA"/>
              </w:rPr>
              <w:t>——</w:t>
            </w:r>
            <w:r>
              <w:rPr>
                <w:rFonts w:hint="eastAsia" w:ascii="Times New Roman" w:hAnsi="Times New Roman" w:cs="Times New Roman"/>
                <w:b w:val="0"/>
                <w:bCs w:val="0"/>
                <w:color w:val="auto"/>
                <w:kern w:val="2"/>
                <w:sz w:val="24"/>
                <w:szCs w:val="24"/>
                <w:vertAlign w:val="baseline"/>
                <w:lang w:val="en-US" w:eastAsia="zh-CN" w:bidi="ar-SA"/>
              </w:rPr>
              <w:t>余热锅炉（增湿塔）</w:t>
            </w:r>
            <w:r>
              <w:rPr>
                <w:rFonts w:hint="default" w:ascii="Times New Roman" w:hAnsi="Times New Roman" w:cs="Times New Roman"/>
                <w:b w:val="0"/>
                <w:bCs w:val="0"/>
                <w:color w:val="auto"/>
                <w:kern w:val="2"/>
                <w:sz w:val="24"/>
                <w:szCs w:val="24"/>
                <w:vertAlign w:val="baseline"/>
                <w:lang w:val="en-US" w:eastAsia="zh-CN" w:bidi="ar-SA"/>
              </w:rPr>
              <w:t>——</w:t>
            </w:r>
            <w:r>
              <w:rPr>
                <w:rFonts w:hint="eastAsia" w:ascii="Times New Roman" w:hAnsi="Times New Roman" w:cs="Times New Roman"/>
                <w:b w:val="0"/>
                <w:bCs w:val="0"/>
                <w:color w:val="auto"/>
                <w:kern w:val="2"/>
                <w:sz w:val="24"/>
                <w:szCs w:val="24"/>
                <w:vertAlign w:val="baseline"/>
                <w:lang w:val="en-US" w:eastAsia="zh-CN" w:bidi="ar-SA"/>
              </w:rPr>
              <w:t>除尘器烟囱”。悬浮预热器内物料温度100~750℃、停留时间50s左右，气体温度350~850℃、停留时间10s左右；分解炉内物料温度750~900℃、停留时间5s左右，气体温度850~1150℃、停留时间3s左右；回转窑内物料温度900~1450℃、停留时间30min左右，气体温度1150~2000℃、停留时间10s左右。</w:t>
            </w:r>
          </w:p>
          <w:p w14:paraId="566EC3E3">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ascii="Times New Roman" w:hAnsi="Times New Roman" w:cs="Times New Roman"/>
                <w:b w:val="0"/>
                <w:bCs w:val="0"/>
                <w:color w:val="auto"/>
                <w:kern w:val="2"/>
                <w:sz w:val="24"/>
                <w:szCs w:val="24"/>
                <w:vertAlign w:val="baseline"/>
                <w:lang w:val="en-US" w:eastAsia="zh-CN" w:bidi="ar-SA"/>
              </w:rPr>
            </w:pPr>
            <w:r>
              <w:rPr>
                <w:rFonts w:hint="eastAsia" w:ascii="Times New Roman" w:hAnsi="Times New Roman" w:cs="Times New Roman"/>
                <w:b w:val="0"/>
                <w:bCs w:val="0"/>
                <w:color w:val="auto"/>
                <w:kern w:val="2"/>
                <w:sz w:val="24"/>
                <w:szCs w:val="24"/>
                <w:vertAlign w:val="baseline"/>
                <w:lang w:val="en-US" w:eastAsia="zh-CN" w:bidi="ar-SA"/>
              </w:rPr>
              <w:t>熟料烧成系统各温区发生的主要反应见下图2-3。</w:t>
            </w:r>
          </w:p>
          <w:bookmarkEnd w:id="95"/>
          <w:p w14:paraId="78515B0E">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val="0"/>
                <w:bCs w:val="0"/>
                <w:color w:val="auto"/>
                <w:kern w:val="2"/>
                <w:sz w:val="24"/>
                <w:szCs w:val="24"/>
                <w:vertAlign w:val="baseline"/>
                <w:lang w:val="en-US" w:eastAsia="zh-CN" w:bidi="ar-SA"/>
              </w:rPr>
            </w:pPr>
            <w:r>
              <w:rPr>
                <w:rFonts w:hint="default" w:ascii="Times New Roman" w:hAnsi="Times New Roman" w:cs="Times New Roman"/>
                <w:b w:val="0"/>
                <w:bCs w:val="0"/>
                <w:color w:val="auto"/>
                <w:kern w:val="2"/>
                <w:sz w:val="24"/>
                <w:szCs w:val="24"/>
                <w:vertAlign w:val="baseline"/>
                <w:lang w:val="en-US" w:eastAsia="zh-CN" w:bidi="ar-SA"/>
              </w:rPr>
              <w:drawing>
                <wp:inline distT="0" distB="0" distL="114300" distR="114300">
                  <wp:extent cx="5830570" cy="3149600"/>
                  <wp:effectExtent l="0" t="0" r="17780" b="12700"/>
                  <wp:docPr id="6" name="图片 6" descr="C:/Users/Administrator/Desktop/微信截图_20240827154132.png微信截图_2024082715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微信截图_20240827154132.png微信截图_20240827154132"/>
                          <pic:cNvPicPr>
                            <a:picLocks noChangeAspect="1"/>
                          </pic:cNvPicPr>
                        </pic:nvPicPr>
                        <pic:blipFill>
                          <a:blip r:embed="rId9">
                            <a:clrChange>
                              <a:clrFrom>
                                <a:srgbClr val="FFFFFF">
                                  <a:alpha val="100000"/>
                                </a:srgbClr>
                              </a:clrFrom>
                              <a:clrTo>
                                <a:srgbClr val="FFFFFF">
                                  <a:alpha val="100000"/>
                                  <a:alpha val="0"/>
                                </a:srgbClr>
                              </a:clrTo>
                            </a:clrChange>
                          </a:blip>
                          <a:srcRect t="555" b="555"/>
                          <a:stretch>
                            <a:fillRect/>
                          </a:stretch>
                        </pic:blipFill>
                        <pic:spPr>
                          <a:xfrm>
                            <a:off x="0" y="0"/>
                            <a:ext cx="5830570" cy="3149600"/>
                          </a:xfrm>
                          <a:prstGeom prst="rect">
                            <a:avLst/>
                          </a:prstGeom>
                        </pic:spPr>
                      </pic:pic>
                    </a:graphicData>
                  </a:graphic>
                </wp:inline>
              </w:drawing>
            </w:r>
          </w:p>
          <w:p w14:paraId="5AC181EB">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cs="Times New Roman"/>
                <w:b/>
                <w:color w:val="auto"/>
                <w:lang w:val="en-US" w:eastAsia="zh-CN"/>
              </w:rPr>
            </w:pPr>
            <w:bookmarkStart w:id="96" w:name="OLE_LINK126"/>
            <w:r>
              <w:rPr>
                <w:rFonts w:hint="eastAsia" w:ascii="Times New Roman" w:hAnsi="Times New Roman" w:cs="Times New Roman"/>
                <w:b/>
                <w:color w:val="auto"/>
                <w:lang w:val="en-US" w:eastAsia="zh-CN"/>
              </w:rPr>
              <w:t>图2-</w:t>
            </w:r>
            <w:r>
              <w:rPr>
                <w:rFonts w:hint="eastAsia" w:cs="Times New Roman"/>
                <w:b/>
                <w:color w:val="auto"/>
                <w:lang w:val="en-US" w:eastAsia="zh-CN"/>
              </w:rPr>
              <w:t>3</w:t>
            </w:r>
            <w:r>
              <w:rPr>
                <w:rFonts w:hint="eastAsia" w:ascii="Times New Roman" w:hAnsi="Times New Roman" w:cs="Times New Roman"/>
                <w:b/>
                <w:color w:val="auto"/>
                <w:lang w:val="en-US" w:eastAsia="zh-CN"/>
              </w:rPr>
              <w:t xml:space="preserve"> </w:t>
            </w:r>
            <w:r>
              <w:rPr>
                <w:rFonts w:hint="eastAsia" w:cs="Times New Roman"/>
                <w:b/>
                <w:color w:val="auto"/>
                <w:lang w:val="en-US" w:eastAsia="zh-CN"/>
              </w:rPr>
              <w:t>新型干法窑煅烧过程及工段气固相温度分布和停留时间参数图</w:t>
            </w:r>
          </w:p>
          <w:bookmarkEnd w:id="96"/>
          <w:p w14:paraId="78D5A4C3">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b w:val="0"/>
                <w:bCs w:val="0"/>
                <w:color w:val="auto"/>
                <w:kern w:val="2"/>
                <w:sz w:val="24"/>
                <w:szCs w:val="24"/>
                <w:vertAlign w:val="baseline"/>
                <w:lang w:val="en-US" w:eastAsia="zh-CN" w:bidi="ar-SA"/>
              </w:rPr>
            </w:pPr>
            <w:bookmarkStart w:id="97" w:name="OLE_LINK107"/>
            <w:r>
              <w:rPr>
                <w:rFonts w:hint="eastAsia" w:ascii="Times New Roman" w:hAnsi="Times New Roman" w:eastAsia="宋体" w:cs="Times New Roman"/>
                <w:b w:val="0"/>
                <w:bCs w:val="0"/>
                <w:color w:val="auto"/>
                <w:kern w:val="2"/>
                <w:sz w:val="24"/>
                <w:szCs w:val="24"/>
                <w:vertAlign w:val="baseline"/>
                <w:lang w:val="en-US" w:eastAsia="zh-CN" w:bidi="ar-SA"/>
              </w:rPr>
              <w:t>熟料烧成系统各工段主要参数见下表。</w:t>
            </w:r>
          </w:p>
          <w:bookmarkEnd w:id="97"/>
          <w:p w14:paraId="085F7510">
            <w:pPr>
              <w:jc w:val="center"/>
              <w:rPr>
                <w:rFonts w:hint="eastAsia" w:cs="Times New Roman"/>
                <w:b/>
                <w:color w:val="auto"/>
                <w:lang w:eastAsia="zh-CN"/>
              </w:rPr>
            </w:pPr>
            <w:bookmarkStart w:id="98" w:name="OLE_LINK124"/>
            <w:r>
              <w:rPr>
                <w:rFonts w:hint="eastAsia" w:ascii="Times New Roman" w:hAnsi="Times New Roman" w:cs="Times New Roman"/>
                <w:b/>
                <w:color w:val="auto"/>
              </w:rPr>
              <w:t>表</w:t>
            </w:r>
            <w:r>
              <w:rPr>
                <w:rFonts w:ascii="Times New Roman" w:hAnsi="Times New Roman" w:cs="Times New Roman"/>
                <w:b/>
                <w:color w:val="auto"/>
              </w:rPr>
              <w:t>2</w:t>
            </w:r>
            <w:r>
              <w:rPr>
                <w:rFonts w:hint="eastAsia" w:ascii="Times New Roman" w:hAnsi="Times New Roman" w:cs="Times New Roman"/>
                <w:b/>
                <w:color w:val="auto"/>
                <w:lang w:val="en-US" w:eastAsia="zh-CN"/>
              </w:rPr>
              <w:t>-</w:t>
            </w:r>
            <w:r>
              <w:rPr>
                <w:rFonts w:hint="eastAsia" w:cs="Times New Roman"/>
                <w:b/>
                <w:color w:val="auto"/>
                <w:lang w:val="en-US" w:eastAsia="zh-CN"/>
              </w:rPr>
              <w:t xml:space="preserve">37 </w:t>
            </w:r>
            <w:r>
              <w:rPr>
                <w:rFonts w:hint="eastAsia" w:cs="Times New Roman"/>
                <w:b/>
                <w:color w:val="auto"/>
                <w:lang w:eastAsia="zh-CN"/>
              </w:rPr>
              <w:t>熟料烧成系统各工段主要参数及反应表</w:t>
            </w:r>
          </w:p>
          <w:bookmarkEnd w:id="98"/>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110"/>
              <w:gridCol w:w="1620"/>
              <w:gridCol w:w="5795"/>
            </w:tblGrid>
            <w:tr w14:paraId="1B2A7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 w:type="pct"/>
                  <w:vAlign w:val="center"/>
                </w:tcPr>
                <w:p w14:paraId="61FD08C7">
                  <w:pPr>
                    <w:adjustRightInd w:val="0"/>
                    <w:snapToGrid w:val="0"/>
                    <w:jc w:val="center"/>
                    <w:rPr>
                      <w:rFonts w:hint="eastAsia" w:cs="Times New Roman"/>
                      <w:bCs/>
                      <w:color w:val="000000"/>
                      <w:szCs w:val="21"/>
                      <w:lang w:val="en-US" w:eastAsia="zh-CN"/>
                    </w:rPr>
                  </w:pPr>
                  <w:bookmarkStart w:id="99" w:name="OLE_LINK112" w:colFirst="1" w:colLast="1"/>
                  <w:r>
                    <w:rPr>
                      <w:rFonts w:hint="eastAsia" w:cs="Times New Roman"/>
                      <w:bCs/>
                      <w:color w:val="000000"/>
                      <w:szCs w:val="21"/>
                      <w:lang w:val="en-US" w:eastAsia="zh-CN"/>
                    </w:rPr>
                    <w:t>序号</w:t>
                  </w:r>
                </w:p>
              </w:tc>
              <w:tc>
                <w:tcPr>
                  <w:tcW w:w="603" w:type="pct"/>
                  <w:vAlign w:val="center"/>
                </w:tcPr>
                <w:p w14:paraId="7BB949A1">
                  <w:pPr>
                    <w:adjustRightInd w:val="0"/>
                    <w:snapToGrid w:val="0"/>
                    <w:jc w:val="center"/>
                    <w:rPr>
                      <w:rFonts w:hint="eastAsia" w:cs="Times New Roman"/>
                      <w:bCs/>
                      <w:color w:val="000000"/>
                      <w:szCs w:val="21"/>
                      <w:lang w:val="en-US" w:eastAsia="zh-CN"/>
                    </w:rPr>
                  </w:pPr>
                  <w:r>
                    <w:rPr>
                      <w:rFonts w:hint="eastAsia" w:cs="Times New Roman"/>
                      <w:bCs/>
                      <w:color w:val="000000"/>
                      <w:szCs w:val="21"/>
                      <w:lang w:val="en-US" w:eastAsia="zh-CN"/>
                    </w:rPr>
                    <w:t>工段名称</w:t>
                  </w:r>
                </w:p>
              </w:tc>
              <w:tc>
                <w:tcPr>
                  <w:tcW w:w="880" w:type="pct"/>
                  <w:vAlign w:val="center"/>
                </w:tcPr>
                <w:p w14:paraId="6EB0AA06">
                  <w:pPr>
                    <w:adjustRightInd w:val="0"/>
                    <w:snapToGrid w:val="0"/>
                    <w:jc w:val="center"/>
                    <w:rPr>
                      <w:rFonts w:hint="eastAsia" w:cs="Times New Roman"/>
                      <w:bCs/>
                      <w:color w:val="000000"/>
                      <w:szCs w:val="21"/>
                      <w:lang w:val="en-US" w:eastAsia="zh-CN"/>
                    </w:rPr>
                  </w:pPr>
                  <w:r>
                    <w:rPr>
                      <w:rFonts w:hint="eastAsia" w:cs="Times New Roman"/>
                      <w:bCs/>
                      <w:color w:val="000000"/>
                      <w:szCs w:val="21"/>
                      <w:lang w:val="en-US" w:eastAsia="zh-CN"/>
                    </w:rPr>
                    <w:t>物料温度（℃）</w:t>
                  </w:r>
                </w:p>
              </w:tc>
              <w:tc>
                <w:tcPr>
                  <w:tcW w:w="3148" w:type="pct"/>
                  <w:vAlign w:val="center"/>
                </w:tcPr>
                <w:p w14:paraId="1FD5DC64">
                  <w:pPr>
                    <w:adjustRightInd w:val="0"/>
                    <w:snapToGrid w:val="0"/>
                    <w:jc w:val="center"/>
                    <w:rPr>
                      <w:rFonts w:hint="eastAsia" w:cs="Times New Roman"/>
                      <w:bCs/>
                      <w:color w:val="000000"/>
                      <w:szCs w:val="21"/>
                      <w:lang w:val="en-US" w:eastAsia="zh-CN"/>
                    </w:rPr>
                  </w:pPr>
                  <w:r>
                    <w:rPr>
                      <w:rFonts w:hint="eastAsia" w:cs="Times New Roman"/>
                      <w:bCs/>
                      <w:color w:val="000000"/>
                      <w:szCs w:val="21"/>
                      <w:lang w:val="en-US" w:eastAsia="zh-CN"/>
                    </w:rPr>
                    <w:t>主要反应</w:t>
                  </w:r>
                </w:p>
              </w:tc>
            </w:tr>
            <w:bookmarkEnd w:id="99"/>
            <w:tr w14:paraId="5BE63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 w:type="pct"/>
                  <w:vAlign w:val="center"/>
                </w:tcPr>
                <w:p w14:paraId="10D14384">
                  <w:pPr>
                    <w:adjustRightInd w:val="0"/>
                    <w:snapToGrid w:val="0"/>
                    <w:jc w:val="center"/>
                    <w:rPr>
                      <w:rFonts w:hint="default" w:cs="Times New Roman"/>
                      <w:bCs/>
                      <w:color w:val="000000"/>
                      <w:szCs w:val="21"/>
                      <w:lang w:val="en-US" w:eastAsia="zh-CN"/>
                    </w:rPr>
                  </w:pPr>
                  <w:r>
                    <w:rPr>
                      <w:rFonts w:hint="eastAsia" w:cs="Times New Roman"/>
                      <w:bCs/>
                      <w:color w:val="000000"/>
                      <w:szCs w:val="21"/>
                      <w:lang w:val="en-US" w:eastAsia="zh-CN"/>
                    </w:rPr>
                    <w:t>1</w:t>
                  </w:r>
                </w:p>
              </w:tc>
              <w:tc>
                <w:tcPr>
                  <w:tcW w:w="603" w:type="pct"/>
                  <w:vAlign w:val="center"/>
                </w:tcPr>
                <w:p w14:paraId="2FC334F4">
                  <w:pPr>
                    <w:adjustRightInd w:val="0"/>
                    <w:snapToGrid w:val="0"/>
                    <w:jc w:val="center"/>
                    <w:rPr>
                      <w:rFonts w:hint="eastAsia" w:cs="Times New Roman"/>
                      <w:bCs/>
                      <w:color w:val="000000"/>
                      <w:szCs w:val="21"/>
                      <w:lang w:val="en-US" w:eastAsia="zh-CN"/>
                    </w:rPr>
                  </w:pPr>
                  <w:r>
                    <w:rPr>
                      <w:rFonts w:hint="eastAsia" w:cs="Times New Roman"/>
                      <w:bCs/>
                      <w:color w:val="000000"/>
                      <w:szCs w:val="21"/>
                      <w:lang w:val="en-US" w:eastAsia="zh-CN"/>
                    </w:rPr>
                    <w:t>干燥带</w:t>
                  </w:r>
                </w:p>
              </w:tc>
              <w:tc>
                <w:tcPr>
                  <w:tcW w:w="880" w:type="pct"/>
                  <w:vAlign w:val="center"/>
                </w:tcPr>
                <w:p w14:paraId="1507A805">
                  <w:pPr>
                    <w:adjustRightInd w:val="0"/>
                    <w:snapToGrid w:val="0"/>
                    <w:jc w:val="center"/>
                    <w:rPr>
                      <w:rFonts w:hint="default" w:cs="Times New Roman"/>
                      <w:bCs/>
                      <w:color w:val="000000"/>
                      <w:szCs w:val="21"/>
                      <w:lang w:val="en-US" w:eastAsia="zh-CN"/>
                    </w:rPr>
                  </w:pPr>
                  <w:r>
                    <w:rPr>
                      <w:rFonts w:hint="eastAsia" w:cs="Times New Roman"/>
                      <w:bCs/>
                      <w:color w:val="000000"/>
                      <w:szCs w:val="21"/>
                      <w:lang w:val="en-US" w:eastAsia="zh-CN"/>
                    </w:rPr>
                    <w:t>20-150</w:t>
                  </w:r>
                </w:p>
              </w:tc>
              <w:tc>
                <w:tcPr>
                  <w:tcW w:w="3148" w:type="pct"/>
                  <w:vAlign w:val="center"/>
                </w:tcPr>
                <w:p w14:paraId="22F3062A">
                  <w:pPr>
                    <w:adjustRightInd w:val="0"/>
                    <w:snapToGrid w:val="0"/>
                    <w:jc w:val="center"/>
                    <w:rPr>
                      <w:rFonts w:hint="eastAsia" w:cs="Times New Roman"/>
                      <w:bCs/>
                      <w:color w:val="000000"/>
                      <w:szCs w:val="21"/>
                      <w:lang w:val="en-US" w:eastAsia="zh-CN"/>
                    </w:rPr>
                  </w:pPr>
                  <w:r>
                    <w:rPr>
                      <w:rFonts w:hint="eastAsia" w:cs="Times New Roman"/>
                      <w:bCs/>
                      <w:color w:val="000000"/>
                      <w:szCs w:val="21"/>
                      <w:lang w:val="en-US" w:eastAsia="zh-CN"/>
                    </w:rPr>
                    <w:t>浆料水分蒸发</w:t>
                  </w:r>
                </w:p>
              </w:tc>
            </w:tr>
            <w:tr w14:paraId="6192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 w:type="pct"/>
                  <w:vAlign w:val="center"/>
                </w:tcPr>
                <w:p w14:paraId="52DEE94C">
                  <w:pPr>
                    <w:adjustRightInd w:val="0"/>
                    <w:snapToGrid w:val="0"/>
                    <w:jc w:val="center"/>
                    <w:rPr>
                      <w:rFonts w:hint="default" w:cs="Times New Roman"/>
                      <w:bCs/>
                      <w:color w:val="000000"/>
                      <w:szCs w:val="21"/>
                      <w:lang w:val="en-US" w:eastAsia="zh-CN"/>
                    </w:rPr>
                  </w:pPr>
                  <w:r>
                    <w:rPr>
                      <w:rFonts w:hint="eastAsia" w:cs="Times New Roman"/>
                      <w:bCs/>
                      <w:color w:val="000000"/>
                      <w:szCs w:val="21"/>
                      <w:lang w:val="en-US" w:eastAsia="zh-CN"/>
                    </w:rPr>
                    <w:t>2</w:t>
                  </w:r>
                </w:p>
              </w:tc>
              <w:tc>
                <w:tcPr>
                  <w:tcW w:w="603" w:type="pct"/>
                  <w:vAlign w:val="center"/>
                </w:tcPr>
                <w:p w14:paraId="6D79138C">
                  <w:pPr>
                    <w:adjustRightInd w:val="0"/>
                    <w:snapToGrid w:val="0"/>
                    <w:jc w:val="center"/>
                    <w:rPr>
                      <w:rFonts w:hint="eastAsia" w:cs="Times New Roman"/>
                      <w:bCs/>
                      <w:color w:val="000000"/>
                      <w:szCs w:val="21"/>
                      <w:lang w:val="en-US" w:eastAsia="zh-CN"/>
                    </w:rPr>
                  </w:pPr>
                  <w:r>
                    <w:rPr>
                      <w:rFonts w:hint="eastAsia" w:cs="Times New Roman"/>
                      <w:bCs/>
                      <w:color w:val="000000"/>
                      <w:szCs w:val="21"/>
                      <w:lang w:val="en-US" w:eastAsia="zh-CN"/>
                    </w:rPr>
                    <w:t>预热带</w:t>
                  </w:r>
                </w:p>
              </w:tc>
              <w:tc>
                <w:tcPr>
                  <w:tcW w:w="880" w:type="pct"/>
                  <w:vAlign w:val="center"/>
                </w:tcPr>
                <w:p w14:paraId="0A4519B1">
                  <w:pPr>
                    <w:adjustRightInd w:val="0"/>
                    <w:snapToGrid w:val="0"/>
                    <w:jc w:val="center"/>
                    <w:rPr>
                      <w:rFonts w:hint="default" w:cs="Times New Roman"/>
                      <w:bCs/>
                      <w:color w:val="000000"/>
                      <w:szCs w:val="21"/>
                      <w:lang w:val="en-US" w:eastAsia="zh-CN"/>
                    </w:rPr>
                  </w:pPr>
                  <w:r>
                    <w:rPr>
                      <w:rFonts w:hint="eastAsia" w:cs="Times New Roman"/>
                      <w:bCs/>
                      <w:color w:val="000000"/>
                      <w:szCs w:val="21"/>
                      <w:lang w:val="en-US" w:eastAsia="zh-CN"/>
                    </w:rPr>
                    <w:t>150-750</w:t>
                  </w:r>
                </w:p>
              </w:tc>
              <w:tc>
                <w:tcPr>
                  <w:tcW w:w="3148" w:type="pct"/>
                  <w:vAlign w:val="center"/>
                </w:tcPr>
                <w:p w14:paraId="40065DA2">
                  <w:pPr>
                    <w:adjustRightInd w:val="0"/>
                    <w:snapToGrid w:val="0"/>
                    <w:jc w:val="center"/>
                    <w:rPr>
                      <w:rFonts w:hint="eastAsia" w:cs="Times New Roman"/>
                      <w:bCs/>
                      <w:color w:val="000000"/>
                      <w:szCs w:val="21"/>
                      <w:lang w:val="en-US" w:eastAsia="zh-CN"/>
                    </w:rPr>
                  </w:pPr>
                  <w:r>
                    <w:rPr>
                      <w:rFonts w:hint="eastAsia" w:cs="Times New Roman"/>
                      <w:bCs/>
                      <w:color w:val="000000"/>
                      <w:szCs w:val="21"/>
                      <w:lang w:val="en-US" w:eastAsia="zh-CN"/>
                    </w:rPr>
                    <w:t>黏土脱水与分解</w:t>
                  </w:r>
                </w:p>
              </w:tc>
            </w:tr>
            <w:tr w14:paraId="230B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 w:type="pct"/>
                  <w:vAlign w:val="center"/>
                </w:tcPr>
                <w:p w14:paraId="1837E129">
                  <w:pPr>
                    <w:adjustRightInd w:val="0"/>
                    <w:snapToGrid w:val="0"/>
                    <w:jc w:val="center"/>
                    <w:rPr>
                      <w:rFonts w:hint="default" w:cs="Times New Roman"/>
                      <w:bCs/>
                      <w:color w:val="000000"/>
                      <w:szCs w:val="21"/>
                      <w:lang w:val="en-US" w:eastAsia="zh-CN"/>
                    </w:rPr>
                  </w:pPr>
                  <w:bookmarkStart w:id="100" w:name="OLE_LINK110" w:colFirst="2" w:colLast="3"/>
                  <w:r>
                    <w:rPr>
                      <w:rFonts w:hint="eastAsia" w:cs="Times New Roman"/>
                      <w:bCs/>
                      <w:color w:val="000000"/>
                      <w:szCs w:val="21"/>
                      <w:lang w:val="en-US" w:eastAsia="zh-CN"/>
                    </w:rPr>
                    <w:t>3</w:t>
                  </w:r>
                </w:p>
              </w:tc>
              <w:tc>
                <w:tcPr>
                  <w:tcW w:w="603" w:type="pct"/>
                  <w:vAlign w:val="center"/>
                </w:tcPr>
                <w:p w14:paraId="5EFCD886">
                  <w:pPr>
                    <w:adjustRightInd w:val="0"/>
                    <w:snapToGrid w:val="0"/>
                    <w:jc w:val="center"/>
                    <w:rPr>
                      <w:rFonts w:hint="eastAsia" w:cs="Times New Roman"/>
                      <w:bCs/>
                      <w:color w:val="000000"/>
                      <w:szCs w:val="21"/>
                      <w:lang w:val="en-US" w:eastAsia="zh-CN"/>
                    </w:rPr>
                  </w:pPr>
                  <w:r>
                    <w:rPr>
                      <w:rFonts w:hint="eastAsia" w:cs="Times New Roman"/>
                      <w:bCs/>
                      <w:color w:val="000000"/>
                      <w:szCs w:val="21"/>
                      <w:lang w:val="en-US" w:eastAsia="zh-CN"/>
                    </w:rPr>
                    <w:t>分解带</w:t>
                  </w:r>
                </w:p>
              </w:tc>
              <w:tc>
                <w:tcPr>
                  <w:tcW w:w="880" w:type="pct"/>
                  <w:vAlign w:val="center"/>
                </w:tcPr>
                <w:p w14:paraId="3F5ABF5C">
                  <w:pPr>
                    <w:adjustRightInd w:val="0"/>
                    <w:snapToGrid w:val="0"/>
                    <w:jc w:val="center"/>
                    <w:rPr>
                      <w:rFonts w:hint="default" w:cs="Times New Roman"/>
                      <w:bCs/>
                      <w:color w:val="000000"/>
                      <w:szCs w:val="21"/>
                      <w:lang w:val="en-US" w:eastAsia="zh-CN"/>
                    </w:rPr>
                  </w:pPr>
                  <w:r>
                    <w:rPr>
                      <w:rFonts w:hint="eastAsia" w:cs="Times New Roman"/>
                      <w:bCs/>
                      <w:color w:val="000000"/>
                      <w:szCs w:val="21"/>
                      <w:lang w:val="en-US" w:eastAsia="zh-CN"/>
                    </w:rPr>
                    <w:t>750-900</w:t>
                  </w:r>
                </w:p>
              </w:tc>
              <w:tc>
                <w:tcPr>
                  <w:tcW w:w="3148" w:type="pct"/>
                  <w:vAlign w:val="center"/>
                </w:tcPr>
                <w:p w14:paraId="6C6E4D11">
                  <w:pPr>
                    <w:adjustRightInd w:val="0"/>
                    <w:snapToGrid w:val="0"/>
                    <w:jc w:val="center"/>
                    <w:rPr>
                      <w:rFonts w:hint="default" w:eastAsia="宋体" w:cs="Times New Roman"/>
                      <w:bCs/>
                      <w:color w:val="000000"/>
                      <w:szCs w:val="21"/>
                      <w:vertAlign w:val="baseline"/>
                      <w:lang w:val="en-US" w:eastAsia="zh-CN"/>
                    </w:rPr>
                  </w:pPr>
                  <w:r>
                    <w:rPr>
                      <w:rFonts w:hint="eastAsia" w:cs="Times New Roman"/>
                      <w:bCs/>
                      <w:color w:val="000000"/>
                      <w:szCs w:val="21"/>
                      <w:lang w:val="en-US" w:eastAsia="zh-CN"/>
                    </w:rPr>
                    <w:t>石灰石中碳酸盐分解，形成CA、CF、C</w:t>
                  </w:r>
                  <w:r>
                    <w:rPr>
                      <w:rFonts w:hint="eastAsia" w:cs="Times New Roman"/>
                      <w:bCs/>
                      <w:color w:val="000000"/>
                      <w:szCs w:val="21"/>
                      <w:vertAlign w:val="subscript"/>
                      <w:lang w:val="en-US" w:eastAsia="zh-CN"/>
                    </w:rPr>
                    <w:t>2</w:t>
                  </w:r>
                  <w:r>
                    <w:rPr>
                      <w:rFonts w:hint="eastAsia" w:cs="Times New Roman"/>
                      <w:bCs/>
                      <w:color w:val="000000"/>
                      <w:szCs w:val="21"/>
                      <w:lang w:val="en-US" w:eastAsia="zh-CN"/>
                    </w:rPr>
                    <w:t>F，形成C</w:t>
                  </w:r>
                  <w:bookmarkStart w:id="101" w:name="OLE_LINK109"/>
                  <w:r>
                    <w:rPr>
                      <w:rFonts w:hint="eastAsia" w:cs="Times New Roman"/>
                      <w:bCs/>
                      <w:color w:val="000000"/>
                      <w:szCs w:val="21"/>
                      <w:vertAlign w:val="subscript"/>
                      <w:lang w:val="en-US" w:eastAsia="zh-CN"/>
                    </w:rPr>
                    <w:t>12</w:t>
                  </w:r>
                  <w:bookmarkEnd w:id="101"/>
                  <w:r>
                    <w:rPr>
                      <w:rFonts w:hint="eastAsia" w:cs="Times New Roman"/>
                      <w:bCs/>
                      <w:color w:val="000000"/>
                      <w:szCs w:val="21"/>
                      <w:lang w:val="en-US" w:eastAsia="zh-CN"/>
                    </w:rPr>
                    <w:t>A</w:t>
                  </w:r>
                  <w:r>
                    <w:rPr>
                      <w:rFonts w:hint="eastAsia" w:cs="Times New Roman"/>
                      <w:bCs/>
                      <w:color w:val="000000"/>
                      <w:szCs w:val="21"/>
                      <w:vertAlign w:val="subscript"/>
                      <w:lang w:val="en-US" w:eastAsia="zh-CN"/>
                    </w:rPr>
                    <w:t>7</w:t>
                  </w:r>
                  <w:r>
                    <w:rPr>
                      <w:rFonts w:hint="eastAsia" w:cs="Times New Roman"/>
                      <w:bCs/>
                      <w:color w:val="000000"/>
                      <w:szCs w:val="21"/>
                      <w:vertAlign w:val="baseline"/>
                      <w:lang w:val="en-US" w:eastAsia="zh-CN"/>
                    </w:rPr>
                    <w:t>、C</w:t>
                  </w:r>
                  <w:r>
                    <w:rPr>
                      <w:rFonts w:hint="eastAsia" w:cs="Times New Roman"/>
                      <w:bCs/>
                      <w:color w:val="000000"/>
                      <w:szCs w:val="21"/>
                      <w:vertAlign w:val="subscript"/>
                      <w:lang w:val="en-US" w:eastAsia="zh-CN"/>
                    </w:rPr>
                    <w:t>2</w:t>
                  </w:r>
                  <w:r>
                    <w:rPr>
                      <w:rFonts w:hint="eastAsia" w:cs="Times New Roman"/>
                      <w:bCs/>
                      <w:color w:val="000000"/>
                      <w:szCs w:val="21"/>
                      <w:vertAlign w:val="baseline"/>
                      <w:lang w:val="en-US" w:eastAsia="zh-CN"/>
                    </w:rPr>
                    <w:t>S</w:t>
                  </w:r>
                </w:p>
              </w:tc>
            </w:tr>
            <w:bookmarkEnd w:id="100"/>
            <w:tr w14:paraId="5854F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 w:type="pct"/>
                  <w:vAlign w:val="center"/>
                </w:tcPr>
                <w:p w14:paraId="3959CA27">
                  <w:pPr>
                    <w:adjustRightInd w:val="0"/>
                    <w:snapToGrid w:val="0"/>
                    <w:jc w:val="center"/>
                    <w:rPr>
                      <w:rFonts w:hint="default" w:cs="Times New Roman"/>
                      <w:bCs/>
                      <w:color w:val="000000"/>
                      <w:szCs w:val="21"/>
                      <w:lang w:val="en-US" w:eastAsia="zh-CN"/>
                    </w:rPr>
                  </w:pPr>
                  <w:r>
                    <w:rPr>
                      <w:rFonts w:hint="eastAsia" w:cs="Times New Roman"/>
                      <w:bCs/>
                      <w:color w:val="000000"/>
                      <w:szCs w:val="21"/>
                      <w:lang w:val="en-US" w:eastAsia="zh-CN"/>
                    </w:rPr>
                    <w:t>4</w:t>
                  </w:r>
                </w:p>
              </w:tc>
              <w:tc>
                <w:tcPr>
                  <w:tcW w:w="603" w:type="pct"/>
                  <w:vAlign w:val="center"/>
                </w:tcPr>
                <w:p w14:paraId="7FD07F0B">
                  <w:pPr>
                    <w:adjustRightInd w:val="0"/>
                    <w:snapToGrid w:val="0"/>
                    <w:jc w:val="center"/>
                    <w:rPr>
                      <w:rFonts w:hint="eastAsia" w:cs="Times New Roman"/>
                      <w:bCs/>
                      <w:color w:val="000000"/>
                      <w:szCs w:val="21"/>
                      <w:lang w:val="en-US" w:eastAsia="zh-CN"/>
                    </w:rPr>
                  </w:pPr>
                  <w:r>
                    <w:rPr>
                      <w:rFonts w:hint="eastAsia" w:cs="Times New Roman"/>
                      <w:bCs/>
                      <w:color w:val="000000"/>
                      <w:szCs w:val="21"/>
                      <w:lang w:val="en-US" w:eastAsia="zh-CN"/>
                    </w:rPr>
                    <w:t>反应带</w:t>
                  </w:r>
                </w:p>
              </w:tc>
              <w:tc>
                <w:tcPr>
                  <w:tcW w:w="880" w:type="pct"/>
                  <w:vAlign w:val="center"/>
                </w:tcPr>
                <w:p w14:paraId="21465146">
                  <w:pPr>
                    <w:adjustRightInd w:val="0"/>
                    <w:snapToGrid w:val="0"/>
                    <w:jc w:val="center"/>
                    <w:rPr>
                      <w:rFonts w:hint="default" w:cs="Times New Roman"/>
                      <w:bCs/>
                      <w:color w:val="000000"/>
                      <w:szCs w:val="21"/>
                      <w:lang w:val="en-US" w:eastAsia="zh-CN"/>
                    </w:rPr>
                  </w:pPr>
                  <w:r>
                    <w:rPr>
                      <w:rFonts w:hint="eastAsia" w:cs="Times New Roman"/>
                      <w:bCs/>
                      <w:color w:val="000000"/>
                      <w:szCs w:val="21"/>
                      <w:lang w:val="en-US" w:eastAsia="zh-CN"/>
                    </w:rPr>
                    <w:t>900-1250</w:t>
                  </w:r>
                </w:p>
              </w:tc>
              <w:tc>
                <w:tcPr>
                  <w:tcW w:w="3148" w:type="pct"/>
                  <w:vAlign w:val="center"/>
                </w:tcPr>
                <w:p w14:paraId="39708744">
                  <w:pPr>
                    <w:keepNext w:val="0"/>
                    <w:keepLines w:val="0"/>
                    <w:widowControl/>
                    <w:suppressLineNumbers w:val="0"/>
                    <w:jc w:val="center"/>
                    <w:rPr>
                      <w:rFonts w:hint="default" w:cs="Times New Roman"/>
                      <w:bCs/>
                      <w:color w:val="000000"/>
                      <w:szCs w:val="21"/>
                      <w:lang w:val="en-US" w:eastAsia="zh-CN"/>
                    </w:rPr>
                  </w:pPr>
                  <w:r>
                    <w:rPr>
                      <w:rFonts w:hint="default" w:ascii="Times New Roman" w:hAnsi="Times New Roman" w:eastAsia="宋体" w:cs="Times New Roman"/>
                      <w:color w:val="000000"/>
                      <w:kern w:val="0"/>
                      <w:sz w:val="21"/>
                      <w:szCs w:val="21"/>
                      <w:lang w:val="en-US" w:eastAsia="zh-CN" w:bidi="ar"/>
                    </w:rPr>
                    <w:t>大量形成 C</w:t>
                  </w:r>
                  <w:r>
                    <w:rPr>
                      <w:rFonts w:hint="default" w:ascii="Times New Roman" w:hAnsi="Times New Roman" w:eastAsia="宋体" w:cs="Times New Roman"/>
                      <w:color w:val="000000"/>
                      <w:kern w:val="0"/>
                      <w:sz w:val="21"/>
                      <w:szCs w:val="21"/>
                      <w:vertAlign w:val="subscript"/>
                      <w:lang w:val="en-US" w:eastAsia="zh-CN" w:bidi="ar"/>
                    </w:rPr>
                    <w:t>2</w:t>
                  </w:r>
                  <w:r>
                    <w:rPr>
                      <w:rFonts w:hint="default" w:ascii="Times New Roman" w:hAnsi="Times New Roman" w:eastAsia="宋体" w:cs="Times New Roman"/>
                      <w:color w:val="000000"/>
                      <w:kern w:val="0"/>
                      <w:sz w:val="21"/>
                      <w:szCs w:val="21"/>
                      <w:lang w:val="en-US" w:eastAsia="zh-CN" w:bidi="ar"/>
                    </w:rPr>
                    <w:t>S、C</w:t>
                  </w:r>
                  <w:r>
                    <w:rPr>
                      <w:rFonts w:hint="default" w:ascii="Times New Roman" w:hAnsi="Times New Roman" w:eastAsia="宋体" w:cs="Times New Roman"/>
                      <w:color w:val="000000"/>
                      <w:kern w:val="0"/>
                      <w:sz w:val="21"/>
                      <w:szCs w:val="21"/>
                      <w:vertAlign w:val="subscript"/>
                      <w:lang w:val="en-US" w:eastAsia="zh-CN" w:bidi="ar"/>
                    </w:rPr>
                    <w:t>4</w:t>
                  </w:r>
                  <w:r>
                    <w:rPr>
                      <w:rFonts w:hint="default" w:ascii="Times New Roman" w:hAnsi="Times New Roman" w:eastAsia="宋体" w:cs="Times New Roman"/>
                      <w:color w:val="000000"/>
                      <w:kern w:val="0"/>
                      <w:sz w:val="21"/>
                      <w:szCs w:val="21"/>
                      <w:lang w:val="en-US" w:eastAsia="zh-CN" w:bidi="ar"/>
                    </w:rPr>
                    <w:t>AF、C</w:t>
                  </w:r>
                  <w:r>
                    <w:rPr>
                      <w:rFonts w:hint="default" w:ascii="Times New Roman" w:hAnsi="Times New Roman" w:eastAsia="宋体" w:cs="Times New Roman"/>
                      <w:color w:val="000000"/>
                      <w:kern w:val="0"/>
                      <w:sz w:val="21"/>
                      <w:szCs w:val="21"/>
                      <w:vertAlign w:val="subscript"/>
                      <w:lang w:val="en-US" w:eastAsia="zh-CN" w:bidi="ar"/>
                    </w:rPr>
                    <w:t>3</w:t>
                  </w:r>
                  <w:r>
                    <w:rPr>
                      <w:rFonts w:hint="default" w:ascii="Times New Roman" w:hAnsi="Times New Roman" w:eastAsia="宋体" w:cs="Times New Roman"/>
                      <w:color w:val="000000"/>
                      <w:kern w:val="0"/>
                      <w:sz w:val="21"/>
                      <w:szCs w:val="21"/>
                      <w:lang w:val="en-US" w:eastAsia="zh-CN" w:bidi="ar"/>
                    </w:rPr>
                    <w:t>S</w:t>
                  </w:r>
                </w:p>
              </w:tc>
            </w:tr>
            <w:tr w14:paraId="473A1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 w:type="pct"/>
                  <w:vAlign w:val="center"/>
                </w:tcPr>
                <w:p w14:paraId="72B3F437">
                  <w:pPr>
                    <w:adjustRightInd w:val="0"/>
                    <w:snapToGrid w:val="0"/>
                    <w:jc w:val="center"/>
                    <w:rPr>
                      <w:rFonts w:hint="default" w:cs="Times New Roman"/>
                      <w:bCs/>
                      <w:color w:val="000000"/>
                      <w:szCs w:val="21"/>
                      <w:lang w:val="en-US" w:eastAsia="zh-CN"/>
                    </w:rPr>
                  </w:pPr>
                  <w:r>
                    <w:rPr>
                      <w:rFonts w:hint="eastAsia" w:cs="Times New Roman"/>
                      <w:bCs/>
                      <w:color w:val="000000"/>
                      <w:szCs w:val="21"/>
                      <w:lang w:val="en-US" w:eastAsia="zh-CN"/>
                    </w:rPr>
                    <w:t>5</w:t>
                  </w:r>
                </w:p>
              </w:tc>
              <w:tc>
                <w:tcPr>
                  <w:tcW w:w="603" w:type="pct"/>
                  <w:vAlign w:val="center"/>
                </w:tcPr>
                <w:p w14:paraId="275F3C12">
                  <w:pPr>
                    <w:adjustRightInd w:val="0"/>
                    <w:snapToGrid w:val="0"/>
                    <w:jc w:val="center"/>
                    <w:rPr>
                      <w:rFonts w:hint="eastAsia" w:cs="Times New Roman"/>
                      <w:bCs/>
                      <w:color w:val="000000"/>
                      <w:szCs w:val="21"/>
                      <w:lang w:val="en-US" w:eastAsia="zh-CN"/>
                    </w:rPr>
                  </w:pPr>
                  <w:r>
                    <w:rPr>
                      <w:rFonts w:hint="eastAsia" w:cs="Times New Roman"/>
                      <w:bCs/>
                      <w:color w:val="000000"/>
                      <w:szCs w:val="21"/>
                      <w:lang w:val="en-US" w:eastAsia="zh-CN"/>
                    </w:rPr>
                    <w:t>烧成带</w:t>
                  </w:r>
                </w:p>
              </w:tc>
              <w:tc>
                <w:tcPr>
                  <w:tcW w:w="880" w:type="pct"/>
                  <w:vAlign w:val="center"/>
                </w:tcPr>
                <w:p w14:paraId="4B8FEBF3">
                  <w:pPr>
                    <w:adjustRightInd w:val="0"/>
                    <w:snapToGrid w:val="0"/>
                    <w:jc w:val="center"/>
                    <w:rPr>
                      <w:rFonts w:hint="default" w:cs="Times New Roman"/>
                      <w:bCs/>
                      <w:color w:val="000000"/>
                      <w:szCs w:val="21"/>
                      <w:lang w:val="en-US" w:eastAsia="zh-CN"/>
                    </w:rPr>
                  </w:pPr>
                  <w:r>
                    <w:rPr>
                      <w:rFonts w:hint="eastAsia" w:cs="Times New Roman"/>
                      <w:bCs/>
                      <w:color w:val="000000"/>
                      <w:szCs w:val="21"/>
                      <w:lang w:val="en-US" w:eastAsia="zh-CN"/>
                    </w:rPr>
                    <w:t>1250-1450-1350</w:t>
                  </w:r>
                </w:p>
              </w:tc>
              <w:tc>
                <w:tcPr>
                  <w:tcW w:w="3148" w:type="pct"/>
                  <w:vAlign w:val="center"/>
                </w:tcPr>
                <w:p w14:paraId="6FBAA185">
                  <w:pPr>
                    <w:keepNext w:val="0"/>
                    <w:keepLines w:val="0"/>
                    <w:widowControl/>
                    <w:suppressLineNumbers w:val="0"/>
                    <w:jc w:val="center"/>
                    <w:rPr>
                      <w:rFonts w:hint="eastAsia" w:cs="Times New Roman"/>
                      <w:bCs/>
                      <w:color w:val="000000"/>
                      <w:szCs w:val="21"/>
                      <w:lang w:val="en-US" w:eastAsia="zh-CN"/>
                    </w:rPr>
                  </w:pPr>
                  <w:bookmarkStart w:id="102" w:name="OLE_LINK111"/>
                  <w:r>
                    <w:rPr>
                      <w:rFonts w:hint="default" w:ascii="Times New Roman" w:hAnsi="Times New Roman" w:eastAsia="宋体" w:cs="Times New Roman"/>
                      <w:color w:val="000000"/>
                      <w:kern w:val="0"/>
                      <w:sz w:val="21"/>
                      <w:szCs w:val="21"/>
                      <w:lang w:val="en-US" w:eastAsia="zh-CN" w:bidi="ar"/>
                    </w:rPr>
                    <w:t>液态开始形成 C</w:t>
                  </w:r>
                  <w:r>
                    <w:rPr>
                      <w:rFonts w:hint="default" w:ascii="Times New Roman" w:hAnsi="Times New Roman" w:eastAsia="宋体" w:cs="Times New Roman"/>
                      <w:color w:val="000000"/>
                      <w:kern w:val="0"/>
                      <w:sz w:val="21"/>
                      <w:szCs w:val="21"/>
                      <w:vertAlign w:val="subscript"/>
                      <w:lang w:val="en-US" w:eastAsia="zh-CN" w:bidi="ar"/>
                    </w:rPr>
                    <w:t>2</w:t>
                  </w:r>
                  <w:r>
                    <w:rPr>
                      <w:rFonts w:hint="default" w:ascii="Times New Roman" w:hAnsi="Times New Roman" w:eastAsia="宋体" w:cs="Times New Roman"/>
                      <w:color w:val="000000"/>
                      <w:kern w:val="0"/>
                      <w:sz w:val="21"/>
                      <w:szCs w:val="21"/>
                      <w:lang w:val="en-US" w:eastAsia="zh-CN" w:bidi="ar"/>
                    </w:rPr>
                    <w:t>S、f-CaO 逐步消失，液态量达到 20~30%</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Al</w:t>
                  </w:r>
                  <w:r>
                    <w:rPr>
                      <w:rFonts w:hint="default" w:ascii="Times New Roman" w:hAnsi="Times New Roman" w:eastAsia="宋体" w:cs="Times New Roman"/>
                      <w:color w:val="000000"/>
                      <w:kern w:val="0"/>
                      <w:sz w:val="21"/>
                      <w:szCs w:val="21"/>
                      <w:vertAlign w:val="subscript"/>
                      <w:lang w:val="en-US" w:eastAsia="zh-CN" w:bidi="ar"/>
                    </w:rPr>
                    <w:t>2</w:t>
                  </w:r>
                  <w:r>
                    <w:rPr>
                      <w:rFonts w:hint="default" w:ascii="Times New Roman" w:hAnsi="Times New Roman" w:eastAsia="宋体" w:cs="Times New Roman"/>
                      <w:color w:val="000000"/>
                      <w:kern w:val="0"/>
                      <w:sz w:val="21"/>
                      <w:szCs w:val="21"/>
                      <w:lang w:val="en-US" w:eastAsia="zh-CN" w:bidi="ar"/>
                    </w:rPr>
                    <w:t>O</w:t>
                  </w:r>
                  <w:r>
                    <w:rPr>
                      <w:rFonts w:hint="default" w:ascii="Times New Roman" w:hAnsi="Times New Roman" w:eastAsia="宋体" w:cs="Times New Roman"/>
                      <w:color w:val="000000"/>
                      <w:kern w:val="0"/>
                      <w:sz w:val="21"/>
                      <w:szCs w:val="21"/>
                      <w:vertAlign w:val="subscript"/>
                      <w:lang w:val="en-US" w:eastAsia="zh-CN" w:bidi="ar"/>
                    </w:rPr>
                    <w:t>3</w:t>
                  </w:r>
                  <w:r>
                    <w:rPr>
                      <w:rFonts w:hint="default" w:ascii="Times New Roman" w:hAnsi="Times New Roman" w:eastAsia="宋体" w:cs="Times New Roman"/>
                      <w:color w:val="000000"/>
                      <w:kern w:val="0"/>
                      <w:sz w:val="21"/>
                      <w:szCs w:val="21"/>
                      <w:lang w:val="en-US" w:eastAsia="zh-CN" w:bidi="ar"/>
                    </w:rPr>
                    <w:t>、Fe</w:t>
                  </w:r>
                  <w:r>
                    <w:rPr>
                      <w:rFonts w:hint="default" w:ascii="Times New Roman" w:hAnsi="Times New Roman" w:eastAsia="宋体" w:cs="Times New Roman"/>
                      <w:color w:val="000000"/>
                      <w:kern w:val="0"/>
                      <w:sz w:val="21"/>
                      <w:szCs w:val="21"/>
                      <w:vertAlign w:val="subscript"/>
                      <w:lang w:val="en-US" w:eastAsia="zh-CN" w:bidi="ar"/>
                    </w:rPr>
                    <w:t>2</w:t>
                  </w:r>
                  <w:r>
                    <w:rPr>
                      <w:rFonts w:hint="default" w:ascii="Times New Roman" w:hAnsi="Times New Roman" w:eastAsia="宋体" w:cs="Times New Roman"/>
                      <w:color w:val="000000"/>
                      <w:kern w:val="0"/>
                      <w:sz w:val="21"/>
                      <w:szCs w:val="21"/>
                      <w:lang w:val="en-US" w:eastAsia="zh-CN" w:bidi="ar"/>
                    </w:rPr>
                    <w:t>O</w:t>
                  </w:r>
                  <w:r>
                    <w:rPr>
                      <w:rFonts w:hint="default" w:ascii="Times New Roman" w:hAnsi="Times New Roman" w:eastAsia="宋体" w:cs="Times New Roman"/>
                      <w:color w:val="000000"/>
                      <w:kern w:val="0"/>
                      <w:sz w:val="21"/>
                      <w:szCs w:val="21"/>
                      <w:vertAlign w:val="subscript"/>
                      <w:lang w:val="en-US" w:eastAsia="zh-CN" w:bidi="ar"/>
                    </w:rPr>
                    <w:t>3</w:t>
                  </w:r>
                  <w:r>
                    <w:rPr>
                      <w:rFonts w:hint="default" w:ascii="Times New Roman" w:hAnsi="Times New Roman" w:eastAsia="宋体" w:cs="Times New Roman"/>
                      <w:color w:val="000000"/>
                      <w:kern w:val="0"/>
                      <w:sz w:val="21"/>
                      <w:szCs w:val="21"/>
                      <w:lang w:val="en-US" w:eastAsia="zh-CN" w:bidi="ar"/>
                    </w:rPr>
                    <w:t>及其他组分进入液相</w:t>
                  </w:r>
                  <w:bookmarkEnd w:id="102"/>
                </w:p>
              </w:tc>
            </w:tr>
            <w:tr w14:paraId="58A54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 w:type="pct"/>
                  <w:vAlign w:val="center"/>
                </w:tcPr>
                <w:p w14:paraId="2A82F559">
                  <w:pPr>
                    <w:adjustRightInd w:val="0"/>
                    <w:snapToGrid w:val="0"/>
                    <w:jc w:val="center"/>
                    <w:rPr>
                      <w:rFonts w:hint="default" w:cs="Times New Roman"/>
                      <w:bCs/>
                      <w:color w:val="000000"/>
                      <w:szCs w:val="21"/>
                      <w:lang w:val="en-US" w:eastAsia="zh-CN"/>
                    </w:rPr>
                  </w:pPr>
                  <w:r>
                    <w:rPr>
                      <w:rFonts w:hint="eastAsia" w:cs="Times New Roman"/>
                      <w:bCs/>
                      <w:color w:val="000000"/>
                      <w:szCs w:val="21"/>
                      <w:lang w:val="en-US" w:eastAsia="zh-CN"/>
                    </w:rPr>
                    <w:t>6</w:t>
                  </w:r>
                </w:p>
              </w:tc>
              <w:tc>
                <w:tcPr>
                  <w:tcW w:w="603" w:type="pct"/>
                  <w:vAlign w:val="center"/>
                </w:tcPr>
                <w:p w14:paraId="727A0249">
                  <w:pPr>
                    <w:adjustRightInd w:val="0"/>
                    <w:snapToGrid w:val="0"/>
                    <w:jc w:val="center"/>
                    <w:rPr>
                      <w:rFonts w:hint="eastAsia" w:cs="Times New Roman"/>
                      <w:bCs/>
                      <w:color w:val="000000"/>
                      <w:szCs w:val="21"/>
                      <w:lang w:val="en-US" w:eastAsia="zh-CN"/>
                    </w:rPr>
                  </w:pPr>
                  <w:r>
                    <w:rPr>
                      <w:rFonts w:hint="eastAsia" w:cs="Times New Roman"/>
                      <w:bCs/>
                      <w:color w:val="000000"/>
                      <w:szCs w:val="21"/>
                      <w:lang w:val="en-US" w:eastAsia="zh-CN"/>
                    </w:rPr>
                    <w:t>冷却带</w:t>
                  </w:r>
                </w:p>
              </w:tc>
              <w:tc>
                <w:tcPr>
                  <w:tcW w:w="880" w:type="pct"/>
                  <w:vAlign w:val="center"/>
                </w:tcPr>
                <w:p w14:paraId="16118E76">
                  <w:pPr>
                    <w:adjustRightInd w:val="0"/>
                    <w:snapToGrid w:val="0"/>
                    <w:jc w:val="center"/>
                    <w:rPr>
                      <w:rFonts w:hint="default" w:cs="Times New Roman"/>
                      <w:bCs/>
                      <w:color w:val="000000"/>
                      <w:szCs w:val="21"/>
                      <w:lang w:val="en-US" w:eastAsia="zh-CN"/>
                    </w:rPr>
                  </w:pPr>
                  <w:r>
                    <w:rPr>
                      <w:rFonts w:hint="eastAsia" w:cs="Times New Roman"/>
                      <w:bCs/>
                      <w:color w:val="000000"/>
                      <w:szCs w:val="21"/>
                      <w:lang w:val="en-US" w:eastAsia="zh-CN"/>
                    </w:rPr>
                    <w:t>1350-1000</w:t>
                  </w:r>
                </w:p>
              </w:tc>
              <w:tc>
                <w:tcPr>
                  <w:tcW w:w="3148" w:type="pct"/>
                  <w:vAlign w:val="center"/>
                </w:tcPr>
                <w:p w14:paraId="4A9DDFDD">
                  <w:pPr>
                    <w:keepNext w:val="0"/>
                    <w:keepLines w:val="0"/>
                    <w:widowControl/>
                    <w:suppressLineNumbers w:val="0"/>
                    <w:jc w:val="center"/>
                    <w:rPr>
                      <w:rFonts w:hint="eastAsia" w:cs="Times New Roman"/>
                      <w:bCs/>
                      <w:color w:val="000000"/>
                      <w:szCs w:val="21"/>
                      <w:lang w:val="en-US" w:eastAsia="zh-CN"/>
                    </w:rPr>
                  </w:pPr>
                  <w:r>
                    <w:rPr>
                      <w:rFonts w:hint="default" w:ascii="Times New Roman" w:hAnsi="Times New Roman" w:eastAsia="宋体" w:cs="Times New Roman"/>
                      <w:color w:val="000000"/>
                      <w:kern w:val="0"/>
                      <w:sz w:val="21"/>
                      <w:szCs w:val="21"/>
                      <w:lang w:val="en-US" w:eastAsia="zh-CN" w:bidi="ar"/>
                    </w:rPr>
                    <w:t>C</w:t>
                  </w:r>
                  <w:r>
                    <w:rPr>
                      <w:rFonts w:hint="default" w:ascii="Times New Roman" w:hAnsi="Times New Roman" w:eastAsia="宋体" w:cs="Times New Roman"/>
                      <w:color w:val="000000"/>
                      <w:kern w:val="0"/>
                      <w:sz w:val="21"/>
                      <w:szCs w:val="21"/>
                      <w:vertAlign w:val="subscript"/>
                      <w:lang w:val="en-US" w:eastAsia="zh-CN" w:bidi="ar"/>
                    </w:rPr>
                    <w:t>3</w:t>
                  </w:r>
                  <w:r>
                    <w:rPr>
                      <w:rFonts w:hint="default" w:ascii="Times New Roman" w:hAnsi="Times New Roman" w:eastAsia="宋体" w:cs="Times New Roman"/>
                      <w:color w:val="000000"/>
                      <w:kern w:val="0"/>
                      <w:sz w:val="21"/>
                      <w:szCs w:val="21"/>
                      <w:lang w:val="en-US" w:eastAsia="zh-CN" w:bidi="ar"/>
                    </w:rPr>
                    <w:t>A</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C</w:t>
                  </w:r>
                  <w:r>
                    <w:rPr>
                      <w:rFonts w:hint="default" w:ascii="Times New Roman" w:hAnsi="Times New Roman" w:eastAsia="宋体" w:cs="Times New Roman"/>
                      <w:color w:val="000000"/>
                      <w:kern w:val="0"/>
                      <w:sz w:val="21"/>
                      <w:szCs w:val="21"/>
                      <w:vertAlign w:val="subscript"/>
                      <w:lang w:val="en-US" w:eastAsia="zh-CN" w:bidi="ar"/>
                    </w:rPr>
                    <w:t>4</w:t>
                  </w:r>
                  <w:r>
                    <w:rPr>
                      <w:rFonts w:hint="default" w:ascii="Times New Roman" w:hAnsi="Times New Roman" w:eastAsia="宋体" w:cs="Times New Roman"/>
                      <w:color w:val="000000"/>
                      <w:kern w:val="0"/>
                      <w:sz w:val="21"/>
                      <w:szCs w:val="21"/>
                      <w:lang w:val="en-US" w:eastAsia="zh-CN" w:bidi="ar"/>
                    </w:rPr>
                    <w:t>AF</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C</w:t>
                  </w:r>
                  <w:r>
                    <w:rPr>
                      <w:rFonts w:hint="default" w:ascii="Times New Roman" w:hAnsi="Times New Roman" w:eastAsia="宋体" w:cs="Times New Roman"/>
                      <w:color w:val="000000"/>
                      <w:kern w:val="0"/>
                      <w:sz w:val="21"/>
                      <w:szCs w:val="21"/>
                      <w:vertAlign w:val="subscript"/>
                      <w:lang w:val="en-US" w:eastAsia="zh-CN" w:bidi="ar"/>
                    </w:rPr>
                    <w:t>12</w:t>
                  </w:r>
                  <w:r>
                    <w:rPr>
                      <w:rFonts w:hint="default" w:ascii="Times New Roman" w:hAnsi="Times New Roman" w:eastAsia="宋体" w:cs="Times New Roman"/>
                      <w:color w:val="000000"/>
                      <w:kern w:val="0"/>
                      <w:sz w:val="21"/>
                      <w:szCs w:val="21"/>
                      <w:lang w:val="en-US" w:eastAsia="zh-CN" w:bidi="ar"/>
                    </w:rPr>
                    <w:t>A</w:t>
                  </w:r>
                  <w:r>
                    <w:rPr>
                      <w:rFonts w:hint="default" w:ascii="Times New Roman" w:hAnsi="Times New Roman" w:eastAsia="宋体" w:cs="Times New Roman"/>
                      <w:color w:val="000000"/>
                      <w:kern w:val="0"/>
                      <w:sz w:val="21"/>
                      <w:szCs w:val="21"/>
                      <w:vertAlign w:val="subscript"/>
                      <w:lang w:val="en-US" w:eastAsia="zh-CN" w:bidi="ar"/>
                    </w:rPr>
                    <w:t>7</w:t>
                  </w:r>
                  <w:r>
                    <w:rPr>
                      <w:rFonts w:hint="eastAsia" w:ascii="Times New Roman" w:hAnsi="Times New Roman" w:eastAsia="宋体" w:cs="Times New Roman"/>
                      <w:color w:val="000000"/>
                      <w:kern w:val="0"/>
                      <w:sz w:val="21"/>
                      <w:szCs w:val="21"/>
                      <w:lang w:val="en-US" w:eastAsia="zh-CN" w:bidi="ar"/>
                    </w:rPr>
                    <w:t>重新结晶出来，部分液相成为玻璃体</w:t>
                  </w:r>
                </w:p>
              </w:tc>
            </w:tr>
          </w:tbl>
          <w:p w14:paraId="716204A4">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cs="Times New Roman"/>
                <w:b w:val="0"/>
                <w:bCs w:val="0"/>
                <w:color w:val="auto"/>
                <w:kern w:val="2"/>
                <w:sz w:val="24"/>
                <w:szCs w:val="24"/>
                <w:vertAlign w:val="baseline"/>
                <w:lang w:val="en-US" w:eastAsia="zh-CN" w:bidi="ar-SA"/>
              </w:rPr>
            </w:pPr>
            <w:r>
              <w:rPr>
                <w:rFonts w:hint="eastAsia" w:ascii="Times New Roman" w:hAnsi="Times New Roman" w:eastAsia="宋体" w:cs="Times New Roman"/>
                <w:b w:val="0"/>
                <w:bCs w:val="0"/>
                <w:color w:val="auto"/>
                <w:kern w:val="2"/>
                <w:sz w:val="24"/>
                <w:szCs w:val="24"/>
                <w:vertAlign w:val="baseline"/>
                <w:lang w:val="en-US" w:eastAsia="zh-CN" w:bidi="ar-SA"/>
              </w:rPr>
              <w:t>（3）</w:t>
            </w:r>
            <w:r>
              <w:rPr>
                <w:rFonts w:hint="eastAsia" w:cs="Times New Roman"/>
                <w:b w:val="0"/>
                <w:bCs w:val="0"/>
                <w:color w:val="auto"/>
                <w:kern w:val="2"/>
                <w:sz w:val="24"/>
                <w:szCs w:val="24"/>
                <w:vertAlign w:val="baseline"/>
                <w:lang w:val="en-US" w:eastAsia="zh-CN" w:bidi="ar-SA"/>
              </w:rPr>
              <w:t>处置原理</w:t>
            </w:r>
          </w:p>
          <w:p w14:paraId="30937058">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cs="Times New Roman"/>
                <w:b w:val="0"/>
                <w:bCs w:val="0"/>
                <w:color w:val="auto"/>
                <w:kern w:val="2"/>
                <w:sz w:val="24"/>
                <w:szCs w:val="24"/>
                <w:vertAlign w:val="baseline"/>
                <w:lang w:val="en-US" w:eastAsia="zh-CN" w:bidi="ar-SA"/>
              </w:rPr>
            </w:pPr>
            <w:r>
              <w:rPr>
                <w:rFonts w:hint="eastAsia" w:cs="Times New Roman"/>
                <w:b w:val="0"/>
                <w:bCs w:val="0"/>
                <w:color w:val="auto"/>
                <w:kern w:val="2"/>
                <w:sz w:val="24"/>
                <w:szCs w:val="24"/>
                <w:vertAlign w:val="baseline"/>
                <w:lang w:val="en-US" w:eastAsia="zh-CN" w:bidi="ar-SA"/>
              </w:rPr>
              <w:t>①HCl、HF酸性气体的去除</w:t>
            </w:r>
          </w:p>
          <w:p w14:paraId="0978FE1B">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cs="Times New Roman"/>
                <w:b w:val="0"/>
                <w:bCs w:val="0"/>
                <w:color w:val="auto"/>
                <w:kern w:val="2"/>
                <w:sz w:val="24"/>
                <w:szCs w:val="24"/>
                <w:vertAlign w:val="baseline"/>
                <w:lang w:val="en-US" w:eastAsia="zh-CN" w:bidi="ar-SA"/>
              </w:rPr>
            </w:pPr>
            <w:bookmarkStart w:id="103" w:name="OLE_LINK114"/>
            <w:bookmarkStart w:id="104" w:name="OLE_LINK113"/>
            <w:r>
              <w:rPr>
                <w:rFonts w:hint="eastAsia" w:cs="Times New Roman"/>
                <w:b w:val="0"/>
                <w:bCs w:val="0"/>
                <w:color w:val="auto"/>
                <w:kern w:val="2"/>
                <w:sz w:val="24"/>
                <w:szCs w:val="24"/>
                <w:vertAlign w:val="baseline"/>
                <w:lang w:val="en-US" w:eastAsia="zh-CN" w:bidi="ar-SA"/>
              </w:rPr>
              <w:t>含氟原燃料在烧成过程形成</w:t>
            </w:r>
            <w:bookmarkEnd w:id="103"/>
            <w:r>
              <w:rPr>
                <w:rFonts w:hint="eastAsia" w:cs="Times New Roman"/>
                <w:b w:val="0"/>
                <w:bCs w:val="0"/>
                <w:color w:val="auto"/>
                <w:kern w:val="2"/>
                <w:sz w:val="24"/>
                <w:szCs w:val="24"/>
                <w:vertAlign w:val="baseline"/>
                <w:lang w:val="en-US" w:eastAsia="zh-CN" w:bidi="ar-SA"/>
              </w:rPr>
              <w:t>的HF会与</w:t>
            </w:r>
            <w:bookmarkStart w:id="105" w:name="OLE_LINK115"/>
            <w:r>
              <w:rPr>
                <w:rFonts w:hint="eastAsia" w:cs="Times New Roman"/>
                <w:b w:val="0"/>
                <w:bCs w:val="0"/>
                <w:color w:val="auto"/>
                <w:kern w:val="2"/>
                <w:sz w:val="24"/>
                <w:szCs w:val="24"/>
                <w:vertAlign w:val="baseline"/>
                <w:lang w:val="en-US" w:eastAsia="zh-CN" w:bidi="ar-SA"/>
              </w:rPr>
              <w:t>生料煅烧中产生</w:t>
            </w:r>
            <w:bookmarkEnd w:id="105"/>
            <w:r>
              <w:rPr>
                <w:rFonts w:hint="eastAsia" w:cs="Times New Roman"/>
                <w:b w:val="0"/>
                <w:bCs w:val="0"/>
                <w:color w:val="auto"/>
                <w:kern w:val="2"/>
                <w:sz w:val="24"/>
                <w:szCs w:val="24"/>
                <w:vertAlign w:val="baseline"/>
                <w:lang w:val="en-US" w:eastAsia="zh-CN" w:bidi="ar-SA"/>
              </w:rPr>
              <w:t>的CaO，Al</w:t>
            </w:r>
            <w:r>
              <w:rPr>
                <w:rFonts w:hint="eastAsia" w:cs="Times New Roman"/>
                <w:b w:val="0"/>
                <w:bCs w:val="0"/>
                <w:color w:val="auto"/>
                <w:kern w:val="2"/>
                <w:sz w:val="24"/>
                <w:szCs w:val="24"/>
                <w:vertAlign w:val="subscript"/>
                <w:lang w:val="en-US" w:eastAsia="zh-CN" w:bidi="ar-SA"/>
              </w:rPr>
              <w:t>2</w:t>
            </w:r>
            <w:r>
              <w:rPr>
                <w:rFonts w:hint="eastAsia" w:cs="Times New Roman"/>
                <w:b w:val="0"/>
                <w:bCs w:val="0"/>
                <w:color w:val="auto"/>
                <w:kern w:val="2"/>
                <w:sz w:val="24"/>
                <w:szCs w:val="24"/>
                <w:vertAlign w:val="baseline"/>
                <w:lang w:val="en-US" w:eastAsia="zh-CN" w:bidi="ar-SA"/>
              </w:rPr>
              <w:t>O</w:t>
            </w:r>
            <w:r>
              <w:rPr>
                <w:rFonts w:hint="eastAsia" w:cs="Times New Roman"/>
                <w:b w:val="0"/>
                <w:bCs w:val="0"/>
                <w:color w:val="auto"/>
                <w:kern w:val="2"/>
                <w:sz w:val="24"/>
                <w:szCs w:val="24"/>
                <w:vertAlign w:val="subscript"/>
                <w:lang w:val="en-US" w:eastAsia="zh-CN" w:bidi="ar-SA"/>
              </w:rPr>
              <w:t>3</w:t>
            </w:r>
            <w:r>
              <w:rPr>
                <w:rFonts w:hint="eastAsia" w:cs="Times New Roman"/>
                <w:b w:val="0"/>
                <w:bCs w:val="0"/>
                <w:color w:val="auto"/>
                <w:kern w:val="2"/>
                <w:sz w:val="24"/>
                <w:szCs w:val="24"/>
                <w:vertAlign w:val="baseline"/>
                <w:lang w:val="en-US" w:eastAsia="zh-CN" w:bidi="ar-SA"/>
              </w:rPr>
              <w:t>形成氟铝酸钙</w:t>
            </w:r>
            <w:bookmarkEnd w:id="104"/>
            <w:r>
              <w:rPr>
                <w:rFonts w:hint="eastAsia" w:cs="Times New Roman"/>
                <w:b w:val="0"/>
                <w:bCs w:val="0"/>
                <w:color w:val="auto"/>
                <w:kern w:val="2"/>
                <w:sz w:val="24"/>
                <w:szCs w:val="24"/>
                <w:vertAlign w:val="baseline"/>
                <w:lang w:val="en-US" w:eastAsia="zh-CN" w:bidi="ar-SA"/>
              </w:rPr>
              <w:t>固溶于熟料中带出窑外，90%~95%的F元素会随熟料带入窑外，剩余的F元素以CaF</w:t>
            </w:r>
            <w:r>
              <w:rPr>
                <w:rFonts w:hint="eastAsia" w:cs="Times New Roman"/>
                <w:b w:val="0"/>
                <w:bCs w:val="0"/>
                <w:color w:val="auto"/>
                <w:kern w:val="2"/>
                <w:sz w:val="24"/>
                <w:szCs w:val="24"/>
                <w:vertAlign w:val="subscript"/>
                <w:lang w:val="en-US" w:eastAsia="zh-CN" w:bidi="ar-SA"/>
              </w:rPr>
              <w:t>2</w:t>
            </w:r>
            <w:r>
              <w:rPr>
                <w:rFonts w:hint="eastAsia" w:cs="Times New Roman"/>
                <w:b w:val="0"/>
                <w:bCs w:val="0"/>
                <w:color w:val="auto"/>
                <w:kern w:val="2"/>
                <w:sz w:val="24"/>
                <w:szCs w:val="24"/>
                <w:vertAlign w:val="baseline"/>
                <w:lang w:val="en-US" w:eastAsia="zh-CN" w:bidi="ar-SA"/>
              </w:rPr>
              <w:t>的形式凝结在窑灰中，在窑内形成内循环，极少部分随尾气排放。</w:t>
            </w:r>
          </w:p>
          <w:p w14:paraId="3A4CC4C6">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ascii="Times New Roman" w:hAnsi="Times New Roman" w:eastAsia="宋体" w:cs="Times New Roman"/>
                <w:b w:val="0"/>
                <w:bCs w:val="0"/>
                <w:color w:val="auto"/>
                <w:kern w:val="2"/>
                <w:sz w:val="24"/>
                <w:szCs w:val="24"/>
                <w:vertAlign w:val="baseline"/>
                <w:lang w:val="en-US" w:eastAsia="zh-CN" w:bidi="ar-SA"/>
              </w:rPr>
              <w:t>水泥窑产生的HC</w:t>
            </w:r>
            <w:r>
              <w:rPr>
                <w:rFonts w:hint="eastAsia" w:ascii="Times New Roman" w:hAnsi="Times New Roman" w:eastAsia="宋体" w:cs="Times New Roman"/>
                <w:b w:val="0"/>
                <w:bCs w:val="0"/>
                <w:color w:val="auto"/>
                <w:kern w:val="2"/>
                <w:sz w:val="24"/>
                <w:szCs w:val="24"/>
                <w:vertAlign w:val="baseline"/>
                <w:lang w:val="en-US" w:eastAsia="zh-CN" w:bidi="ar-SA"/>
              </w:rPr>
              <w:t>l</w:t>
            </w:r>
            <w:r>
              <w:rPr>
                <w:rFonts w:hint="default" w:ascii="Times New Roman" w:hAnsi="Times New Roman" w:eastAsia="宋体" w:cs="Times New Roman"/>
                <w:b w:val="0"/>
                <w:bCs w:val="0"/>
                <w:color w:val="auto"/>
                <w:kern w:val="2"/>
                <w:sz w:val="24"/>
                <w:szCs w:val="24"/>
                <w:vertAlign w:val="baseline"/>
                <w:lang w:val="en-US" w:eastAsia="zh-CN" w:bidi="ar-SA"/>
              </w:rPr>
              <w:t>主要来自含氯的原燃料在烧成过程中形成的HC</w:t>
            </w:r>
            <w:r>
              <w:rPr>
                <w:rFonts w:hint="eastAsia" w:ascii="Times New Roman" w:hAnsi="Times New Roman" w:eastAsia="宋体" w:cs="Times New Roman"/>
                <w:b w:val="0"/>
                <w:bCs w:val="0"/>
                <w:color w:val="auto"/>
                <w:kern w:val="2"/>
                <w:sz w:val="24"/>
                <w:szCs w:val="24"/>
                <w:vertAlign w:val="baseline"/>
                <w:lang w:val="en-US" w:eastAsia="zh-CN" w:bidi="ar-SA"/>
              </w:rPr>
              <w:t>l</w:t>
            </w:r>
            <w:r>
              <w:rPr>
                <w:rFonts w:hint="default" w:ascii="Times New Roman" w:hAnsi="Times New Roman" w:eastAsia="宋体" w:cs="Times New Roman"/>
                <w:b w:val="0"/>
                <w:bCs w:val="0"/>
                <w:color w:val="auto"/>
                <w:kern w:val="2"/>
                <w:sz w:val="24"/>
                <w:szCs w:val="24"/>
                <w:vertAlign w:val="baseline"/>
                <w:lang w:val="en-US" w:eastAsia="zh-CN" w:bidi="ar-SA"/>
              </w:rPr>
              <w:t>。由于水泥窑中具有强碱性环境</w:t>
            </w:r>
            <w:bookmarkStart w:id="106" w:name="OLE_LINK116"/>
            <w:r>
              <w:rPr>
                <w:rFonts w:hint="default" w:ascii="Times New Roman" w:hAnsi="Times New Roman" w:eastAsia="宋体" w:cs="Times New Roman"/>
                <w:b w:val="0"/>
                <w:bCs w:val="0"/>
                <w:color w:val="auto"/>
                <w:kern w:val="2"/>
                <w:sz w:val="24"/>
                <w:szCs w:val="24"/>
                <w:vertAlign w:val="baseline"/>
                <w:lang w:val="en-US" w:eastAsia="zh-CN" w:bidi="ar-SA"/>
              </w:rPr>
              <w:t>，</w:t>
            </w:r>
            <w:bookmarkEnd w:id="106"/>
            <w:r>
              <w:rPr>
                <w:rFonts w:hint="default" w:ascii="Times New Roman" w:hAnsi="Times New Roman" w:eastAsia="宋体" w:cs="Times New Roman"/>
                <w:b w:val="0"/>
                <w:bCs w:val="0"/>
                <w:color w:val="auto"/>
                <w:kern w:val="2"/>
                <w:sz w:val="24"/>
                <w:szCs w:val="24"/>
                <w:vertAlign w:val="baseline"/>
                <w:lang w:val="en-US" w:eastAsia="zh-CN" w:bidi="ar-SA"/>
              </w:rPr>
              <w:t>HC</w:t>
            </w:r>
            <w:r>
              <w:rPr>
                <w:rFonts w:hint="eastAsia" w:ascii="Times New Roman" w:hAnsi="Times New Roman" w:eastAsia="宋体" w:cs="Times New Roman"/>
                <w:b w:val="0"/>
                <w:bCs w:val="0"/>
                <w:color w:val="auto"/>
                <w:kern w:val="2"/>
                <w:sz w:val="24"/>
                <w:szCs w:val="24"/>
                <w:vertAlign w:val="baseline"/>
                <w:lang w:val="en-US" w:eastAsia="zh-CN" w:bidi="ar-SA"/>
              </w:rPr>
              <w:t>l</w:t>
            </w:r>
            <w:r>
              <w:rPr>
                <w:rFonts w:hint="default" w:ascii="Times New Roman" w:hAnsi="Times New Roman" w:eastAsia="宋体" w:cs="Times New Roman"/>
                <w:b w:val="0"/>
                <w:bCs w:val="0"/>
                <w:color w:val="auto"/>
                <w:kern w:val="2"/>
                <w:sz w:val="24"/>
                <w:szCs w:val="24"/>
                <w:vertAlign w:val="baseline"/>
                <w:lang w:val="en-US" w:eastAsia="zh-CN" w:bidi="ar-SA"/>
              </w:rPr>
              <w:t>在窑内与CaO反应生产CaC</w:t>
            </w:r>
            <w:r>
              <w:rPr>
                <w:rFonts w:hint="eastAsia" w:cs="Times New Roman"/>
                <w:b w:val="0"/>
                <w:bCs w:val="0"/>
                <w:color w:val="auto"/>
                <w:kern w:val="2"/>
                <w:sz w:val="24"/>
                <w:szCs w:val="24"/>
                <w:vertAlign w:val="baseline"/>
                <w:lang w:val="en-US" w:eastAsia="zh-CN" w:bidi="ar-SA"/>
              </w:rPr>
              <w:t>l</w:t>
            </w:r>
            <w:r>
              <w:rPr>
                <w:rFonts w:hint="eastAsia" w:cs="Times New Roman"/>
                <w:b w:val="0"/>
                <w:bCs w:val="0"/>
                <w:color w:val="auto"/>
                <w:kern w:val="2"/>
                <w:sz w:val="24"/>
                <w:szCs w:val="24"/>
                <w:vertAlign w:val="subscript"/>
                <w:lang w:val="en-US" w:eastAsia="zh-CN" w:bidi="ar-SA"/>
              </w:rPr>
              <w:t>2</w:t>
            </w:r>
            <w:r>
              <w:rPr>
                <w:rFonts w:hint="default" w:ascii="Times New Roman" w:hAnsi="Times New Roman" w:eastAsia="宋体" w:cs="Times New Roman"/>
                <w:b w:val="0"/>
                <w:bCs w:val="0"/>
                <w:color w:val="auto"/>
                <w:kern w:val="2"/>
                <w:sz w:val="24"/>
                <w:szCs w:val="24"/>
                <w:vertAlign w:val="baseline"/>
                <w:lang w:val="en-US" w:eastAsia="zh-CN" w:bidi="ar-SA"/>
              </w:rPr>
              <w:t>随熟料带出窑外或与碱金属氯化物反应生成NaC</w:t>
            </w:r>
            <w:r>
              <w:rPr>
                <w:rFonts w:hint="eastAsia" w:ascii="Times New Roman" w:hAnsi="Times New Roman" w:eastAsia="宋体" w:cs="Times New Roman"/>
                <w:b w:val="0"/>
                <w:bCs w:val="0"/>
                <w:color w:val="auto"/>
                <w:kern w:val="2"/>
                <w:sz w:val="24"/>
                <w:szCs w:val="24"/>
                <w:vertAlign w:val="baseline"/>
                <w:lang w:val="en-US" w:eastAsia="zh-CN" w:bidi="ar-SA"/>
              </w:rPr>
              <w:t>l</w:t>
            </w:r>
            <w:r>
              <w:rPr>
                <w:rFonts w:hint="default" w:ascii="Times New Roman" w:hAnsi="Times New Roman" w:eastAsia="宋体" w:cs="Times New Roman"/>
                <w:b w:val="0"/>
                <w:bCs w:val="0"/>
                <w:color w:val="auto"/>
                <w:kern w:val="2"/>
                <w:sz w:val="24"/>
                <w:szCs w:val="24"/>
                <w:vertAlign w:val="baseline"/>
                <w:lang w:val="en-US" w:eastAsia="zh-CN" w:bidi="ar-SA"/>
              </w:rPr>
              <w:t>、KC</w:t>
            </w:r>
            <w:r>
              <w:rPr>
                <w:rFonts w:hint="eastAsia" w:ascii="Times New Roman" w:hAnsi="Times New Roman" w:eastAsia="宋体" w:cs="Times New Roman"/>
                <w:b w:val="0"/>
                <w:bCs w:val="0"/>
                <w:color w:val="auto"/>
                <w:kern w:val="2"/>
                <w:sz w:val="24"/>
                <w:szCs w:val="24"/>
                <w:vertAlign w:val="baseline"/>
                <w:lang w:val="en-US" w:eastAsia="zh-CN" w:bidi="ar-SA"/>
              </w:rPr>
              <w:t>l</w:t>
            </w:r>
            <w:r>
              <w:rPr>
                <w:rFonts w:hint="default" w:ascii="Times New Roman" w:hAnsi="Times New Roman" w:eastAsia="宋体" w:cs="Times New Roman"/>
                <w:b w:val="0"/>
                <w:bCs w:val="0"/>
                <w:color w:val="auto"/>
                <w:kern w:val="2"/>
                <w:sz w:val="24"/>
                <w:szCs w:val="24"/>
                <w:vertAlign w:val="baseline"/>
                <w:lang w:val="en-US" w:eastAsia="zh-CN" w:bidi="ar-SA"/>
              </w:rPr>
              <w:t>在窑内形成内循环而不断积累，通常情况下，大部分HC</w:t>
            </w:r>
            <w:r>
              <w:rPr>
                <w:rFonts w:hint="eastAsia" w:ascii="Times New Roman" w:hAnsi="Times New Roman" w:eastAsia="宋体" w:cs="Times New Roman"/>
                <w:b w:val="0"/>
                <w:bCs w:val="0"/>
                <w:color w:val="auto"/>
                <w:kern w:val="2"/>
                <w:sz w:val="24"/>
                <w:szCs w:val="24"/>
                <w:vertAlign w:val="baseline"/>
                <w:lang w:val="en-US" w:eastAsia="zh-CN" w:bidi="ar-SA"/>
              </w:rPr>
              <w:t>l</w:t>
            </w:r>
            <w:r>
              <w:rPr>
                <w:rFonts w:hint="default" w:ascii="Times New Roman" w:hAnsi="Times New Roman" w:eastAsia="宋体" w:cs="Times New Roman"/>
                <w:b w:val="0"/>
                <w:bCs w:val="0"/>
                <w:color w:val="auto"/>
                <w:kern w:val="2"/>
                <w:sz w:val="24"/>
                <w:szCs w:val="24"/>
                <w:vertAlign w:val="baseline"/>
                <w:lang w:val="en-US" w:eastAsia="zh-CN" w:bidi="ar-SA"/>
              </w:rPr>
              <w:t>在窑内会被碱性物质吸收，随尾气排放到窑外的量很少，只有当原料中</w:t>
            </w:r>
            <w:r>
              <w:rPr>
                <w:rFonts w:hint="eastAsia" w:ascii="Times New Roman" w:hAnsi="Times New Roman" w:eastAsia="宋体" w:cs="Times New Roman"/>
                <w:b w:val="0"/>
                <w:bCs w:val="0"/>
                <w:color w:val="auto"/>
                <w:kern w:val="2"/>
                <w:sz w:val="24"/>
                <w:szCs w:val="24"/>
                <w:vertAlign w:val="baseline"/>
                <w:lang w:val="en-US" w:eastAsia="zh-CN" w:bidi="ar-SA"/>
              </w:rPr>
              <w:t>Cl</w:t>
            </w:r>
            <w:r>
              <w:rPr>
                <w:rFonts w:hint="default" w:ascii="Times New Roman" w:hAnsi="Times New Roman" w:eastAsia="宋体" w:cs="Times New Roman"/>
                <w:b w:val="0"/>
                <w:bCs w:val="0"/>
                <w:color w:val="auto"/>
                <w:kern w:val="2"/>
                <w:sz w:val="24"/>
                <w:szCs w:val="24"/>
                <w:vertAlign w:val="baseline"/>
                <w:lang w:val="en-US" w:eastAsia="zh-CN" w:bidi="ar-SA"/>
              </w:rPr>
              <w:t>元素添加速率过大，或窑内NaC</w:t>
            </w:r>
            <w:r>
              <w:rPr>
                <w:rFonts w:hint="eastAsia" w:cs="Times New Roman"/>
                <w:b w:val="0"/>
                <w:bCs w:val="0"/>
                <w:color w:val="auto"/>
                <w:kern w:val="2"/>
                <w:sz w:val="24"/>
                <w:szCs w:val="24"/>
                <w:vertAlign w:val="baseline"/>
                <w:lang w:val="en-US" w:eastAsia="zh-CN" w:bidi="ar-SA"/>
              </w:rPr>
              <w:t>l</w:t>
            </w:r>
            <w:r>
              <w:rPr>
                <w:rFonts w:hint="default" w:ascii="Times New Roman" w:hAnsi="Times New Roman" w:eastAsia="宋体" w:cs="Times New Roman"/>
                <w:b w:val="0"/>
                <w:bCs w:val="0"/>
                <w:color w:val="auto"/>
                <w:kern w:val="2"/>
                <w:sz w:val="24"/>
                <w:szCs w:val="24"/>
                <w:vertAlign w:val="baseline"/>
                <w:lang w:val="en-US" w:eastAsia="zh-CN" w:bidi="ar-SA"/>
              </w:rPr>
              <w:t>、KC</w:t>
            </w:r>
            <w:r>
              <w:rPr>
                <w:rFonts w:hint="eastAsia" w:ascii="Times New Roman" w:hAnsi="Times New Roman" w:eastAsia="宋体" w:cs="Times New Roman"/>
                <w:b w:val="0"/>
                <w:bCs w:val="0"/>
                <w:color w:val="auto"/>
                <w:kern w:val="2"/>
                <w:sz w:val="24"/>
                <w:szCs w:val="24"/>
                <w:vertAlign w:val="baseline"/>
                <w:lang w:val="en-US" w:eastAsia="zh-CN" w:bidi="ar-SA"/>
              </w:rPr>
              <w:t>l</w:t>
            </w:r>
            <w:r>
              <w:rPr>
                <w:rFonts w:hint="default" w:ascii="Times New Roman" w:hAnsi="Times New Roman" w:eastAsia="宋体" w:cs="Times New Roman"/>
                <w:b w:val="0"/>
                <w:bCs w:val="0"/>
                <w:color w:val="auto"/>
                <w:kern w:val="2"/>
                <w:sz w:val="24"/>
                <w:szCs w:val="24"/>
                <w:vertAlign w:val="baseline"/>
                <w:lang w:val="en-US" w:eastAsia="zh-CN" w:bidi="ar-SA"/>
              </w:rPr>
              <w:t>内循环累积到一定程度而达到原料带入量与随尾气和熟料排出量达到平衡后，随尾气排出的HCI可能会增加。这也是水泥窑协同处置固废相对于其它焚烧炉的一个重要优势。根据《水泥窑协同处置固体废物环境保护技术规范》（HJ 662-2013）6.6.8 要求</w:t>
            </w:r>
            <w:r>
              <w:rPr>
                <w:rFonts w:hint="eastAsia" w:ascii="宋体" w:hAnsi="宋体" w:eastAsia="宋体" w:cs="宋体"/>
                <w:b w:val="0"/>
                <w:bCs w:val="0"/>
                <w:color w:val="auto"/>
                <w:kern w:val="2"/>
                <w:sz w:val="24"/>
                <w:szCs w:val="24"/>
                <w:vertAlign w:val="baseline"/>
                <w:lang w:val="en-US" w:eastAsia="zh-CN" w:bidi="ar-SA"/>
              </w:rPr>
              <w:t>“</w:t>
            </w:r>
            <w:r>
              <w:rPr>
                <w:rFonts w:hint="default" w:ascii="Times New Roman" w:hAnsi="Times New Roman" w:eastAsia="宋体" w:cs="Times New Roman"/>
                <w:b w:val="0"/>
                <w:bCs w:val="0"/>
                <w:color w:val="auto"/>
                <w:kern w:val="2"/>
                <w:sz w:val="24"/>
                <w:szCs w:val="24"/>
                <w:vertAlign w:val="baseline"/>
                <w:lang w:val="en-US" w:eastAsia="zh-CN" w:bidi="ar-SA"/>
              </w:rPr>
              <w:t>协同处置企业应根据水泥生产工艺特点，控制随物料入窑的氯和氟元素的投加量，以保证水泥的正常生产和熟料符合国家标准，入窑物料中氟元素含量不应大于</w:t>
            </w:r>
            <w:r>
              <w:rPr>
                <w:rFonts w:hint="eastAsia" w:ascii="Times New Roman" w:hAnsi="Times New Roman" w:eastAsia="宋体" w:cs="Times New Roman"/>
                <w:b w:val="0"/>
                <w:bCs w:val="0"/>
                <w:color w:val="auto"/>
                <w:kern w:val="2"/>
                <w:sz w:val="24"/>
                <w:szCs w:val="24"/>
                <w:vertAlign w:val="baseline"/>
                <w:lang w:val="en-US" w:eastAsia="zh-CN" w:bidi="ar-SA"/>
              </w:rPr>
              <w:t>0</w:t>
            </w:r>
            <w:r>
              <w:rPr>
                <w:rFonts w:hint="default" w:ascii="Times New Roman" w:hAnsi="Times New Roman" w:eastAsia="宋体" w:cs="Times New Roman"/>
                <w:b w:val="0"/>
                <w:bCs w:val="0"/>
                <w:color w:val="auto"/>
                <w:kern w:val="2"/>
                <w:sz w:val="24"/>
                <w:szCs w:val="24"/>
                <w:vertAlign w:val="baseline"/>
                <w:lang w:val="en-US" w:eastAsia="zh-CN" w:bidi="ar-SA"/>
              </w:rPr>
              <w:t>.5%，氯元素含量不应大于0.04%</w:t>
            </w:r>
            <w:r>
              <w:rPr>
                <w:rFonts w:hint="eastAsia" w:ascii="宋体" w:hAnsi="宋体" w:eastAsia="宋体" w:cs="宋体"/>
                <w:b w:val="0"/>
                <w:bCs w:val="0"/>
                <w:color w:val="auto"/>
                <w:kern w:val="2"/>
                <w:sz w:val="24"/>
                <w:szCs w:val="24"/>
                <w:vertAlign w:val="baseline"/>
                <w:lang w:val="en-US" w:eastAsia="zh-CN" w:bidi="ar-SA"/>
              </w:rPr>
              <w:t>”</w:t>
            </w:r>
            <w:r>
              <w:rPr>
                <w:rFonts w:hint="default" w:ascii="Times New Roman" w:hAnsi="Times New Roman" w:eastAsia="宋体" w:cs="Times New Roman"/>
                <w:b w:val="0"/>
                <w:bCs w:val="0"/>
                <w:color w:val="auto"/>
                <w:kern w:val="2"/>
                <w:sz w:val="24"/>
                <w:szCs w:val="24"/>
                <w:vertAlign w:val="baseline"/>
                <w:lang w:val="en-US" w:eastAsia="zh-CN" w:bidi="ar-SA"/>
              </w:rPr>
              <w:t>，水泥窑协同处置规范中并未对Na</w:t>
            </w:r>
            <w:r>
              <w:rPr>
                <w:rFonts w:hint="eastAsia" w:ascii="Times New Roman" w:hAnsi="Times New Roman" w:eastAsia="宋体" w:cs="Times New Roman"/>
                <w:b w:val="0"/>
                <w:bCs w:val="0"/>
                <w:color w:val="auto"/>
                <w:kern w:val="2"/>
                <w:sz w:val="24"/>
                <w:szCs w:val="24"/>
                <w:vertAlign w:val="baseline"/>
                <w:lang w:val="en-US" w:eastAsia="zh-CN" w:bidi="ar-SA"/>
              </w:rPr>
              <w:t>、</w:t>
            </w:r>
            <w:r>
              <w:rPr>
                <w:rFonts w:hint="default" w:ascii="Times New Roman" w:hAnsi="Times New Roman" w:eastAsia="宋体" w:cs="Times New Roman"/>
                <w:b w:val="0"/>
                <w:bCs w:val="0"/>
                <w:color w:val="auto"/>
                <w:kern w:val="2"/>
                <w:sz w:val="24"/>
                <w:szCs w:val="24"/>
                <w:vertAlign w:val="baseline"/>
                <w:lang w:val="en-US" w:eastAsia="zh-CN" w:bidi="ar-SA"/>
              </w:rPr>
              <w:t>K和P等元素进行限制，主要通过控制氯元素来实现保证水泥质量的目的。</w:t>
            </w:r>
          </w:p>
          <w:p w14:paraId="4C76D48F">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ascii="Times New Roman" w:hAnsi="Times New Roman" w:eastAsia="宋体" w:cs="Times New Roman"/>
                <w:b w:val="0"/>
                <w:bCs w:val="0"/>
                <w:color w:val="auto"/>
                <w:kern w:val="2"/>
                <w:sz w:val="24"/>
                <w:szCs w:val="24"/>
                <w:vertAlign w:val="baseline"/>
                <w:lang w:val="en-US" w:eastAsia="zh-CN" w:bidi="ar-SA"/>
              </w:rPr>
              <w:t>②二噁英抑制及去除</w:t>
            </w:r>
          </w:p>
          <w:p w14:paraId="20719237">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ascii="Times New Roman" w:hAnsi="Times New Roman" w:eastAsia="宋体" w:cs="Times New Roman"/>
                <w:b w:val="0"/>
                <w:bCs w:val="0"/>
                <w:color w:val="auto"/>
                <w:kern w:val="2"/>
                <w:sz w:val="24"/>
                <w:szCs w:val="24"/>
                <w:vertAlign w:val="baseline"/>
                <w:lang w:val="en-US" w:eastAsia="zh-CN" w:bidi="ar-SA"/>
              </w:rPr>
              <w:t>固体废物中还有部分物质含有含氯的有机物，其窑内一定条件下会形成二噁英。根据查阅文献（孙吉平，刘星星等，利用水泥新型干法窑系统处置城市垃圾抑制二噁英产生的机理研究，长沙铁道学院学报，2012.6）及相关资料，二噁英是由各种氯代前提物进一步转化而成，如多氯联苯、氯苯等含氯芳香烃类化合物，这些前体物在HC</w:t>
            </w:r>
            <w:r>
              <w:rPr>
                <w:rFonts w:hint="eastAsia" w:ascii="Times New Roman" w:hAnsi="Times New Roman" w:eastAsia="宋体" w:cs="Times New Roman"/>
                <w:b w:val="0"/>
                <w:bCs w:val="0"/>
                <w:color w:val="auto"/>
                <w:kern w:val="2"/>
                <w:sz w:val="24"/>
                <w:szCs w:val="24"/>
                <w:vertAlign w:val="baseline"/>
                <w:lang w:val="en-US" w:eastAsia="zh-CN" w:bidi="ar-SA"/>
              </w:rPr>
              <w:t>l</w:t>
            </w:r>
            <w:r>
              <w:rPr>
                <w:rFonts w:hint="default" w:ascii="Times New Roman" w:hAnsi="Times New Roman" w:eastAsia="宋体" w:cs="Times New Roman"/>
                <w:b w:val="0"/>
                <w:bCs w:val="0"/>
                <w:color w:val="auto"/>
                <w:kern w:val="2"/>
                <w:sz w:val="24"/>
                <w:szCs w:val="24"/>
                <w:vertAlign w:val="baseline"/>
                <w:lang w:val="en-US" w:eastAsia="zh-CN" w:bidi="ar-SA"/>
              </w:rPr>
              <w:t>、O</w:t>
            </w:r>
            <w:r>
              <w:rPr>
                <w:rFonts w:hint="default" w:ascii="Times New Roman" w:hAnsi="Times New Roman" w:eastAsia="宋体" w:cs="Times New Roman"/>
                <w:b w:val="0"/>
                <w:bCs w:val="0"/>
                <w:color w:val="auto"/>
                <w:kern w:val="2"/>
                <w:sz w:val="24"/>
                <w:szCs w:val="24"/>
                <w:vertAlign w:val="subscript"/>
                <w:lang w:val="en-US" w:eastAsia="zh-CN" w:bidi="ar-SA"/>
              </w:rPr>
              <w:t>2</w:t>
            </w:r>
            <w:r>
              <w:rPr>
                <w:rFonts w:hint="default" w:ascii="Times New Roman" w:hAnsi="Times New Roman" w:eastAsia="宋体" w:cs="Times New Roman"/>
                <w:b w:val="0"/>
                <w:bCs w:val="0"/>
                <w:color w:val="auto"/>
                <w:kern w:val="2"/>
                <w:sz w:val="24"/>
                <w:szCs w:val="24"/>
                <w:vertAlign w:val="baseline"/>
                <w:lang w:val="en-US" w:eastAsia="zh-CN" w:bidi="ar-SA"/>
              </w:rPr>
              <w:t>、CO存在，在250~600℃之间条件下，在特定的金属离子（</w:t>
            </w:r>
            <w:bookmarkStart w:id="107" w:name="OLE_LINK122"/>
            <w:r>
              <w:rPr>
                <w:rFonts w:hint="default" w:ascii="Times New Roman" w:hAnsi="Times New Roman" w:eastAsia="宋体" w:cs="Times New Roman"/>
                <w:b w:val="0"/>
                <w:bCs w:val="0"/>
                <w:color w:val="auto"/>
                <w:kern w:val="2"/>
                <w:sz w:val="24"/>
                <w:szCs w:val="24"/>
                <w:vertAlign w:val="baseline"/>
                <w:lang w:val="en-US" w:eastAsia="zh-CN" w:bidi="ar-SA"/>
              </w:rPr>
              <w:t>Cu</w:t>
            </w:r>
            <w:r>
              <w:rPr>
                <w:rFonts w:hint="default" w:ascii="Times New Roman" w:hAnsi="Times New Roman" w:eastAsia="宋体" w:cs="Times New Roman"/>
                <w:b w:val="0"/>
                <w:bCs w:val="0"/>
                <w:color w:val="auto"/>
                <w:kern w:val="2"/>
                <w:sz w:val="24"/>
                <w:szCs w:val="24"/>
                <w:vertAlign w:val="superscript"/>
                <w:lang w:val="en-US" w:eastAsia="zh-CN" w:bidi="ar-SA"/>
              </w:rPr>
              <w:t>2+</w:t>
            </w:r>
            <w:r>
              <w:rPr>
                <w:rFonts w:hint="default" w:ascii="Times New Roman" w:hAnsi="Times New Roman" w:eastAsia="宋体" w:cs="Times New Roman"/>
                <w:b w:val="0"/>
                <w:bCs w:val="0"/>
                <w:color w:val="auto"/>
                <w:kern w:val="2"/>
                <w:sz w:val="24"/>
                <w:szCs w:val="24"/>
                <w:vertAlign w:val="baseline"/>
                <w:lang w:val="en-US" w:eastAsia="zh-CN" w:bidi="ar-SA"/>
              </w:rPr>
              <w:t>、Fe</w:t>
            </w:r>
            <w:r>
              <w:rPr>
                <w:rFonts w:hint="default" w:ascii="Times New Roman" w:hAnsi="Times New Roman" w:eastAsia="宋体" w:cs="Times New Roman"/>
                <w:b w:val="0"/>
                <w:bCs w:val="0"/>
                <w:color w:val="auto"/>
                <w:kern w:val="2"/>
                <w:sz w:val="24"/>
                <w:szCs w:val="24"/>
                <w:vertAlign w:val="superscript"/>
                <w:lang w:val="en-US" w:eastAsia="zh-CN" w:bidi="ar-SA"/>
              </w:rPr>
              <w:t>2+</w:t>
            </w:r>
            <w:bookmarkEnd w:id="107"/>
            <w:r>
              <w:rPr>
                <w:rFonts w:hint="default" w:ascii="Times New Roman" w:hAnsi="Times New Roman" w:eastAsia="宋体" w:cs="Times New Roman"/>
                <w:b w:val="0"/>
                <w:bCs w:val="0"/>
                <w:color w:val="auto"/>
                <w:kern w:val="2"/>
                <w:sz w:val="24"/>
                <w:szCs w:val="24"/>
                <w:vertAlign w:val="baseline"/>
                <w:lang w:val="en-US" w:eastAsia="zh-CN" w:bidi="ar-SA"/>
              </w:rPr>
              <w:t>）对其催化作用下生成二噁英。而二噁英的消除要求焚烧温度大于800℃，在此高温区停留1~2s，尽量缩短燃烧烟气的处理和排放温度处于（300~400℃）之间时间。水泥窑协同处置固废对二噁英控制具有有利条件。</w:t>
            </w:r>
          </w:p>
          <w:p w14:paraId="7EC437B7">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ascii="Times New Roman" w:hAnsi="Times New Roman" w:eastAsia="宋体" w:cs="Times New Roman"/>
                <w:b w:val="0"/>
                <w:bCs w:val="0"/>
                <w:color w:val="auto"/>
                <w:kern w:val="2"/>
                <w:sz w:val="24"/>
                <w:szCs w:val="24"/>
                <w:vertAlign w:val="baseline"/>
                <w:lang w:val="en-US" w:eastAsia="zh-CN" w:bidi="ar-SA"/>
              </w:rPr>
              <w:t>A、固废带入烧成系统</w:t>
            </w:r>
            <w:bookmarkStart w:id="108" w:name="OLE_LINK119"/>
            <w:r>
              <w:rPr>
                <w:rFonts w:hint="default" w:ascii="Times New Roman" w:hAnsi="Times New Roman" w:eastAsia="宋体" w:cs="Times New Roman"/>
                <w:b w:val="0"/>
                <w:bCs w:val="0"/>
                <w:color w:val="auto"/>
                <w:kern w:val="2"/>
                <w:sz w:val="24"/>
                <w:szCs w:val="24"/>
                <w:vertAlign w:val="baseline"/>
                <w:lang w:val="en-US" w:eastAsia="zh-CN" w:bidi="ar-SA"/>
              </w:rPr>
              <w:t>Cl</w:t>
            </w:r>
            <w:r>
              <w:rPr>
                <w:rFonts w:hint="default" w:ascii="Times New Roman" w:hAnsi="Times New Roman" w:eastAsia="宋体" w:cs="Times New Roman"/>
                <w:b w:val="0"/>
                <w:bCs w:val="0"/>
                <w:color w:val="auto"/>
                <w:kern w:val="2"/>
                <w:sz w:val="24"/>
                <w:szCs w:val="24"/>
                <w:vertAlign w:val="superscript"/>
                <w:lang w:val="en-US" w:eastAsia="zh-CN" w:bidi="ar-SA"/>
              </w:rPr>
              <w:t>-</w:t>
            </w:r>
            <w:bookmarkEnd w:id="108"/>
            <w:bookmarkStart w:id="109" w:name="OLE_LINK118"/>
            <w:r>
              <w:rPr>
                <w:rFonts w:hint="default" w:ascii="Times New Roman" w:hAnsi="Times New Roman" w:eastAsia="宋体" w:cs="Times New Roman"/>
                <w:b w:val="0"/>
                <w:bCs w:val="0"/>
                <w:color w:val="auto"/>
                <w:kern w:val="2"/>
                <w:sz w:val="24"/>
                <w:szCs w:val="24"/>
                <w:vertAlign w:val="baseline"/>
                <w:lang w:val="en-US" w:eastAsia="zh-CN" w:bidi="ar-SA"/>
              </w:rPr>
              <w:t>（</w:t>
            </w:r>
            <w:bookmarkEnd w:id="109"/>
            <w:r>
              <w:rPr>
                <w:rFonts w:hint="default" w:ascii="Times New Roman" w:hAnsi="Times New Roman" w:eastAsia="宋体" w:cs="Times New Roman"/>
                <w:b w:val="0"/>
                <w:bCs w:val="0"/>
                <w:color w:val="auto"/>
                <w:kern w:val="2"/>
                <w:sz w:val="24"/>
                <w:szCs w:val="24"/>
                <w:vertAlign w:val="baseline"/>
                <w:lang w:val="en-US" w:eastAsia="zh-CN" w:bidi="ar-SA"/>
              </w:rPr>
              <w:t>有机氯高温分解）在燃烧过程中与高温气流和高温、高细度、高浓度、高吸附性、高均匀性分布的碱性物料充分接触，充分吸收，不会成为二噁英的氯源，使得二噁英失去了形成的第一条件。</w:t>
            </w:r>
          </w:p>
          <w:p w14:paraId="714014FE">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b w:val="0"/>
                <w:bCs w:val="0"/>
                <w:color w:val="auto"/>
                <w:kern w:val="2"/>
                <w:sz w:val="24"/>
                <w:szCs w:val="24"/>
                <w:vertAlign w:val="baseline"/>
                <w:lang w:val="en-US" w:eastAsia="zh-CN" w:bidi="ar-SA"/>
              </w:rPr>
            </w:pPr>
            <w:r>
              <w:rPr>
                <w:rFonts w:hint="default" w:ascii="Times New Roman" w:hAnsi="Times New Roman" w:eastAsia="宋体" w:cs="Times New Roman"/>
                <w:b w:val="0"/>
                <w:bCs w:val="0"/>
                <w:color w:val="auto"/>
                <w:kern w:val="2"/>
                <w:sz w:val="24"/>
                <w:szCs w:val="24"/>
                <w:vertAlign w:val="baseline"/>
                <w:lang w:val="en-US" w:eastAsia="zh-CN" w:bidi="ar-SA"/>
              </w:rPr>
              <w:t>B、在烟气降温阶段，窑尾一级预热器进口气体为530℃，出口气体温度为330℃</w:t>
            </w:r>
            <w:r>
              <w:rPr>
                <w:rFonts w:hint="eastAsia" w:ascii="Times New Roman" w:hAnsi="Times New Roman" w:eastAsia="宋体" w:cs="Times New Roman"/>
                <w:b w:val="0"/>
                <w:bCs w:val="0"/>
                <w:color w:val="auto"/>
                <w:kern w:val="2"/>
                <w:sz w:val="24"/>
                <w:szCs w:val="24"/>
                <w:vertAlign w:val="baseline"/>
                <w:lang w:val="en-US" w:eastAsia="zh-CN" w:bidi="ar-SA"/>
              </w:rPr>
              <w:t>，</w:t>
            </w:r>
            <w:r>
              <w:rPr>
                <w:rFonts w:hint="default" w:ascii="Times New Roman" w:hAnsi="Times New Roman" w:eastAsia="宋体" w:cs="Times New Roman"/>
                <w:b w:val="0"/>
                <w:bCs w:val="0"/>
                <w:color w:val="auto"/>
                <w:kern w:val="2"/>
                <w:sz w:val="24"/>
                <w:szCs w:val="24"/>
                <w:vertAlign w:val="baseline"/>
                <w:lang w:val="en-US" w:eastAsia="zh-CN" w:bidi="ar-SA"/>
              </w:rPr>
              <w:t>因窑尾预热器系统内气固悬浮换热，因此随着生料在进口气体管道的喂入，气体温度在 0.1s内迅速降至350℃~400℃，</w:t>
            </w:r>
            <w:bookmarkStart w:id="110" w:name="OLE_LINK121"/>
            <w:r>
              <w:rPr>
                <w:rFonts w:hint="default" w:ascii="Times New Roman" w:hAnsi="Times New Roman" w:eastAsia="宋体" w:cs="Times New Roman"/>
                <w:b w:val="0"/>
                <w:bCs w:val="0"/>
                <w:color w:val="auto"/>
                <w:kern w:val="2"/>
                <w:sz w:val="24"/>
                <w:szCs w:val="24"/>
                <w:vertAlign w:val="baseline"/>
                <w:lang w:val="en-US" w:eastAsia="zh-CN" w:bidi="ar-SA"/>
              </w:rPr>
              <w:t>同时预热器中</w:t>
            </w:r>
            <w:bookmarkStart w:id="111" w:name="OLE_LINK117"/>
            <w:r>
              <w:rPr>
                <w:rFonts w:hint="default" w:ascii="Times New Roman" w:hAnsi="Times New Roman" w:eastAsia="宋体" w:cs="Times New Roman"/>
                <w:b w:val="0"/>
                <w:bCs w:val="0"/>
                <w:color w:val="auto"/>
                <w:kern w:val="2"/>
                <w:sz w:val="24"/>
                <w:szCs w:val="24"/>
                <w:vertAlign w:val="baseline"/>
                <w:lang w:val="en-US" w:eastAsia="zh-CN" w:bidi="ar-SA"/>
              </w:rPr>
              <w:t>Cl</w:t>
            </w:r>
            <w:r>
              <w:rPr>
                <w:rFonts w:hint="default" w:ascii="Times New Roman" w:hAnsi="Times New Roman" w:eastAsia="宋体" w:cs="Times New Roman"/>
                <w:b w:val="0"/>
                <w:bCs w:val="0"/>
                <w:color w:val="auto"/>
                <w:kern w:val="2"/>
                <w:sz w:val="24"/>
                <w:szCs w:val="24"/>
                <w:vertAlign w:val="superscript"/>
                <w:lang w:val="en-US" w:eastAsia="zh-CN" w:bidi="ar-SA"/>
              </w:rPr>
              <w:t>-</w:t>
            </w:r>
            <w:bookmarkEnd w:id="111"/>
            <w:r>
              <w:rPr>
                <w:rFonts w:hint="default" w:ascii="Times New Roman" w:hAnsi="Times New Roman" w:eastAsia="宋体" w:cs="Times New Roman"/>
                <w:b w:val="0"/>
                <w:bCs w:val="0"/>
                <w:color w:val="auto"/>
                <w:kern w:val="2"/>
                <w:sz w:val="24"/>
                <w:szCs w:val="24"/>
                <w:vertAlign w:val="baseline"/>
                <w:lang w:val="en-US" w:eastAsia="zh-CN" w:bidi="ar-SA"/>
              </w:rPr>
              <w:t>含量极少，极少的Cl</w:t>
            </w:r>
            <w:r>
              <w:rPr>
                <w:rFonts w:hint="default" w:ascii="Times New Roman" w:hAnsi="Times New Roman" w:eastAsia="宋体" w:cs="Times New Roman"/>
                <w:b w:val="0"/>
                <w:bCs w:val="0"/>
                <w:color w:val="auto"/>
                <w:kern w:val="2"/>
                <w:sz w:val="24"/>
                <w:szCs w:val="24"/>
                <w:vertAlign w:val="superscript"/>
                <w:lang w:val="en-US" w:eastAsia="zh-CN" w:bidi="ar-SA"/>
              </w:rPr>
              <w:t>-</w:t>
            </w:r>
            <w:r>
              <w:rPr>
                <w:rFonts w:hint="default" w:ascii="Times New Roman" w:hAnsi="Times New Roman" w:eastAsia="宋体" w:cs="Times New Roman"/>
                <w:b w:val="0"/>
                <w:bCs w:val="0"/>
                <w:color w:val="auto"/>
                <w:kern w:val="2"/>
                <w:sz w:val="24"/>
                <w:szCs w:val="24"/>
                <w:vertAlign w:val="baseline"/>
                <w:lang w:val="en-US" w:eastAsia="zh-CN" w:bidi="ar-SA"/>
              </w:rPr>
              <w:t>也易被生料吸收</w:t>
            </w:r>
            <w:r>
              <w:rPr>
                <w:rFonts w:hint="eastAsia" w:ascii="Times New Roman" w:hAnsi="Times New Roman" w:eastAsia="宋体" w:cs="Times New Roman"/>
                <w:b w:val="0"/>
                <w:bCs w:val="0"/>
                <w:color w:val="auto"/>
                <w:kern w:val="2"/>
                <w:sz w:val="24"/>
                <w:szCs w:val="24"/>
                <w:vertAlign w:val="baseline"/>
                <w:lang w:val="en-US" w:eastAsia="zh-CN" w:bidi="ar-SA"/>
              </w:rPr>
              <w:t>，</w:t>
            </w:r>
            <w:r>
              <w:rPr>
                <w:rFonts w:hint="default" w:ascii="Times New Roman" w:hAnsi="Times New Roman" w:eastAsia="宋体" w:cs="Times New Roman"/>
                <w:b w:val="0"/>
                <w:bCs w:val="0"/>
                <w:color w:val="auto"/>
                <w:kern w:val="2"/>
                <w:sz w:val="24"/>
                <w:szCs w:val="24"/>
                <w:vertAlign w:val="baseline"/>
                <w:lang w:val="en-US" w:eastAsia="zh-CN" w:bidi="ar-SA"/>
              </w:rPr>
              <w:t>生料里又缺少Cu</w:t>
            </w:r>
            <w:r>
              <w:rPr>
                <w:rFonts w:hint="default" w:ascii="Times New Roman" w:hAnsi="Times New Roman" w:eastAsia="宋体" w:cs="Times New Roman"/>
                <w:b w:val="0"/>
                <w:bCs w:val="0"/>
                <w:color w:val="auto"/>
                <w:kern w:val="2"/>
                <w:sz w:val="24"/>
                <w:szCs w:val="24"/>
                <w:vertAlign w:val="superscript"/>
                <w:lang w:val="en-US" w:eastAsia="zh-CN" w:bidi="ar-SA"/>
              </w:rPr>
              <w:t>2+</w:t>
            </w:r>
            <w:r>
              <w:rPr>
                <w:rFonts w:hint="default" w:ascii="Times New Roman" w:hAnsi="Times New Roman" w:eastAsia="宋体" w:cs="Times New Roman"/>
                <w:b w:val="0"/>
                <w:bCs w:val="0"/>
                <w:color w:val="auto"/>
                <w:kern w:val="2"/>
                <w:sz w:val="24"/>
                <w:szCs w:val="24"/>
                <w:vertAlign w:val="baseline"/>
                <w:lang w:val="en-US" w:eastAsia="zh-CN" w:bidi="ar-SA"/>
              </w:rPr>
              <w:t>、Fe</w:t>
            </w:r>
            <w:r>
              <w:rPr>
                <w:rFonts w:hint="default" w:ascii="Times New Roman" w:hAnsi="Times New Roman" w:eastAsia="宋体" w:cs="Times New Roman"/>
                <w:b w:val="0"/>
                <w:bCs w:val="0"/>
                <w:color w:val="auto"/>
                <w:kern w:val="2"/>
                <w:sz w:val="24"/>
                <w:szCs w:val="24"/>
                <w:vertAlign w:val="superscript"/>
                <w:lang w:val="en-US" w:eastAsia="zh-CN" w:bidi="ar-SA"/>
              </w:rPr>
              <w:t>2+</w:t>
            </w:r>
            <w:r>
              <w:rPr>
                <w:rFonts w:hint="default" w:ascii="Times New Roman" w:hAnsi="Times New Roman" w:eastAsia="宋体" w:cs="Times New Roman"/>
                <w:b w:val="0"/>
                <w:bCs w:val="0"/>
                <w:color w:val="auto"/>
                <w:kern w:val="2"/>
                <w:sz w:val="24"/>
                <w:szCs w:val="24"/>
                <w:vertAlign w:val="baseline"/>
                <w:lang w:val="en-US" w:eastAsia="zh-CN" w:bidi="ar-SA"/>
              </w:rPr>
              <w:t>催化剂</w:t>
            </w:r>
            <w:bookmarkEnd w:id="110"/>
            <w:bookmarkStart w:id="112" w:name="OLE_LINK123"/>
            <w:r>
              <w:rPr>
                <w:rFonts w:hint="default" w:ascii="Times New Roman" w:hAnsi="Times New Roman" w:eastAsia="宋体" w:cs="Times New Roman"/>
                <w:b w:val="0"/>
                <w:bCs w:val="0"/>
                <w:color w:val="auto"/>
                <w:kern w:val="2"/>
                <w:sz w:val="24"/>
                <w:szCs w:val="24"/>
                <w:vertAlign w:val="baseline"/>
                <w:lang w:val="en-US" w:eastAsia="zh-CN" w:bidi="ar-SA"/>
              </w:rPr>
              <w:t>，</w:t>
            </w:r>
            <w:bookmarkEnd w:id="112"/>
            <w:bookmarkStart w:id="113" w:name="OLE_LINK120"/>
            <w:r>
              <w:rPr>
                <w:rFonts w:hint="default" w:ascii="Times New Roman" w:hAnsi="Times New Roman" w:eastAsia="宋体" w:cs="Times New Roman"/>
                <w:b w:val="0"/>
                <w:bCs w:val="0"/>
                <w:color w:val="auto"/>
                <w:kern w:val="2"/>
                <w:sz w:val="24"/>
                <w:szCs w:val="24"/>
                <w:vertAlign w:val="baseline"/>
                <w:lang w:val="en-US" w:eastAsia="zh-CN" w:bidi="ar-SA"/>
              </w:rPr>
              <w:t>较难再次形成二噁英</w:t>
            </w:r>
            <w:r>
              <w:rPr>
                <w:rFonts w:hint="eastAsia" w:ascii="Times New Roman" w:hAnsi="Times New Roman" w:eastAsia="宋体" w:cs="Times New Roman"/>
                <w:b w:val="0"/>
                <w:bCs w:val="0"/>
                <w:color w:val="auto"/>
                <w:kern w:val="2"/>
                <w:sz w:val="24"/>
                <w:szCs w:val="24"/>
                <w:vertAlign w:val="baseline"/>
                <w:lang w:val="en-US" w:eastAsia="zh-CN" w:bidi="ar-SA"/>
              </w:rPr>
              <w:t>，</w:t>
            </w:r>
            <w:r>
              <w:rPr>
                <w:rFonts w:hint="default" w:ascii="Times New Roman" w:hAnsi="Times New Roman" w:eastAsia="宋体" w:cs="Times New Roman"/>
                <w:b w:val="0"/>
                <w:bCs w:val="0"/>
                <w:color w:val="auto"/>
                <w:kern w:val="2"/>
                <w:sz w:val="24"/>
                <w:szCs w:val="24"/>
                <w:vertAlign w:val="baseline"/>
                <w:lang w:val="en-US" w:eastAsia="zh-CN" w:bidi="ar-SA"/>
              </w:rPr>
              <w:t>预热器出来的烟气还需经过增湿塔、原料磨和除尘器等构成多级收尘系统，在增湿塔内，烟气温度从330℃迅速冷却至 250℃以下，避免了二噁英二次合成</w:t>
            </w:r>
            <w:bookmarkEnd w:id="113"/>
            <w:r>
              <w:rPr>
                <w:rFonts w:hint="eastAsia" w:ascii="Times New Roman" w:hAnsi="Times New Roman" w:eastAsia="宋体" w:cs="Times New Roman"/>
                <w:b w:val="0"/>
                <w:bCs w:val="0"/>
                <w:color w:val="auto"/>
                <w:kern w:val="2"/>
                <w:sz w:val="24"/>
                <w:szCs w:val="24"/>
                <w:vertAlign w:val="baseline"/>
                <w:lang w:val="en-US" w:eastAsia="zh-CN" w:bidi="ar-SA"/>
              </w:rPr>
              <w:t>。</w:t>
            </w:r>
          </w:p>
          <w:p w14:paraId="6F3E9AF4">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ascii="Times New Roman" w:hAnsi="Times New Roman" w:eastAsia="宋体" w:cs="Times New Roman"/>
                <w:b w:val="0"/>
                <w:bCs w:val="0"/>
                <w:color w:val="auto"/>
                <w:kern w:val="2"/>
                <w:sz w:val="24"/>
                <w:szCs w:val="24"/>
                <w:vertAlign w:val="baseline"/>
                <w:lang w:val="en-US" w:eastAsia="zh-CN" w:bidi="ar-SA"/>
              </w:rPr>
              <w:t>（3）重金属固定</w:t>
            </w:r>
          </w:p>
          <w:p w14:paraId="6A25518C">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ascii="Times New Roman" w:hAnsi="Times New Roman" w:eastAsia="宋体" w:cs="Times New Roman"/>
                <w:b w:val="0"/>
                <w:bCs w:val="0"/>
                <w:color w:val="auto"/>
                <w:kern w:val="2"/>
                <w:sz w:val="24"/>
                <w:szCs w:val="24"/>
                <w:vertAlign w:val="baseline"/>
                <w:lang w:val="en-US" w:eastAsia="zh-CN" w:bidi="ar-SA"/>
              </w:rPr>
              <w:t>根据文献（水泥窑处置危险废物过程中重金属的分配，中国环境科学 2009，29（9），间大海、李璐等）及相关资料查阅，重金属有三个流向</w:t>
            </w:r>
            <w:r>
              <w:rPr>
                <w:rFonts w:hint="eastAsia" w:ascii="Times New Roman" w:hAnsi="Times New Roman" w:eastAsia="宋体" w:cs="Times New Roman"/>
                <w:b w:val="0"/>
                <w:bCs w:val="0"/>
                <w:color w:val="auto"/>
                <w:kern w:val="2"/>
                <w:sz w:val="24"/>
                <w:szCs w:val="24"/>
                <w:vertAlign w:val="baseline"/>
                <w:lang w:val="en-US" w:eastAsia="zh-CN" w:bidi="ar-SA"/>
              </w:rPr>
              <w:t>，分别为</w:t>
            </w:r>
            <w:r>
              <w:rPr>
                <w:rFonts w:hint="default" w:ascii="Times New Roman" w:hAnsi="Times New Roman" w:eastAsia="宋体" w:cs="Times New Roman"/>
                <w:b w:val="0"/>
                <w:bCs w:val="0"/>
                <w:color w:val="auto"/>
                <w:kern w:val="2"/>
                <w:sz w:val="24"/>
                <w:szCs w:val="24"/>
                <w:vertAlign w:val="baseline"/>
                <w:lang w:val="en-US" w:eastAsia="zh-CN" w:bidi="ar-SA"/>
              </w:rPr>
              <w:t>进入熟料</w:t>
            </w:r>
            <w:r>
              <w:rPr>
                <w:rFonts w:hint="eastAsia" w:ascii="Times New Roman" w:hAnsi="Times New Roman" w:eastAsia="宋体" w:cs="Times New Roman"/>
                <w:b w:val="0"/>
                <w:bCs w:val="0"/>
                <w:color w:val="auto"/>
                <w:kern w:val="2"/>
                <w:sz w:val="24"/>
                <w:szCs w:val="24"/>
                <w:vertAlign w:val="baseline"/>
                <w:lang w:val="en-US" w:eastAsia="zh-CN" w:bidi="ar-SA"/>
              </w:rPr>
              <w:t>、</w:t>
            </w:r>
            <w:r>
              <w:rPr>
                <w:rFonts w:hint="default" w:ascii="Times New Roman" w:hAnsi="Times New Roman" w:eastAsia="宋体" w:cs="Times New Roman"/>
                <w:b w:val="0"/>
                <w:bCs w:val="0"/>
                <w:color w:val="auto"/>
                <w:kern w:val="2"/>
                <w:sz w:val="24"/>
                <w:szCs w:val="24"/>
                <w:vertAlign w:val="baseline"/>
                <w:lang w:val="en-US" w:eastAsia="zh-CN" w:bidi="ar-SA"/>
              </w:rPr>
              <w:t>随尾气排放</w:t>
            </w:r>
            <w:r>
              <w:rPr>
                <w:rFonts w:hint="eastAsia" w:ascii="Times New Roman" w:hAnsi="Times New Roman" w:eastAsia="宋体" w:cs="Times New Roman"/>
                <w:b w:val="0"/>
                <w:bCs w:val="0"/>
                <w:color w:val="auto"/>
                <w:kern w:val="2"/>
                <w:sz w:val="24"/>
                <w:szCs w:val="24"/>
                <w:vertAlign w:val="baseline"/>
                <w:lang w:val="en-US" w:eastAsia="zh-CN" w:bidi="ar-SA"/>
              </w:rPr>
              <w:t>以及</w:t>
            </w:r>
            <w:r>
              <w:rPr>
                <w:rFonts w:hint="default" w:ascii="Times New Roman" w:hAnsi="Times New Roman" w:eastAsia="宋体" w:cs="Times New Roman"/>
                <w:b w:val="0"/>
                <w:bCs w:val="0"/>
                <w:color w:val="auto"/>
                <w:kern w:val="2"/>
                <w:sz w:val="24"/>
                <w:szCs w:val="24"/>
                <w:vertAlign w:val="baseline"/>
                <w:lang w:val="en-US" w:eastAsia="zh-CN" w:bidi="ar-SA"/>
              </w:rPr>
              <w:t>附着在回用窑灰上。</w:t>
            </w:r>
          </w:p>
          <w:p w14:paraId="5219FE27">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ascii="Times New Roman" w:hAnsi="Times New Roman" w:eastAsia="宋体" w:cs="Times New Roman"/>
                <w:b w:val="0"/>
                <w:bCs w:val="0"/>
                <w:color w:val="auto"/>
                <w:kern w:val="2"/>
                <w:sz w:val="24"/>
                <w:szCs w:val="24"/>
                <w:vertAlign w:val="baseline"/>
                <w:lang w:val="en-US" w:eastAsia="zh-CN" w:bidi="ar-SA"/>
              </w:rPr>
              <w:t>根据《水泥窑协同处置固体废物环境保护技术规范编制说明》中重金属的挥发特性，可将重金属分为4类，详见下表。</w:t>
            </w:r>
          </w:p>
          <w:p w14:paraId="6B6751BA">
            <w:pPr>
              <w:jc w:val="center"/>
              <w:rPr>
                <w:rFonts w:hint="eastAsia" w:cs="Times New Roman"/>
                <w:b/>
                <w:color w:val="auto"/>
                <w:lang w:eastAsia="zh-CN"/>
              </w:rPr>
            </w:pPr>
            <w:bookmarkStart w:id="114" w:name="OLE_LINK132"/>
            <w:r>
              <w:rPr>
                <w:rFonts w:hint="eastAsia" w:ascii="Times New Roman" w:hAnsi="Times New Roman" w:cs="Times New Roman"/>
                <w:b/>
                <w:color w:val="auto"/>
              </w:rPr>
              <w:t>表</w:t>
            </w:r>
            <w:r>
              <w:rPr>
                <w:rFonts w:ascii="Times New Roman" w:hAnsi="Times New Roman" w:cs="Times New Roman"/>
                <w:b/>
                <w:color w:val="auto"/>
              </w:rPr>
              <w:t>2</w:t>
            </w:r>
            <w:r>
              <w:rPr>
                <w:rFonts w:hint="eastAsia" w:ascii="Times New Roman" w:hAnsi="Times New Roman" w:cs="Times New Roman"/>
                <w:b/>
                <w:color w:val="auto"/>
                <w:lang w:val="en-US" w:eastAsia="zh-CN"/>
              </w:rPr>
              <w:t>-</w:t>
            </w:r>
            <w:r>
              <w:rPr>
                <w:rFonts w:hint="eastAsia" w:cs="Times New Roman"/>
                <w:b/>
                <w:color w:val="auto"/>
                <w:lang w:val="en-US" w:eastAsia="zh-CN"/>
              </w:rPr>
              <w:t xml:space="preserve">38 </w:t>
            </w:r>
            <w:r>
              <w:rPr>
                <w:rFonts w:hint="eastAsia" w:cs="Times New Roman"/>
                <w:b/>
                <w:color w:val="auto"/>
                <w:lang w:eastAsia="zh-CN"/>
              </w:rPr>
              <w:t>微量元素在水泥窑内的挥发分级</w:t>
            </w:r>
          </w:p>
          <w:bookmarkEnd w:id="114"/>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6010"/>
              <w:gridCol w:w="2123"/>
            </w:tblGrid>
            <w:tr w14:paraId="40FB6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8" w:type="pct"/>
                  <w:vAlign w:val="center"/>
                </w:tcPr>
                <w:p w14:paraId="22216A95">
                  <w:pPr>
                    <w:adjustRightInd w:val="0"/>
                    <w:snapToGrid w:val="0"/>
                    <w:jc w:val="center"/>
                    <w:rPr>
                      <w:rFonts w:hint="default" w:cs="Times New Roman"/>
                      <w:bCs/>
                      <w:color w:val="000000"/>
                      <w:szCs w:val="21"/>
                      <w:lang w:val="en-US" w:eastAsia="zh-CN"/>
                    </w:rPr>
                  </w:pPr>
                  <w:r>
                    <w:rPr>
                      <w:rFonts w:hint="eastAsia" w:cs="Times New Roman"/>
                      <w:bCs/>
                      <w:color w:val="000000"/>
                      <w:szCs w:val="21"/>
                      <w:lang w:val="en-US" w:eastAsia="zh-CN"/>
                    </w:rPr>
                    <w:t>等级</w:t>
                  </w:r>
                </w:p>
              </w:tc>
              <w:tc>
                <w:tcPr>
                  <w:tcW w:w="3267" w:type="pct"/>
                  <w:vAlign w:val="center"/>
                </w:tcPr>
                <w:p w14:paraId="0F855519">
                  <w:pPr>
                    <w:adjustRightInd w:val="0"/>
                    <w:snapToGrid w:val="0"/>
                    <w:jc w:val="center"/>
                    <w:rPr>
                      <w:rFonts w:hint="default" w:cs="Times New Roman"/>
                      <w:bCs/>
                      <w:color w:val="000000"/>
                      <w:szCs w:val="21"/>
                      <w:lang w:val="en-US" w:eastAsia="zh-CN"/>
                    </w:rPr>
                  </w:pPr>
                  <w:r>
                    <w:rPr>
                      <w:rFonts w:hint="eastAsia" w:cs="Times New Roman"/>
                      <w:bCs/>
                      <w:color w:val="000000"/>
                      <w:szCs w:val="21"/>
                      <w:lang w:val="en-US" w:eastAsia="zh-CN"/>
                    </w:rPr>
                    <w:t>元素</w:t>
                  </w:r>
                </w:p>
              </w:tc>
              <w:tc>
                <w:tcPr>
                  <w:tcW w:w="1154" w:type="pct"/>
                  <w:vAlign w:val="center"/>
                </w:tcPr>
                <w:p w14:paraId="142223E8">
                  <w:pPr>
                    <w:adjustRightInd w:val="0"/>
                    <w:snapToGrid w:val="0"/>
                    <w:jc w:val="center"/>
                    <w:rPr>
                      <w:rFonts w:hint="default" w:cs="Times New Roman"/>
                      <w:bCs/>
                      <w:color w:val="000000"/>
                      <w:szCs w:val="21"/>
                      <w:lang w:val="en-US" w:eastAsia="zh-CN"/>
                    </w:rPr>
                  </w:pPr>
                  <w:r>
                    <w:rPr>
                      <w:rFonts w:hint="eastAsia" w:cs="Times New Roman"/>
                      <w:bCs/>
                      <w:color w:val="000000"/>
                      <w:szCs w:val="21"/>
                      <w:lang w:val="en-US" w:eastAsia="zh-CN"/>
                    </w:rPr>
                    <w:t>冷凝温度（℃）</w:t>
                  </w:r>
                </w:p>
              </w:tc>
            </w:tr>
            <w:tr w14:paraId="07458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8" w:type="pct"/>
                  <w:vAlign w:val="center"/>
                </w:tcPr>
                <w:p w14:paraId="36E680C4">
                  <w:pPr>
                    <w:adjustRightInd w:val="0"/>
                    <w:snapToGrid w:val="0"/>
                    <w:jc w:val="center"/>
                    <w:rPr>
                      <w:rFonts w:hint="default" w:cs="Times New Roman"/>
                      <w:bCs/>
                      <w:color w:val="000000"/>
                      <w:szCs w:val="21"/>
                      <w:lang w:val="en-US" w:eastAsia="zh-CN"/>
                    </w:rPr>
                  </w:pPr>
                  <w:r>
                    <w:rPr>
                      <w:rFonts w:hint="eastAsia" w:cs="Times New Roman"/>
                      <w:bCs/>
                      <w:color w:val="000000"/>
                      <w:szCs w:val="21"/>
                      <w:lang w:val="en-US" w:eastAsia="zh-CN"/>
                    </w:rPr>
                    <w:t>不挥发</w:t>
                  </w:r>
                </w:p>
              </w:tc>
              <w:tc>
                <w:tcPr>
                  <w:tcW w:w="3267" w:type="pct"/>
                  <w:vAlign w:val="center"/>
                </w:tcPr>
                <w:p w14:paraId="4C353B6A">
                  <w:pPr>
                    <w:adjustRightInd w:val="0"/>
                    <w:snapToGrid w:val="0"/>
                    <w:jc w:val="center"/>
                    <w:rPr>
                      <w:rFonts w:hint="default" w:cs="Times New Roman"/>
                      <w:bCs/>
                      <w:color w:val="000000"/>
                      <w:szCs w:val="21"/>
                      <w:lang w:val="en-US" w:eastAsia="zh-CN"/>
                    </w:rPr>
                  </w:pPr>
                  <w:r>
                    <w:rPr>
                      <w:rFonts w:hint="default" w:cs="Times New Roman"/>
                      <w:bCs/>
                      <w:color w:val="000000"/>
                      <w:szCs w:val="21"/>
                      <w:lang w:val="en-US" w:eastAsia="zh-CN"/>
                    </w:rPr>
                    <w:t>Ba、Be、Ni、V、Al、Ti、Ca、Fe、Mn、Cu、Ag</w:t>
                  </w:r>
                </w:p>
              </w:tc>
              <w:tc>
                <w:tcPr>
                  <w:tcW w:w="1154" w:type="pct"/>
                  <w:vAlign w:val="center"/>
                </w:tcPr>
                <w:p w14:paraId="3368BBEB">
                  <w:pPr>
                    <w:adjustRightInd w:val="0"/>
                    <w:snapToGrid w:val="0"/>
                    <w:jc w:val="center"/>
                    <w:rPr>
                      <w:rFonts w:hint="default" w:cs="Times New Roman"/>
                      <w:bCs/>
                      <w:color w:val="000000"/>
                      <w:szCs w:val="21"/>
                      <w:lang w:val="en-US" w:eastAsia="zh-CN"/>
                    </w:rPr>
                  </w:pPr>
                  <w:r>
                    <w:rPr>
                      <w:rFonts w:hint="eastAsia" w:cs="Times New Roman"/>
                      <w:bCs/>
                      <w:color w:val="000000"/>
                      <w:szCs w:val="21"/>
                      <w:lang w:val="en-US" w:eastAsia="zh-CN"/>
                    </w:rPr>
                    <w:t>/</w:t>
                  </w:r>
                </w:p>
              </w:tc>
            </w:tr>
            <w:tr w14:paraId="784D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8" w:type="pct"/>
                  <w:vAlign w:val="center"/>
                </w:tcPr>
                <w:p w14:paraId="5CAF0D89">
                  <w:pPr>
                    <w:adjustRightInd w:val="0"/>
                    <w:snapToGrid w:val="0"/>
                    <w:jc w:val="center"/>
                    <w:rPr>
                      <w:rFonts w:hint="default" w:cs="Times New Roman"/>
                      <w:bCs/>
                      <w:color w:val="000000"/>
                      <w:szCs w:val="21"/>
                      <w:lang w:val="en-US" w:eastAsia="zh-CN"/>
                    </w:rPr>
                  </w:pPr>
                  <w:r>
                    <w:rPr>
                      <w:rFonts w:hint="eastAsia" w:cs="Times New Roman"/>
                      <w:bCs/>
                      <w:color w:val="000000"/>
                      <w:szCs w:val="21"/>
                      <w:lang w:val="en-US" w:eastAsia="zh-CN"/>
                    </w:rPr>
                    <w:t>半挥发</w:t>
                  </w:r>
                </w:p>
              </w:tc>
              <w:tc>
                <w:tcPr>
                  <w:tcW w:w="3267" w:type="pct"/>
                  <w:vAlign w:val="center"/>
                </w:tcPr>
                <w:p w14:paraId="14A38FE4">
                  <w:pPr>
                    <w:adjustRightInd w:val="0"/>
                    <w:snapToGrid w:val="0"/>
                    <w:jc w:val="center"/>
                    <w:rPr>
                      <w:rFonts w:hint="default" w:cs="Times New Roman"/>
                      <w:bCs/>
                      <w:color w:val="000000"/>
                      <w:szCs w:val="21"/>
                      <w:lang w:val="en-US" w:eastAsia="zh-CN"/>
                    </w:rPr>
                  </w:pPr>
                  <w:r>
                    <w:rPr>
                      <w:rFonts w:hint="default" w:cs="Times New Roman"/>
                      <w:bCs/>
                      <w:color w:val="000000"/>
                      <w:szCs w:val="21"/>
                      <w:lang w:val="en-US" w:eastAsia="zh-CN"/>
                    </w:rPr>
                    <w:t>As、Sb、Cd、Pb、Se、Zn、K、Na</w:t>
                  </w:r>
                </w:p>
              </w:tc>
              <w:tc>
                <w:tcPr>
                  <w:tcW w:w="1154" w:type="pct"/>
                  <w:vAlign w:val="center"/>
                </w:tcPr>
                <w:p w14:paraId="3F54C97C">
                  <w:pPr>
                    <w:adjustRightInd w:val="0"/>
                    <w:snapToGrid w:val="0"/>
                    <w:jc w:val="center"/>
                    <w:rPr>
                      <w:rFonts w:hint="default" w:cs="Times New Roman"/>
                      <w:bCs/>
                      <w:color w:val="000000"/>
                      <w:szCs w:val="21"/>
                      <w:lang w:val="en-US" w:eastAsia="zh-CN"/>
                    </w:rPr>
                  </w:pPr>
                  <w:r>
                    <w:rPr>
                      <w:rFonts w:hint="eastAsia" w:cs="Times New Roman"/>
                      <w:bCs/>
                      <w:color w:val="000000"/>
                      <w:szCs w:val="21"/>
                      <w:lang w:val="en-US" w:eastAsia="zh-CN"/>
                    </w:rPr>
                    <w:t>700-900</w:t>
                  </w:r>
                </w:p>
              </w:tc>
            </w:tr>
            <w:tr w14:paraId="572C4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8" w:type="pct"/>
                  <w:vAlign w:val="center"/>
                </w:tcPr>
                <w:p w14:paraId="2A424F6C">
                  <w:pPr>
                    <w:adjustRightInd w:val="0"/>
                    <w:snapToGrid w:val="0"/>
                    <w:jc w:val="center"/>
                    <w:rPr>
                      <w:rFonts w:hint="default" w:cs="Times New Roman"/>
                      <w:bCs/>
                      <w:color w:val="000000"/>
                      <w:szCs w:val="21"/>
                      <w:lang w:val="en-US" w:eastAsia="zh-CN"/>
                    </w:rPr>
                  </w:pPr>
                  <w:r>
                    <w:rPr>
                      <w:rFonts w:hint="eastAsia" w:cs="Times New Roman"/>
                      <w:bCs/>
                      <w:color w:val="000000"/>
                      <w:szCs w:val="21"/>
                      <w:lang w:val="en-US" w:eastAsia="zh-CN"/>
                    </w:rPr>
                    <w:t>易挥发</w:t>
                  </w:r>
                </w:p>
              </w:tc>
              <w:tc>
                <w:tcPr>
                  <w:tcW w:w="3267" w:type="pct"/>
                  <w:vAlign w:val="center"/>
                </w:tcPr>
                <w:p w14:paraId="723C4ABB">
                  <w:pPr>
                    <w:adjustRightInd w:val="0"/>
                    <w:snapToGrid w:val="0"/>
                    <w:jc w:val="center"/>
                    <w:rPr>
                      <w:rFonts w:hint="default" w:cs="Times New Roman"/>
                      <w:bCs/>
                      <w:color w:val="000000"/>
                      <w:szCs w:val="21"/>
                      <w:lang w:val="en-US" w:eastAsia="zh-CN"/>
                    </w:rPr>
                  </w:pPr>
                  <w:r>
                    <w:rPr>
                      <w:rFonts w:hint="default" w:cs="Times New Roman"/>
                      <w:bCs/>
                      <w:color w:val="000000"/>
                      <w:szCs w:val="21"/>
                      <w:lang w:val="en-US" w:eastAsia="zh-CN"/>
                    </w:rPr>
                    <w:t>T</w:t>
                  </w:r>
                  <w:r>
                    <w:rPr>
                      <w:rFonts w:hint="eastAsia" w:cs="Times New Roman"/>
                      <w:bCs/>
                      <w:color w:val="000000"/>
                      <w:szCs w:val="21"/>
                      <w:lang w:val="en-US" w:eastAsia="zh-CN"/>
                    </w:rPr>
                    <w:t>l</w:t>
                  </w:r>
                </w:p>
              </w:tc>
              <w:tc>
                <w:tcPr>
                  <w:tcW w:w="1154" w:type="pct"/>
                  <w:vAlign w:val="center"/>
                </w:tcPr>
                <w:p w14:paraId="560EB36C">
                  <w:pPr>
                    <w:adjustRightInd w:val="0"/>
                    <w:snapToGrid w:val="0"/>
                    <w:jc w:val="center"/>
                    <w:rPr>
                      <w:rFonts w:hint="default" w:cs="Times New Roman"/>
                      <w:bCs/>
                      <w:color w:val="000000"/>
                      <w:szCs w:val="21"/>
                      <w:lang w:val="en-US" w:eastAsia="zh-CN"/>
                    </w:rPr>
                  </w:pPr>
                  <w:r>
                    <w:rPr>
                      <w:rFonts w:hint="eastAsia" w:cs="Times New Roman"/>
                      <w:bCs/>
                      <w:color w:val="000000"/>
                      <w:szCs w:val="21"/>
                      <w:lang w:val="en-US" w:eastAsia="zh-CN"/>
                    </w:rPr>
                    <w:t>450-550</w:t>
                  </w:r>
                </w:p>
              </w:tc>
            </w:tr>
            <w:tr w14:paraId="1D945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8" w:type="pct"/>
                  <w:vAlign w:val="center"/>
                </w:tcPr>
                <w:p w14:paraId="406A12D9">
                  <w:pPr>
                    <w:adjustRightInd w:val="0"/>
                    <w:snapToGrid w:val="0"/>
                    <w:jc w:val="center"/>
                    <w:rPr>
                      <w:rFonts w:hint="default" w:cs="Times New Roman"/>
                      <w:bCs/>
                      <w:color w:val="000000"/>
                      <w:szCs w:val="21"/>
                      <w:lang w:val="en-US" w:eastAsia="zh-CN"/>
                    </w:rPr>
                  </w:pPr>
                  <w:r>
                    <w:rPr>
                      <w:rFonts w:hint="eastAsia" w:cs="Times New Roman"/>
                      <w:bCs/>
                      <w:color w:val="000000"/>
                      <w:szCs w:val="21"/>
                      <w:lang w:val="en-US" w:eastAsia="zh-CN"/>
                    </w:rPr>
                    <w:t>高挥发</w:t>
                  </w:r>
                </w:p>
              </w:tc>
              <w:tc>
                <w:tcPr>
                  <w:tcW w:w="3267" w:type="pct"/>
                  <w:vAlign w:val="center"/>
                </w:tcPr>
                <w:p w14:paraId="40B18A88">
                  <w:pPr>
                    <w:adjustRightInd w:val="0"/>
                    <w:snapToGrid w:val="0"/>
                    <w:jc w:val="center"/>
                    <w:rPr>
                      <w:rFonts w:hint="default" w:cs="Times New Roman"/>
                      <w:bCs/>
                      <w:color w:val="000000"/>
                      <w:szCs w:val="21"/>
                      <w:lang w:val="en-US" w:eastAsia="zh-CN"/>
                    </w:rPr>
                  </w:pPr>
                  <w:r>
                    <w:rPr>
                      <w:rFonts w:hint="default" w:cs="Times New Roman"/>
                      <w:bCs/>
                      <w:color w:val="000000"/>
                      <w:szCs w:val="21"/>
                      <w:lang w:val="en-US" w:eastAsia="zh-CN"/>
                    </w:rPr>
                    <w:t>Hg</w:t>
                  </w:r>
                </w:p>
              </w:tc>
              <w:tc>
                <w:tcPr>
                  <w:tcW w:w="1154" w:type="pct"/>
                  <w:vAlign w:val="center"/>
                </w:tcPr>
                <w:p w14:paraId="020BFDB6">
                  <w:pPr>
                    <w:adjustRightInd w:val="0"/>
                    <w:snapToGrid w:val="0"/>
                    <w:jc w:val="center"/>
                    <w:rPr>
                      <w:rFonts w:hint="default" w:cs="Times New Roman"/>
                      <w:bCs/>
                      <w:color w:val="000000"/>
                      <w:szCs w:val="21"/>
                      <w:lang w:val="en-US" w:eastAsia="zh-CN"/>
                    </w:rPr>
                  </w:pPr>
                  <w:r>
                    <w:rPr>
                      <w:rFonts w:hint="eastAsia" w:cs="Times New Roman"/>
                      <w:bCs/>
                      <w:color w:val="000000"/>
                      <w:szCs w:val="21"/>
                      <w:lang w:val="en-US" w:eastAsia="zh-CN"/>
                    </w:rPr>
                    <w:t>＜250</w:t>
                  </w:r>
                </w:p>
              </w:tc>
            </w:tr>
          </w:tbl>
          <w:p w14:paraId="79A0A001">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ascii="Times New Roman" w:hAnsi="Times New Roman" w:eastAsia="宋体" w:cs="Times New Roman"/>
                <w:b w:val="0"/>
                <w:bCs w:val="0"/>
                <w:color w:val="auto"/>
                <w:kern w:val="2"/>
                <w:sz w:val="24"/>
                <w:szCs w:val="24"/>
                <w:vertAlign w:val="baseline"/>
                <w:lang w:val="en-US" w:eastAsia="zh-CN" w:bidi="ar-SA"/>
              </w:rPr>
              <w:t>项目对于固体废物中主要金属元素汞、砷、铅、铬、镐、铜、锌、镍、锰等可按挥发性划分为3个等级：</w:t>
            </w:r>
          </w:p>
          <w:p w14:paraId="1B900CD7">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ascii="Times New Roman" w:hAnsi="Times New Roman" w:eastAsia="宋体" w:cs="Times New Roman"/>
                <w:b w:val="0"/>
                <w:bCs w:val="0"/>
                <w:color w:val="auto"/>
                <w:kern w:val="2"/>
                <w:sz w:val="24"/>
                <w:szCs w:val="24"/>
                <w:vertAlign w:val="baseline"/>
                <w:lang w:val="en-US" w:eastAsia="zh-CN" w:bidi="ar-SA"/>
              </w:rPr>
              <w:t>A、不挥发类元素</w:t>
            </w:r>
            <w:r>
              <w:rPr>
                <w:rFonts w:hint="eastAsia" w:ascii="Times New Roman" w:hAnsi="Times New Roman" w:eastAsia="宋体" w:cs="Times New Roman"/>
                <w:b w:val="0"/>
                <w:bCs w:val="0"/>
                <w:color w:val="auto"/>
                <w:kern w:val="2"/>
                <w:sz w:val="24"/>
                <w:szCs w:val="24"/>
                <w:vertAlign w:val="baseline"/>
                <w:lang w:val="en-US" w:eastAsia="zh-CN" w:bidi="ar-SA"/>
              </w:rPr>
              <w:t>：</w:t>
            </w:r>
            <w:r>
              <w:rPr>
                <w:rFonts w:hint="default" w:ascii="Times New Roman" w:hAnsi="Times New Roman" w:eastAsia="宋体" w:cs="Times New Roman"/>
                <w:b w:val="0"/>
                <w:bCs w:val="0"/>
                <w:color w:val="auto"/>
                <w:kern w:val="2"/>
                <w:sz w:val="24"/>
                <w:szCs w:val="24"/>
                <w:vertAlign w:val="baseline"/>
                <w:lang w:val="en-US" w:eastAsia="zh-CN" w:bidi="ar-SA"/>
              </w:rPr>
              <w:t>铅、镍、铬、锰、铜，99.9%以上直接进入熟料，极少量通过尾气排出；</w:t>
            </w:r>
          </w:p>
          <w:p w14:paraId="4FAA9919">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ascii="Times New Roman" w:hAnsi="Times New Roman" w:eastAsia="宋体" w:cs="Times New Roman"/>
                <w:b w:val="0"/>
                <w:bCs w:val="0"/>
                <w:color w:val="auto"/>
                <w:kern w:val="2"/>
                <w:sz w:val="24"/>
                <w:szCs w:val="24"/>
                <w:vertAlign w:val="baseline"/>
                <w:lang w:val="en-US" w:eastAsia="zh-CN" w:bidi="ar-SA"/>
              </w:rPr>
              <w:t>B、半挥发性元素</w:t>
            </w:r>
            <w:r>
              <w:rPr>
                <w:rFonts w:hint="eastAsia" w:ascii="Times New Roman" w:hAnsi="Times New Roman" w:eastAsia="宋体" w:cs="Times New Roman"/>
                <w:b w:val="0"/>
                <w:bCs w:val="0"/>
                <w:color w:val="auto"/>
                <w:kern w:val="2"/>
                <w:sz w:val="24"/>
                <w:szCs w:val="24"/>
                <w:vertAlign w:val="baseline"/>
                <w:lang w:val="en-US" w:eastAsia="zh-CN" w:bidi="ar-SA"/>
              </w:rPr>
              <w:t>：</w:t>
            </w:r>
            <w:r>
              <w:rPr>
                <w:rFonts w:hint="default" w:ascii="Times New Roman" w:hAnsi="Times New Roman" w:eastAsia="宋体" w:cs="Times New Roman"/>
                <w:b w:val="0"/>
                <w:bCs w:val="0"/>
                <w:color w:val="auto"/>
                <w:kern w:val="2"/>
                <w:sz w:val="24"/>
                <w:szCs w:val="24"/>
                <w:vertAlign w:val="baseline"/>
                <w:lang w:val="en-US" w:eastAsia="zh-CN" w:bidi="ar-SA"/>
              </w:rPr>
              <w:t>锌、铅、镉、</w:t>
            </w:r>
            <w:r>
              <w:rPr>
                <w:rFonts w:hint="eastAsia" w:ascii="Times New Roman" w:hAnsi="Times New Roman" w:eastAsia="宋体" w:cs="Times New Roman"/>
                <w:b w:val="0"/>
                <w:bCs w:val="0"/>
                <w:color w:val="auto"/>
                <w:kern w:val="2"/>
                <w:sz w:val="24"/>
                <w:szCs w:val="24"/>
                <w:vertAlign w:val="baseline"/>
                <w:lang w:val="en-US" w:eastAsia="zh-CN" w:bidi="ar-SA"/>
              </w:rPr>
              <w:t>砷</w:t>
            </w:r>
            <w:r>
              <w:rPr>
                <w:rFonts w:hint="default" w:ascii="Times New Roman" w:hAnsi="Times New Roman" w:eastAsia="宋体" w:cs="Times New Roman"/>
                <w:b w:val="0"/>
                <w:bCs w:val="0"/>
                <w:color w:val="auto"/>
                <w:kern w:val="2"/>
                <w:sz w:val="24"/>
                <w:szCs w:val="24"/>
                <w:vertAlign w:val="baseline"/>
                <w:lang w:val="en-US" w:eastAsia="zh-CN" w:bidi="ar-SA"/>
              </w:rPr>
              <w:t>，在窑内（物料 900~1450℃）部分挥发出来随烟气进入预热器，遇冷（330~550℃）后凝结回到物料中返回到窑内，由于在窑内和预热器之间形成内循环，最终几乎全部进入熟料，少量随尾气排出；</w:t>
            </w:r>
          </w:p>
          <w:p w14:paraId="42F38D29">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ascii="Times New Roman" w:hAnsi="Times New Roman" w:eastAsia="宋体" w:cs="Times New Roman"/>
                <w:b w:val="0"/>
                <w:bCs w:val="0"/>
                <w:color w:val="auto"/>
                <w:kern w:val="2"/>
                <w:sz w:val="24"/>
                <w:szCs w:val="24"/>
                <w:vertAlign w:val="baseline"/>
                <w:lang w:val="en-US" w:eastAsia="zh-CN" w:bidi="ar-SA"/>
              </w:rPr>
              <w:t>C、易挥发</w:t>
            </w:r>
            <w:r>
              <w:rPr>
                <w:rFonts w:hint="eastAsia" w:ascii="Times New Roman" w:hAnsi="Times New Roman" w:eastAsia="宋体" w:cs="Times New Roman"/>
                <w:b w:val="0"/>
                <w:bCs w:val="0"/>
                <w:color w:val="auto"/>
                <w:kern w:val="2"/>
                <w:sz w:val="24"/>
                <w:szCs w:val="24"/>
                <w:vertAlign w:val="baseline"/>
                <w:lang w:val="en-US" w:eastAsia="zh-CN" w:bidi="ar-SA"/>
              </w:rPr>
              <w:t>：</w:t>
            </w:r>
            <w:r>
              <w:rPr>
                <w:rFonts w:hint="default" w:ascii="Times New Roman" w:hAnsi="Times New Roman" w:eastAsia="宋体" w:cs="Times New Roman"/>
                <w:b w:val="0"/>
                <w:bCs w:val="0"/>
                <w:color w:val="auto"/>
                <w:kern w:val="2"/>
                <w:sz w:val="24"/>
                <w:szCs w:val="24"/>
                <w:vertAlign w:val="baseline"/>
                <w:lang w:val="en-US" w:eastAsia="zh-CN" w:bidi="ar-SA"/>
              </w:rPr>
              <w:t>汞，约 100℃可完全挥发，即在生料中可完全挥发，随烟气进入增湿塔后温度迅速降低，变为固态富集在窑灰中，窑灰返回送往生料入窑系统，形成外循环或排放。</w:t>
            </w:r>
          </w:p>
          <w:p w14:paraId="0D8B7463">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ascii="Times New Roman" w:hAnsi="Times New Roman" w:eastAsia="宋体" w:cs="Times New Roman"/>
                <w:b w:val="0"/>
                <w:bCs w:val="0"/>
                <w:color w:val="auto"/>
                <w:kern w:val="2"/>
                <w:sz w:val="24"/>
                <w:szCs w:val="24"/>
                <w:vertAlign w:val="baseline"/>
                <w:lang w:val="en-US" w:eastAsia="zh-CN" w:bidi="ar-SA"/>
              </w:rPr>
              <w:t>水泥熟料对重金属固定作用：根据国内对水泥窑协同处置危险废物重金属固化迁移规律的研究成果，水泥熟料中主要包含</w:t>
            </w:r>
            <w:r>
              <w:rPr>
                <w:rFonts w:hint="eastAsia" w:ascii="Times New Roman" w:hAnsi="Times New Roman" w:eastAsia="宋体" w:cs="Times New Roman"/>
                <w:b w:val="0"/>
                <w:bCs w:val="0"/>
                <w:color w:val="auto"/>
                <w:kern w:val="2"/>
                <w:sz w:val="24"/>
                <w:szCs w:val="24"/>
                <w:vertAlign w:val="baseline"/>
                <w:lang w:val="en-US" w:eastAsia="zh-CN" w:bidi="ar-SA"/>
              </w:rPr>
              <w:t>4</w:t>
            </w:r>
            <w:r>
              <w:rPr>
                <w:rFonts w:hint="default" w:ascii="Times New Roman" w:hAnsi="Times New Roman" w:eastAsia="宋体" w:cs="Times New Roman"/>
                <w:b w:val="0"/>
                <w:bCs w:val="0"/>
                <w:color w:val="auto"/>
                <w:kern w:val="2"/>
                <w:sz w:val="24"/>
                <w:szCs w:val="24"/>
                <w:vertAlign w:val="baseline"/>
                <w:lang w:val="en-US" w:eastAsia="zh-CN" w:bidi="ar-SA"/>
              </w:rPr>
              <w:t>种矿物，硅酸二钙（C</w:t>
            </w:r>
            <w:r>
              <w:rPr>
                <w:rFonts w:hint="default" w:ascii="Times New Roman" w:hAnsi="Times New Roman" w:eastAsia="宋体" w:cs="Times New Roman"/>
                <w:b w:val="0"/>
                <w:bCs w:val="0"/>
                <w:color w:val="auto"/>
                <w:kern w:val="2"/>
                <w:sz w:val="24"/>
                <w:szCs w:val="24"/>
                <w:vertAlign w:val="subscript"/>
                <w:lang w:val="en-US" w:eastAsia="zh-CN" w:bidi="ar-SA"/>
              </w:rPr>
              <w:t>2</w:t>
            </w:r>
            <w:r>
              <w:rPr>
                <w:rFonts w:hint="default" w:ascii="Times New Roman" w:hAnsi="Times New Roman" w:eastAsia="宋体" w:cs="Times New Roman"/>
                <w:b w:val="0"/>
                <w:bCs w:val="0"/>
                <w:color w:val="auto"/>
                <w:kern w:val="2"/>
                <w:sz w:val="24"/>
                <w:szCs w:val="24"/>
                <w:vertAlign w:val="baseline"/>
                <w:lang w:val="en-US" w:eastAsia="zh-CN" w:bidi="ar-SA"/>
              </w:rPr>
              <w:t>S）、铝酸三钙（C</w:t>
            </w:r>
            <w:r>
              <w:rPr>
                <w:rFonts w:hint="default" w:ascii="Times New Roman" w:hAnsi="Times New Roman" w:eastAsia="宋体" w:cs="Times New Roman"/>
                <w:b w:val="0"/>
                <w:bCs w:val="0"/>
                <w:color w:val="auto"/>
                <w:kern w:val="2"/>
                <w:sz w:val="24"/>
                <w:szCs w:val="24"/>
                <w:vertAlign w:val="subscript"/>
                <w:lang w:val="en-US" w:eastAsia="zh-CN" w:bidi="ar-SA"/>
              </w:rPr>
              <w:t>3</w:t>
            </w:r>
            <w:r>
              <w:rPr>
                <w:rFonts w:hint="default" w:ascii="Times New Roman" w:hAnsi="Times New Roman" w:eastAsia="宋体" w:cs="Times New Roman"/>
                <w:b w:val="0"/>
                <w:bCs w:val="0"/>
                <w:color w:val="auto"/>
                <w:kern w:val="2"/>
                <w:sz w:val="24"/>
                <w:szCs w:val="24"/>
                <w:vertAlign w:val="baseline"/>
                <w:lang w:val="en-US" w:eastAsia="zh-CN" w:bidi="ar-SA"/>
              </w:rPr>
              <w:t>A）、铁铝酸四钙（C</w:t>
            </w:r>
            <w:r>
              <w:rPr>
                <w:rFonts w:hint="default" w:ascii="Times New Roman" w:hAnsi="Times New Roman" w:eastAsia="宋体" w:cs="Times New Roman"/>
                <w:b w:val="0"/>
                <w:bCs w:val="0"/>
                <w:color w:val="auto"/>
                <w:kern w:val="2"/>
                <w:sz w:val="24"/>
                <w:szCs w:val="24"/>
                <w:vertAlign w:val="subscript"/>
                <w:lang w:val="en-US" w:eastAsia="zh-CN" w:bidi="ar-SA"/>
              </w:rPr>
              <w:t>4</w:t>
            </w:r>
            <w:r>
              <w:rPr>
                <w:rFonts w:hint="default" w:ascii="Times New Roman" w:hAnsi="Times New Roman" w:eastAsia="宋体" w:cs="Times New Roman"/>
                <w:b w:val="0"/>
                <w:bCs w:val="0"/>
                <w:color w:val="auto"/>
                <w:kern w:val="2"/>
                <w:sz w:val="24"/>
                <w:szCs w:val="24"/>
                <w:vertAlign w:val="baseline"/>
                <w:lang w:val="en-US" w:eastAsia="zh-CN" w:bidi="ar-SA"/>
              </w:rPr>
              <w:t>AF）和硅酸三钙（C</w:t>
            </w:r>
            <w:r>
              <w:rPr>
                <w:rFonts w:hint="default" w:ascii="Times New Roman" w:hAnsi="Times New Roman" w:eastAsia="宋体" w:cs="Times New Roman"/>
                <w:b w:val="0"/>
                <w:bCs w:val="0"/>
                <w:color w:val="auto"/>
                <w:kern w:val="2"/>
                <w:sz w:val="24"/>
                <w:szCs w:val="24"/>
                <w:vertAlign w:val="subscript"/>
                <w:lang w:val="en-US" w:eastAsia="zh-CN" w:bidi="ar-SA"/>
              </w:rPr>
              <w:t>3</w:t>
            </w:r>
            <w:r>
              <w:rPr>
                <w:rFonts w:hint="default" w:ascii="Times New Roman" w:hAnsi="Times New Roman" w:eastAsia="宋体" w:cs="Times New Roman"/>
                <w:b w:val="0"/>
                <w:bCs w:val="0"/>
                <w:color w:val="auto"/>
                <w:kern w:val="2"/>
                <w:sz w:val="24"/>
                <w:szCs w:val="24"/>
                <w:vertAlign w:val="baseline"/>
                <w:lang w:val="en-US" w:eastAsia="zh-CN" w:bidi="ar-SA"/>
              </w:rPr>
              <w:t>S）。CS在800℃左右开始形成，C</w:t>
            </w:r>
            <w:r>
              <w:rPr>
                <w:rFonts w:hint="default" w:ascii="Times New Roman" w:hAnsi="Times New Roman" w:eastAsia="宋体" w:cs="Times New Roman"/>
                <w:b w:val="0"/>
                <w:bCs w:val="0"/>
                <w:color w:val="auto"/>
                <w:kern w:val="2"/>
                <w:sz w:val="24"/>
                <w:szCs w:val="24"/>
                <w:vertAlign w:val="subscript"/>
                <w:lang w:val="en-US" w:eastAsia="zh-CN" w:bidi="ar-SA"/>
              </w:rPr>
              <w:t>3</w:t>
            </w:r>
            <w:r>
              <w:rPr>
                <w:rFonts w:hint="default" w:ascii="Times New Roman" w:hAnsi="Times New Roman" w:eastAsia="宋体" w:cs="Times New Roman"/>
                <w:b w:val="0"/>
                <w:bCs w:val="0"/>
                <w:color w:val="auto"/>
                <w:kern w:val="2"/>
                <w:sz w:val="24"/>
                <w:szCs w:val="24"/>
                <w:vertAlign w:val="baseline"/>
                <w:lang w:val="en-US" w:eastAsia="zh-CN" w:bidi="ar-SA"/>
              </w:rPr>
              <w:t>A及C</w:t>
            </w:r>
            <w:r>
              <w:rPr>
                <w:rFonts w:hint="default" w:ascii="Times New Roman" w:hAnsi="Times New Roman" w:eastAsia="宋体" w:cs="Times New Roman"/>
                <w:b w:val="0"/>
                <w:bCs w:val="0"/>
                <w:color w:val="auto"/>
                <w:kern w:val="2"/>
                <w:sz w:val="24"/>
                <w:szCs w:val="24"/>
                <w:vertAlign w:val="subscript"/>
                <w:lang w:val="en-US" w:eastAsia="zh-CN" w:bidi="ar-SA"/>
              </w:rPr>
              <w:t>4</w:t>
            </w:r>
            <w:r>
              <w:rPr>
                <w:rFonts w:hint="default" w:ascii="Times New Roman" w:hAnsi="Times New Roman" w:eastAsia="宋体" w:cs="Times New Roman"/>
                <w:b w:val="0"/>
                <w:bCs w:val="0"/>
                <w:color w:val="auto"/>
                <w:kern w:val="2"/>
                <w:sz w:val="24"/>
                <w:szCs w:val="24"/>
                <w:vertAlign w:val="baseline"/>
                <w:lang w:val="en-US" w:eastAsia="zh-CN" w:bidi="ar-SA"/>
              </w:rPr>
              <w:t>AF在900~1100℃逐渐开始形成，在1100~1200℃大量形成，1200~1300℃过程中开始出现液相，CaO与CS溶入液相中，</w:t>
            </w:r>
            <w:bookmarkStart w:id="115" w:name="OLE_LINK125"/>
            <w:r>
              <w:rPr>
                <w:rFonts w:hint="default" w:ascii="Times New Roman" w:hAnsi="Times New Roman" w:eastAsia="宋体" w:cs="Times New Roman"/>
                <w:b w:val="0"/>
                <w:bCs w:val="0"/>
                <w:color w:val="auto"/>
                <w:kern w:val="2"/>
                <w:sz w:val="24"/>
                <w:szCs w:val="24"/>
                <w:vertAlign w:val="baseline"/>
                <w:lang w:val="en-US" w:eastAsia="zh-CN" w:bidi="ar-SA"/>
              </w:rPr>
              <w:t>游离氧化钙被充分吸收大量生成CS。</w:t>
            </w:r>
            <w:bookmarkEnd w:id="115"/>
          </w:p>
          <w:p w14:paraId="53B3D0E1">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ascii="Times New Roman" w:hAnsi="Times New Roman" w:eastAsia="宋体" w:cs="Times New Roman"/>
                <w:b w:val="0"/>
                <w:bCs w:val="0"/>
                <w:color w:val="auto"/>
                <w:kern w:val="2"/>
                <w:sz w:val="24"/>
                <w:szCs w:val="24"/>
                <w:vertAlign w:val="baseline"/>
                <w:lang w:val="en-US" w:eastAsia="zh-CN" w:bidi="ar-SA"/>
              </w:rPr>
              <w:t>在水泥窑熟料烧 900~1450℃温度下，不挥发类金属通过固相反应或液相烧结进入熟料矿物</w:t>
            </w:r>
            <w:bookmarkStart w:id="116" w:name="OLE_LINK129"/>
            <w:r>
              <w:rPr>
                <w:rFonts w:hint="default" w:ascii="Times New Roman" w:hAnsi="Times New Roman" w:eastAsia="宋体" w:cs="Times New Roman"/>
                <w:b w:val="0"/>
                <w:bCs w:val="0"/>
                <w:color w:val="auto"/>
                <w:kern w:val="2"/>
                <w:sz w:val="24"/>
                <w:szCs w:val="24"/>
                <w:vertAlign w:val="baseline"/>
                <w:lang w:val="en-US" w:eastAsia="zh-CN" w:bidi="ar-SA"/>
              </w:rPr>
              <w:t>晶格内；半挥发类金属绝大部分与物料里的碱性物质反应生成重金属盐类分布在熟料矿物中，挥发出来的金属在窑内不断循环下达到饱和平衡从而抑制了这些重金属的继续挥发，达到很好的固化效果。</w:t>
            </w:r>
          </w:p>
          <w:p w14:paraId="68276915">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b/>
                <w:color w:val="FF0000"/>
                <w:kern w:val="2"/>
                <w:sz w:val="18"/>
                <w:szCs w:val="18"/>
                <w:highlight w:val="yellow"/>
                <w:lang w:val="en-US" w:eastAsia="zh-CN" w:bidi="ar-SA"/>
              </w:rPr>
            </w:pPr>
            <w:bookmarkStart w:id="117" w:name="OLE_LINK127"/>
            <w:bookmarkStart w:id="118" w:name="OLE_LINK128"/>
            <w:r>
              <w:rPr>
                <w:rFonts w:hint="eastAsia" w:ascii="Times New Roman" w:hAnsi="Times New Roman" w:eastAsia="宋体" w:cs="Times New Roman"/>
                <w:b w:val="0"/>
                <w:bCs w:val="0"/>
                <w:color w:val="auto"/>
                <w:kern w:val="2"/>
                <w:sz w:val="24"/>
                <w:szCs w:val="24"/>
                <w:vertAlign w:val="baseline"/>
                <w:lang w:val="en-US" w:eastAsia="zh-CN" w:bidi="ar-SA"/>
              </w:rPr>
              <w:t>（4）</w:t>
            </w:r>
            <w:bookmarkEnd w:id="117"/>
            <w:r>
              <w:rPr>
                <w:rFonts w:hint="eastAsia" w:ascii="Times New Roman" w:hAnsi="Times New Roman" w:eastAsia="宋体" w:cs="Times New Roman"/>
                <w:b w:val="0"/>
                <w:bCs w:val="0"/>
                <w:color w:val="auto"/>
                <w:kern w:val="2"/>
                <w:sz w:val="24"/>
                <w:szCs w:val="24"/>
                <w:vertAlign w:val="baseline"/>
                <w:lang w:val="en-US" w:eastAsia="zh-CN" w:bidi="ar-SA"/>
              </w:rPr>
              <w:t>工艺流程图</w:t>
            </w:r>
          </w:p>
          <w:bookmarkEnd w:id="116"/>
          <w:bookmarkEnd w:id="118"/>
          <w:p w14:paraId="788D4859">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ascii="Times New Roman" w:hAnsi="Times New Roman" w:eastAsia="宋体" w:cs="Times New Roman"/>
                <w:b w:val="0"/>
                <w:bCs w:val="0"/>
                <w:color w:val="auto"/>
                <w:kern w:val="2"/>
                <w:sz w:val="24"/>
                <w:szCs w:val="24"/>
                <w:vertAlign w:val="baseline"/>
                <w:lang w:val="en-US" w:eastAsia="zh-CN" w:bidi="ar-SA"/>
              </w:rPr>
              <w:drawing>
                <wp:inline distT="0" distB="0" distL="114300" distR="114300">
                  <wp:extent cx="4968240" cy="4916805"/>
                  <wp:effectExtent l="0" t="0" r="3810" b="0"/>
                  <wp:docPr id="15" name="图片 15" descr="C:/Users/Administrator/Desktop/图片1(1).png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图片1(1).png图片1(1)"/>
                          <pic:cNvPicPr>
                            <a:picLocks noChangeAspect="1"/>
                          </pic:cNvPicPr>
                        </pic:nvPicPr>
                        <pic:blipFill>
                          <a:blip r:embed="rId10">
                            <a:clrChange>
                              <a:clrFrom>
                                <a:srgbClr val="FFFFFF">
                                  <a:alpha val="100000"/>
                                </a:srgbClr>
                              </a:clrFrom>
                              <a:clrTo>
                                <a:srgbClr val="FFFFFF">
                                  <a:alpha val="100000"/>
                                  <a:alpha val="0"/>
                                </a:srgbClr>
                              </a:clrTo>
                            </a:clrChange>
                          </a:blip>
                          <a:srcRect t="64" b="64"/>
                          <a:stretch>
                            <a:fillRect/>
                          </a:stretch>
                        </pic:blipFill>
                        <pic:spPr>
                          <a:xfrm>
                            <a:off x="0" y="0"/>
                            <a:ext cx="4968240" cy="4916805"/>
                          </a:xfrm>
                          <a:prstGeom prst="rect">
                            <a:avLst/>
                          </a:prstGeom>
                        </pic:spPr>
                      </pic:pic>
                    </a:graphicData>
                  </a:graphic>
                </wp:inline>
              </w:drawing>
            </w:r>
          </w:p>
          <w:p w14:paraId="32452E6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cs="Times New Roman"/>
                <w:b/>
                <w:color w:val="auto"/>
                <w:lang w:val="en-US" w:eastAsia="zh-CN"/>
              </w:rPr>
            </w:pPr>
            <w:r>
              <w:rPr>
                <w:rFonts w:hint="eastAsia" w:ascii="Times New Roman" w:hAnsi="Times New Roman" w:cs="Times New Roman"/>
                <w:b/>
                <w:color w:val="auto"/>
                <w:lang w:val="en-US" w:eastAsia="zh-CN"/>
              </w:rPr>
              <w:t>图2-</w:t>
            </w:r>
            <w:r>
              <w:rPr>
                <w:rFonts w:hint="eastAsia" w:cs="Times New Roman"/>
                <w:b/>
                <w:color w:val="auto"/>
                <w:lang w:val="en-US" w:eastAsia="zh-CN"/>
              </w:rPr>
              <w:t>4</w:t>
            </w:r>
            <w:r>
              <w:rPr>
                <w:rFonts w:hint="eastAsia" w:ascii="Times New Roman" w:hAnsi="Times New Roman" w:cs="Times New Roman"/>
                <w:b/>
                <w:color w:val="auto"/>
                <w:lang w:val="en-US" w:eastAsia="zh-CN"/>
              </w:rPr>
              <w:t xml:space="preserve"> </w:t>
            </w:r>
            <w:r>
              <w:rPr>
                <w:rFonts w:hint="eastAsia" w:cs="Times New Roman"/>
                <w:b/>
                <w:color w:val="auto"/>
                <w:lang w:val="en-US" w:eastAsia="zh-CN"/>
              </w:rPr>
              <w:t>现有项目工艺流程图</w:t>
            </w:r>
          </w:p>
          <w:p w14:paraId="4EC2EE8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lang w:val="en-US" w:eastAsia="zh-CN"/>
              </w:rPr>
            </w:pPr>
            <w:r>
              <w:rPr>
                <w:rFonts w:hint="default"/>
                <w:lang w:val="en-US" w:eastAsia="zh-CN"/>
              </w:rPr>
              <w:drawing>
                <wp:inline distT="0" distB="0" distL="114300" distR="114300">
                  <wp:extent cx="3971925" cy="2051050"/>
                  <wp:effectExtent l="0" t="0" r="9525" b="6350"/>
                  <wp:docPr id="1" name="图片 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图片1.png图片1"/>
                          <pic:cNvPicPr>
                            <a:picLocks noChangeAspect="1"/>
                          </pic:cNvPicPr>
                        </pic:nvPicPr>
                        <pic:blipFill>
                          <a:blip r:embed="rId11"/>
                          <a:srcRect l="15" r="15"/>
                          <a:stretch>
                            <a:fillRect/>
                          </a:stretch>
                        </pic:blipFill>
                        <pic:spPr>
                          <a:xfrm>
                            <a:off x="0" y="0"/>
                            <a:ext cx="3971925" cy="2051050"/>
                          </a:xfrm>
                          <a:prstGeom prst="rect">
                            <a:avLst/>
                          </a:prstGeom>
                        </pic:spPr>
                      </pic:pic>
                    </a:graphicData>
                  </a:graphic>
                </wp:inline>
              </w:drawing>
            </w:r>
          </w:p>
          <w:p w14:paraId="3EF3E9FA">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cs="Times New Roman"/>
                <w:b/>
                <w:color w:val="auto"/>
                <w:lang w:val="en-US" w:eastAsia="zh-CN"/>
              </w:rPr>
            </w:pPr>
            <w:bookmarkStart w:id="119" w:name="OLE_LINK131"/>
            <w:r>
              <w:rPr>
                <w:rFonts w:hint="eastAsia" w:ascii="Times New Roman" w:hAnsi="Times New Roman" w:cs="Times New Roman"/>
                <w:b/>
                <w:color w:val="auto"/>
                <w:lang w:val="en-US" w:eastAsia="zh-CN"/>
              </w:rPr>
              <w:t>图2-</w:t>
            </w:r>
            <w:r>
              <w:rPr>
                <w:rFonts w:hint="eastAsia" w:cs="Times New Roman"/>
                <w:b/>
                <w:color w:val="auto"/>
                <w:lang w:val="en-US" w:eastAsia="zh-CN"/>
              </w:rPr>
              <w:t>5 本次技改工艺流程图</w:t>
            </w:r>
          </w:p>
          <w:p w14:paraId="49484D3B">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 w:val="0"/>
                <w:bCs w:val="0"/>
                <w:color w:val="0000FF"/>
                <w:kern w:val="2"/>
                <w:sz w:val="24"/>
                <w:szCs w:val="24"/>
                <w:vertAlign w:val="baseline"/>
                <w:lang w:val="en-US" w:eastAsia="zh-CN" w:bidi="ar-SA"/>
              </w:rPr>
            </w:pPr>
            <w:bookmarkStart w:id="120" w:name="OLE_LINK134"/>
            <w:r>
              <w:rPr>
                <w:rFonts w:hint="eastAsia" w:cs="Times New Roman"/>
                <w:b w:val="0"/>
                <w:bCs w:val="0"/>
                <w:color w:val="0000FF"/>
                <w:kern w:val="2"/>
                <w:sz w:val="24"/>
                <w:szCs w:val="24"/>
                <w:vertAlign w:val="baseline"/>
                <w:lang w:val="en-US" w:eastAsia="zh-CN" w:bidi="ar-SA"/>
              </w:rPr>
              <w:t>（5）</w:t>
            </w:r>
            <w:bookmarkStart w:id="121" w:name="OLE_LINK130"/>
            <w:r>
              <w:rPr>
                <w:rFonts w:hint="eastAsia" w:ascii="Times New Roman" w:hAnsi="Times New Roman" w:eastAsia="宋体" w:cs="Times New Roman"/>
                <w:b w:val="0"/>
                <w:bCs w:val="0"/>
                <w:color w:val="0000FF"/>
                <w:kern w:val="2"/>
                <w:sz w:val="24"/>
                <w:szCs w:val="24"/>
                <w:vertAlign w:val="baseline"/>
                <w:lang w:val="en-US" w:eastAsia="zh-CN" w:bidi="ar-SA"/>
              </w:rPr>
              <w:t>主要污染工序及产污环节</w:t>
            </w:r>
          </w:p>
          <w:p w14:paraId="3C3BCCA8">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cs="Times New Roman"/>
                <w:b w:val="0"/>
                <w:bCs w:val="0"/>
                <w:color w:val="0000FF"/>
                <w:kern w:val="2"/>
                <w:sz w:val="24"/>
                <w:szCs w:val="24"/>
                <w:vertAlign w:val="baseline"/>
                <w:lang w:val="en-US" w:eastAsia="zh-CN" w:bidi="ar-SA"/>
              </w:rPr>
            </w:pPr>
            <w:r>
              <w:rPr>
                <w:rFonts w:hint="eastAsia" w:ascii="Times New Roman" w:hAnsi="Times New Roman" w:eastAsia="宋体" w:cs="Times New Roman"/>
                <w:b w:val="0"/>
                <w:bCs w:val="0"/>
                <w:color w:val="0000FF"/>
                <w:kern w:val="2"/>
                <w:sz w:val="24"/>
                <w:szCs w:val="24"/>
                <w:vertAlign w:val="baseline"/>
                <w:lang w:val="en-US" w:eastAsia="zh-CN" w:bidi="ar-SA"/>
              </w:rPr>
              <w:t>本项目</w:t>
            </w:r>
            <w:bookmarkEnd w:id="119"/>
            <w:bookmarkEnd w:id="121"/>
            <w:r>
              <w:rPr>
                <w:rFonts w:hint="eastAsia" w:cs="Times New Roman"/>
                <w:b w:val="0"/>
                <w:bCs w:val="0"/>
                <w:color w:val="0000FF"/>
                <w:kern w:val="2"/>
                <w:sz w:val="24"/>
                <w:szCs w:val="24"/>
                <w:vertAlign w:val="baseline"/>
                <w:lang w:val="en-US" w:eastAsia="zh-CN" w:bidi="ar-SA"/>
              </w:rPr>
              <w:t>为水泥窑协同处置一般固废，项目实施前后，淮北众城水泥有限责任公司水泥生产工艺、流程及参数均不改变，也不改变现有的主要污染物排放源。但本项目建成后导致窑尾烟气和窑尾收尘中部分污染物因子的排放量变化。</w:t>
            </w:r>
          </w:p>
          <w:p w14:paraId="272418F4">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cs="Times New Roman"/>
                <w:b w:val="0"/>
                <w:bCs w:val="0"/>
                <w:color w:val="0000FF"/>
                <w:kern w:val="2"/>
                <w:sz w:val="24"/>
                <w:szCs w:val="24"/>
                <w:vertAlign w:val="baseline"/>
                <w:lang w:val="en-US" w:eastAsia="zh-CN" w:bidi="ar-SA"/>
              </w:rPr>
            </w:pPr>
            <w:r>
              <w:rPr>
                <w:rFonts w:hint="eastAsia" w:cs="Times New Roman"/>
                <w:b w:val="0"/>
                <w:bCs w:val="0"/>
                <w:color w:val="0000FF"/>
                <w:kern w:val="2"/>
                <w:sz w:val="24"/>
                <w:szCs w:val="24"/>
                <w:vertAlign w:val="baseline"/>
                <w:lang w:val="en-US" w:eastAsia="zh-CN" w:bidi="ar-SA"/>
              </w:rPr>
              <w:t>本次产污环节只分析与拟建处置固体废物相关的进料、处置系统，现有煤磨、综合原料储库和窑头废气等环节污染源几乎无变化，本次评价不再进行赘述。</w:t>
            </w:r>
          </w:p>
          <w:p w14:paraId="0968E772">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cs="Times New Roman"/>
                <w:b w:val="0"/>
                <w:bCs w:val="0"/>
                <w:color w:val="0000FF"/>
                <w:kern w:val="2"/>
                <w:sz w:val="24"/>
                <w:szCs w:val="24"/>
                <w:vertAlign w:val="baseline"/>
                <w:lang w:val="en-US" w:eastAsia="zh-CN" w:bidi="ar-SA"/>
              </w:rPr>
            </w:pPr>
            <w:r>
              <w:rPr>
                <w:rFonts w:hint="eastAsia" w:cs="Times New Roman"/>
                <w:b w:val="0"/>
                <w:bCs w:val="0"/>
                <w:color w:val="0000FF"/>
                <w:kern w:val="2"/>
                <w:sz w:val="24"/>
                <w:szCs w:val="24"/>
                <w:vertAlign w:val="baseline"/>
                <w:lang w:val="en-US" w:eastAsia="zh-CN" w:bidi="ar-SA"/>
              </w:rPr>
              <w:t>综上，本协同处置项目主要污染工序及污染因子情况具体见下表。</w:t>
            </w:r>
          </w:p>
          <w:bookmarkEnd w:id="120"/>
          <w:p w14:paraId="11F79185">
            <w:pPr>
              <w:jc w:val="center"/>
              <w:rPr>
                <w:rFonts w:hint="eastAsia" w:cs="Times New Roman"/>
                <w:b/>
                <w:color w:val="0000FF"/>
                <w:lang w:eastAsia="zh-CN"/>
              </w:rPr>
            </w:pPr>
            <w:bookmarkStart w:id="122" w:name="OLE_LINK133"/>
            <w:r>
              <w:rPr>
                <w:rFonts w:hint="eastAsia" w:ascii="Times New Roman" w:hAnsi="Times New Roman" w:cs="Times New Roman"/>
                <w:b/>
                <w:color w:val="0000FF"/>
              </w:rPr>
              <w:t>表</w:t>
            </w:r>
            <w:r>
              <w:rPr>
                <w:rFonts w:ascii="Times New Roman" w:hAnsi="Times New Roman" w:cs="Times New Roman"/>
                <w:b/>
                <w:color w:val="0000FF"/>
              </w:rPr>
              <w:t>2</w:t>
            </w:r>
            <w:r>
              <w:rPr>
                <w:rFonts w:hint="eastAsia" w:ascii="Times New Roman" w:hAnsi="Times New Roman" w:cs="Times New Roman"/>
                <w:b/>
                <w:color w:val="0000FF"/>
                <w:lang w:val="en-US" w:eastAsia="zh-CN"/>
              </w:rPr>
              <w:t>-</w:t>
            </w:r>
            <w:r>
              <w:rPr>
                <w:rFonts w:hint="eastAsia" w:cs="Times New Roman"/>
                <w:b/>
                <w:color w:val="0000FF"/>
                <w:lang w:val="en-US" w:eastAsia="zh-CN"/>
              </w:rPr>
              <w:t xml:space="preserve">39 </w:t>
            </w:r>
            <w:r>
              <w:rPr>
                <w:rFonts w:hint="eastAsia" w:cs="Times New Roman"/>
                <w:b/>
                <w:color w:val="0000FF"/>
                <w:lang w:eastAsia="zh-CN"/>
              </w:rPr>
              <w:t>运营期主要污染工序、污染因子和污染处置措施</w:t>
            </w:r>
            <w:bookmarkStart w:id="123" w:name="OLE_LINK135"/>
            <w:r>
              <w:rPr>
                <w:rFonts w:hint="eastAsia" w:cs="Times New Roman"/>
                <w:b/>
                <w:color w:val="0000FF"/>
                <w:lang w:eastAsia="zh-CN"/>
              </w:rPr>
              <w:t>及去向</w:t>
            </w:r>
          </w:p>
          <w:bookmarkEnd w:id="122"/>
          <w:bookmarkEnd w:id="123"/>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784"/>
              <w:gridCol w:w="742"/>
              <w:gridCol w:w="1406"/>
              <w:gridCol w:w="1524"/>
              <w:gridCol w:w="4054"/>
            </w:tblGrid>
            <w:tr w14:paraId="26920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vAlign w:val="center"/>
                </w:tcPr>
                <w:p w14:paraId="19038139">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类型</w:t>
                  </w:r>
                </w:p>
              </w:tc>
              <w:tc>
                <w:tcPr>
                  <w:tcW w:w="426" w:type="pct"/>
                  <w:vAlign w:val="center"/>
                </w:tcPr>
                <w:p w14:paraId="159229E1">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生产工序</w:t>
                  </w:r>
                </w:p>
              </w:tc>
              <w:tc>
                <w:tcPr>
                  <w:tcW w:w="403" w:type="pct"/>
                  <w:vAlign w:val="center"/>
                </w:tcPr>
                <w:p w14:paraId="7787C7BF">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污染编号</w:t>
                  </w:r>
                </w:p>
              </w:tc>
              <w:tc>
                <w:tcPr>
                  <w:tcW w:w="764" w:type="pct"/>
                  <w:vAlign w:val="center"/>
                </w:tcPr>
                <w:p w14:paraId="35612389">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污染物名称</w:t>
                  </w:r>
                </w:p>
              </w:tc>
              <w:tc>
                <w:tcPr>
                  <w:tcW w:w="827" w:type="pct"/>
                  <w:vAlign w:val="center"/>
                </w:tcPr>
                <w:p w14:paraId="6F3172C7">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污染因子</w:t>
                  </w:r>
                </w:p>
              </w:tc>
              <w:tc>
                <w:tcPr>
                  <w:tcW w:w="2203" w:type="pct"/>
                  <w:vAlign w:val="center"/>
                </w:tcPr>
                <w:p w14:paraId="555A455B">
                  <w:pPr>
                    <w:adjustRightInd w:val="0"/>
                    <w:snapToGrid w:val="0"/>
                    <w:jc w:val="center"/>
                    <w:rPr>
                      <w:rFonts w:hint="eastAsia" w:cs="Times New Roman"/>
                      <w:bCs/>
                      <w:color w:val="0000FF"/>
                      <w:szCs w:val="21"/>
                      <w:lang w:val="en-US" w:eastAsia="zh-CN"/>
                    </w:rPr>
                  </w:pPr>
                  <w:bookmarkStart w:id="124" w:name="OLE_LINK137"/>
                  <w:r>
                    <w:rPr>
                      <w:rFonts w:hint="eastAsia" w:cs="Times New Roman"/>
                      <w:bCs/>
                      <w:color w:val="0000FF"/>
                      <w:szCs w:val="21"/>
                      <w:lang w:val="en-US" w:eastAsia="zh-CN"/>
                    </w:rPr>
                    <w:t>处</w:t>
                  </w:r>
                  <w:bookmarkStart w:id="125" w:name="OLE_LINK136"/>
                  <w:r>
                    <w:rPr>
                      <w:rFonts w:hint="eastAsia" w:cs="Times New Roman"/>
                      <w:bCs/>
                      <w:color w:val="0000FF"/>
                      <w:szCs w:val="21"/>
                      <w:lang w:val="en-US" w:eastAsia="zh-CN"/>
                    </w:rPr>
                    <w:t>置措施及去向</w:t>
                  </w:r>
                  <w:bookmarkEnd w:id="124"/>
                  <w:bookmarkEnd w:id="125"/>
                </w:p>
              </w:tc>
            </w:tr>
            <w:tr w14:paraId="1ED94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vMerge w:val="restart"/>
                  <w:vAlign w:val="center"/>
                </w:tcPr>
                <w:p w14:paraId="5674F4C8">
                  <w:pPr>
                    <w:adjustRightInd w:val="0"/>
                    <w:snapToGrid w:val="0"/>
                    <w:jc w:val="center"/>
                    <w:rPr>
                      <w:rFonts w:hint="eastAsia" w:cs="Times New Roman"/>
                      <w:bCs/>
                      <w:color w:val="0000FF"/>
                      <w:szCs w:val="21"/>
                      <w:lang w:val="en-US" w:eastAsia="zh-CN"/>
                    </w:rPr>
                  </w:pPr>
                  <w:bookmarkStart w:id="126" w:name="OLE_LINK138" w:colFirst="0" w:colLast="0"/>
                  <w:r>
                    <w:rPr>
                      <w:rFonts w:hint="eastAsia" w:cs="Times New Roman"/>
                      <w:bCs/>
                      <w:color w:val="0000FF"/>
                      <w:szCs w:val="21"/>
                      <w:lang w:val="en-US" w:eastAsia="zh-CN"/>
                    </w:rPr>
                    <w:t>废气</w:t>
                  </w:r>
                </w:p>
              </w:tc>
              <w:tc>
                <w:tcPr>
                  <w:tcW w:w="426" w:type="pct"/>
                  <w:vAlign w:val="center"/>
                </w:tcPr>
                <w:p w14:paraId="0F8064B3">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计量喂料系统</w:t>
                  </w:r>
                </w:p>
              </w:tc>
              <w:tc>
                <w:tcPr>
                  <w:tcW w:w="403" w:type="pct"/>
                  <w:vAlign w:val="center"/>
                </w:tcPr>
                <w:p w14:paraId="4BC0120E">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G1</w:t>
                  </w:r>
                </w:p>
              </w:tc>
              <w:tc>
                <w:tcPr>
                  <w:tcW w:w="764" w:type="pct"/>
                  <w:vAlign w:val="center"/>
                </w:tcPr>
                <w:p w14:paraId="230E7AF6">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下料废气</w:t>
                  </w:r>
                </w:p>
              </w:tc>
              <w:tc>
                <w:tcPr>
                  <w:tcW w:w="827" w:type="pct"/>
                  <w:vAlign w:val="center"/>
                </w:tcPr>
                <w:p w14:paraId="4AB9466A">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颗粒物</w:t>
                  </w:r>
                </w:p>
              </w:tc>
              <w:tc>
                <w:tcPr>
                  <w:tcW w:w="2203" w:type="pct"/>
                  <w:vAlign w:val="center"/>
                </w:tcPr>
                <w:p w14:paraId="7CFB9F91">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无组织排放</w:t>
                  </w:r>
                </w:p>
              </w:tc>
            </w:tr>
            <w:bookmarkEnd w:id="126"/>
            <w:tr w14:paraId="4FA1A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vMerge w:val="continue"/>
                  <w:vAlign w:val="center"/>
                </w:tcPr>
                <w:p w14:paraId="625A2098">
                  <w:pPr>
                    <w:adjustRightInd w:val="0"/>
                    <w:snapToGrid w:val="0"/>
                    <w:jc w:val="center"/>
                    <w:rPr>
                      <w:rFonts w:hint="eastAsia" w:cs="Times New Roman"/>
                      <w:bCs/>
                      <w:color w:val="0000FF"/>
                      <w:szCs w:val="21"/>
                      <w:lang w:val="en-US" w:eastAsia="zh-CN"/>
                    </w:rPr>
                  </w:pPr>
                </w:p>
              </w:tc>
              <w:tc>
                <w:tcPr>
                  <w:tcW w:w="426" w:type="pct"/>
                  <w:vMerge w:val="restart"/>
                  <w:vAlign w:val="center"/>
                </w:tcPr>
                <w:p w14:paraId="58B21405">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窑尾燃烧</w:t>
                  </w:r>
                </w:p>
              </w:tc>
              <w:tc>
                <w:tcPr>
                  <w:tcW w:w="403" w:type="pct"/>
                  <w:vAlign w:val="center"/>
                </w:tcPr>
                <w:p w14:paraId="27A49C78">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G1</w:t>
                  </w:r>
                </w:p>
              </w:tc>
              <w:tc>
                <w:tcPr>
                  <w:tcW w:w="764" w:type="pct"/>
                  <w:vMerge w:val="restart"/>
                  <w:vAlign w:val="center"/>
                </w:tcPr>
                <w:p w14:paraId="6E84359F">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窑尾废气</w:t>
                  </w:r>
                </w:p>
              </w:tc>
              <w:tc>
                <w:tcPr>
                  <w:tcW w:w="827" w:type="pct"/>
                  <w:vAlign w:val="center"/>
                </w:tcPr>
                <w:p w14:paraId="0F42F4EE">
                  <w:pPr>
                    <w:adjustRightInd w:val="0"/>
                    <w:snapToGrid w:val="0"/>
                    <w:jc w:val="center"/>
                    <w:rPr>
                      <w:rFonts w:hint="default" w:cs="Times New Roman"/>
                      <w:bCs/>
                      <w:color w:val="0000FF"/>
                      <w:szCs w:val="21"/>
                      <w:lang w:val="en-US" w:eastAsia="zh-CN"/>
                    </w:rPr>
                  </w:pPr>
                  <w:r>
                    <w:rPr>
                      <w:rFonts w:hint="eastAsia" w:cs="Times New Roman"/>
                      <w:bCs/>
                      <w:color w:val="0000FF"/>
                      <w:szCs w:val="21"/>
                      <w:vertAlign w:val="baseline"/>
                      <w:lang w:val="en-US" w:eastAsia="zh-CN"/>
                    </w:rPr>
                    <w:t>颗粒物</w:t>
                  </w:r>
                </w:p>
              </w:tc>
              <w:tc>
                <w:tcPr>
                  <w:tcW w:w="2203" w:type="pct"/>
                  <w:vMerge w:val="restart"/>
                  <w:vAlign w:val="center"/>
                </w:tcPr>
                <w:p w14:paraId="76DEFC0F">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“低氮燃烧+SNCR+高效袋式除尘器除尘（覆膜滤料袋式除尘器）脱销窑磨一体化”后经现有95m高排气筒（DA046）排放</w:t>
                  </w:r>
                </w:p>
              </w:tc>
            </w:tr>
            <w:tr w14:paraId="1D6A1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vMerge w:val="continue"/>
                  <w:vAlign w:val="center"/>
                </w:tcPr>
                <w:p w14:paraId="7A7EC980">
                  <w:pPr>
                    <w:adjustRightInd w:val="0"/>
                    <w:snapToGrid w:val="0"/>
                    <w:jc w:val="center"/>
                    <w:rPr>
                      <w:rFonts w:hint="eastAsia" w:cs="Times New Roman"/>
                      <w:bCs/>
                      <w:color w:val="0000FF"/>
                      <w:szCs w:val="21"/>
                      <w:lang w:val="en-US" w:eastAsia="zh-CN"/>
                    </w:rPr>
                  </w:pPr>
                </w:p>
              </w:tc>
              <w:tc>
                <w:tcPr>
                  <w:tcW w:w="426" w:type="pct"/>
                  <w:vMerge w:val="continue"/>
                  <w:vAlign w:val="center"/>
                </w:tcPr>
                <w:p w14:paraId="3717B0A3">
                  <w:pPr>
                    <w:adjustRightInd w:val="0"/>
                    <w:snapToGrid w:val="0"/>
                    <w:jc w:val="center"/>
                    <w:rPr>
                      <w:rFonts w:hint="eastAsia" w:cs="Times New Roman"/>
                      <w:bCs/>
                      <w:color w:val="0000FF"/>
                      <w:szCs w:val="21"/>
                      <w:lang w:val="en-US" w:eastAsia="zh-CN"/>
                    </w:rPr>
                  </w:pPr>
                </w:p>
              </w:tc>
              <w:tc>
                <w:tcPr>
                  <w:tcW w:w="403" w:type="pct"/>
                  <w:vAlign w:val="center"/>
                </w:tcPr>
                <w:p w14:paraId="2D907340">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G2</w:t>
                  </w:r>
                </w:p>
              </w:tc>
              <w:tc>
                <w:tcPr>
                  <w:tcW w:w="764" w:type="pct"/>
                  <w:vMerge w:val="continue"/>
                  <w:vAlign w:val="center"/>
                </w:tcPr>
                <w:p w14:paraId="48BFE119">
                  <w:pPr>
                    <w:adjustRightInd w:val="0"/>
                    <w:snapToGrid w:val="0"/>
                    <w:jc w:val="center"/>
                    <w:rPr>
                      <w:rFonts w:hint="eastAsia" w:cs="Times New Roman"/>
                      <w:bCs/>
                      <w:color w:val="0000FF"/>
                      <w:szCs w:val="21"/>
                      <w:lang w:val="en-US" w:eastAsia="zh-CN"/>
                    </w:rPr>
                  </w:pPr>
                </w:p>
              </w:tc>
              <w:tc>
                <w:tcPr>
                  <w:tcW w:w="827" w:type="pct"/>
                  <w:vAlign w:val="center"/>
                </w:tcPr>
                <w:p w14:paraId="62878143">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NO</w:t>
                  </w:r>
                  <w:r>
                    <w:rPr>
                      <w:rFonts w:hint="eastAsia" w:cs="Times New Roman"/>
                      <w:bCs/>
                      <w:color w:val="0000FF"/>
                      <w:szCs w:val="21"/>
                      <w:vertAlign w:val="baseline"/>
                      <w:lang w:val="en-US" w:eastAsia="zh-CN"/>
                    </w:rPr>
                    <w:t>x</w:t>
                  </w:r>
                </w:p>
              </w:tc>
              <w:tc>
                <w:tcPr>
                  <w:tcW w:w="2203" w:type="pct"/>
                  <w:vMerge w:val="continue"/>
                  <w:vAlign w:val="center"/>
                </w:tcPr>
                <w:p w14:paraId="6B2A0268">
                  <w:pPr>
                    <w:adjustRightInd w:val="0"/>
                    <w:snapToGrid w:val="0"/>
                    <w:jc w:val="center"/>
                    <w:rPr>
                      <w:rFonts w:hint="eastAsia" w:cs="Times New Roman"/>
                      <w:bCs/>
                      <w:color w:val="0000FF"/>
                      <w:szCs w:val="21"/>
                      <w:lang w:val="en-US" w:eastAsia="zh-CN"/>
                    </w:rPr>
                  </w:pPr>
                </w:p>
              </w:tc>
            </w:tr>
            <w:tr w14:paraId="26825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vMerge w:val="continue"/>
                  <w:vAlign w:val="center"/>
                </w:tcPr>
                <w:p w14:paraId="2235EBAD">
                  <w:pPr>
                    <w:adjustRightInd w:val="0"/>
                    <w:snapToGrid w:val="0"/>
                    <w:jc w:val="center"/>
                    <w:rPr>
                      <w:rFonts w:hint="eastAsia" w:cs="Times New Roman"/>
                      <w:bCs/>
                      <w:color w:val="0000FF"/>
                      <w:szCs w:val="21"/>
                      <w:lang w:val="en-US" w:eastAsia="zh-CN"/>
                    </w:rPr>
                  </w:pPr>
                </w:p>
              </w:tc>
              <w:tc>
                <w:tcPr>
                  <w:tcW w:w="426" w:type="pct"/>
                  <w:vMerge w:val="continue"/>
                  <w:vAlign w:val="center"/>
                </w:tcPr>
                <w:p w14:paraId="5BC89B89">
                  <w:pPr>
                    <w:adjustRightInd w:val="0"/>
                    <w:snapToGrid w:val="0"/>
                    <w:jc w:val="center"/>
                    <w:rPr>
                      <w:rFonts w:hint="eastAsia" w:cs="Times New Roman"/>
                      <w:bCs/>
                      <w:color w:val="0000FF"/>
                      <w:szCs w:val="21"/>
                      <w:lang w:val="en-US" w:eastAsia="zh-CN"/>
                    </w:rPr>
                  </w:pPr>
                </w:p>
              </w:tc>
              <w:tc>
                <w:tcPr>
                  <w:tcW w:w="403" w:type="pct"/>
                  <w:vAlign w:val="center"/>
                </w:tcPr>
                <w:p w14:paraId="672BD8F7">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G3</w:t>
                  </w:r>
                </w:p>
              </w:tc>
              <w:tc>
                <w:tcPr>
                  <w:tcW w:w="764" w:type="pct"/>
                  <w:vMerge w:val="continue"/>
                  <w:vAlign w:val="center"/>
                </w:tcPr>
                <w:p w14:paraId="247C7E2D">
                  <w:pPr>
                    <w:adjustRightInd w:val="0"/>
                    <w:snapToGrid w:val="0"/>
                    <w:jc w:val="center"/>
                    <w:rPr>
                      <w:rFonts w:hint="eastAsia" w:cs="Times New Roman"/>
                      <w:bCs/>
                      <w:color w:val="0000FF"/>
                      <w:szCs w:val="21"/>
                      <w:lang w:val="en-US" w:eastAsia="zh-CN"/>
                    </w:rPr>
                  </w:pPr>
                </w:p>
              </w:tc>
              <w:tc>
                <w:tcPr>
                  <w:tcW w:w="827" w:type="pct"/>
                  <w:vAlign w:val="center"/>
                </w:tcPr>
                <w:p w14:paraId="14008F4D">
                  <w:pPr>
                    <w:adjustRightInd w:val="0"/>
                    <w:snapToGrid w:val="0"/>
                    <w:jc w:val="center"/>
                    <w:rPr>
                      <w:rFonts w:hint="eastAsia" w:cs="Times New Roman"/>
                      <w:bCs/>
                      <w:color w:val="0000FF"/>
                      <w:szCs w:val="21"/>
                      <w:lang w:val="en-US" w:eastAsia="zh-CN"/>
                    </w:rPr>
                  </w:pPr>
                  <w:r>
                    <w:rPr>
                      <w:rFonts w:hint="eastAsia" w:cs="Times New Roman"/>
                      <w:bCs/>
                      <w:color w:val="0000FF"/>
                      <w:szCs w:val="21"/>
                      <w:vertAlign w:val="baseline"/>
                      <w:lang w:val="en-US" w:eastAsia="zh-CN"/>
                    </w:rPr>
                    <w:t>SO</w:t>
                  </w:r>
                  <w:bookmarkStart w:id="127" w:name="OLE_LINK140"/>
                  <w:r>
                    <w:rPr>
                      <w:rFonts w:hint="eastAsia" w:cs="Times New Roman"/>
                      <w:bCs/>
                      <w:color w:val="0000FF"/>
                      <w:szCs w:val="21"/>
                      <w:vertAlign w:val="subscript"/>
                      <w:lang w:val="en-US" w:eastAsia="zh-CN"/>
                    </w:rPr>
                    <w:t>2</w:t>
                  </w:r>
                  <w:bookmarkEnd w:id="127"/>
                </w:p>
              </w:tc>
              <w:tc>
                <w:tcPr>
                  <w:tcW w:w="2203" w:type="pct"/>
                  <w:vMerge w:val="continue"/>
                  <w:vAlign w:val="center"/>
                </w:tcPr>
                <w:p w14:paraId="49FB34C0">
                  <w:pPr>
                    <w:adjustRightInd w:val="0"/>
                    <w:snapToGrid w:val="0"/>
                    <w:jc w:val="center"/>
                    <w:rPr>
                      <w:rFonts w:hint="eastAsia" w:cs="Times New Roman"/>
                      <w:bCs/>
                      <w:color w:val="0000FF"/>
                      <w:szCs w:val="21"/>
                      <w:lang w:val="en-US" w:eastAsia="zh-CN"/>
                    </w:rPr>
                  </w:pPr>
                </w:p>
              </w:tc>
            </w:tr>
            <w:tr w14:paraId="66D8D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vMerge w:val="continue"/>
                  <w:vAlign w:val="center"/>
                </w:tcPr>
                <w:p w14:paraId="668972E5">
                  <w:pPr>
                    <w:adjustRightInd w:val="0"/>
                    <w:snapToGrid w:val="0"/>
                    <w:jc w:val="center"/>
                    <w:rPr>
                      <w:rFonts w:hint="eastAsia" w:cs="Times New Roman"/>
                      <w:bCs/>
                      <w:color w:val="0000FF"/>
                      <w:szCs w:val="21"/>
                      <w:lang w:val="en-US" w:eastAsia="zh-CN"/>
                    </w:rPr>
                  </w:pPr>
                </w:p>
              </w:tc>
              <w:tc>
                <w:tcPr>
                  <w:tcW w:w="426" w:type="pct"/>
                  <w:vMerge w:val="continue"/>
                  <w:vAlign w:val="center"/>
                </w:tcPr>
                <w:p w14:paraId="4DF8D45E">
                  <w:pPr>
                    <w:adjustRightInd w:val="0"/>
                    <w:snapToGrid w:val="0"/>
                    <w:jc w:val="center"/>
                    <w:rPr>
                      <w:rFonts w:hint="eastAsia" w:cs="Times New Roman"/>
                      <w:bCs/>
                      <w:color w:val="0000FF"/>
                      <w:szCs w:val="21"/>
                      <w:lang w:val="en-US" w:eastAsia="zh-CN"/>
                    </w:rPr>
                  </w:pPr>
                </w:p>
              </w:tc>
              <w:tc>
                <w:tcPr>
                  <w:tcW w:w="403" w:type="pct"/>
                  <w:vAlign w:val="center"/>
                </w:tcPr>
                <w:p w14:paraId="4B3779DA">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G4</w:t>
                  </w:r>
                </w:p>
              </w:tc>
              <w:tc>
                <w:tcPr>
                  <w:tcW w:w="764" w:type="pct"/>
                  <w:vMerge w:val="continue"/>
                  <w:vAlign w:val="center"/>
                </w:tcPr>
                <w:p w14:paraId="5909B359">
                  <w:pPr>
                    <w:adjustRightInd w:val="0"/>
                    <w:snapToGrid w:val="0"/>
                    <w:jc w:val="center"/>
                    <w:rPr>
                      <w:rFonts w:hint="eastAsia" w:cs="Times New Roman"/>
                      <w:bCs/>
                      <w:color w:val="0000FF"/>
                      <w:szCs w:val="21"/>
                      <w:lang w:val="en-US" w:eastAsia="zh-CN"/>
                    </w:rPr>
                  </w:pPr>
                </w:p>
              </w:tc>
              <w:tc>
                <w:tcPr>
                  <w:tcW w:w="827" w:type="pct"/>
                  <w:vAlign w:val="center"/>
                </w:tcPr>
                <w:p w14:paraId="4F42E747">
                  <w:pPr>
                    <w:adjustRightInd w:val="0"/>
                    <w:snapToGrid w:val="0"/>
                    <w:jc w:val="center"/>
                    <w:rPr>
                      <w:rFonts w:hint="eastAsia" w:cs="Times New Roman"/>
                      <w:bCs/>
                      <w:color w:val="0000FF"/>
                      <w:szCs w:val="21"/>
                      <w:lang w:val="en-US" w:eastAsia="zh-CN"/>
                    </w:rPr>
                  </w:pPr>
                  <w:r>
                    <w:rPr>
                      <w:rFonts w:hint="eastAsia" w:cs="Times New Roman"/>
                      <w:bCs/>
                      <w:color w:val="0000FF"/>
                      <w:szCs w:val="21"/>
                      <w:vertAlign w:val="baseline"/>
                      <w:lang w:val="en-US" w:eastAsia="zh-CN"/>
                    </w:rPr>
                    <w:t>氟化物</w:t>
                  </w:r>
                </w:p>
              </w:tc>
              <w:tc>
                <w:tcPr>
                  <w:tcW w:w="2203" w:type="pct"/>
                  <w:vMerge w:val="continue"/>
                  <w:vAlign w:val="center"/>
                </w:tcPr>
                <w:p w14:paraId="3C513776">
                  <w:pPr>
                    <w:adjustRightInd w:val="0"/>
                    <w:snapToGrid w:val="0"/>
                    <w:jc w:val="center"/>
                    <w:rPr>
                      <w:rFonts w:hint="eastAsia" w:cs="Times New Roman"/>
                      <w:bCs/>
                      <w:color w:val="0000FF"/>
                      <w:szCs w:val="21"/>
                      <w:lang w:val="en-US" w:eastAsia="zh-CN"/>
                    </w:rPr>
                  </w:pPr>
                </w:p>
              </w:tc>
            </w:tr>
            <w:tr w14:paraId="746E6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vMerge w:val="continue"/>
                  <w:vAlign w:val="center"/>
                </w:tcPr>
                <w:p w14:paraId="31A18717">
                  <w:pPr>
                    <w:adjustRightInd w:val="0"/>
                    <w:snapToGrid w:val="0"/>
                    <w:jc w:val="center"/>
                    <w:rPr>
                      <w:rFonts w:hint="eastAsia" w:cs="Times New Roman"/>
                      <w:bCs/>
                      <w:color w:val="0000FF"/>
                      <w:szCs w:val="21"/>
                      <w:lang w:val="en-US" w:eastAsia="zh-CN"/>
                    </w:rPr>
                  </w:pPr>
                </w:p>
              </w:tc>
              <w:tc>
                <w:tcPr>
                  <w:tcW w:w="426" w:type="pct"/>
                  <w:vMerge w:val="continue"/>
                  <w:vAlign w:val="center"/>
                </w:tcPr>
                <w:p w14:paraId="0E039283">
                  <w:pPr>
                    <w:adjustRightInd w:val="0"/>
                    <w:snapToGrid w:val="0"/>
                    <w:jc w:val="center"/>
                    <w:rPr>
                      <w:rFonts w:hint="eastAsia" w:cs="Times New Roman"/>
                      <w:bCs/>
                      <w:color w:val="0000FF"/>
                      <w:szCs w:val="21"/>
                      <w:lang w:val="en-US" w:eastAsia="zh-CN"/>
                    </w:rPr>
                  </w:pPr>
                </w:p>
              </w:tc>
              <w:tc>
                <w:tcPr>
                  <w:tcW w:w="403" w:type="pct"/>
                  <w:vAlign w:val="center"/>
                </w:tcPr>
                <w:p w14:paraId="79ECC418">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G5</w:t>
                  </w:r>
                </w:p>
              </w:tc>
              <w:tc>
                <w:tcPr>
                  <w:tcW w:w="764" w:type="pct"/>
                  <w:vMerge w:val="continue"/>
                  <w:vAlign w:val="center"/>
                </w:tcPr>
                <w:p w14:paraId="194CD670">
                  <w:pPr>
                    <w:adjustRightInd w:val="0"/>
                    <w:snapToGrid w:val="0"/>
                    <w:jc w:val="center"/>
                    <w:rPr>
                      <w:rFonts w:hint="eastAsia" w:cs="Times New Roman"/>
                      <w:bCs/>
                      <w:color w:val="0000FF"/>
                      <w:szCs w:val="21"/>
                      <w:lang w:val="en-US" w:eastAsia="zh-CN"/>
                    </w:rPr>
                  </w:pPr>
                </w:p>
              </w:tc>
              <w:tc>
                <w:tcPr>
                  <w:tcW w:w="827" w:type="pct"/>
                  <w:vAlign w:val="center"/>
                </w:tcPr>
                <w:p w14:paraId="265CF315">
                  <w:pPr>
                    <w:adjustRightInd w:val="0"/>
                    <w:snapToGrid w:val="0"/>
                    <w:jc w:val="center"/>
                    <w:rPr>
                      <w:rFonts w:hint="eastAsia" w:cs="Times New Roman"/>
                      <w:bCs/>
                      <w:color w:val="0000FF"/>
                      <w:szCs w:val="21"/>
                      <w:lang w:val="en-US" w:eastAsia="zh-CN"/>
                    </w:rPr>
                  </w:pPr>
                  <w:r>
                    <w:rPr>
                      <w:rFonts w:hint="eastAsia" w:cs="Times New Roman"/>
                      <w:bCs/>
                      <w:color w:val="0000FF"/>
                      <w:szCs w:val="21"/>
                      <w:vertAlign w:val="baseline"/>
                      <w:lang w:val="en-US" w:eastAsia="zh-CN"/>
                    </w:rPr>
                    <w:t>汞及其化合物</w:t>
                  </w:r>
                </w:p>
              </w:tc>
              <w:tc>
                <w:tcPr>
                  <w:tcW w:w="2203" w:type="pct"/>
                  <w:vMerge w:val="continue"/>
                  <w:vAlign w:val="center"/>
                </w:tcPr>
                <w:p w14:paraId="23CA3EC2">
                  <w:pPr>
                    <w:adjustRightInd w:val="0"/>
                    <w:snapToGrid w:val="0"/>
                    <w:jc w:val="center"/>
                    <w:rPr>
                      <w:rFonts w:hint="eastAsia" w:cs="Times New Roman"/>
                      <w:bCs/>
                      <w:color w:val="0000FF"/>
                      <w:szCs w:val="21"/>
                      <w:lang w:val="en-US" w:eastAsia="zh-CN"/>
                    </w:rPr>
                  </w:pPr>
                </w:p>
              </w:tc>
            </w:tr>
            <w:tr w14:paraId="17A75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vMerge w:val="continue"/>
                  <w:vAlign w:val="center"/>
                </w:tcPr>
                <w:p w14:paraId="77F9397E">
                  <w:pPr>
                    <w:adjustRightInd w:val="0"/>
                    <w:snapToGrid w:val="0"/>
                    <w:jc w:val="center"/>
                    <w:rPr>
                      <w:rFonts w:hint="eastAsia" w:cs="Times New Roman"/>
                      <w:bCs/>
                      <w:color w:val="0000FF"/>
                      <w:szCs w:val="21"/>
                      <w:lang w:val="en-US" w:eastAsia="zh-CN"/>
                    </w:rPr>
                  </w:pPr>
                </w:p>
              </w:tc>
              <w:tc>
                <w:tcPr>
                  <w:tcW w:w="426" w:type="pct"/>
                  <w:vMerge w:val="continue"/>
                  <w:vAlign w:val="center"/>
                </w:tcPr>
                <w:p w14:paraId="79D863C7">
                  <w:pPr>
                    <w:adjustRightInd w:val="0"/>
                    <w:snapToGrid w:val="0"/>
                    <w:jc w:val="center"/>
                    <w:rPr>
                      <w:rFonts w:hint="eastAsia" w:cs="Times New Roman"/>
                      <w:bCs/>
                      <w:color w:val="0000FF"/>
                      <w:szCs w:val="21"/>
                      <w:lang w:val="en-US" w:eastAsia="zh-CN"/>
                    </w:rPr>
                  </w:pPr>
                </w:p>
              </w:tc>
              <w:tc>
                <w:tcPr>
                  <w:tcW w:w="403" w:type="pct"/>
                  <w:vAlign w:val="center"/>
                </w:tcPr>
                <w:p w14:paraId="0C74E8A7">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G6</w:t>
                  </w:r>
                </w:p>
              </w:tc>
              <w:tc>
                <w:tcPr>
                  <w:tcW w:w="764" w:type="pct"/>
                  <w:vMerge w:val="continue"/>
                  <w:vAlign w:val="center"/>
                </w:tcPr>
                <w:p w14:paraId="16EDA872">
                  <w:pPr>
                    <w:adjustRightInd w:val="0"/>
                    <w:snapToGrid w:val="0"/>
                    <w:jc w:val="center"/>
                    <w:rPr>
                      <w:rFonts w:hint="eastAsia" w:cs="Times New Roman"/>
                      <w:bCs/>
                      <w:color w:val="0000FF"/>
                      <w:szCs w:val="21"/>
                      <w:lang w:val="en-US" w:eastAsia="zh-CN"/>
                    </w:rPr>
                  </w:pPr>
                </w:p>
              </w:tc>
              <w:tc>
                <w:tcPr>
                  <w:tcW w:w="827" w:type="pct"/>
                  <w:vAlign w:val="center"/>
                </w:tcPr>
                <w:p w14:paraId="2AC1EEF9">
                  <w:pPr>
                    <w:adjustRightInd w:val="0"/>
                    <w:snapToGrid w:val="0"/>
                    <w:jc w:val="center"/>
                    <w:rPr>
                      <w:rFonts w:hint="eastAsia" w:cs="Times New Roman"/>
                      <w:bCs/>
                      <w:color w:val="0000FF"/>
                      <w:szCs w:val="21"/>
                      <w:lang w:val="en-US" w:eastAsia="zh-CN"/>
                    </w:rPr>
                  </w:pPr>
                  <w:r>
                    <w:rPr>
                      <w:rFonts w:hint="eastAsia" w:cs="Times New Roman"/>
                      <w:bCs/>
                      <w:color w:val="0000FF"/>
                      <w:szCs w:val="21"/>
                      <w:vertAlign w:val="baseline"/>
                      <w:lang w:val="en-US" w:eastAsia="zh-CN"/>
                    </w:rPr>
                    <w:t>氨（NH</w:t>
                  </w:r>
                  <w:r>
                    <w:rPr>
                      <w:rFonts w:hint="eastAsia" w:cs="Times New Roman"/>
                      <w:bCs/>
                      <w:color w:val="0000FF"/>
                      <w:szCs w:val="21"/>
                      <w:vertAlign w:val="subscript"/>
                      <w:lang w:val="en-US" w:eastAsia="zh-CN"/>
                    </w:rPr>
                    <w:t>3</w:t>
                  </w:r>
                  <w:r>
                    <w:rPr>
                      <w:rFonts w:hint="eastAsia" w:cs="Times New Roman"/>
                      <w:bCs/>
                      <w:color w:val="0000FF"/>
                      <w:szCs w:val="21"/>
                      <w:vertAlign w:val="baseline"/>
                      <w:lang w:val="en-US" w:eastAsia="zh-CN"/>
                    </w:rPr>
                    <w:t>）</w:t>
                  </w:r>
                </w:p>
              </w:tc>
              <w:tc>
                <w:tcPr>
                  <w:tcW w:w="2203" w:type="pct"/>
                  <w:vMerge w:val="continue"/>
                  <w:vAlign w:val="center"/>
                </w:tcPr>
                <w:p w14:paraId="25F126FE">
                  <w:pPr>
                    <w:adjustRightInd w:val="0"/>
                    <w:snapToGrid w:val="0"/>
                    <w:jc w:val="center"/>
                    <w:rPr>
                      <w:rFonts w:hint="eastAsia" w:cs="Times New Roman"/>
                      <w:bCs/>
                      <w:color w:val="0000FF"/>
                      <w:szCs w:val="21"/>
                      <w:lang w:val="en-US" w:eastAsia="zh-CN"/>
                    </w:rPr>
                  </w:pPr>
                </w:p>
              </w:tc>
            </w:tr>
            <w:tr w14:paraId="24137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vMerge w:val="continue"/>
                  <w:vAlign w:val="center"/>
                </w:tcPr>
                <w:p w14:paraId="06523485">
                  <w:pPr>
                    <w:adjustRightInd w:val="0"/>
                    <w:snapToGrid w:val="0"/>
                    <w:jc w:val="center"/>
                    <w:rPr>
                      <w:rFonts w:hint="eastAsia" w:cs="Times New Roman"/>
                      <w:bCs/>
                      <w:color w:val="0000FF"/>
                      <w:szCs w:val="21"/>
                      <w:lang w:val="en-US" w:eastAsia="zh-CN"/>
                    </w:rPr>
                  </w:pPr>
                </w:p>
              </w:tc>
              <w:tc>
                <w:tcPr>
                  <w:tcW w:w="426" w:type="pct"/>
                  <w:vMerge w:val="continue"/>
                  <w:vAlign w:val="center"/>
                </w:tcPr>
                <w:p w14:paraId="4E8DB178">
                  <w:pPr>
                    <w:adjustRightInd w:val="0"/>
                    <w:snapToGrid w:val="0"/>
                    <w:jc w:val="center"/>
                    <w:rPr>
                      <w:rFonts w:hint="eastAsia" w:cs="Times New Roman"/>
                      <w:bCs/>
                      <w:color w:val="0000FF"/>
                      <w:szCs w:val="21"/>
                      <w:lang w:val="en-US" w:eastAsia="zh-CN"/>
                    </w:rPr>
                  </w:pPr>
                </w:p>
              </w:tc>
              <w:tc>
                <w:tcPr>
                  <w:tcW w:w="403" w:type="pct"/>
                  <w:vAlign w:val="center"/>
                </w:tcPr>
                <w:p w14:paraId="451DF8F4">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G7</w:t>
                  </w:r>
                </w:p>
              </w:tc>
              <w:tc>
                <w:tcPr>
                  <w:tcW w:w="764" w:type="pct"/>
                  <w:vMerge w:val="continue"/>
                  <w:vAlign w:val="center"/>
                </w:tcPr>
                <w:p w14:paraId="7182D7F5">
                  <w:pPr>
                    <w:adjustRightInd w:val="0"/>
                    <w:snapToGrid w:val="0"/>
                    <w:jc w:val="center"/>
                    <w:rPr>
                      <w:rFonts w:hint="eastAsia" w:cs="Times New Roman"/>
                      <w:bCs/>
                      <w:color w:val="0000FF"/>
                      <w:szCs w:val="21"/>
                      <w:lang w:val="en-US" w:eastAsia="zh-CN"/>
                    </w:rPr>
                  </w:pPr>
                </w:p>
              </w:tc>
              <w:tc>
                <w:tcPr>
                  <w:tcW w:w="827" w:type="pct"/>
                  <w:vAlign w:val="center"/>
                </w:tcPr>
                <w:p w14:paraId="36353883">
                  <w:pPr>
                    <w:adjustRightInd w:val="0"/>
                    <w:snapToGrid w:val="0"/>
                    <w:jc w:val="center"/>
                    <w:rPr>
                      <w:rFonts w:hint="eastAsia" w:cs="Times New Roman"/>
                      <w:bCs/>
                      <w:color w:val="0000FF"/>
                      <w:szCs w:val="21"/>
                      <w:lang w:val="en-US" w:eastAsia="zh-CN"/>
                    </w:rPr>
                  </w:pPr>
                  <w:r>
                    <w:rPr>
                      <w:rFonts w:hint="eastAsia" w:cs="Times New Roman"/>
                      <w:bCs/>
                      <w:color w:val="0000FF"/>
                      <w:szCs w:val="21"/>
                      <w:vertAlign w:val="baseline"/>
                      <w:lang w:val="en-US" w:eastAsia="zh-CN"/>
                    </w:rPr>
                    <w:t>HCl</w:t>
                  </w:r>
                </w:p>
              </w:tc>
              <w:tc>
                <w:tcPr>
                  <w:tcW w:w="2203" w:type="pct"/>
                  <w:vMerge w:val="continue"/>
                  <w:vAlign w:val="center"/>
                </w:tcPr>
                <w:p w14:paraId="311C29EA">
                  <w:pPr>
                    <w:adjustRightInd w:val="0"/>
                    <w:snapToGrid w:val="0"/>
                    <w:jc w:val="center"/>
                    <w:rPr>
                      <w:rFonts w:hint="eastAsia" w:cs="Times New Roman"/>
                      <w:bCs/>
                      <w:color w:val="0000FF"/>
                      <w:szCs w:val="21"/>
                      <w:lang w:val="en-US" w:eastAsia="zh-CN"/>
                    </w:rPr>
                  </w:pPr>
                </w:p>
              </w:tc>
            </w:tr>
            <w:tr w14:paraId="6F608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vMerge w:val="continue"/>
                  <w:vAlign w:val="center"/>
                </w:tcPr>
                <w:p w14:paraId="2BF9D404">
                  <w:pPr>
                    <w:adjustRightInd w:val="0"/>
                    <w:snapToGrid w:val="0"/>
                    <w:jc w:val="center"/>
                    <w:rPr>
                      <w:rFonts w:hint="eastAsia" w:cs="Times New Roman"/>
                      <w:bCs/>
                      <w:color w:val="0000FF"/>
                      <w:szCs w:val="21"/>
                      <w:lang w:val="en-US" w:eastAsia="zh-CN"/>
                    </w:rPr>
                  </w:pPr>
                </w:p>
              </w:tc>
              <w:tc>
                <w:tcPr>
                  <w:tcW w:w="426" w:type="pct"/>
                  <w:vMerge w:val="continue"/>
                  <w:vAlign w:val="center"/>
                </w:tcPr>
                <w:p w14:paraId="1CBB641A">
                  <w:pPr>
                    <w:adjustRightInd w:val="0"/>
                    <w:snapToGrid w:val="0"/>
                    <w:jc w:val="center"/>
                    <w:rPr>
                      <w:rFonts w:hint="eastAsia" w:cs="Times New Roman"/>
                      <w:bCs/>
                      <w:color w:val="0000FF"/>
                      <w:szCs w:val="21"/>
                      <w:lang w:val="en-US" w:eastAsia="zh-CN"/>
                    </w:rPr>
                  </w:pPr>
                </w:p>
              </w:tc>
              <w:tc>
                <w:tcPr>
                  <w:tcW w:w="403" w:type="pct"/>
                  <w:vAlign w:val="center"/>
                </w:tcPr>
                <w:p w14:paraId="51727F3C">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G8</w:t>
                  </w:r>
                </w:p>
              </w:tc>
              <w:tc>
                <w:tcPr>
                  <w:tcW w:w="764" w:type="pct"/>
                  <w:vMerge w:val="continue"/>
                  <w:vAlign w:val="center"/>
                </w:tcPr>
                <w:p w14:paraId="3B923F8C">
                  <w:pPr>
                    <w:adjustRightInd w:val="0"/>
                    <w:snapToGrid w:val="0"/>
                    <w:jc w:val="center"/>
                    <w:rPr>
                      <w:rFonts w:hint="eastAsia" w:cs="Times New Roman"/>
                      <w:bCs/>
                      <w:color w:val="0000FF"/>
                      <w:szCs w:val="21"/>
                      <w:lang w:val="en-US" w:eastAsia="zh-CN"/>
                    </w:rPr>
                  </w:pPr>
                </w:p>
              </w:tc>
              <w:tc>
                <w:tcPr>
                  <w:tcW w:w="827" w:type="pct"/>
                  <w:vAlign w:val="center"/>
                </w:tcPr>
                <w:p w14:paraId="72080D10">
                  <w:pPr>
                    <w:adjustRightInd w:val="0"/>
                    <w:snapToGrid w:val="0"/>
                    <w:jc w:val="center"/>
                    <w:rPr>
                      <w:rFonts w:hint="eastAsia" w:cs="Times New Roman"/>
                      <w:bCs/>
                      <w:color w:val="0000FF"/>
                      <w:szCs w:val="21"/>
                      <w:lang w:val="en-US" w:eastAsia="zh-CN"/>
                    </w:rPr>
                  </w:pPr>
                  <w:r>
                    <w:rPr>
                      <w:rFonts w:hint="eastAsia" w:cs="Times New Roman"/>
                      <w:bCs/>
                      <w:color w:val="0000FF"/>
                      <w:szCs w:val="21"/>
                      <w:vertAlign w:val="baseline"/>
                      <w:lang w:val="en-US" w:eastAsia="zh-CN"/>
                    </w:rPr>
                    <w:t>二噁英类</w:t>
                  </w:r>
                </w:p>
              </w:tc>
              <w:tc>
                <w:tcPr>
                  <w:tcW w:w="2203" w:type="pct"/>
                  <w:vMerge w:val="continue"/>
                  <w:vAlign w:val="center"/>
                </w:tcPr>
                <w:p w14:paraId="5E53DAA8">
                  <w:pPr>
                    <w:adjustRightInd w:val="0"/>
                    <w:snapToGrid w:val="0"/>
                    <w:jc w:val="center"/>
                    <w:rPr>
                      <w:rFonts w:hint="eastAsia" w:cs="Times New Roman"/>
                      <w:bCs/>
                      <w:color w:val="0000FF"/>
                      <w:szCs w:val="21"/>
                      <w:lang w:val="en-US" w:eastAsia="zh-CN"/>
                    </w:rPr>
                  </w:pPr>
                </w:p>
              </w:tc>
            </w:tr>
            <w:tr w14:paraId="6C739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vMerge w:val="continue"/>
                  <w:vAlign w:val="center"/>
                </w:tcPr>
                <w:p w14:paraId="1C968087">
                  <w:pPr>
                    <w:adjustRightInd w:val="0"/>
                    <w:snapToGrid w:val="0"/>
                    <w:jc w:val="center"/>
                    <w:rPr>
                      <w:rFonts w:hint="eastAsia" w:cs="Times New Roman"/>
                      <w:bCs/>
                      <w:color w:val="0000FF"/>
                      <w:szCs w:val="21"/>
                      <w:lang w:val="en-US" w:eastAsia="zh-CN"/>
                    </w:rPr>
                  </w:pPr>
                </w:p>
              </w:tc>
              <w:tc>
                <w:tcPr>
                  <w:tcW w:w="426" w:type="pct"/>
                  <w:vMerge w:val="continue"/>
                  <w:vAlign w:val="center"/>
                </w:tcPr>
                <w:p w14:paraId="32EDB419">
                  <w:pPr>
                    <w:adjustRightInd w:val="0"/>
                    <w:snapToGrid w:val="0"/>
                    <w:jc w:val="center"/>
                    <w:rPr>
                      <w:rFonts w:hint="eastAsia" w:cs="Times New Roman"/>
                      <w:bCs/>
                      <w:color w:val="0000FF"/>
                      <w:szCs w:val="21"/>
                      <w:lang w:val="en-US" w:eastAsia="zh-CN"/>
                    </w:rPr>
                  </w:pPr>
                </w:p>
              </w:tc>
              <w:tc>
                <w:tcPr>
                  <w:tcW w:w="403" w:type="pct"/>
                  <w:vAlign w:val="center"/>
                </w:tcPr>
                <w:p w14:paraId="7256982D">
                  <w:pPr>
                    <w:adjustRightInd w:val="0"/>
                    <w:snapToGrid w:val="0"/>
                    <w:jc w:val="center"/>
                    <w:rPr>
                      <w:rFonts w:hint="default" w:cs="Times New Roman"/>
                      <w:bCs/>
                      <w:color w:val="0000FF"/>
                      <w:szCs w:val="21"/>
                      <w:lang w:val="en-US" w:eastAsia="zh-CN"/>
                    </w:rPr>
                  </w:pPr>
                  <w:r>
                    <w:rPr>
                      <w:rFonts w:hint="eastAsia" w:cs="Times New Roman"/>
                      <w:bCs/>
                      <w:color w:val="0000FF"/>
                      <w:szCs w:val="21"/>
                      <w:lang w:val="en-US" w:eastAsia="zh-CN"/>
                    </w:rPr>
                    <w:t>G9</w:t>
                  </w:r>
                </w:p>
              </w:tc>
              <w:tc>
                <w:tcPr>
                  <w:tcW w:w="764" w:type="pct"/>
                  <w:vMerge w:val="continue"/>
                  <w:vAlign w:val="center"/>
                </w:tcPr>
                <w:p w14:paraId="361A66C6">
                  <w:pPr>
                    <w:adjustRightInd w:val="0"/>
                    <w:snapToGrid w:val="0"/>
                    <w:jc w:val="center"/>
                    <w:rPr>
                      <w:rFonts w:hint="eastAsia" w:cs="Times New Roman"/>
                      <w:bCs/>
                      <w:color w:val="0000FF"/>
                      <w:szCs w:val="21"/>
                      <w:lang w:val="en-US" w:eastAsia="zh-CN"/>
                    </w:rPr>
                  </w:pPr>
                </w:p>
              </w:tc>
              <w:tc>
                <w:tcPr>
                  <w:tcW w:w="827" w:type="pct"/>
                  <w:vAlign w:val="center"/>
                </w:tcPr>
                <w:p w14:paraId="1175EE49">
                  <w:pPr>
                    <w:adjustRightInd w:val="0"/>
                    <w:snapToGrid w:val="0"/>
                    <w:jc w:val="center"/>
                    <w:rPr>
                      <w:rFonts w:hint="eastAsia" w:cs="Times New Roman"/>
                      <w:bCs/>
                      <w:color w:val="0000FF"/>
                      <w:szCs w:val="21"/>
                      <w:lang w:val="en-US" w:eastAsia="zh-CN"/>
                    </w:rPr>
                  </w:pPr>
                  <w:r>
                    <w:rPr>
                      <w:rFonts w:hint="eastAsia" w:cs="Times New Roman"/>
                      <w:bCs/>
                      <w:color w:val="0000FF"/>
                      <w:szCs w:val="21"/>
                      <w:vertAlign w:val="baseline"/>
                      <w:lang w:val="en-US" w:eastAsia="zh-CN"/>
                    </w:rPr>
                    <w:t>其他重金属类</w:t>
                  </w:r>
                </w:p>
              </w:tc>
              <w:tc>
                <w:tcPr>
                  <w:tcW w:w="2203" w:type="pct"/>
                  <w:vMerge w:val="continue"/>
                  <w:vAlign w:val="center"/>
                </w:tcPr>
                <w:p w14:paraId="250BC248">
                  <w:pPr>
                    <w:adjustRightInd w:val="0"/>
                    <w:snapToGrid w:val="0"/>
                    <w:jc w:val="center"/>
                    <w:rPr>
                      <w:rFonts w:hint="eastAsia" w:cs="Times New Roman"/>
                      <w:bCs/>
                      <w:color w:val="0000FF"/>
                      <w:szCs w:val="21"/>
                      <w:lang w:val="en-US" w:eastAsia="zh-CN"/>
                    </w:rPr>
                  </w:pPr>
                </w:p>
              </w:tc>
            </w:tr>
            <w:tr w14:paraId="646EB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vAlign w:val="center"/>
                </w:tcPr>
                <w:p w14:paraId="6D41AEF2">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噪声</w:t>
                  </w:r>
                </w:p>
              </w:tc>
              <w:tc>
                <w:tcPr>
                  <w:tcW w:w="426" w:type="pct"/>
                  <w:vAlign w:val="center"/>
                </w:tcPr>
                <w:p w14:paraId="2FEDD85A">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设备运行</w:t>
                  </w:r>
                </w:p>
              </w:tc>
              <w:tc>
                <w:tcPr>
                  <w:tcW w:w="403" w:type="pct"/>
                  <w:vAlign w:val="center"/>
                </w:tcPr>
                <w:p w14:paraId="2C988F76">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N</w:t>
                  </w:r>
                </w:p>
              </w:tc>
              <w:tc>
                <w:tcPr>
                  <w:tcW w:w="764" w:type="pct"/>
                  <w:vAlign w:val="center"/>
                </w:tcPr>
                <w:p w14:paraId="23546101">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设备噪声</w:t>
                  </w:r>
                </w:p>
              </w:tc>
              <w:tc>
                <w:tcPr>
                  <w:tcW w:w="827" w:type="pct"/>
                  <w:vAlign w:val="center"/>
                </w:tcPr>
                <w:p w14:paraId="0275B2D2">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dB（A）</w:t>
                  </w:r>
                </w:p>
              </w:tc>
              <w:tc>
                <w:tcPr>
                  <w:tcW w:w="2203" w:type="pct"/>
                  <w:vAlign w:val="center"/>
                </w:tcPr>
                <w:p w14:paraId="785E53F0">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隔声、减震</w:t>
                  </w:r>
                </w:p>
              </w:tc>
            </w:tr>
            <w:tr w14:paraId="5DB8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vMerge w:val="restart"/>
                  <w:vAlign w:val="center"/>
                </w:tcPr>
                <w:p w14:paraId="4F492A39">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废水</w:t>
                  </w:r>
                </w:p>
              </w:tc>
              <w:tc>
                <w:tcPr>
                  <w:tcW w:w="2421" w:type="pct"/>
                  <w:gridSpan w:val="4"/>
                  <w:vAlign w:val="center"/>
                </w:tcPr>
                <w:p w14:paraId="5076705F">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生产废水</w:t>
                  </w:r>
                </w:p>
              </w:tc>
              <w:tc>
                <w:tcPr>
                  <w:tcW w:w="2203" w:type="pct"/>
                  <w:vAlign w:val="center"/>
                </w:tcPr>
                <w:p w14:paraId="616EE99C">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本项目不涉及生产废水；现有工艺冷却水、余热电站排水全部循环利用，不外排</w:t>
                  </w:r>
                </w:p>
              </w:tc>
            </w:tr>
            <w:tr w14:paraId="79618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vMerge w:val="continue"/>
                  <w:vAlign w:val="center"/>
                </w:tcPr>
                <w:p w14:paraId="00FBB0DF">
                  <w:pPr>
                    <w:adjustRightInd w:val="0"/>
                    <w:snapToGrid w:val="0"/>
                    <w:jc w:val="center"/>
                    <w:rPr>
                      <w:rFonts w:hint="eastAsia" w:cs="Times New Roman"/>
                      <w:bCs/>
                      <w:color w:val="0000FF"/>
                      <w:szCs w:val="21"/>
                      <w:lang w:val="en-US" w:eastAsia="zh-CN"/>
                    </w:rPr>
                  </w:pPr>
                </w:p>
              </w:tc>
              <w:tc>
                <w:tcPr>
                  <w:tcW w:w="2421" w:type="pct"/>
                  <w:gridSpan w:val="4"/>
                  <w:vAlign w:val="center"/>
                </w:tcPr>
                <w:p w14:paraId="734B8076">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生活污水</w:t>
                  </w:r>
                </w:p>
              </w:tc>
              <w:tc>
                <w:tcPr>
                  <w:tcW w:w="2203" w:type="pct"/>
                  <w:vAlign w:val="center"/>
                </w:tcPr>
                <w:p w14:paraId="3FD4FC6D">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本项目不新增员工，不新增生活污水；现有生活污水经地埋式系列污水成套设备进行处理，其中10t/d用于绿化浇洒，其余30t/d排入龙湖开发区污水处理厂</w:t>
                  </w:r>
                </w:p>
              </w:tc>
            </w:tr>
            <w:tr w14:paraId="7C3C3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vMerge w:val="restart"/>
                  <w:vAlign w:val="center"/>
                </w:tcPr>
                <w:p w14:paraId="6AB808EA">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固废</w:t>
                  </w:r>
                </w:p>
              </w:tc>
              <w:tc>
                <w:tcPr>
                  <w:tcW w:w="2421" w:type="pct"/>
                  <w:gridSpan w:val="4"/>
                  <w:vAlign w:val="center"/>
                </w:tcPr>
                <w:p w14:paraId="5AB953D4">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废容器或废包装袋</w:t>
                  </w:r>
                </w:p>
              </w:tc>
              <w:tc>
                <w:tcPr>
                  <w:tcW w:w="2203" w:type="pct"/>
                  <w:vAlign w:val="center"/>
                </w:tcPr>
                <w:p w14:paraId="046704D4">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重复利用或进入水泥窑处置，不外排</w:t>
                  </w:r>
                </w:p>
              </w:tc>
            </w:tr>
            <w:tr w14:paraId="3119B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vMerge w:val="continue"/>
                  <w:vAlign w:val="center"/>
                </w:tcPr>
                <w:p w14:paraId="5EFAE827">
                  <w:pPr>
                    <w:adjustRightInd w:val="0"/>
                    <w:snapToGrid w:val="0"/>
                    <w:jc w:val="center"/>
                    <w:rPr>
                      <w:rFonts w:hint="eastAsia" w:cs="Times New Roman"/>
                      <w:bCs/>
                      <w:color w:val="0000FF"/>
                      <w:szCs w:val="21"/>
                      <w:lang w:val="en-US" w:eastAsia="zh-CN"/>
                    </w:rPr>
                  </w:pPr>
                </w:p>
              </w:tc>
              <w:tc>
                <w:tcPr>
                  <w:tcW w:w="2421" w:type="pct"/>
                  <w:gridSpan w:val="4"/>
                  <w:vAlign w:val="center"/>
                </w:tcPr>
                <w:p w14:paraId="2CD05434">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除尘器收集粉尘</w:t>
                  </w:r>
                </w:p>
              </w:tc>
              <w:tc>
                <w:tcPr>
                  <w:tcW w:w="2203" w:type="pct"/>
                  <w:vAlign w:val="center"/>
                </w:tcPr>
                <w:p w14:paraId="30B21B82">
                  <w:pPr>
                    <w:adjustRightInd w:val="0"/>
                    <w:snapToGrid w:val="0"/>
                    <w:jc w:val="center"/>
                    <w:rPr>
                      <w:rFonts w:hint="eastAsia" w:cs="Times New Roman"/>
                      <w:bCs/>
                      <w:color w:val="0000FF"/>
                      <w:szCs w:val="21"/>
                      <w:lang w:val="en-US" w:eastAsia="zh-CN"/>
                    </w:rPr>
                  </w:pPr>
                  <w:r>
                    <w:rPr>
                      <w:rFonts w:hint="eastAsia" w:cs="Times New Roman"/>
                      <w:bCs/>
                      <w:color w:val="0000FF"/>
                      <w:szCs w:val="21"/>
                      <w:lang w:val="en-US" w:eastAsia="zh-CN"/>
                    </w:rPr>
                    <w:t>返回水泥窑焚烧，不外排</w:t>
                  </w:r>
                </w:p>
              </w:tc>
            </w:tr>
          </w:tbl>
          <w:p w14:paraId="28829919">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cs="Times New Roman"/>
                <w:b w:val="0"/>
                <w:bCs w:val="0"/>
                <w:color w:val="auto"/>
                <w:kern w:val="2"/>
                <w:sz w:val="24"/>
                <w:szCs w:val="24"/>
                <w:vertAlign w:val="baseline"/>
                <w:lang w:val="en-US" w:eastAsia="zh-CN" w:bidi="ar-SA"/>
              </w:rPr>
            </w:pPr>
          </w:p>
        </w:tc>
      </w:tr>
      <w:tr w14:paraId="42C3D6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tcBorders>
              <w:bottom w:val="single" w:color="auto" w:sz="8" w:space="0"/>
            </w:tcBorders>
            <w:vAlign w:val="center"/>
          </w:tcPr>
          <w:p w14:paraId="0914D8C6">
            <w:pPr>
              <w:adjustRightInd w:val="0"/>
              <w:snapToGrid w:val="0"/>
              <w:spacing w:line="460" w:lineRule="exact"/>
              <w:jc w:val="center"/>
              <w:rPr>
                <w:rFonts w:hint="eastAsia" w:ascii="Times New Roman" w:hAnsi="Times New Roman" w:eastAsia="宋体" w:cs="Times New Roman"/>
                <w:color w:val="auto"/>
                <w:kern w:val="0"/>
                <w:sz w:val="24"/>
                <w:szCs w:val="24"/>
                <w:lang w:eastAsia="zh-CN"/>
              </w:rPr>
            </w:pPr>
            <w:r>
              <w:rPr>
                <w:rFonts w:hint="eastAsia" w:cs="Times New Roman"/>
                <w:color w:val="auto"/>
                <w:kern w:val="0"/>
                <w:sz w:val="24"/>
                <w:szCs w:val="24"/>
                <w:lang w:eastAsia="zh-CN"/>
              </w:rPr>
              <w:t>与项目有关的原有环境污染问题</w:t>
            </w:r>
          </w:p>
        </w:tc>
        <w:tc>
          <w:tcPr>
            <w:tcW w:w="9426" w:type="dxa"/>
            <w:tcBorders>
              <w:bottom w:val="single" w:color="auto" w:sz="8" w:space="0"/>
            </w:tcBorders>
            <w:vAlign w:val="top"/>
          </w:tcPr>
          <w:p w14:paraId="304D0D88">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b/>
                <w:color w:val="0000FF"/>
                <w:sz w:val="24"/>
              </w:rPr>
            </w:pPr>
            <w:r>
              <w:rPr>
                <w:rFonts w:hint="eastAsia" w:ascii="Times New Roman" w:hAnsi="Times New Roman" w:cs="Times New Roman"/>
                <w:b/>
                <w:bCs/>
                <w:color w:val="0000FF"/>
                <w:sz w:val="24"/>
                <w:szCs w:val="24"/>
                <w:lang w:eastAsia="zh-CN"/>
              </w:rPr>
              <w:t>一、</w:t>
            </w:r>
            <w:r>
              <w:rPr>
                <w:b/>
                <w:color w:val="0000FF"/>
                <w:sz w:val="24"/>
                <w:lang w:bidi="ar"/>
              </w:rPr>
              <w:t>现有</w:t>
            </w:r>
            <w:r>
              <w:rPr>
                <w:rFonts w:hint="eastAsia"/>
                <w:b/>
                <w:color w:val="0000FF"/>
                <w:sz w:val="24"/>
                <w:lang w:val="en-US" w:eastAsia="zh-CN" w:bidi="ar"/>
              </w:rPr>
              <w:t>工程</w:t>
            </w:r>
            <w:r>
              <w:rPr>
                <w:b/>
                <w:color w:val="0000FF"/>
                <w:sz w:val="24"/>
                <w:lang w:bidi="ar"/>
              </w:rPr>
              <w:t>基本情况</w:t>
            </w:r>
          </w:p>
          <w:p w14:paraId="017B11C1">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b w:val="0"/>
                <w:bCs w:val="0"/>
                <w:color w:val="0000FF"/>
                <w:kern w:val="2"/>
                <w:sz w:val="24"/>
                <w:szCs w:val="24"/>
                <w:vertAlign w:val="baseline"/>
                <w:lang w:val="en-US" w:eastAsia="zh-CN" w:bidi="ar-SA"/>
              </w:rPr>
            </w:pPr>
            <w:r>
              <w:rPr>
                <w:rFonts w:hint="default" w:ascii="Times New Roman" w:hAnsi="Times New Roman" w:eastAsia="宋体" w:cs="Times New Roman"/>
                <w:b w:val="0"/>
                <w:bCs w:val="0"/>
                <w:color w:val="0000FF"/>
                <w:kern w:val="2"/>
                <w:sz w:val="24"/>
                <w:szCs w:val="24"/>
                <w:vertAlign w:val="baseline"/>
                <w:lang w:val="en-US" w:eastAsia="zh-CN" w:bidi="ar-SA"/>
              </w:rPr>
              <w:t>1</w:t>
            </w:r>
            <w:r>
              <w:rPr>
                <w:rFonts w:hint="eastAsia" w:ascii="Times New Roman" w:hAnsi="Times New Roman" w:eastAsia="宋体" w:cs="Times New Roman"/>
                <w:b w:val="0"/>
                <w:bCs w:val="0"/>
                <w:color w:val="0000FF"/>
                <w:kern w:val="2"/>
                <w:sz w:val="24"/>
                <w:szCs w:val="24"/>
                <w:vertAlign w:val="baseline"/>
                <w:lang w:val="en-US" w:eastAsia="zh-CN" w:bidi="ar-SA"/>
              </w:rPr>
              <w:t>、现有工程“三同时”执行情况</w:t>
            </w:r>
          </w:p>
          <w:p w14:paraId="1F040E3A">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b w:val="0"/>
                <w:bCs w:val="0"/>
                <w:color w:val="0000FF"/>
                <w:kern w:val="2"/>
                <w:sz w:val="24"/>
                <w:szCs w:val="24"/>
                <w:vertAlign w:val="baseline"/>
                <w:lang w:val="en-US" w:eastAsia="zh-CN" w:bidi="ar-SA"/>
              </w:rPr>
            </w:pPr>
            <w:r>
              <w:rPr>
                <w:rFonts w:hint="eastAsia" w:ascii="Times New Roman" w:hAnsi="Times New Roman" w:eastAsia="宋体" w:cs="Times New Roman"/>
                <w:b w:val="0"/>
                <w:bCs w:val="0"/>
                <w:color w:val="0000FF"/>
                <w:kern w:val="2"/>
                <w:sz w:val="24"/>
                <w:szCs w:val="24"/>
                <w:vertAlign w:val="baseline"/>
                <w:lang w:val="en-US" w:eastAsia="zh-CN" w:bidi="ar-SA"/>
              </w:rPr>
              <w:t>本次评价对企业现有工程的</w:t>
            </w:r>
            <w:r>
              <w:rPr>
                <w:rFonts w:hint="eastAsia" w:cs="Times New Roman"/>
                <w:b w:val="0"/>
                <w:bCs w:val="0"/>
                <w:color w:val="0000FF"/>
                <w:kern w:val="2"/>
                <w:sz w:val="24"/>
                <w:szCs w:val="24"/>
                <w:vertAlign w:val="baseline"/>
                <w:lang w:val="en-US" w:eastAsia="zh-CN" w:bidi="ar-SA"/>
              </w:rPr>
              <w:t>主要</w:t>
            </w:r>
            <w:r>
              <w:rPr>
                <w:rFonts w:hint="eastAsia" w:ascii="Times New Roman" w:hAnsi="Times New Roman" w:eastAsia="宋体" w:cs="Times New Roman"/>
                <w:b w:val="0"/>
                <w:bCs w:val="0"/>
                <w:color w:val="0000FF"/>
                <w:kern w:val="2"/>
                <w:sz w:val="24"/>
                <w:szCs w:val="24"/>
                <w:vertAlign w:val="baseline"/>
                <w:lang w:val="en-US" w:eastAsia="zh-CN" w:bidi="ar-SA"/>
              </w:rPr>
              <w:t>环保手续履行情况进行了汇总，详见下表</w:t>
            </w:r>
            <w:r>
              <w:rPr>
                <w:rFonts w:hint="eastAsia" w:cs="Times New Roman"/>
                <w:b w:val="0"/>
                <w:bCs w:val="0"/>
                <w:color w:val="0000FF"/>
                <w:kern w:val="2"/>
                <w:sz w:val="24"/>
                <w:szCs w:val="24"/>
                <w:vertAlign w:val="baseline"/>
                <w:lang w:val="en-US" w:eastAsia="zh-CN" w:bidi="ar-SA"/>
              </w:rPr>
              <w:t>2-36</w:t>
            </w:r>
            <w:r>
              <w:rPr>
                <w:rFonts w:hint="eastAsia" w:ascii="Times New Roman" w:hAnsi="Times New Roman" w:eastAsia="宋体" w:cs="Times New Roman"/>
                <w:b w:val="0"/>
                <w:bCs w:val="0"/>
                <w:color w:val="0000FF"/>
                <w:kern w:val="2"/>
                <w:sz w:val="24"/>
                <w:szCs w:val="24"/>
                <w:vertAlign w:val="baseline"/>
                <w:lang w:val="en-US" w:eastAsia="zh-CN" w:bidi="ar-SA"/>
              </w:rPr>
              <w:t>所列，相关环保手续批文详见附件。</w:t>
            </w:r>
          </w:p>
          <w:p w14:paraId="67BF973F">
            <w:pPr>
              <w:jc w:val="center"/>
              <w:rPr>
                <w:rFonts w:hint="default" w:ascii="Times New Roman" w:hAnsi="Times New Roman" w:eastAsia="宋体" w:cs="Times New Roman"/>
                <w:b/>
                <w:color w:val="0000FF"/>
              </w:rPr>
            </w:pPr>
            <w:r>
              <w:rPr>
                <w:rFonts w:hint="default" w:ascii="Times New Roman" w:hAnsi="Times New Roman" w:eastAsia="宋体" w:cs="Times New Roman"/>
                <w:b/>
                <w:color w:val="0000FF"/>
              </w:rPr>
              <w:t>表</w:t>
            </w:r>
            <w:r>
              <w:rPr>
                <w:rFonts w:hint="default" w:ascii="Times New Roman" w:hAnsi="Times New Roman" w:eastAsia="宋体" w:cs="Times New Roman"/>
                <w:b/>
                <w:color w:val="0000FF"/>
                <w:lang w:val="en-US" w:eastAsia="zh-CN"/>
              </w:rPr>
              <w:t>2</w:t>
            </w:r>
            <w:r>
              <w:rPr>
                <w:rFonts w:hint="eastAsia" w:ascii="Times New Roman" w:hAnsi="Times New Roman" w:eastAsia="宋体" w:cs="Times New Roman"/>
                <w:b/>
                <w:color w:val="0000FF"/>
                <w:lang w:val="en-US" w:eastAsia="zh-CN"/>
              </w:rPr>
              <w:t>-</w:t>
            </w:r>
            <w:r>
              <w:rPr>
                <w:rFonts w:hint="eastAsia" w:cs="Times New Roman"/>
                <w:b/>
                <w:color w:val="0000FF"/>
                <w:lang w:val="en-US" w:eastAsia="zh-CN"/>
              </w:rPr>
              <w:t xml:space="preserve">40 </w:t>
            </w:r>
            <w:r>
              <w:rPr>
                <w:rFonts w:hint="default" w:ascii="Times New Roman" w:hAnsi="Times New Roman" w:eastAsia="宋体" w:cs="Times New Roman"/>
                <w:b/>
                <w:color w:val="0000FF"/>
              </w:rPr>
              <w:t>现有工程主要环保手续汇总表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1169"/>
              <w:gridCol w:w="1079"/>
              <w:gridCol w:w="1606"/>
              <w:gridCol w:w="1740"/>
              <w:gridCol w:w="1725"/>
              <w:gridCol w:w="1235"/>
            </w:tblGrid>
            <w:tr w14:paraId="018C3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1" w:type="pct"/>
                  <w:noWrap w:val="0"/>
                  <w:vAlign w:val="center"/>
                </w:tcPr>
                <w:p w14:paraId="71E833B0">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序号</w:t>
                  </w:r>
                </w:p>
              </w:tc>
              <w:tc>
                <w:tcPr>
                  <w:tcW w:w="635" w:type="pct"/>
                  <w:noWrap w:val="0"/>
                  <w:vAlign w:val="center"/>
                </w:tcPr>
                <w:p w14:paraId="0B43C835">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项目名称</w:t>
                  </w:r>
                </w:p>
              </w:tc>
              <w:tc>
                <w:tcPr>
                  <w:tcW w:w="586" w:type="pct"/>
                  <w:noWrap w:val="0"/>
                  <w:vAlign w:val="center"/>
                </w:tcPr>
                <w:p w14:paraId="493D346E">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建设单位</w:t>
                  </w:r>
                </w:p>
              </w:tc>
              <w:tc>
                <w:tcPr>
                  <w:tcW w:w="872" w:type="pct"/>
                  <w:noWrap w:val="0"/>
                  <w:vAlign w:val="center"/>
                </w:tcPr>
                <w:p w14:paraId="30E4737C">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环评批复情况</w:t>
                  </w:r>
                </w:p>
              </w:tc>
              <w:tc>
                <w:tcPr>
                  <w:tcW w:w="945" w:type="pct"/>
                  <w:noWrap w:val="0"/>
                  <w:vAlign w:val="center"/>
                </w:tcPr>
                <w:p w14:paraId="42AEC2F6">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建设规模及内容</w:t>
                  </w:r>
                </w:p>
              </w:tc>
              <w:tc>
                <w:tcPr>
                  <w:tcW w:w="937" w:type="pct"/>
                  <w:noWrap w:val="0"/>
                  <w:vAlign w:val="center"/>
                </w:tcPr>
                <w:p w14:paraId="3CBD31AE">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验收情况</w:t>
                  </w:r>
                </w:p>
              </w:tc>
              <w:tc>
                <w:tcPr>
                  <w:tcW w:w="670" w:type="pct"/>
                  <w:noWrap w:val="0"/>
                  <w:vAlign w:val="center"/>
                </w:tcPr>
                <w:p w14:paraId="22622AD2">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备注</w:t>
                  </w:r>
                </w:p>
              </w:tc>
            </w:tr>
            <w:tr w14:paraId="33D2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1" w:type="pct"/>
                  <w:noWrap w:val="0"/>
                  <w:vAlign w:val="center"/>
                </w:tcPr>
                <w:p w14:paraId="188049E0">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1</w:t>
                  </w:r>
                </w:p>
              </w:tc>
              <w:tc>
                <w:tcPr>
                  <w:tcW w:w="635" w:type="pct"/>
                  <w:noWrap w:val="0"/>
                  <w:vAlign w:val="center"/>
                </w:tcPr>
                <w:p w14:paraId="256DD809">
                  <w:pPr>
                    <w:adjustRightInd w:val="0"/>
                    <w:snapToGrid w:val="0"/>
                    <w:jc w:val="both"/>
                    <w:rPr>
                      <w:rFonts w:ascii="Times New Roman" w:hAnsi="Times New Roman" w:cs="Times New Roman"/>
                      <w:color w:val="0000FF"/>
                      <w:sz w:val="21"/>
                      <w:szCs w:val="21"/>
                    </w:rPr>
                  </w:pPr>
                  <w:r>
                    <w:rPr>
                      <w:rFonts w:ascii="Times New Roman" w:hAnsi="Times New Roman" w:cs="Times New Roman"/>
                      <w:color w:val="0000FF"/>
                      <w:sz w:val="21"/>
                      <w:szCs w:val="21"/>
                    </w:rPr>
                    <w:t>淮北矿业集团有限责任公司废渣综合利用技改工程</w:t>
                  </w:r>
                </w:p>
              </w:tc>
              <w:tc>
                <w:tcPr>
                  <w:tcW w:w="586" w:type="pct"/>
                  <w:noWrap w:val="0"/>
                  <w:vAlign w:val="center"/>
                </w:tcPr>
                <w:p w14:paraId="1F342501">
                  <w:pPr>
                    <w:adjustRightInd w:val="0"/>
                    <w:snapToGrid w:val="0"/>
                    <w:jc w:val="both"/>
                    <w:rPr>
                      <w:rFonts w:ascii="Times New Roman" w:hAnsi="Times New Roman" w:cs="Times New Roman"/>
                      <w:color w:val="0000FF"/>
                      <w:sz w:val="21"/>
                      <w:szCs w:val="21"/>
                    </w:rPr>
                  </w:pPr>
                  <w:r>
                    <w:rPr>
                      <w:rFonts w:ascii="Times New Roman" w:hAnsi="Times New Roman" w:cs="Times New Roman"/>
                      <w:color w:val="0000FF"/>
                      <w:sz w:val="21"/>
                      <w:szCs w:val="21"/>
                    </w:rPr>
                    <w:t>淮北矿业相山水泥有限责任公司</w:t>
                  </w:r>
                </w:p>
              </w:tc>
              <w:tc>
                <w:tcPr>
                  <w:tcW w:w="872" w:type="pct"/>
                  <w:noWrap w:val="0"/>
                  <w:vAlign w:val="center"/>
                </w:tcPr>
                <w:p w14:paraId="6E1B39AB">
                  <w:pPr>
                    <w:adjustRightInd w:val="0"/>
                    <w:snapToGrid w:val="0"/>
                    <w:jc w:val="both"/>
                    <w:rPr>
                      <w:rFonts w:ascii="Times New Roman" w:hAnsi="Times New Roman" w:cs="Times New Roman"/>
                      <w:color w:val="0000FF"/>
                      <w:sz w:val="21"/>
                      <w:szCs w:val="21"/>
                    </w:rPr>
                  </w:pPr>
                  <w:r>
                    <w:rPr>
                      <w:rFonts w:ascii="Times New Roman" w:hAnsi="Times New Roman" w:cs="Times New Roman"/>
                      <w:color w:val="0000FF"/>
                      <w:sz w:val="21"/>
                      <w:szCs w:val="21"/>
                    </w:rPr>
                    <w:t>环监函</w:t>
                  </w:r>
                  <w:r>
                    <w:rPr>
                      <w:rFonts w:hint="eastAsia" w:ascii="Times New Roman" w:hAnsi="Times New Roman" w:cs="Times New Roman"/>
                      <w:color w:val="0000FF"/>
                      <w:sz w:val="21"/>
                      <w:szCs w:val="21"/>
                    </w:rPr>
                    <w:t>﹝</w:t>
                  </w:r>
                  <w:r>
                    <w:rPr>
                      <w:rFonts w:ascii="Times New Roman" w:hAnsi="Times New Roman" w:cs="Times New Roman"/>
                      <w:color w:val="0000FF"/>
                      <w:sz w:val="21"/>
                      <w:szCs w:val="21"/>
                    </w:rPr>
                    <w:t>2002</w:t>
                  </w:r>
                  <w:r>
                    <w:rPr>
                      <w:rFonts w:hint="eastAsia" w:ascii="Times New Roman" w:hAnsi="Times New Roman" w:cs="Times New Roman"/>
                      <w:color w:val="0000FF"/>
                      <w:sz w:val="21"/>
                      <w:szCs w:val="21"/>
                    </w:rPr>
                    <w:t>〕</w:t>
                  </w:r>
                  <w:r>
                    <w:rPr>
                      <w:rFonts w:ascii="Times New Roman" w:hAnsi="Times New Roman" w:cs="Times New Roman"/>
                      <w:color w:val="0000FF"/>
                      <w:sz w:val="21"/>
                      <w:szCs w:val="21"/>
                    </w:rPr>
                    <w:t>169号，原安徽省环保局，2002.4.</w:t>
                  </w:r>
                  <w:r>
                    <w:rPr>
                      <w:rFonts w:ascii="Times New Roman" w:hAnsi="Times New Roman" w:cs="Times New Roman"/>
                      <w:color w:val="0000FF"/>
                      <w:sz w:val="21"/>
                      <w:szCs w:val="21"/>
                    </w:rPr>
                    <w:cr/>
                  </w:r>
                  <w:r>
                    <w:rPr>
                      <w:rFonts w:ascii="Times New Roman" w:hAnsi="Times New Roman" w:cs="Times New Roman"/>
                      <w:color w:val="0000FF"/>
                      <w:sz w:val="21"/>
                      <w:szCs w:val="21"/>
                    </w:rPr>
                    <w:t>5</w:t>
                  </w:r>
                </w:p>
              </w:tc>
              <w:tc>
                <w:tcPr>
                  <w:tcW w:w="945" w:type="pct"/>
                  <w:noWrap w:val="0"/>
                  <w:vAlign w:val="center"/>
                </w:tcPr>
                <w:p w14:paraId="7316F1C7">
                  <w:pPr>
                    <w:adjustRightInd w:val="0"/>
                    <w:snapToGrid w:val="0"/>
                    <w:jc w:val="both"/>
                    <w:rPr>
                      <w:rFonts w:ascii="Times New Roman" w:hAnsi="Times New Roman" w:cs="Times New Roman"/>
                      <w:color w:val="0000FF"/>
                      <w:sz w:val="21"/>
                      <w:szCs w:val="21"/>
                    </w:rPr>
                  </w:pPr>
                  <w:r>
                    <w:rPr>
                      <w:rFonts w:ascii="Times New Roman" w:hAnsi="Times New Roman" w:cs="Times New Roman"/>
                      <w:color w:val="0000FF"/>
                      <w:sz w:val="21"/>
                      <w:szCs w:val="21"/>
                    </w:rPr>
                    <w:t>2000td水泥熟料生产线、年产6</w:t>
                  </w:r>
                  <w:r>
                    <w:rPr>
                      <w:rFonts w:ascii="Times New Roman" w:hAnsi="Times New Roman" w:cs="Times New Roman"/>
                      <w:color w:val="0000FF"/>
                      <w:sz w:val="21"/>
                      <w:szCs w:val="21"/>
                    </w:rPr>
                    <w:cr/>
                  </w:r>
                  <w:r>
                    <w:rPr>
                      <w:rFonts w:ascii="Times New Roman" w:hAnsi="Times New Roman" w:cs="Times New Roman"/>
                      <w:color w:val="0000FF"/>
                      <w:sz w:val="21"/>
                      <w:szCs w:val="21"/>
                    </w:rPr>
                    <w:t>万吨水泥生产线</w:t>
                  </w:r>
                </w:p>
              </w:tc>
              <w:tc>
                <w:tcPr>
                  <w:tcW w:w="937" w:type="pct"/>
                  <w:noWrap w:val="0"/>
                  <w:vAlign w:val="center"/>
                </w:tcPr>
                <w:p w14:paraId="0F6822D0">
                  <w:pPr>
                    <w:adjustRightInd w:val="0"/>
                    <w:snapToGrid w:val="0"/>
                    <w:jc w:val="both"/>
                    <w:rPr>
                      <w:rFonts w:ascii="Times New Roman" w:hAnsi="Times New Roman" w:cs="Times New Roman"/>
                      <w:color w:val="0000FF"/>
                      <w:sz w:val="21"/>
                      <w:szCs w:val="21"/>
                    </w:rPr>
                  </w:pPr>
                  <w:r>
                    <w:rPr>
                      <w:rFonts w:ascii="Times New Roman" w:hAnsi="Times New Roman" w:cs="Times New Roman"/>
                      <w:color w:val="0000FF"/>
                      <w:sz w:val="21"/>
                      <w:szCs w:val="21"/>
                    </w:rPr>
                    <w:t>原安徽省环境保护局验收2005.11.7</w:t>
                  </w:r>
                  <w:r>
                    <w:rPr>
                      <w:rFonts w:ascii="Times New Roman" w:hAnsi="Times New Roman" w:cs="Times New Roman"/>
                      <w:color w:val="0000FF"/>
                      <w:sz w:val="21"/>
                      <w:szCs w:val="21"/>
                    </w:rPr>
                    <w:cr/>
                  </w:r>
                </w:p>
              </w:tc>
              <w:tc>
                <w:tcPr>
                  <w:tcW w:w="670" w:type="pct"/>
                  <w:noWrap w:val="0"/>
                  <w:vAlign w:val="center"/>
                </w:tcPr>
                <w:p w14:paraId="334D464A">
                  <w:pPr>
                    <w:adjustRightInd w:val="0"/>
                    <w:snapToGrid w:val="0"/>
                    <w:jc w:val="both"/>
                    <w:rPr>
                      <w:rFonts w:ascii="Times New Roman" w:hAnsi="Times New Roman" w:cs="Times New Roman"/>
                      <w:color w:val="0000FF"/>
                      <w:sz w:val="21"/>
                      <w:szCs w:val="21"/>
                    </w:rPr>
                  </w:pPr>
                  <w:r>
                    <w:rPr>
                      <w:rFonts w:ascii="Times New Roman" w:hAnsi="Times New Roman" w:cs="Times New Roman"/>
                      <w:color w:val="0000FF"/>
                      <w:sz w:val="21"/>
                      <w:szCs w:val="21"/>
                    </w:rPr>
                    <w:t>已由相山水泥迁建至杜集经济开发区</w:t>
                  </w:r>
                </w:p>
              </w:tc>
            </w:tr>
            <w:tr w14:paraId="1A82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1" w:type="pct"/>
                  <w:noWrap w:val="0"/>
                  <w:vAlign w:val="center"/>
                </w:tcPr>
                <w:p w14:paraId="24147D54">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2</w:t>
                  </w:r>
                </w:p>
              </w:tc>
              <w:tc>
                <w:tcPr>
                  <w:tcW w:w="635" w:type="pct"/>
                  <w:noWrap w:val="0"/>
                  <w:vAlign w:val="center"/>
                </w:tcPr>
                <w:p w14:paraId="001C9523">
                  <w:pPr>
                    <w:adjustRightInd w:val="0"/>
                    <w:snapToGrid w:val="0"/>
                    <w:jc w:val="both"/>
                    <w:rPr>
                      <w:rFonts w:ascii="Times New Roman" w:hAnsi="Times New Roman" w:cs="Times New Roman"/>
                      <w:color w:val="0000FF"/>
                      <w:sz w:val="21"/>
                      <w:szCs w:val="21"/>
                    </w:rPr>
                  </w:pPr>
                  <w:r>
                    <w:rPr>
                      <w:rFonts w:ascii="Times New Roman" w:hAnsi="Times New Roman" w:cs="Times New Roman"/>
                      <w:color w:val="0000FF"/>
                      <w:sz w:val="21"/>
                      <w:szCs w:val="21"/>
                    </w:rPr>
                    <w:t>日产5000吨水泥熟料生产线技术改造项目</w:t>
                  </w:r>
                </w:p>
              </w:tc>
              <w:tc>
                <w:tcPr>
                  <w:tcW w:w="586" w:type="pct"/>
                  <w:noWrap w:val="0"/>
                  <w:vAlign w:val="center"/>
                </w:tcPr>
                <w:p w14:paraId="02735639">
                  <w:pPr>
                    <w:adjustRightInd w:val="0"/>
                    <w:snapToGrid w:val="0"/>
                    <w:jc w:val="both"/>
                    <w:rPr>
                      <w:rFonts w:ascii="Times New Roman" w:hAnsi="Times New Roman" w:cs="Times New Roman"/>
                      <w:color w:val="0000FF"/>
                      <w:sz w:val="21"/>
                      <w:szCs w:val="21"/>
                    </w:rPr>
                  </w:pPr>
                  <w:r>
                    <w:rPr>
                      <w:rFonts w:ascii="Times New Roman" w:hAnsi="Times New Roman" w:cs="Times New Roman"/>
                      <w:color w:val="0000FF"/>
                      <w:sz w:val="21"/>
                      <w:szCs w:val="21"/>
                    </w:rPr>
                    <w:t>淮北矿山相山水泥有限责任公司</w:t>
                  </w:r>
                </w:p>
              </w:tc>
              <w:tc>
                <w:tcPr>
                  <w:tcW w:w="872" w:type="pct"/>
                  <w:noWrap w:val="0"/>
                  <w:vAlign w:val="center"/>
                </w:tcPr>
                <w:p w14:paraId="4C0BC2A3">
                  <w:pPr>
                    <w:adjustRightInd w:val="0"/>
                    <w:snapToGrid w:val="0"/>
                    <w:jc w:val="both"/>
                    <w:rPr>
                      <w:rFonts w:ascii="Times New Roman" w:hAnsi="Times New Roman" w:cs="Times New Roman"/>
                      <w:color w:val="0000FF"/>
                      <w:sz w:val="21"/>
                      <w:szCs w:val="21"/>
                    </w:rPr>
                  </w:pPr>
                  <w:r>
                    <w:rPr>
                      <w:rFonts w:hint="eastAsia" w:ascii="Times New Roman" w:hAnsi="Times New Roman" w:cs="Times New Roman"/>
                      <w:color w:val="0000FF"/>
                      <w:sz w:val="21"/>
                      <w:szCs w:val="21"/>
                    </w:rPr>
                    <w:t>《关于淮北矿业相山水泥有限责任公司日产5000吨水泥熟料生产线技术改造项目环境影响报告书的批复》</w:t>
                  </w:r>
                  <w:r>
                    <w:rPr>
                      <w:rFonts w:hint="eastAsia" w:ascii="Times New Roman" w:hAnsi="Times New Roman" w:cs="Times New Roman"/>
                      <w:color w:val="0000FF"/>
                      <w:sz w:val="21"/>
                      <w:szCs w:val="21"/>
                      <w:lang w:eastAsia="zh-CN"/>
                    </w:rPr>
                    <w:t>（</w:t>
                  </w:r>
                  <w:r>
                    <w:rPr>
                      <w:rFonts w:hint="eastAsia" w:ascii="Times New Roman" w:hAnsi="Times New Roman" w:cs="Times New Roman"/>
                      <w:color w:val="0000FF"/>
                      <w:sz w:val="21"/>
                      <w:szCs w:val="21"/>
                    </w:rPr>
                    <w:t>淮环行﹝2012﹞32号</w:t>
                  </w:r>
                  <w:r>
                    <w:rPr>
                      <w:rFonts w:hint="eastAsia" w:ascii="Times New Roman" w:hAnsi="Times New Roman" w:cs="Times New Roman"/>
                      <w:color w:val="0000FF"/>
                      <w:sz w:val="21"/>
                      <w:szCs w:val="21"/>
                      <w:lang w:eastAsia="zh-CN"/>
                    </w:rPr>
                    <w:t>）</w:t>
                  </w:r>
                  <w:r>
                    <w:rPr>
                      <w:rFonts w:ascii="Times New Roman" w:hAnsi="Times New Roman" w:cs="Times New Roman"/>
                      <w:color w:val="0000FF"/>
                      <w:sz w:val="21"/>
                      <w:szCs w:val="21"/>
                    </w:rPr>
                    <w:t>，原淮北市环境保护局，201</w:t>
                  </w:r>
                  <w:r>
                    <w:rPr>
                      <w:rFonts w:hint="eastAsia" w:ascii="Times New Roman" w:hAnsi="Times New Roman" w:cs="Times New Roman"/>
                      <w:color w:val="0000FF"/>
                      <w:sz w:val="21"/>
                      <w:szCs w:val="21"/>
                    </w:rPr>
                    <w:t>2</w:t>
                  </w:r>
                  <w:r>
                    <w:rPr>
                      <w:rFonts w:ascii="Times New Roman" w:hAnsi="Times New Roman" w:cs="Times New Roman"/>
                      <w:color w:val="0000FF"/>
                      <w:sz w:val="21"/>
                      <w:szCs w:val="21"/>
                    </w:rPr>
                    <w:t>.7.24</w:t>
                  </w:r>
                </w:p>
              </w:tc>
              <w:tc>
                <w:tcPr>
                  <w:tcW w:w="945" w:type="pct"/>
                  <w:noWrap w:val="0"/>
                  <w:vAlign w:val="center"/>
                </w:tcPr>
                <w:p w14:paraId="308EB357">
                  <w:pPr>
                    <w:adjustRightInd w:val="0"/>
                    <w:snapToGrid w:val="0"/>
                    <w:jc w:val="both"/>
                    <w:rPr>
                      <w:rFonts w:hint="eastAsia" w:ascii="Times New Roman" w:hAnsi="Times New Roman" w:eastAsia="宋体" w:cs="Times New Roman"/>
                      <w:color w:val="0000FF"/>
                      <w:sz w:val="21"/>
                      <w:szCs w:val="21"/>
                      <w:lang w:eastAsia="zh-CN"/>
                    </w:rPr>
                  </w:pPr>
                  <w:r>
                    <w:rPr>
                      <w:rFonts w:ascii="Times New Roman" w:hAnsi="Times New Roman" w:cs="Times New Roman"/>
                      <w:color w:val="0000FF"/>
                      <w:sz w:val="21"/>
                      <w:szCs w:val="21"/>
                    </w:rPr>
                    <w:t>上大压小，淘汰落后产能36</w:t>
                  </w:r>
                  <w:r>
                    <w:rPr>
                      <w:rFonts w:ascii="Times New Roman" w:hAnsi="Times New Roman" w:cs="Times New Roman"/>
                      <w:color w:val="0000FF"/>
                      <w:sz w:val="21"/>
                      <w:szCs w:val="21"/>
                    </w:rPr>
                    <w:cr/>
                  </w:r>
                  <w:r>
                    <w:rPr>
                      <w:rFonts w:ascii="Times New Roman" w:hAnsi="Times New Roman" w:cs="Times New Roman"/>
                      <w:color w:val="0000FF"/>
                      <w:sz w:val="21"/>
                      <w:szCs w:val="21"/>
                    </w:rPr>
                    <w:t>万余吨，</w:t>
                  </w:r>
                  <w:r>
                    <w:rPr>
                      <w:rFonts w:hint="eastAsia" w:ascii="Times New Roman" w:hAnsi="Times New Roman" w:cs="Times New Roman"/>
                      <w:color w:val="0000FF"/>
                      <w:sz w:val="21"/>
                      <w:szCs w:val="21"/>
                      <w:lang w:eastAsia="zh-CN"/>
                    </w:rPr>
                    <w:t>形成</w:t>
                  </w:r>
                  <w:r>
                    <w:rPr>
                      <w:rFonts w:ascii="Times New Roman" w:hAnsi="Times New Roman" w:cs="Times New Roman"/>
                      <w:color w:val="0000FF"/>
                      <w:sz w:val="21"/>
                      <w:szCs w:val="21"/>
                    </w:rPr>
                    <w:cr/>
                  </w:r>
                  <w:r>
                    <w:rPr>
                      <w:rFonts w:ascii="Times New Roman" w:hAnsi="Times New Roman" w:cs="Times New Roman"/>
                      <w:color w:val="0000FF"/>
                      <w:sz w:val="21"/>
                      <w:szCs w:val="21"/>
                    </w:rPr>
                    <w:t>140万吨水泥熟料生产</w:t>
                  </w:r>
                  <w:r>
                    <w:rPr>
                      <w:rFonts w:hint="eastAsia" w:ascii="Times New Roman" w:hAnsi="Times New Roman" w:cs="Times New Roman"/>
                      <w:color w:val="0000FF"/>
                      <w:sz w:val="21"/>
                      <w:szCs w:val="21"/>
                      <w:lang w:eastAsia="zh-CN"/>
                    </w:rPr>
                    <w:t>能力</w:t>
                  </w:r>
                </w:p>
              </w:tc>
              <w:tc>
                <w:tcPr>
                  <w:tcW w:w="937" w:type="pct"/>
                  <w:noWrap w:val="0"/>
                  <w:vAlign w:val="center"/>
                </w:tcPr>
                <w:p w14:paraId="28FB7727">
                  <w:pPr>
                    <w:adjustRightInd w:val="0"/>
                    <w:snapToGrid w:val="0"/>
                    <w:jc w:val="both"/>
                    <w:rPr>
                      <w:rFonts w:ascii="Times New Roman" w:hAnsi="Times New Roman" w:cs="Times New Roman"/>
                      <w:color w:val="0000FF"/>
                      <w:sz w:val="21"/>
                      <w:szCs w:val="21"/>
                    </w:rPr>
                  </w:pPr>
                  <w:r>
                    <w:rPr>
                      <w:rFonts w:ascii="Times New Roman" w:hAnsi="Times New Roman" w:cs="Times New Roman"/>
                      <w:color w:val="0000FF"/>
                      <w:sz w:val="21"/>
                      <w:szCs w:val="21"/>
                    </w:rPr>
                    <w:t>原淮北市环境保护局验收，</w:t>
                  </w:r>
                  <w:r>
                    <w:rPr>
                      <w:rFonts w:hint="eastAsia" w:ascii="Times New Roman" w:hAnsi="Times New Roman" w:cs="Times New Roman"/>
                      <w:color w:val="0000FF"/>
                      <w:sz w:val="21"/>
                      <w:szCs w:val="21"/>
                    </w:rPr>
                    <w:t>《关于淮北矿业相山水泥有限责任公司日产5000吨水泥熟料生产线技改项目竣工环保验收意见的函》</w:t>
                  </w:r>
                  <w:r>
                    <w:rPr>
                      <w:rFonts w:hint="eastAsia" w:ascii="Times New Roman" w:hAnsi="Times New Roman" w:cs="Times New Roman"/>
                      <w:color w:val="0000FF"/>
                      <w:sz w:val="21"/>
                      <w:szCs w:val="21"/>
                      <w:lang w:eastAsia="zh-CN"/>
                    </w:rPr>
                    <w:t>，（</w:t>
                  </w:r>
                  <w:r>
                    <w:rPr>
                      <w:rFonts w:hint="eastAsia" w:cs="Times New Roman"/>
                      <w:bCs/>
                      <w:color w:val="0000FF"/>
                      <w:szCs w:val="21"/>
                      <w:lang w:val="en-US" w:eastAsia="zh-CN"/>
                    </w:rPr>
                    <w:t>环验﹝2014﹞46号</w:t>
                  </w:r>
                  <w:r>
                    <w:rPr>
                      <w:rFonts w:hint="eastAsia" w:ascii="Times New Roman" w:hAnsi="Times New Roman" w:cs="Times New Roman"/>
                      <w:color w:val="0000FF"/>
                      <w:sz w:val="21"/>
                      <w:szCs w:val="21"/>
                      <w:lang w:eastAsia="zh-CN"/>
                    </w:rPr>
                    <w:t>）</w:t>
                  </w:r>
                </w:p>
              </w:tc>
              <w:tc>
                <w:tcPr>
                  <w:tcW w:w="670" w:type="pct"/>
                  <w:noWrap w:val="0"/>
                  <w:vAlign w:val="center"/>
                </w:tcPr>
                <w:p w14:paraId="51E3E336">
                  <w:pPr>
                    <w:adjustRightInd w:val="0"/>
                    <w:snapToGrid w:val="0"/>
                    <w:jc w:val="both"/>
                    <w:rPr>
                      <w:rFonts w:ascii="Times New Roman" w:hAnsi="Times New Roman" w:cs="Times New Roman"/>
                      <w:color w:val="0000FF"/>
                      <w:sz w:val="21"/>
                      <w:szCs w:val="21"/>
                    </w:rPr>
                  </w:pPr>
                  <w:r>
                    <w:rPr>
                      <w:rFonts w:ascii="Times New Roman" w:hAnsi="Times New Roman" w:cs="Times New Roman"/>
                      <w:color w:val="0000FF"/>
                      <w:sz w:val="21"/>
                      <w:szCs w:val="21"/>
                    </w:rPr>
                    <w:t>该</w:t>
                  </w:r>
                  <w:r>
                    <w:rPr>
                      <w:rFonts w:ascii="Times New Roman" w:hAnsi="Times New Roman" w:cs="Times New Roman"/>
                      <w:color w:val="0000FF"/>
                      <w:sz w:val="21"/>
                      <w:szCs w:val="21"/>
                    </w:rPr>
                    <w:cr/>
                  </w:r>
                  <w:r>
                    <w:rPr>
                      <w:rFonts w:ascii="Times New Roman" w:hAnsi="Times New Roman" w:cs="Times New Roman"/>
                      <w:color w:val="0000FF"/>
                      <w:sz w:val="21"/>
                      <w:szCs w:val="21"/>
                    </w:rPr>
                    <w:t>产线已由淮北众城水泥有限责任公司运营</w:t>
                  </w:r>
                </w:p>
              </w:tc>
            </w:tr>
            <w:tr w14:paraId="3CD6A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1" w:type="pct"/>
                  <w:noWrap w:val="0"/>
                  <w:vAlign w:val="center"/>
                </w:tcPr>
                <w:p w14:paraId="770F34E3">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3</w:t>
                  </w:r>
                </w:p>
              </w:tc>
              <w:tc>
                <w:tcPr>
                  <w:tcW w:w="635" w:type="pct"/>
                  <w:noWrap w:val="0"/>
                  <w:vAlign w:val="center"/>
                </w:tcPr>
                <w:p w14:paraId="5B7B3599">
                  <w:pPr>
                    <w:adjustRightInd w:val="0"/>
                    <w:snapToGrid w:val="0"/>
                    <w:jc w:val="both"/>
                    <w:rPr>
                      <w:rFonts w:ascii="Times New Roman" w:hAnsi="Times New Roman" w:cs="Times New Roman"/>
                      <w:color w:val="0000FF"/>
                      <w:sz w:val="21"/>
                      <w:szCs w:val="21"/>
                    </w:rPr>
                  </w:pPr>
                  <w:r>
                    <w:rPr>
                      <w:rFonts w:ascii="Times New Roman" w:hAnsi="Times New Roman" w:cs="Times New Roman"/>
                      <w:color w:val="0000FF"/>
                      <w:sz w:val="21"/>
                      <w:szCs w:val="21"/>
                    </w:rPr>
                    <w:t>产能置换4500t/d新型干法水泥熟料生产线技改项目</w:t>
                  </w:r>
                </w:p>
              </w:tc>
              <w:tc>
                <w:tcPr>
                  <w:tcW w:w="586" w:type="pct"/>
                  <w:noWrap w:val="0"/>
                  <w:vAlign w:val="center"/>
                </w:tcPr>
                <w:p w14:paraId="43A8E821">
                  <w:pPr>
                    <w:adjustRightInd w:val="0"/>
                    <w:snapToGrid w:val="0"/>
                    <w:jc w:val="both"/>
                    <w:rPr>
                      <w:rFonts w:ascii="Times New Roman" w:hAnsi="Times New Roman" w:cs="Times New Roman"/>
                      <w:color w:val="0000FF"/>
                      <w:sz w:val="21"/>
                      <w:szCs w:val="21"/>
                    </w:rPr>
                  </w:pPr>
                  <w:r>
                    <w:rPr>
                      <w:rFonts w:ascii="Times New Roman" w:hAnsi="Times New Roman" w:cs="Times New Roman"/>
                      <w:color w:val="0000FF"/>
                      <w:sz w:val="21"/>
                      <w:szCs w:val="21"/>
                    </w:rPr>
                    <w:t>淮北众城水泥有限责任公司</w:t>
                  </w:r>
                </w:p>
              </w:tc>
              <w:tc>
                <w:tcPr>
                  <w:tcW w:w="872" w:type="pct"/>
                  <w:noWrap w:val="0"/>
                  <w:vAlign w:val="center"/>
                </w:tcPr>
                <w:p w14:paraId="1B0C687D">
                  <w:pPr>
                    <w:adjustRightInd w:val="0"/>
                    <w:snapToGrid w:val="0"/>
                    <w:jc w:val="both"/>
                    <w:rPr>
                      <w:rFonts w:ascii="Times New Roman" w:hAnsi="Times New Roman" w:cs="Times New Roman"/>
                      <w:color w:val="0000FF"/>
                      <w:sz w:val="21"/>
                      <w:szCs w:val="21"/>
                    </w:rPr>
                  </w:pPr>
                  <w:r>
                    <w:rPr>
                      <w:rFonts w:ascii="Times New Roman" w:hAnsi="Times New Roman" w:cs="Times New Roman"/>
                      <w:color w:val="0000FF"/>
                      <w:sz w:val="21"/>
                      <w:szCs w:val="21"/>
                    </w:rPr>
                    <w:t>淮环行</w:t>
                  </w:r>
                  <w:r>
                    <w:rPr>
                      <w:rFonts w:hint="eastAsia" w:ascii="Times New Roman" w:hAnsi="Times New Roman" w:cs="Times New Roman"/>
                      <w:color w:val="0000FF"/>
                      <w:sz w:val="21"/>
                      <w:szCs w:val="21"/>
                    </w:rPr>
                    <w:t>﹝</w:t>
                  </w:r>
                  <w:r>
                    <w:rPr>
                      <w:rFonts w:ascii="Times New Roman" w:hAnsi="Times New Roman" w:cs="Times New Roman"/>
                      <w:color w:val="0000FF"/>
                      <w:sz w:val="21"/>
                      <w:szCs w:val="21"/>
                    </w:rPr>
                    <w:t>2015</w:t>
                  </w:r>
                  <w:r>
                    <w:rPr>
                      <w:rFonts w:hint="eastAsia" w:ascii="Times New Roman" w:hAnsi="Times New Roman" w:cs="Times New Roman"/>
                      <w:color w:val="0000FF"/>
                      <w:sz w:val="21"/>
                      <w:szCs w:val="21"/>
                    </w:rPr>
                    <w:t>〕</w:t>
                  </w:r>
                  <w:r>
                    <w:rPr>
                      <w:rFonts w:ascii="Times New Roman" w:hAnsi="Times New Roman" w:cs="Times New Roman"/>
                      <w:color w:val="0000FF"/>
                      <w:sz w:val="21"/>
                      <w:szCs w:val="21"/>
                    </w:rPr>
                    <w:t>39号，原淮北市环境保护局，20</w:t>
                  </w:r>
                  <w:r>
                    <w:rPr>
                      <w:rFonts w:hint="eastAsia" w:ascii="Times New Roman" w:hAnsi="Times New Roman" w:cs="Times New Roman"/>
                      <w:color w:val="0000FF"/>
                      <w:sz w:val="21"/>
                      <w:szCs w:val="21"/>
                      <w:lang w:val="en-US" w:eastAsia="zh-CN"/>
                    </w:rPr>
                    <w:t>1</w:t>
                  </w:r>
                  <w:r>
                    <w:rPr>
                      <w:rFonts w:ascii="Times New Roman" w:hAnsi="Times New Roman" w:cs="Times New Roman"/>
                      <w:color w:val="0000FF"/>
                      <w:sz w:val="21"/>
                      <w:szCs w:val="21"/>
                    </w:rPr>
                    <w:cr/>
                  </w:r>
                  <w:r>
                    <w:rPr>
                      <w:rFonts w:ascii="Times New Roman" w:hAnsi="Times New Roman" w:cs="Times New Roman"/>
                      <w:color w:val="0000FF"/>
                      <w:sz w:val="21"/>
                      <w:szCs w:val="21"/>
                    </w:rPr>
                    <w:t>5.12.31.</w:t>
                  </w:r>
                </w:p>
              </w:tc>
              <w:tc>
                <w:tcPr>
                  <w:tcW w:w="945" w:type="pct"/>
                  <w:noWrap w:val="0"/>
                  <w:vAlign w:val="center"/>
                </w:tcPr>
                <w:p w14:paraId="210101F1">
                  <w:pPr>
                    <w:adjustRightInd w:val="0"/>
                    <w:snapToGrid w:val="0"/>
                    <w:jc w:val="both"/>
                    <w:rPr>
                      <w:rFonts w:ascii="Times New Roman" w:hAnsi="Times New Roman" w:cs="Times New Roman"/>
                      <w:color w:val="0000FF"/>
                      <w:sz w:val="21"/>
                      <w:szCs w:val="21"/>
                    </w:rPr>
                  </w:pPr>
                  <w:r>
                    <w:rPr>
                      <w:rFonts w:ascii="Times New Roman" w:hAnsi="Times New Roman" w:cs="Times New Roman"/>
                      <w:color w:val="0000FF"/>
                      <w:sz w:val="21"/>
                      <w:szCs w:val="21"/>
                    </w:rPr>
                    <w:t>4500t/d水泥熟料生产线</w:t>
                  </w:r>
                </w:p>
              </w:tc>
              <w:tc>
                <w:tcPr>
                  <w:tcW w:w="937" w:type="pct"/>
                  <w:noWrap w:val="0"/>
                  <w:vAlign w:val="center"/>
                </w:tcPr>
                <w:p w14:paraId="1CA86EAC">
                  <w:pPr>
                    <w:adjustRightInd w:val="0"/>
                    <w:snapToGrid w:val="0"/>
                    <w:jc w:val="both"/>
                    <w:rPr>
                      <w:rFonts w:ascii="Times New Roman" w:hAnsi="Times New Roman" w:cs="Times New Roman"/>
                      <w:color w:val="0000FF"/>
                      <w:sz w:val="21"/>
                      <w:szCs w:val="21"/>
                    </w:rPr>
                  </w:pPr>
                  <w:r>
                    <w:rPr>
                      <w:rFonts w:ascii="Times New Roman" w:hAnsi="Times New Roman" w:cs="Times New Roman"/>
                      <w:color w:val="0000FF"/>
                      <w:sz w:val="21"/>
                      <w:szCs w:val="21"/>
                    </w:rPr>
                    <w:t>自主验收2018.4</w:t>
                  </w:r>
                </w:p>
              </w:tc>
              <w:tc>
                <w:tcPr>
                  <w:tcW w:w="670" w:type="pct"/>
                  <w:noWrap w:val="0"/>
                  <w:vAlign w:val="center"/>
                </w:tcPr>
                <w:p w14:paraId="53C357F0">
                  <w:pPr>
                    <w:adjustRightInd w:val="0"/>
                    <w:snapToGrid w:val="0"/>
                    <w:jc w:val="center"/>
                    <w:rPr>
                      <w:rFonts w:hint="eastAsia" w:ascii="Times New Roman" w:hAnsi="Times New Roman" w:eastAsia="宋体" w:cs="Times New Roman"/>
                      <w:color w:val="0000FF"/>
                      <w:sz w:val="21"/>
                      <w:szCs w:val="21"/>
                      <w:lang w:val="en-US" w:eastAsia="zh-CN"/>
                    </w:rPr>
                  </w:pPr>
                  <w:r>
                    <w:rPr>
                      <w:rFonts w:hint="eastAsia" w:ascii="Times New Roman" w:hAnsi="Times New Roman" w:cs="Times New Roman"/>
                      <w:color w:val="0000FF"/>
                      <w:sz w:val="21"/>
                      <w:szCs w:val="21"/>
                      <w:lang w:val="en-US" w:eastAsia="zh-CN"/>
                    </w:rPr>
                    <w:t>/</w:t>
                  </w:r>
                </w:p>
              </w:tc>
            </w:tr>
            <w:tr w14:paraId="280DA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1" w:type="pct"/>
                  <w:noWrap w:val="0"/>
                  <w:vAlign w:val="center"/>
                </w:tcPr>
                <w:p w14:paraId="63E2743C">
                  <w:pPr>
                    <w:adjustRightInd w:val="0"/>
                    <w:snapToGrid w:val="0"/>
                    <w:jc w:val="center"/>
                    <w:rPr>
                      <w:rFonts w:ascii="Times New Roman" w:hAnsi="Times New Roman" w:cs="Times New Roman"/>
                      <w:color w:val="0000FF"/>
                      <w:sz w:val="21"/>
                      <w:szCs w:val="21"/>
                    </w:rPr>
                  </w:pPr>
                  <w:r>
                    <w:rPr>
                      <w:rFonts w:ascii="Times New Roman" w:hAnsi="Times New Roman" w:cs="Times New Roman"/>
                      <w:color w:val="0000FF"/>
                      <w:sz w:val="21"/>
                      <w:szCs w:val="21"/>
                    </w:rPr>
                    <w:t>4</w:t>
                  </w:r>
                </w:p>
              </w:tc>
              <w:tc>
                <w:tcPr>
                  <w:tcW w:w="635" w:type="pct"/>
                  <w:noWrap w:val="0"/>
                  <w:vAlign w:val="center"/>
                </w:tcPr>
                <w:p w14:paraId="1931A11D">
                  <w:pPr>
                    <w:adjustRightInd w:val="0"/>
                    <w:snapToGrid w:val="0"/>
                    <w:jc w:val="both"/>
                    <w:rPr>
                      <w:rFonts w:ascii="Times New Roman" w:hAnsi="Times New Roman" w:cs="Times New Roman"/>
                      <w:color w:val="0000FF"/>
                      <w:sz w:val="21"/>
                      <w:szCs w:val="21"/>
                    </w:rPr>
                  </w:pPr>
                  <w:r>
                    <w:rPr>
                      <w:rFonts w:ascii="Times New Roman" w:hAnsi="Times New Roman" w:cs="Times New Roman"/>
                      <w:color w:val="0000FF"/>
                      <w:sz w:val="21"/>
                      <w:szCs w:val="21"/>
                    </w:rPr>
                    <w:t>淮北市利用水泥窑协同处置城市污泥固废项目</w:t>
                  </w:r>
                </w:p>
              </w:tc>
              <w:tc>
                <w:tcPr>
                  <w:tcW w:w="586" w:type="pct"/>
                  <w:noWrap w:val="0"/>
                  <w:vAlign w:val="center"/>
                </w:tcPr>
                <w:p w14:paraId="52C3E61A">
                  <w:pPr>
                    <w:adjustRightInd w:val="0"/>
                    <w:snapToGrid w:val="0"/>
                    <w:jc w:val="both"/>
                    <w:rPr>
                      <w:rFonts w:ascii="Times New Roman" w:hAnsi="Times New Roman" w:cs="Times New Roman"/>
                      <w:color w:val="0000FF"/>
                      <w:sz w:val="21"/>
                      <w:szCs w:val="21"/>
                    </w:rPr>
                  </w:pPr>
                  <w:r>
                    <w:rPr>
                      <w:rFonts w:ascii="Times New Roman" w:hAnsi="Times New Roman" w:cs="Times New Roman"/>
                      <w:color w:val="0000FF"/>
                      <w:sz w:val="21"/>
                      <w:szCs w:val="21"/>
                    </w:rPr>
                    <w:t>淮北海</w:t>
                  </w:r>
                  <w:r>
                    <w:rPr>
                      <w:rFonts w:ascii="Times New Roman" w:hAnsi="Times New Roman" w:cs="Times New Roman"/>
                      <w:color w:val="0000FF"/>
                      <w:sz w:val="21"/>
                      <w:szCs w:val="21"/>
                    </w:rPr>
                    <w:cr/>
                  </w:r>
                  <w:r>
                    <w:rPr>
                      <w:rFonts w:ascii="Times New Roman" w:hAnsi="Times New Roman" w:cs="Times New Roman"/>
                      <w:color w:val="0000FF"/>
                      <w:sz w:val="21"/>
                      <w:szCs w:val="21"/>
                    </w:rPr>
                    <w:t>环境工程有限责任公司</w:t>
                  </w:r>
                </w:p>
              </w:tc>
              <w:tc>
                <w:tcPr>
                  <w:tcW w:w="872" w:type="pct"/>
                  <w:noWrap w:val="0"/>
                  <w:vAlign w:val="center"/>
                </w:tcPr>
                <w:p w14:paraId="61322818">
                  <w:pPr>
                    <w:adjustRightInd w:val="0"/>
                    <w:snapToGrid w:val="0"/>
                    <w:jc w:val="both"/>
                    <w:rPr>
                      <w:rFonts w:ascii="Times New Roman" w:hAnsi="Times New Roman" w:cs="Times New Roman"/>
                      <w:color w:val="0000FF"/>
                      <w:sz w:val="21"/>
                      <w:szCs w:val="21"/>
                    </w:rPr>
                  </w:pPr>
                  <w:r>
                    <w:rPr>
                      <w:rFonts w:ascii="Times New Roman" w:hAnsi="Times New Roman" w:cs="Times New Roman"/>
                      <w:color w:val="0000FF"/>
                      <w:sz w:val="21"/>
                      <w:szCs w:val="21"/>
                    </w:rPr>
                    <w:t>淮环行</w:t>
                  </w:r>
                  <w:r>
                    <w:rPr>
                      <w:rFonts w:hint="eastAsia" w:ascii="Times New Roman" w:hAnsi="Times New Roman" w:cs="Times New Roman"/>
                      <w:color w:val="0000FF"/>
                      <w:sz w:val="21"/>
                      <w:szCs w:val="21"/>
                    </w:rPr>
                    <w:t>﹝</w:t>
                  </w:r>
                  <w:r>
                    <w:rPr>
                      <w:rFonts w:ascii="Times New Roman" w:hAnsi="Times New Roman" w:cs="Times New Roman"/>
                      <w:color w:val="0000FF"/>
                      <w:sz w:val="21"/>
                      <w:szCs w:val="21"/>
                    </w:rPr>
                    <w:t>2017</w:t>
                  </w:r>
                  <w:r>
                    <w:rPr>
                      <w:rFonts w:hint="eastAsia" w:ascii="Times New Roman" w:hAnsi="Times New Roman" w:cs="Times New Roman"/>
                      <w:color w:val="0000FF"/>
                      <w:sz w:val="21"/>
                      <w:szCs w:val="21"/>
                    </w:rPr>
                    <w:t>〕</w:t>
                  </w:r>
                  <w:r>
                    <w:rPr>
                      <w:rFonts w:ascii="Times New Roman" w:hAnsi="Times New Roman" w:cs="Times New Roman"/>
                      <w:color w:val="0000FF"/>
                      <w:sz w:val="21"/>
                      <w:szCs w:val="21"/>
                    </w:rPr>
                    <w:t>04号，原淮北市环境保护局，</w:t>
                  </w:r>
                  <w:r>
                    <w:rPr>
                      <w:rFonts w:hint="eastAsia" w:ascii="Times New Roman" w:hAnsi="Times New Roman" w:cs="Times New Roman"/>
                      <w:color w:val="0000FF"/>
                      <w:sz w:val="21"/>
                      <w:szCs w:val="21"/>
                      <w:lang w:val="en-US" w:eastAsia="zh-CN"/>
                    </w:rPr>
                    <w:t>2</w:t>
                  </w:r>
                  <w:r>
                    <w:rPr>
                      <w:rFonts w:ascii="Times New Roman" w:hAnsi="Times New Roman" w:cs="Times New Roman"/>
                      <w:color w:val="0000FF"/>
                      <w:sz w:val="21"/>
                      <w:szCs w:val="21"/>
                    </w:rPr>
                    <w:cr/>
                  </w:r>
                  <w:r>
                    <w:rPr>
                      <w:rFonts w:ascii="Times New Roman" w:hAnsi="Times New Roman" w:cs="Times New Roman"/>
                      <w:color w:val="0000FF"/>
                      <w:sz w:val="21"/>
                      <w:szCs w:val="21"/>
                    </w:rPr>
                    <w:t>017.2.28</w:t>
                  </w:r>
                </w:p>
              </w:tc>
              <w:tc>
                <w:tcPr>
                  <w:tcW w:w="945" w:type="pct"/>
                  <w:noWrap w:val="0"/>
                  <w:vAlign w:val="center"/>
                </w:tcPr>
                <w:p w14:paraId="65F3B0F8">
                  <w:pPr>
                    <w:adjustRightInd w:val="0"/>
                    <w:snapToGrid w:val="0"/>
                    <w:jc w:val="both"/>
                    <w:rPr>
                      <w:rFonts w:ascii="Times New Roman" w:hAnsi="Times New Roman" w:cs="Times New Roman"/>
                      <w:color w:val="0000FF"/>
                      <w:sz w:val="21"/>
                      <w:szCs w:val="21"/>
                    </w:rPr>
                  </w:pPr>
                  <w:r>
                    <w:rPr>
                      <w:rFonts w:ascii="Times New Roman" w:hAnsi="Times New Roman" w:cs="Times New Roman"/>
                      <w:color w:val="0000FF"/>
                      <w:sz w:val="21"/>
                      <w:szCs w:val="21"/>
                    </w:rPr>
                    <w:t>150t/d污泥及50t/d飞灰的处置能力</w:t>
                  </w:r>
                </w:p>
              </w:tc>
              <w:tc>
                <w:tcPr>
                  <w:tcW w:w="937" w:type="pct"/>
                  <w:noWrap w:val="0"/>
                  <w:vAlign w:val="center"/>
                </w:tcPr>
                <w:p w14:paraId="20F30F9D">
                  <w:pPr>
                    <w:adjustRightInd w:val="0"/>
                    <w:snapToGrid w:val="0"/>
                    <w:jc w:val="both"/>
                    <w:rPr>
                      <w:rFonts w:ascii="Times New Roman" w:hAnsi="Times New Roman" w:cs="Times New Roman"/>
                      <w:color w:val="0000FF"/>
                      <w:sz w:val="21"/>
                      <w:szCs w:val="21"/>
                    </w:rPr>
                  </w:pPr>
                  <w:r>
                    <w:rPr>
                      <w:rFonts w:ascii="Times New Roman" w:hAnsi="Times New Roman" w:cs="Times New Roman"/>
                      <w:color w:val="0000FF"/>
                      <w:sz w:val="21"/>
                      <w:szCs w:val="21"/>
                    </w:rPr>
                    <w:t>自主验收2019.5</w:t>
                  </w:r>
                </w:p>
              </w:tc>
              <w:tc>
                <w:tcPr>
                  <w:tcW w:w="670" w:type="pct"/>
                  <w:noWrap w:val="0"/>
                  <w:vAlign w:val="center"/>
                </w:tcPr>
                <w:p w14:paraId="066195CB">
                  <w:pPr>
                    <w:adjustRightInd w:val="0"/>
                    <w:snapToGrid w:val="0"/>
                    <w:jc w:val="both"/>
                    <w:rPr>
                      <w:rFonts w:ascii="Times New Roman" w:hAnsi="Times New Roman" w:cs="Times New Roman"/>
                      <w:color w:val="0000FF"/>
                      <w:sz w:val="21"/>
                      <w:szCs w:val="21"/>
                    </w:rPr>
                  </w:pPr>
                  <w:r>
                    <w:rPr>
                      <w:rFonts w:ascii="Times New Roman" w:hAnsi="Times New Roman" w:cs="Times New Roman"/>
                      <w:color w:val="0000FF"/>
                      <w:sz w:val="21"/>
                      <w:szCs w:val="21"/>
                    </w:rPr>
                    <w:t>固废处置一期</w:t>
                  </w:r>
                </w:p>
              </w:tc>
            </w:tr>
            <w:tr w14:paraId="3810E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1" w:type="pct"/>
                  <w:noWrap w:val="0"/>
                  <w:vAlign w:val="center"/>
                </w:tcPr>
                <w:p w14:paraId="582BE23B">
                  <w:pPr>
                    <w:adjustRightInd w:val="0"/>
                    <w:snapToGrid w:val="0"/>
                    <w:jc w:val="center"/>
                    <w:rPr>
                      <w:rFonts w:hint="eastAsia" w:ascii="Times New Roman" w:hAnsi="Times New Roman" w:eastAsia="宋体" w:cs="Times New Roman"/>
                      <w:color w:val="0000FF"/>
                      <w:sz w:val="21"/>
                      <w:szCs w:val="21"/>
                      <w:lang w:val="en-US" w:eastAsia="zh-CN"/>
                    </w:rPr>
                  </w:pPr>
                  <w:r>
                    <w:rPr>
                      <w:rFonts w:hint="eastAsia" w:ascii="Times New Roman" w:hAnsi="Times New Roman" w:cs="Times New Roman"/>
                      <w:color w:val="0000FF"/>
                      <w:sz w:val="21"/>
                      <w:szCs w:val="21"/>
                      <w:lang w:val="en-US" w:eastAsia="zh-CN"/>
                    </w:rPr>
                    <w:t>5</w:t>
                  </w:r>
                </w:p>
              </w:tc>
              <w:tc>
                <w:tcPr>
                  <w:tcW w:w="635" w:type="pct"/>
                  <w:noWrap w:val="0"/>
                  <w:vAlign w:val="center"/>
                </w:tcPr>
                <w:p w14:paraId="57BFC184">
                  <w:pPr>
                    <w:adjustRightInd w:val="0"/>
                    <w:snapToGrid w:val="0"/>
                    <w:jc w:val="both"/>
                    <w:rPr>
                      <w:rFonts w:ascii="Times New Roman" w:hAnsi="Times New Roman" w:cs="Times New Roman"/>
                      <w:color w:val="0000FF"/>
                      <w:sz w:val="21"/>
                      <w:szCs w:val="21"/>
                    </w:rPr>
                  </w:pPr>
                  <w:r>
                    <w:rPr>
                      <w:rFonts w:hint="eastAsia" w:ascii="Times New Roman" w:hAnsi="Times New Roman" w:cs="Times New Roman"/>
                      <w:color w:val="0000FF"/>
                      <w:sz w:val="21"/>
                      <w:szCs w:val="21"/>
                    </w:rPr>
                    <w:t>淮北市利用水泥窑协同处置一般固废二期项目</w:t>
                  </w:r>
                </w:p>
              </w:tc>
              <w:tc>
                <w:tcPr>
                  <w:tcW w:w="586" w:type="pct"/>
                  <w:noWrap w:val="0"/>
                  <w:vAlign w:val="center"/>
                </w:tcPr>
                <w:p w14:paraId="26584F1F">
                  <w:pPr>
                    <w:adjustRightInd w:val="0"/>
                    <w:snapToGrid w:val="0"/>
                    <w:jc w:val="both"/>
                    <w:rPr>
                      <w:rFonts w:ascii="Times New Roman" w:hAnsi="Times New Roman" w:cs="Times New Roman"/>
                      <w:color w:val="0000FF"/>
                      <w:sz w:val="21"/>
                      <w:szCs w:val="21"/>
                    </w:rPr>
                  </w:pPr>
                  <w:r>
                    <w:rPr>
                      <w:rFonts w:hint="eastAsia" w:ascii="Times New Roman" w:hAnsi="Times New Roman" w:cs="Times New Roman"/>
                      <w:color w:val="0000FF"/>
                      <w:sz w:val="21"/>
                      <w:szCs w:val="21"/>
                    </w:rPr>
                    <w:t>淮北海创环境工程有限责任公司</w:t>
                  </w:r>
                </w:p>
              </w:tc>
              <w:tc>
                <w:tcPr>
                  <w:tcW w:w="872" w:type="pct"/>
                  <w:noWrap w:val="0"/>
                  <w:vAlign w:val="center"/>
                </w:tcPr>
                <w:p w14:paraId="05609A9C">
                  <w:pPr>
                    <w:adjustRightInd w:val="0"/>
                    <w:snapToGrid w:val="0"/>
                    <w:jc w:val="both"/>
                    <w:rPr>
                      <w:rFonts w:hint="default" w:ascii="Times New Roman" w:hAnsi="Times New Roman" w:eastAsia="宋体" w:cs="Times New Roman"/>
                      <w:color w:val="0000FF"/>
                      <w:sz w:val="21"/>
                      <w:szCs w:val="21"/>
                      <w:lang w:val="en-US" w:eastAsia="zh-CN"/>
                    </w:rPr>
                  </w:pPr>
                  <w:r>
                    <w:rPr>
                      <w:rFonts w:hint="eastAsia" w:ascii="Times New Roman" w:hAnsi="Times New Roman" w:cs="Times New Roman"/>
                      <w:color w:val="0000FF"/>
                      <w:sz w:val="21"/>
                      <w:szCs w:val="21"/>
                    </w:rPr>
                    <w:t>淮杜环行﹝2021〕26号</w:t>
                  </w:r>
                  <w:r>
                    <w:rPr>
                      <w:rFonts w:hint="eastAsia" w:cs="Times New Roman"/>
                      <w:color w:val="0000FF"/>
                      <w:sz w:val="21"/>
                      <w:szCs w:val="21"/>
                      <w:lang w:eastAsia="zh-CN"/>
                    </w:rPr>
                    <w:t>，淮北市杜集区生态环境分局，</w:t>
                  </w:r>
                  <w:r>
                    <w:rPr>
                      <w:rFonts w:hint="eastAsia" w:cs="Times New Roman"/>
                      <w:color w:val="0000FF"/>
                      <w:sz w:val="21"/>
                      <w:szCs w:val="21"/>
                      <w:lang w:val="en-US" w:eastAsia="zh-CN"/>
                    </w:rPr>
                    <w:t>2021.11.3</w:t>
                  </w:r>
                </w:p>
              </w:tc>
              <w:tc>
                <w:tcPr>
                  <w:tcW w:w="945" w:type="pct"/>
                  <w:noWrap w:val="0"/>
                  <w:vAlign w:val="center"/>
                </w:tcPr>
                <w:p w14:paraId="535873FD">
                  <w:pPr>
                    <w:adjustRightInd w:val="0"/>
                    <w:snapToGrid w:val="0"/>
                    <w:jc w:val="both"/>
                    <w:rPr>
                      <w:rFonts w:hint="eastAsia" w:ascii="Times New Roman" w:hAnsi="Times New Roman" w:eastAsia="宋体" w:cs="Times New Roman"/>
                      <w:color w:val="0000FF"/>
                      <w:sz w:val="21"/>
                      <w:szCs w:val="21"/>
                      <w:lang w:eastAsia="zh-CN"/>
                    </w:rPr>
                  </w:pPr>
                  <w:r>
                    <w:rPr>
                      <w:rFonts w:hint="eastAsia" w:ascii="Times New Roman" w:hAnsi="Times New Roman" w:cs="Times New Roman"/>
                      <w:color w:val="0000FF"/>
                      <w:sz w:val="21"/>
                      <w:szCs w:val="21"/>
                    </w:rPr>
                    <w:t>市政污泥200t/d</w:t>
                  </w:r>
                  <w:r>
                    <w:rPr>
                      <w:rFonts w:hint="eastAsia" w:ascii="Times New Roman" w:hAnsi="Times New Roman" w:cs="Times New Roman"/>
                      <w:color w:val="0000FF"/>
                      <w:sz w:val="21"/>
                      <w:szCs w:val="21"/>
                      <w:lang w:eastAsia="zh-CN"/>
                    </w:rPr>
                    <w:t>（80%含水率污泥70t/d，60%含水率污泥130t/d）的处置能力</w:t>
                  </w:r>
                </w:p>
              </w:tc>
              <w:tc>
                <w:tcPr>
                  <w:tcW w:w="937" w:type="pct"/>
                  <w:noWrap w:val="0"/>
                  <w:vAlign w:val="center"/>
                </w:tcPr>
                <w:p w14:paraId="566BB0C9">
                  <w:pPr>
                    <w:adjustRightInd w:val="0"/>
                    <w:snapToGrid w:val="0"/>
                    <w:jc w:val="both"/>
                    <w:rPr>
                      <w:rFonts w:hint="default" w:ascii="Times New Roman" w:hAnsi="Times New Roman" w:eastAsia="宋体" w:cs="Times New Roman"/>
                      <w:color w:val="0000FF"/>
                      <w:sz w:val="21"/>
                      <w:szCs w:val="21"/>
                      <w:lang w:val="en-US" w:eastAsia="zh-CN"/>
                    </w:rPr>
                  </w:pPr>
                  <w:r>
                    <w:rPr>
                      <w:rFonts w:hint="eastAsia" w:cs="Times New Roman"/>
                      <w:color w:val="0000FF"/>
                      <w:sz w:val="21"/>
                      <w:szCs w:val="21"/>
                      <w:lang w:eastAsia="zh-CN"/>
                    </w:rPr>
                    <w:t>自主验收</w:t>
                  </w:r>
                  <w:r>
                    <w:rPr>
                      <w:rFonts w:hint="eastAsia" w:cs="Times New Roman"/>
                      <w:color w:val="0000FF"/>
                      <w:sz w:val="21"/>
                      <w:szCs w:val="21"/>
                      <w:lang w:val="en-US" w:eastAsia="zh-CN"/>
                    </w:rPr>
                    <w:t>2023.2.24</w:t>
                  </w:r>
                </w:p>
              </w:tc>
              <w:tc>
                <w:tcPr>
                  <w:tcW w:w="670" w:type="pct"/>
                  <w:noWrap w:val="0"/>
                  <w:vAlign w:val="center"/>
                </w:tcPr>
                <w:p w14:paraId="0CB8B60E">
                  <w:pPr>
                    <w:adjustRightInd w:val="0"/>
                    <w:snapToGrid w:val="0"/>
                    <w:jc w:val="both"/>
                    <w:rPr>
                      <w:rFonts w:hint="eastAsia" w:ascii="Times New Roman" w:hAnsi="Times New Roman" w:eastAsia="宋体" w:cs="Times New Roman"/>
                      <w:color w:val="0000FF"/>
                      <w:sz w:val="21"/>
                      <w:szCs w:val="21"/>
                      <w:lang w:eastAsia="zh-CN"/>
                    </w:rPr>
                  </w:pPr>
                  <w:r>
                    <w:rPr>
                      <w:rFonts w:hint="eastAsia" w:ascii="Times New Roman" w:hAnsi="Times New Roman" w:cs="Times New Roman"/>
                      <w:color w:val="0000FF"/>
                      <w:sz w:val="21"/>
                      <w:szCs w:val="21"/>
                      <w:lang w:eastAsia="zh-CN"/>
                    </w:rPr>
                    <w:t>固废处置二期</w:t>
                  </w:r>
                </w:p>
              </w:tc>
            </w:tr>
          </w:tbl>
          <w:p w14:paraId="7CE79C34">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2、</w:t>
            </w:r>
            <w:r>
              <w:rPr>
                <w:rFonts w:hint="default" w:ascii="Times New Roman" w:hAnsi="Times New Roman" w:eastAsia="宋体" w:cs="Times New Roman"/>
                <w:b w:val="0"/>
                <w:bCs w:val="0"/>
                <w:sz w:val="24"/>
                <w:szCs w:val="24"/>
                <w:lang w:val="en-US" w:eastAsia="zh-CN"/>
              </w:rPr>
              <w:t>排污许可执行情况</w:t>
            </w:r>
          </w:p>
          <w:p w14:paraId="360F543D">
            <w:pPr>
              <w:spacing w:line="360" w:lineRule="auto"/>
              <w:ind w:firstLine="480" w:firstLineChars="200"/>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淮北众城水泥有限责任公司已于2020年12月29日取得排污许可证，证书编号为91340600711012331C001P，有效期至2025年11月19日，具体内容见附件</w:t>
            </w:r>
            <w:r>
              <w:rPr>
                <w:rFonts w:hint="eastAsia" w:cs="Times New Roman"/>
                <w:color w:val="000000"/>
                <w:sz w:val="24"/>
                <w:szCs w:val="24"/>
                <w:lang w:val="en-US" w:eastAsia="zh-CN"/>
              </w:rPr>
              <w:t>7</w:t>
            </w:r>
            <w:r>
              <w:rPr>
                <w:rFonts w:hint="eastAsia" w:ascii="Times New Roman" w:hAnsi="Times New Roman" w:eastAsia="宋体" w:cs="Times New Roman"/>
                <w:color w:val="000000"/>
                <w:sz w:val="24"/>
                <w:szCs w:val="24"/>
                <w:lang w:val="en-US" w:eastAsia="zh-CN"/>
              </w:rPr>
              <w:t>。</w:t>
            </w:r>
          </w:p>
          <w:p w14:paraId="51C6AF36">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sz w:val="24"/>
                <w:szCs w:val="24"/>
                <w:lang w:val="en-US" w:eastAsia="zh-CN"/>
              </w:rPr>
              <w:t>3、</w:t>
            </w:r>
            <w:r>
              <w:rPr>
                <w:rFonts w:hint="default" w:ascii="Times New Roman" w:hAnsi="Times New Roman" w:eastAsia="宋体" w:cs="Times New Roman"/>
                <w:b w:val="0"/>
                <w:bCs w:val="0"/>
                <w:sz w:val="24"/>
                <w:szCs w:val="24"/>
                <w:lang w:val="en-US" w:eastAsia="zh-CN"/>
              </w:rPr>
              <w:t>突发环境事</w:t>
            </w:r>
            <w:r>
              <w:rPr>
                <w:rFonts w:hint="default" w:ascii="Times New Roman" w:hAnsi="Times New Roman" w:eastAsia="宋体" w:cs="Times New Roman"/>
                <w:b w:val="0"/>
                <w:bCs w:val="0"/>
                <w:color w:val="auto"/>
                <w:sz w:val="24"/>
                <w:szCs w:val="24"/>
                <w:lang w:val="en-US" w:eastAsia="zh-CN"/>
              </w:rPr>
              <w:t>件应急预案备案情况</w:t>
            </w:r>
          </w:p>
          <w:p w14:paraId="4F29E489">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21</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淮北众城水泥有限责任公司</w:t>
            </w:r>
            <w:r>
              <w:rPr>
                <w:rFonts w:hint="default" w:ascii="Times New Roman" w:hAnsi="Times New Roman" w:eastAsia="宋体" w:cs="Times New Roman"/>
                <w:color w:val="auto"/>
                <w:sz w:val="24"/>
                <w:szCs w:val="24"/>
                <w:lang w:val="en-US" w:eastAsia="zh-CN"/>
              </w:rPr>
              <w:t>组织编制完成了《</w:t>
            </w:r>
            <w:r>
              <w:rPr>
                <w:rFonts w:hint="eastAsia" w:ascii="Times New Roman" w:hAnsi="Times New Roman" w:eastAsia="宋体" w:cs="Times New Roman"/>
                <w:color w:val="auto"/>
                <w:sz w:val="24"/>
                <w:szCs w:val="24"/>
                <w:lang w:val="en-US" w:eastAsia="zh-CN"/>
              </w:rPr>
              <w:t>淮北众城水泥有限责任公司突发环境事件应急预案</w:t>
            </w:r>
            <w:r>
              <w:rPr>
                <w:rFonts w:hint="default" w:ascii="Times New Roman" w:hAnsi="Times New Roman" w:eastAsia="宋体" w:cs="Times New Roman"/>
                <w:color w:val="auto"/>
                <w:sz w:val="24"/>
                <w:szCs w:val="24"/>
                <w:lang w:val="en-US" w:eastAsia="zh-CN"/>
              </w:rPr>
              <w:t>》，并于2</w:t>
            </w:r>
            <w:r>
              <w:rPr>
                <w:rFonts w:hint="eastAsia" w:ascii="Times New Roman" w:hAnsi="Times New Roman" w:eastAsia="宋体" w:cs="Times New Roman"/>
                <w:color w:val="auto"/>
                <w:sz w:val="24"/>
                <w:szCs w:val="24"/>
                <w:lang w:val="en-US" w:eastAsia="zh-CN"/>
              </w:rPr>
              <w:t>021</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日正式签发实施。</w:t>
            </w:r>
          </w:p>
          <w:p w14:paraId="6C0F5D05">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21</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lang w:val="en-US" w:eastAsia="zh-CN"/>
              </w:rPr>
              <w:t>日，</w:t>
            </w:r>
            <w:r>
              <w:rPr>
                <w:rFonts w:hint="eastAsia" w:ascii="Times New Roman" w:hAnsi="Times New Roman" w:eastAsia="宋体" w:cs="Times New Roman"/>
                <w:color w:val="auto"/>
                <w:sz w:val="24"/>
                <w:szCs w:val="24"/>
                <w:lang w:val="en-US" w:eastAsia="zh-CN"/>
              </w:rPr>
              <w:t>淮北市</w:t>
            </w:r>
            <w:r>
              <w:rPr>
                <w:rFonts w:hint="default" w:ascii="Times New Roman" w:hAnsi="Times New Roman" w:eastAsia="宋体" w:cs="Times New Roman"/>
                <w:color w:val="auto"/>
                <w:sz w:val="24"/>
                <w:szCs w:val="24"/>
                <w:lang w:val="en-US" w:eastAsia="zh-CN"/>
              </w:rPr>
              <w:t>环境应急中心对该突发环境事件应急预案进行了备案，备案编号：340600-2021-038-M</w:t>
            </w:r>
            <w:r>
              <w:rPr>
                <w:rFonts w:hint="eastAsia" w:cs="Times New Roman"/>
                <w:color w:val="auto"/>
                <w:sz w:val="24"/>
                <w:szCs w:val="24"/>
                <w:lang w:val="en-US" w:eastAsia="zh-CN"/>
              </w:rPr>
              <w:t>，详见附件8</w:t>
            </w:r>
            <w:r>
              <w:rPr>
                <w:rFonts w:hint="default" w:ascii="Times New Roman" w:hAnsi="Times New Roman" w:eastAsia="宋体" w:cs="Times New Roman"/>
                <w:color w:val="auto"/>
                <w:sz w:val="24"/>
                <w:szCs w:val="24"/>
                <w:lang w:val="en-US" w:eastAsia="zh-CN"/>
              </w:rPr>
              <w:t>。</w:t>
            </w:r>
          </w:p>
          <w:p w14:paraId="741C4282">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目前最新版本应急预案仍在编制中，故无最新版应急预案备案表。</w:t>
            </w:r>
          </w:p>
          <w:p w14:paraId="050390CF">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4</w:t>
            </w:r>
            <w:r>
              <w:rPr>
                <w:rFonts w:hint="default" w:ascii="Times New Roman" w:hAnsi="Times New Roman" w:eastAsia="宋体" w:cs="Times New Roman"/>
                <w:b w:val="0"/>
                <w:bCs w:val="0"/>
                <w:sz w:val="24"/>
                <w:szCs w:val="24"/>
                <w:lang w:val="en-US" w:eastAsia="zh-CN"/>
              </w:rPr>
              <w:t>、项目原有污染排放及达标情况</w:t>
            </w:r>
          </w:p>
          <w:p w14:paraId="01D771FE">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（1）废水</w:t>
            </w:r>
          </w:p>
          <w:p w14:paraId="0D31AB7B">
            <w:pPr>
              <w:spacing w:line="360" w:lineRule="auto"/>
              <w:ind w:firstLine="480" w:firstLineChars="200"/>
              <w:rPr>
                <w:rFonts w:hint="default" w:ascii="Times New Roman" w:hAnsi="Times New Roman" w:cs="Times New Roman"/>
                <w:color w:val="FF0000"/>
                <w:highlight w:val="none"/>
              </w:rPr>
            </w:pPr>
            <w:r>
              <w:rPr>
                <w:rFonts w:hint="eastAsia" w:ascii="Times New Roman" w:hAnsi="Times New Roman" w:eastAsia="宋体" w:cs="Times New Roman"/>
                <w:color w:val="auto"/>
                <w:sz w:val="24"/>
                <w:szCs w:val="24"/>
                <w:lang w:val="en-US" w:eastAsia="zh-CN"/>
              </w:rPr>
              <w:t>本项目熟料生产线设备冷却排水和余热发电工程循环水排污水含有少量的油污及飘落的粉尘，污染物浓度较低，可以直接排放。化学水处理车间采用反渗透装置，其排水主要是Ca</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、SO</w:t>
            </w:r>
            <w:r>
              <w:rPr>
                <w:rFonts w:hint="eastAsia" w:ascii="Times New Roman" w:hAnsi="Times New Roman" w:eastAsia="宋体" w:cs="Times New Roman"/>
                <w:color w:val="auto"/>
                <w:sz w:val="24"/>
                <w:szCs w:val="24"/>
                <w:vertAlign w:val="subscript"/>
                <w:lang w:val="en-US" w:eastAsia="zh-CN"/>
              </w:rPr>
              <w:t>4</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、Cl</w:t>
            </w:r>
            <w:r>
              <w:rPr>
                <w:rFonts w:hint="eastAsia" w:ascii="Times New Roman" w:hAnsi="Times New Roman" w:eastAsia="宋体" w:cs="Times New Roman"/>
                <w:color w:val="auto"/>
                <w:sz w:val="24"/>
                <w:szCs w:val="24"/>
                <w:vertAlign w:val="superscript"/>
                <w:lang w:val="en-US" w:eastAsia="zh-CN"/>
              </w:rPr>
              <w:t>-</w:t>
            </w:r>
            <w:r>
              <w:rPr>
                <w:rFonts w:hint="eastAsia" w:ascii="Times New Roman" w:hAnsi="Times New Roman" w:eastAsia="宋体" w:cs="Times New Roman"/>
                <w:color w:val="auto"/>
                <w:sz w:val="24"/>
                <w:szCs w:val="24"/>
                <w:lang w:val="en-US" w:eastAsia="zh-CN"/>
              </w:rPr>
              <w:t>等盐类含量较高，可以直接排放。余热锅炉排污水主要含Ca</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、Mg</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等盐类，可以直接排放。本项目废水主要为生活污水，使用地埋式系列污水成套设备进行处理，该设备主要采用生物接触氧化技术，COD、BOD</w:t>
            </w:r>
            <w:r>
              <w:rPr>
                <w:rFonts w:hint="eastAsia" w:ascii="Times New Roman" w:hAnsi="Times New Roman" w:eastAsia="宋体" w:cs="Times New Roman"/>
                <w:color w:val="auto"/>
                <w:sz w:val="24"/>
                <w:szCs w:val="24"/>
                <w:vertAlign w:val="subscript"/>
                <w:lang w:val="en-US" w:eastAsia="zh-CN"/>
              </w:rPr>
              <w:t>5</w:t>
            </w:r>
            <w:r>
              <w:rPr>
                <w:rFonts w:hint="eastAsia" w:ascii="Times New Roman" w:hAnsi="Times New Roman" w:eastAsia="宋体" w:cs="Times New Roman"/>
                <w:color w:val="auto"/>
                <w:sz w:val="24"/>
                <w:szCs w:val="24"/>
                <w:lang w:val="en-US" w:eastAsia="zh-CN"/>
              </w:rPr>
              <w:t>等主要污染物去除率可达80%以上，经过此污水处理设备处理后，能够满足</w:t>
            </w:r>
            <w:bookmarkStart w:id="128" w:name="OLE_LINK48"/>
            <w:r>
              <w:rPr>
                <w:rFonts w:hint="eastAsia" w:ascii="Times New Roman" w:hAnsi="Times New Roman" w:eastAsia="宋体" w:cs="Times New Roman"/>
                <w:color w:val="auto"/>
                <w:sz w:val="24"/>
                <w:szCs w:val="24"/>
                <w:lang w:val="en-US" w:eastAsia="zh-CN"/>
              </w:rPr>
              <w:t>《污水综合排放标准》（GB 8978-1996）</w:t>
            </w:r>
            <w:bookmarkEnd w:id="128"/>
            <w:r>
              <w:rPr>
                <w:rFonts w:hint="eastAsia" w:ascii="Times New Roman" w:hAnsi="Times New Roman" w:eastAsia="宋体" w:cs="Times New Roman"/>
                <w:color w:val="auto"/>
                <w:sz w:val="24"/>
                <w:szCs w:val="24"/>
                <w:lang w:val="en-US" w:eastAsia="zh-CN"/>
              </w:rPr>
              <w:t>中一级标准。本评价根据2023年12月27日厂区生活污水排放情况例行监测结果，报告编号为KFE-HJ20231211-05W（1），具体内容见附件，分析厂区生活污水排口达标排放情况见</w:t>
            </w:r>
            <w:r>
              <w:rPr>
                <w:rFonts w:hint="eastAsia" w:cs="Times New Roman"/>
                <w:color w:val="auto"/>
                <w:sz w:val="24"/>
                <w:szCs w:val="24"/>
                <w:lang w:val="en-US" w:eastAsia="zh-CN"/>
              </w:rPr>
              <w:t>下表</w:t>
            </w:r>
            <w:r>
              <w:rPr>
                <w:rFonts w:hint="eastAsia" w:ascii="Times New Roman" w:hAnsi="Times New Roman" w:eastAsia="宋体" w:cs="Times New Roman"/>
                <w:color w:val="auto"/>
                <w:sz w:val="24"/>
                <w:szCs w:val="24"/>
                <w:lang w:val="en-US" w:eastAsia="zh-CN"/>
              </w:rPr>
              <w:t>，由</w:t>
            </w:r>
            <w:r>
              <w:rPr>
                <w:rFonts w:hint="eastAsia" w:cs="Times New Roman"/>
                <w:color w:val="auto"/>
                <w:sz w:val="24"/>
                <w:szCs w:val="24"/>
                <w:lang w:val="en-US" w:eastAsia="zh-CN"/>
              </w:rPr>
              <w:t>表中</w:t>
            </w:r>
            <w:r>
              <w:rPr>
                <w:rFonts w:hint="eastAsia" w:ascii="Times New Roman" w:hAnsi="Times New Roman" w:eastAsia="宋体" w:cs="Times New Roman"/>
                <w:color w:val="auto"/>
                <w:sz w:val="24"/>
                <w:szCs w:val="24"/>
                <w:lang w:val="en-US" w:eastAsia="zh-CN"/>
              </w:rPr>
              <w:t>数据可知，现有工程产生的生活污水经现有地埋式系列污水成套设备处理后可以做到达标排放。</w:t>
            </w:r>
          </w:p>
          <w:p w14:paraId="019D50B1">
            <w:pPr>
              <w:keepNext/>
              <w:keepLines/>
              <w:tabs>
                <w:tab w:val="left" w:pos="0"/>
                <w:tab w:val="left" w:pos="180"/>
                <w:tab w:val="left" w:pos="1418"/>
                <w:tab w:val="left" w:pos="2976"/>
              </w:tabs>
              <w:jc w:val="center"/>
              <w:outlineLvl w:val="7"/>
              <w:rPr>
                <w:rFonts w:hint="default" w:ascii="Times New Roman" w:hAnsi="Times New Roman" w:eastAsia="宋体" w:cs="Times New Roman"/>
                <w:b/>
                <w:color w:val="auto"/>
                <w:lang w:eastAsia="zh-CN"/>
              </w:rPr>
            </w:pPr>
            <w:r>
              <w:rPr>
                <w:rFonts w:hint="default" w:ascii="Times New Roman" w:hAnsi="Times New Roman" w:eastAsia="宋体" w:cs="Times New Roman"/>
                <w:b/>
                <w:color w:val="auto"/>
                <w:lang w:eastAsia="zh-CN"/>
              </w:rPr>
              <w:t>表</w:t>
            </w:r>
            <w:r>
              <w:rPr>
                <w:rFonts w:hint="eastAsia" w:ascii="Times New Roman" w:hAnsi="Times New Roman" w:eastAsia="宋体" w:cs="Times New Roman"/>
                <w:b/>
                <w:color w:val="auto"/>
                <w:lang w:val="en-US" w:eastAsia="zh-CN"/>
              </w:rPr>
              <w:t>2-</w:t>
            </w:r>
            <w:r>
              <w:rPr>
                <w:rFonts w:hint="eastAsia" w:cs="Times New Roman"/>
                <w:b/>
                <w:color w:val="auto"/>
                <w:lang w:val="en-US" w:eastAsia="zh-CN"/>
              </w:rPr>
              <w:t xml:space="preserve">41 </w:t>
            </w:r>
            <w:r>
              <w:rPr>
                <w:rFonts w:hint="eastAsia" w:ascii="Times New Roman" w:hAnsi="Times New Roman" w:eastAsia="宋体" w:cs="Times New Roman"/>
                <w:b/>
                <w:color w:val="auto"/>
                <w:lang w:val="en-US" w:eastAsia="zh-CN"/>
              </w:rPr>
              <w:t>生活污水</w:t>
            </w:r>
            <w:r>
              <w:rPr>
                <w:rFonts w:hint="default" w:ascii="Times New Roman" w:hAnsi="Times New Roman" w:eastAsia="宋体" w:cs="Times New Roman"/>
                <w:b/>
                <w:color w:val="auto"/>
                <w:lang w:val="en-US" w:eastAsia="zh-CN"/>
              </w:rPr>
              <w:t>排口</w:t>
            </w:r>
            <w:r>
              <w:rPr>
                <w:rFonts w:hint="default" w:ascii="Times New Roman" w:hAnsi="Times New Roman" w:eastAsia="宋体" w:cs="Times New Roman"/>
                <w:b/>
                <w:color w:val="auto"/>
                <w:lang w:eastAsia="zh-CN"/>
              </w:rPr>
              <w:t>例行监测结果一览表</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736"/>
              <w:gridCol w:w="1218"/>
              <w:gridCol w:w="5266"/>
              <w:gridCol w:w="1078"/>
            </w:tblGrid>
            <w:tr w14:paraId="3AE97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87" w:type="pct"/>
                  <w:noWrap w:val="0"/>
                  <w:vAlign w:val="center"/>
                </w:tcPr>
                <w:p w14:paraId="33751EE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污染物</w:t>
                  </w:r>
                </w:p>
              </w:tc>
              <w:tc>
                <w:tcPr>
                  <w:tcW w:w="400" w:type="pct"/>
                  <w:noWrap w:val="0"/>
                  <w:vAlign w:val="center"/>
                </w:tcPr>
                <w:p w14:paraId="4634E8D4">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单位</w:t>
                  </w:r>
                </w:p>
              </w:tc>
              <w:tc>
                <w:tcPr>
                  <w:tcW w:w="662" w:type="pct"/>
                  <w:noWrap w:val="0"/>
                  <w:vAlign w:val="center"/>
                </w:tcPr>
                <w:p w14:paraId="5947B1B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废水排口</w:t>
                  </w:r>
                </w:p>
              </w:tc>
              <w:tc>
                <w:tcPr>
                  <w:tcW w:w="2863" w:type="pct"/>
                  <w:noWrap w:val="0"/>
                  <w:vAlign w:val="center"/>
                </w:tcPr>
                <w:p w14:paraId="679AC66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《污水综合排放标准》（GB 8978-1996）中</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一</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级标准</w:t>
                  </w:r>
                </w:p>
              </w:tc>
              <w:tc>
                <w:tcPr>
                  <w:tcW w:w="586" w:type="pct"/>
                  <w:noWrap w:val="0"/>
                  <w:vAlign w:val="center"/>
                </w:tcPr>
                <w:p w14:paraId="4E8F1F5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达标情况</w:t>
                  </w:r>
                </w:p>
              </w:tc>
            </w:tr>
            <w:tr w14:paraId="6C17D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pct"/>
                  <w:noWrap w:val="0"/>
                  <w:vAlign w:val="center"/>
                </w:tcPr>
                <w:p w14:paraId="64C2B52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pH</w:t>
                  </w:r>
                  <w:r>
                    <w:rPr>
                      <w:rStyle w:val="98"/>
                      <w:rFonts w:hint="default" w:ascii="Times New Roman" w:hAnsi="Times New Roman" w:cs="Times New Roman"/>
                      <w:b w:val="0"/>
                      <w:bCs w:val="0"/>
                      <w:color w:val="auto"/>
                      <w:highlight w:val="none"/>
                      <w:lang w:val="en-US" w:eastAsia="zh-CN" w:bidi="ar"/>
                    </w:rPr>
                    <w:t>值</w:t>
                  </w:r>
                </w:p>
              </w:tc>
              <w:tc>
                <w:tcPr>
                  <w:tcW w:w="400" w:type="pct"/>
                  <w:noWrap w:val="0"/>
                  <w:vAlign w:val="center"/>
                </w:tcPr>
                <w:p w14:paraId="30BD0F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w:t>
                  </w:r>
                </w:p>
              </w:tc>
              <w:tc>
                <w:tcPr>
                  <w:tcW w:w="662" w:type="pct"/>
                  <w:noWrap w:val="0"/>
                  <w:vAlign w:val="center"/>
                </w:tcPr>
                <w:p w14:paraId="632870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8.0</w:t>
                  </w:r>
                </w:p>
              </w:tc>
              <w:tc>
                <w:tcPr>
                  <w:tcW w:w="2863" w:type="pct"/>
                  <w:noWrap w:val="0"/>
                  <w:vAlign w:val="center"/>
                </w:tcPr>
                <w:p w14:paraId="2B6A5C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6~9</w:t>
                  </w:r>
                </w:p>
              </w:tc>
              <w:tc>
                <w:tcPr>
                  <w:tcW w:w="586" w:type="pct"/>
                  <w:noWrap w:val="0"/>
                  <w:vAlign w:val="center"/>
                </w:tcPr>
                <w:p w14:paraId="582009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14:paraId="522DC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pct"/>
                  <w:noWrap w:val="0"/>
                  <w:vAlign w:val="center"/>
                </w:tcPr>
                <w:p w14:paraId="76080F4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COD</w:t>
                  </w:r>
                </w:p>
              </w:tc>
              <w:tc>
                <w:tcPr>
                  <w:tcW w:w="400" w:type="pct"/>
                  <w:noWrap w:val="0"/>
                  <w:vAlign w:val="center"/>
                </w:tcPr>
                <w:p w14:paraId="7189E182">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mg/L</w:t>
                  </w:r>
                </w:p>
              </w:tc>
              <w:tc>
                <w:tcPr>
                  <w:tcW w:w="662" w:type="pct"/>
                  <w:noWrap w:val="0"/>
                  <w:vAlign w:val="center"/>
                </w:tcPr>
                <w:p w14:paraId="33B16D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12</w:t>
                  </w:r>
                </w:p>
              </w:tc>
              <w:tc>
                <w:tcPr>
                  <w:tcW w:w="2863" w:type="pct"/>
                  <w:noWrap w:val="0"/>
                  <w:vAlign w:val="center"/>
                </w:tcPr>
                <w:p w14:paraId="445F330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100</w:t>
                  </w:r>
                </w:p>
              </w:tc>
              <w:tc>
                <w:tcPr>
                  <w:tcW w:w="586" w:type="pct"/>
                  <w:noWrap w:val="0"/>
                  <w:vAlign w:val="center"/>
                </w:tcPr>
                <w:p w14:paraId="4AD871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14:paraId="0EC8A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pct"/>
                  <w:noWrap w:val="0"/>
                  <w:vAlign w:val="center"/>
                </w:tcPr>
                <w:p w14:paraId="6C6FA35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BOD</w:t>
                  </w:r>
                  <w:r>
                    <w:rPr>
                      <w:rFonts w:hint="eastAsia" w:ascii="Times New Roman" w:hAnsi="Times New Roman" w:eastAsia="宋体" w:cs="Times New Roman"/>
                      <w:b w:val="0"/>
                      <w:bCs w:val="0"/>
                      <w:i w:val="0"/>
                      <w:iCs w:val="0"/>
                      <w:color w:val="auto"/>
                      <w:kern w:val="0"/>
                      <w:sz w:val="21"/>
                      <w:szCs w:val="21"/>
                      <w:highlight w:val="none"/>
                      <w:u w:val="none"/>
                      <w:vertAlign w:val="subscript"/>
                      <w:lang w:val="en-US" w:eastAsia="zh-CN" w:bidi="ar"/>
                    </w:rPr>
                    <w:t>5</w:t>
                  </w:r>
                </w:p>
              </w:tc>
              <w:tc>
                <w:tcPr>
                  <w:tcW w:w="400" w:type="pct"/>
                  <w:noWrap w:val="0"/>
                  <w:vAlign w:val="center"/>
                </w:tcPr>
                <w:p w14:paraId="5480BB1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mg/L</w:t>
                  </w:r>
                </w:p>
              </w:tc>
              <w:tc>
                <w:tcPr>
                  <w:tcW w:w="662" w:type="pct"/>
                  <w:noWrap w:val="0"/>
                  <w:vAlign w:val="center"/>
                </w:tcPr>
                <w:p w14:paraId="0128BC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2.4</w:t>
                  </w:r>
                </w:p>
              </w:tc>
              <w:tc>
                <w:tcPr>
                  <w:tcW w:w="2863" w:type="pct"/>
                  <w:noWrap w:val="0"/>
                  <w:vAlign w:val="center"/>
                </w:tcPr>
                <w:p w14:paraId="639A126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20</w:t>
                  </w:r>
                </w:p>
              </w:tc>
              <w:tc>
                <w:tcPr>
                  <w:tcW w:w="586" w:type="pct"/>
                  <w:noWrap w:val="0"/>
                  <w:vAlign w:val="center"/>
                </w:tcPr>
                <w:p w14:paraId="36D750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14:paraId="41CCD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pct"/>
                  <w:noWrap w:val="0"/>
                  <w:vAlign w:val="center"/>
                </w:tcPr>
                <w:p w14:paraId="2BA5659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SS</w:t>
                  </w:r>
                </w:p>
              </w:tc>
              <w:tc>
                <w:tcPr>
                  <w:tcW w:w="400" w:type="pct"/>
                  <w:noWrap w:val="0"/>
                  <w:vAlign w:val="center"/>
                </w:tcPr>
                <w:p w14:paraId="7F72C4E8">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mg/L</w:t>
                  </w:r>
                </w:p>
              </w:tc>
              <w:tc>
                <w:tcPr>
                  <w:tcW w:w="662" w:type="pct"/>
                  <w:noWrap w:val="0"/>
                  <w:vAlign w:val="center"/>
                </w:tcPr>
                <w:p w14:paraId="4719CD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10</w:t>
                  </w:r>
                </w:p>
              </w:tc>
              <w:tc>
                <w:tcPr>
                  <w:tcW w:w="2863" w:type="pct"/>
                  <w:noWrap w:val="0"/>
                  <w:vAlign w:val="center"/>
                </w:tcPr>
                <w:p w14:paraId="48109B8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70</w:t>
                  </w:r>
                </w:p>
              </w:tc>
              <w:tc>
                <w:tcPr>
                  <w:tcW w:w="586" w:type="pct"/>
                  <w:noWrap w:val="0"/>
                  <w:vAlign w:val="center"/>
                </w:tcPr>
                <w:p w14:paraId="3F2CBA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14:paraId="7CC89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pct"/>
                  <w:noWrap w:val="0"/>
                  <w:vAlign w:val="center"/>
                </w:tcPr>
                <w:p w14:paraId="62518D4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氨氮</w:t>
                  </w:r>
                </w:p>
              </w:tc>
              <w:tc>
                <w:tcPr>
                  <w:tcW w:w="400" w:type="pct"/>
                  <w:noWrap w:val="0"/>
                  <w:vAlign w:val="center"/>
                </w:tcPr>
                <w:p w14:paraId="1B84EA0A">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mg/L</w:t>
                  </w:r>
                </w:p>
              </w:tc>
              <w:tc>
                <w:tcPr>
                  <w:tcW w:w="662" w:type="pct"/>
                  <w:noWrap w:val="0"/>
                  <w:vAlign w:val="center"/>
                </w:tcPr>
                <w:p w14:paraId="343047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0.802</w:t>
                  </w:r>
                </w:p>
              </w:tc>
              <w:tc>
                <w:tcPr>
                  <w:tcW w:w="2863" w:type="pct"/>
                  <w:noWrap w:val="0"/>
                  <w:vAlign w:val="center"/>
                </w:tcPr>
                <w:p w14:paraId="1EBD8C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15</w:t>
                  </w:r>
                </w:p>
              </w:tc>
              <w:tc>
                <w:tcPr>
                  <w:tcW w:w="586" w:type="pct"/>
                  <w:noWrap w:val="0"/>
                  <w:vAlign w:val="center"/>
                </w:tcPr>
                <w:p w14:paraId="000699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14:paraId="68EA7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pct"/>
                  <w:noWrap w:val="0"/>
                  <w:vAlign w:val="center"/>
                </w:tcPr>
                <w:p w14:paraId="4DB9605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总磷</w:t>
                  </w:r>
                </w:p>
              </w:tc>
              <w:tc>
                <w:tcPr>
                  <w:tcW w:w="400" w:type="pct"/>
                  <w:noWrap w:val="0"/>
                  <w:vAlign w:val="center"/>
                </w:tcPr>
                <w:p w14:paraId="3BCD1309">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mg/L</w:t>
                  </w:r>
                </w:p>
              </w:tc>
              <w:tc>
                <w:tcPr>
                  <w:tcW w:w="662" w:type="pct"/>
                  <w:noWrap w:val="0"/>
                  <w:vAlign w:val="center"/>
                </w:tcPr>
                <w:p w14:paraId="2D248D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0.49</w:t>
                  </w:r>
                </w:p>
              </w:tc>
              <w:tc>
                <w:tcPr>
                  <w:tcW w:w="2863" w:type="pct"/>
                  <w:noWrap w:val="0"/>
                  <w:vAlign w:val="center"/>
                </w:tcPr>
                <w:p w14:paraId="6927240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0.5</w:t>
                  </w:r>
                </w:p>
              </w:tc>
              <w:tc>
                <w:tcPr>
                  <w:tcW w:w="586" w:type="pct"/>
                  <w:noWrap w:val="0"/>
                  <w:vAlign w:val="center"/>
                </w:tcPr>
                <w:p w14:paraId="5F2046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达标</w:t>
                  </w:r>
                </w:p>
              </w:tc>
            </w:tr>
          </w:tbl>
          <w:p w14:paraId="101AEEF1">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（2）废气</w:t>
            </w:r>
          </w:p>
          <w:p w14:paraId="41BAAF30">
            <w:pPr>
              <w:spacing w:line="360" w:lineRule="auto"/>
              <w:ind w:firstLine="480" w:firstLineChars="200"/>
              <w:rPr>
                <w:rFonts w:hint="eastAsia" w:cs="Times New Roman"/>
                <w:color w:val="auto"/>
                <w:sz w:val="24"/>
                <w:szCs w:val="24"/>
                <w:vertAlign w:val="baseline"/>
                <w:lang w:val="en-US" w:eastAsia="zh-CN"/>
              </w:rPr>
            </w:pPr>
            <w:r>
              <w:rPr>
                <w:rFonts w:hint="eastAsia" w:cs="Times New Roman"/>
                <w:color w:val="auto"/>
                <w:sz w:val="24"/>
                <w:szCs w:val="24"/>
                <w:lang w:val="en-US" w:eastAsia="zh-CN"/>
              </w:rPr>
              <w:t>现有工程运营期废气主要来自于水泥窑烟气、破碎粉尘等废气，主要污染物为颗粒物</w:t>
            </w:r>
            <w:r>
              <w:rPr>
                <w:rFonts w:hint="eastAsia" w:cs="Times New Roman"/>
                <w:color w:val="auto"/>
                <w:sz w:val="24"/>
                <w:szCs w:val="24"/>
                <w:vertAlign w:val="baseline"/>
                <w:lang w:val="en-US" w:eastAsia="zh-CN"/>
              </w:rPr>
              <w:t>。 本工程在旋窑的窑头冷却机、窑尾、破碎机、磨机、储库、物料输送转运点等分散扬尘点设置各种袋式收尘器。共设置袋式除尘器21台，除尘效率99.85%-99.99%，处理废气量1.45×10</w:t>
            </w:r>
            <w:r>
              <w:rPr>
                <w:rFonts w:hint="eastAsia" w:cs="Times New Roman"/>
                <w:color w:val="auto"/>
                <w:sz w:val="24"/>
                <w:szCs w:val="24"/>
                <w:vertAlign w:val="superscript"/>
                <w:lang w:val="en-US" w:eastAsia="zh-CN"/>
              </w:rPr>
              <w:t>10</w:t>
            </w:r>
            <w:r>
              <w:rPr>
                <w:rFonts w:hint="eastAsia" w:cs="Times New Roman"/>
                <w:color w:val="auto"/>
                <w:sz w:val="24"/>
                <w:szCs w:val="24"/>
                <w:vertAlign w:val="baseline"/>
                <w:lang w:val="en-US" w:eastAsia="zh-CN"/>
              </w:rPr>
              <w:t>m</w:t>
            </w:r>
            <w:r>
              <w:rPr>
                <w:rFonts w:hint="eastAsia" w:cs="Times New Roman"/>
                <w:color w:val="auto"/>
                <w:sz w:val="24"/>
                <w:szCs w:val="24"/>
                <w:vertAlign w:val="superscript"/>
                <w:lang w:val="en-US" w:eastAsia="zh-CN"/>
              </w:rPr>
              <w:t>3</w:t>
            </w:r>
            <w:r>
              <w:rPr>
                <w:rFonts w:hint="eastAsia" w:cs="Times New Roman"/>
                <w:color w:val="auto"/>
                <w:sz w:val="24"/>
                <w:szCs w:val="24"/>
                <w:vertAlign w:val="baseline"/>
                <w:lang w:val="en-US" w:eastAsia="zh-CN"/>
              </w:rPr>
              <w:t>/a。NOx采用SNCR非催化还原脱硝工艺进行脱硝。根据2024年7月9日例行检测数据（监测报告见附件11）及2023年在线监测数据（建设单位提供），现有工程污染物浓度监测结果以及年排放量如下表所示，满足安徽省地方标准《水泥工业大气污染排放标准》（DB 34/ 3576-2020）。</w:t>
            </w:r>
          </w:p>
          <w:p w14:paraId="0AEB63E5">
            <w:pPr>
              <w:keepNext/>
              <w:keepLines/>
              <w:tabs>
                <w:tab w:val="left" w:pos="0"/>
                <w:tab w:val="left" w:pos="180"/>
                <w:tab w:val="left" w:pos="1418"/>
                <w:tab w:val="left" w:pos="2976"/>
              </w:tabs>
              <w:jc w:val="center"/>
              <w:outlineLvl w:val="7"/>
              <w:rPr>
                <w:rFonts w:hint="default" w:ascii="Times New Roman" w:hAnsi="Times New Roman" w:eastAsia="宋体" w:cs="Times New Roman"/>
                <w:b/>
                <w:color w:val="auto"/>
                <w:lang w:val="en-US" w:eastAsia="zh-CN"/>
              </w:rPr>
            </w:pPr>
            <w:r>
              <w:rPr>
                <w:rFonts w:hint="default" w:ascii="Times New Roman" w:hAnsi="Times New Roman" w:eastAsia="宋体" w:cs="Times New Roman"/>
                <w:b/>
                <w:color w:val="auto"/>
                <w:lang w:val="en-US" w:eastAsia="zh-CN"/>
              </w:rPr>
              <w:t>表</w:t>
            </w:r>
            <w:r>
              <w:rPr>
                <w:rFonts w:hint="eastAsia" w:ascii="Times New Roman" w:hAnsi="Times New Roman" w:eastAsia="宋体" w:cs="Times New Roman"/>
                <w:b/>
                <w:color w:val="auto"/>
                <w:lang w:val="en-US" w:eastAsia="zh-CN"/>
              </w:rPr>
              <w:t>2</w:t>
            </w:r>
            <w:r>
              <w:rPr>
                <w:rFonts w:hint="eastAsia" w:cs="Times New Roman"/>
                <w:b/>
                <w:color w:val="auto"/>
                <w:lang w:val="en-US" w:eastAsia="zh-CN"/>
              </w:rPr>
              <w:t xml:space="preserve">-42 </w:t>
            </w:r>
            <w:r>
              <w:rPr>
                <w:rFonts w:hint="eastAsia" w:ascii="Times New Roman" w:hAnsi="Times New Roman" w:eastAsia="宋体" w:cs="Times New Roman"/>
                <w:b/>
                <w:color w:val="auto"/>
                <w:lang w:val="en-US" w:eastAsia="zh-CN"/>
              </w:rPr>
              <w:t>现有工程废气排放浓度及</w:t>
            </w:r>
            <w:r>
              <w:rPr>
                <w:rFonts w:hint="eastAsia" w:cs="Times New Roman"/>
                <w:b/>
                <w:color w:val="auto"/>
                <w:lang w:val="en-US" w:eastAsia="zh-CN"/>
              </w:rPr>
              <w:t>年排放量一览表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1002"/>
              <w:gridCol w:w="1888"/>
              <w:gridCol w:w="1420"/>
              <w:gridCol w:w="1420"/>
              <w:gridCol w:w="1420"/>
            </w:tblGrid>
            <w:tr w14:paraId="3BBFD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Align w:val="center"/>
                </w:tcPr>
                <w:p w14:paraId="5D846133">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检测类别</w:t>
                  </w:r>
                </w:p>
              </w:tc>
              <w:tc>
                <w:tcPr>
                  <w:tcW w:w="2890" w:type="dxa"/>
                  <w:gridSpan w:val="2"/>
                  <w:vAlign w:val="center"/>
                </w:tcPr>
                <w:p w14:paraId="55C0E043">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有组织废气</w:t>
                  </w:r>
                </w:p>
              </w:tc>
              <w:tc>
                <w:tcPr>
                  <w:tcW w:w="1420" w:type="dxa"/>
                  <w:vAlign w:val="center"/>
                </w:tcPr>
                <w:p w14:paraId="75D173F4">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采样日期</w:t>
                  </w:r>
                </w:p>
              </w:tc>
              <w:tc>
                <w:tcPr>
                  <w:tcW w:w="2840" w:type="dxa"/>
                  <w:gridSpan w:val="2"/>
                  <w:vAlign w:val="center"/>
                </w:tcPr>
                <w:p w14:paraId="3EA77E5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2024.06.25</w:t>
                  </w:r>
                </w:p>
              </w:tc>
            </w:tr>
            <w:tr w14:paraId="57703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restart"/>
                  <w:vAlign w:val="center"/>
                </w:tcPr>
                <w:p w14:paraId="31206E3C">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采样点位</w:t>
                  </w:r>
                </w:p>
              </w:tc>
              <w:tc>
                <w:tcPr>
                  <w:tcW w:w="2890" w:type="dxa"/>
                  <w:gridSpan w:val="2"/>
                  <w:vMerge w:val="restart"/>
                  <w:vAlign w:val="center"/>
                </w:tcPr>
                <w:p w14:paraId="2DBBEC54">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检测项目</w:t>
                  </w:r>
                </w:p>
              </w:tc>
              <w:tc>
                <w:tcPr>
                  <w:tcW w:w="4260" w:type="dxa"/>
                  <w:gridSpan w:val="3"/>
                  <w:vAlign w:val="center"/>
                </w:tcPr>
                <w:p w14:paraId="108D4AD4">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检测频次及结果</w:t>
                  </w:r>
                </w:p>
              </w:tc>
            </w:tr>
            <w:tr w14:paraId="60AD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continue"/>
                  <w:vAlign w:val="center"/>
                </w:tcPr>
                <w:p w14:paraId="70660F6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2890" w:type="dxa"/>
                  <w:gridSpan w:val="2"/>
                  <w:vMerge w:val="continue"/>
                  <w:vAlign w:val="center"/>
                </w:tcPr>
                <w:p w14:paraId="10D46481">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highlight w:val="none"/>
                      <w:u w:val="none"/>
                      <w:lang w:val="en-US" w:eastAsia="zh-CN" w:bidi="ar"/>
                    </w:rPr>
                  </w:pPr>
                </w:p>
              </w:tc>
              <w:tc>
                <w:tcPr>
                  <w:tcW w:w="1420" w:type="dxa"/>
                  <w:vAlign w:val="center"/>
                </w:tcPr>
                <w:p w14:paraId="49E38450">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第一次</w:t>
                  </w:r>
                </w:p>
              </w:tc>
              <w:tc>
                <w:tcPr>
                  <w:tcW w:w="1420" w:type="dxa"/>
                  <w:vAlign w:val="center"/>
                </w:tcPr>
                <w:p w14:paraId="4C7F74BC">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第二次</w:t>
                  </w:r>
                </w:p>
              </w:tc>
              <w:tc>
                <w:tcPr>
                  <w:tcW w:w="1420" w:type="dxa"/>
                  <w:vAlign w:val="center"/>
                </w:tcPr>
                <w:p w14:paraId="76A9D803">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第三次</w:t>
                  </w:r>
                </w:p>
              </w:tc>
            </w:tr>
            <w:tr w14:paraId="53BA7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restart"/>
                  <w:vAlign w:val="center"/>
                </w:tcPr>
                <w:p w14:paraId="127C4A79">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1号破碎机</w:t>
                  </w:r>
                </w:p>
              </w:tc>
              <w:tc>
                <w:tcPr>
                  <w:tcW w:w="1002" w:type="dxa"/>
                  <w:vMerge w:val="restart"/>
                  <w:vAlign w:val="center"/>
                </w:tcPr>
                <w:p w14:paraId="1BDC0341">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低浓度颗粒物</w:t>
                  </w:r>
                </w:p>
              </w:tc>
              <w:tc>
                <w:tcPr>
                  <w:tcW w:w="1888" w:type="dxa"/>
                  <w:vAlign w:val="center"/>
                </w:tcPr>
                <w:p w14:paraId="607C882C">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标干流量（Nm</w:t>
                  </w:r>
                  <w:r>
                    <w:rPr>
                      <w:rFonts w:hint="eastAsia" w:ascii="Times New Roman" w:hAnsi="Times New Roman" w:cs="Times New Roman"/>
                      <w:b w:val="0"/>
                      <w:bCs w:val="0"/>
                      <w:i w:val="0"/>
                      <w:iCs w:val="0"/>
                      <w:color w:val="auto"/>
                      <w:kern w:val="0"/>
                      <w:sz w:val="21"/>
                      <w:szCs w:val="21"/>
                      <w:highlight w:val="none"/>
                      <w:u w:val="none"/>
                      <w:vertAlign w:val="superscript"/>
                      <w:lang w:val="en-US" w:eastAsia="zh-CN" w:bidi="ar"/>
                    </w:rPr>
                    <w:t>3</w:t>
                  </w:r>
                  <w:r>
                    <w:rPr>
                      <w:rFonts w:hint="eastAsia" w:ascii="Times New Roman" w:hAnsi="Times New Roman" w:cs="Times New Roman"/>
                      <w:b w:val="0"/>
                      <w:bCs w:val="0"/>
                      <w:i w:val="0"/>
                      <w:iCs w:val="0"/>
                      <w:color w:val="auto"/>
                      <w:kern w:val="0"/>
                      <w:sz w:val="21"/>
                      <w:szCs w:val="21"/>
                      <w:highlight w:val="none"/>
                      <w:u w:val="none"/>
                      <w:vertAlign w:val="baseline"/>
                      <w:lang w:val="en-US" w:eastAsia="zh-CN" w:bidi="ar"/>
                    </w:rPr>
                    <w:t>/h</w:t>
                  </w:r>
                  <w:r>
                    <w:rPr>
                      <w:rFonts w:hint="eastAsia" w:ascii="Times New Roman" w:hAnsi="Times New Roman" w:cs="Times New Roman"/>
                      <w:b w:val="0"/>
                      <w:bCs w:val="0"/>
                      <w:i w:val="0"/>
                      <w:iCs w:val="0"/>
                      <w:color w:val="auto"/>
                      <w:kern w:val="0"/>
                      <w:sz w:val="21"/>
                      <w:szCs w:val="21"/>
                      <w:highlight w:val="none"/>
                      <w:u w:val="none"/>
                      <w:lang w:val="en-US" w:eastAsia="zh-CN" w:bidi="ar"/>
                    </w:rPr>
                    <w:t>）</w:t>
                  </w:r>
                </w:p>
              </w:tc>
              <w:tc>
                <w:tcPr>
                  <w:tcW w:w="1420" w:type="dxa"/>
                  <w:vAlign w:val="center"/>
                </w:tcPr>
                <w:p w14:paraId="5B56113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56444</w:t>
                  </w:r>
                </w:p>
              </w:tc>
              <w:tc>
                <w:tcPr>
                  <w:tcW w:w="1420" w:type="dxa"/>
                  <w:vAlign w:val="center"/>
                </w:tcPr>
                <w:p w14:paraId="3210433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54686</w:t>
                  </w:r>
                </w:p>
              </w:tc>
              <w:tc>
                <w:tcPr>
                  <w:tcW w:w="1420" w:type="dxa"/>
                  <w:vAlign w:val="center"/>
                </w:tcPr>
                <w:p w14:paraId="19B3789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49742</w:t>
                  </w:r>
                </w:p>
              </w:tc>
            </w:tr>
            <w:tr w14:paraId="2B176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continue"/>
                  <w:vAlign w:val="center"/>
                </w:tcPr>
                <w:p w14:paraId="7A178837">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002" w:type="dxa"/>
                  <w:vMerge w:val="continue"/>
                  <w:vAlign w:val="center"/>
                </w:tcPr>
                <w:p w14:paraId="08428A0B">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888" w:type="dxa"/>
                  <w:vAlign w:val="center"/>
                </w:tcPr>
                <w:p w14:paraId="058184A0">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实测浓度（mg/m</w:t>
                  </w:r>
                  <w:r>
                    <w:rPr>
                      <w:rFonts w:hint="eastAsia" w:ascii="Times New Roman" w:hAnsi="Times New Roman" w:cs="Times New Roman"/>
                      <w:b w:val="0"/>
                      <w:bCs w:val="0"/>
                      <w:i w:val="0"/>
                      <w:iCs w:val="0"/>
                      <w:color w:val="auto"/>
                      <w:kern w:val="0"/>
                      <w:sz w:val="21"/>
                      <w:szCs w:val="21"/>
                      <w:highlight w:val="none"/>
                      <w:u w:val="none"/>
                      <w:vertAlign w:val="superscript"/>
                      <w:lang w:val="en-US" w:eastAsia="zh-CN" w:bidi="ar"/>
                    </w:rPr>
                    <w:t>3</w:t>
                  </w:r>
                  <w:r>
                    <w:rPr>
                      <w:rFonts w:hint="eastAsia" w:ascii="Times New Roman" w:hAnsi="Times New Roman" w:cs="Times New Roman"/>
                      <w:b w:val="0"/>
                      <w:bCs w:val="0"/>
                      <w:i w:val="0"/>
                      <w:iCs w:val="0"/>
                      <w:color w:val="auto"/>
                      <w:kern w:val="0"/>
                      <w:sz w:val="21"/>
                      <w:szCs w:val="21"/>
                      <w:highlight w:val="none"/>
                      <w:u w:val="none"/>
                      <w:lang w:val="en-US" w:eastAsia="zh-CN" w:bidi="ar"/>
                    </w:rPr>
                    <w:t>）</w:t>
                  </w:r>
                </w:p>
              </w:tc>
              <w:tc>
                <w:tcPr>
                  <w:tcW w:w="1420" w:type="dxa"/>
                  <w:vAlign w:val="center"/>
                </w:tcPr>
                <w:p w14:paraId="33F73B8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6.4</w:t>
                  </w:r>
                </w:p>
              </w:tc>
              <w:tc>
                <w:tcPr>
                  <w:tcW w:w="1420" w:type="dxa"/>
                  <w:vAlign w:val="center"/>
                </w:tcPr>
                <w:p w14:paraId="6C612CD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3.9</w:t>
                  </w:r>
                </w:p>
              </w:tc>
              <w:tc>
                <w:tcPr>
                  <w:tcW w:w="1420" w:type="dxa"/>
                  <w:vAlign w:val="center"/>
                </w:tcPr>
                <w:p w14:paraId="59B1A65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7.8</w:t>
                  </w:r>
                </w:p>
              </w:tc>
            </w:tr>
            <w:tr w14:paraId="7745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continue"/>
                  <w:vAlign w:val="center"/>
                </w:tcPr>
                <w:p w14:paraId="0569A91B">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002" w:type="dxa"/>
                  <w:vMerge w:val="continue"/>
                  <w:vAlign w:val="center"/>
                </w:tcPr>
                <w:p w14:paraId="44AA9409">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888" w:type="dxa"/>
                  <w:vAlign w:val="center"/>
                </w:tcPr>
                <w:p w14:paraId="05288EA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排放速率（kg/h）</w:t>
                  </w:r>
                </w:p>
              </w:tc>
              <w:tc>
                <w:tcPr>
                  <w:tcW w:w="1420" w:type="dxa"/>
                  <w:vAlign w:val="center"/>
                </w:tcPr>
                <w:p w14:paraId="42C150E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0.361</w:t>
                  </w:r>
                </w:p>
              </w:tc>
              <w:tc>
                <w:tcPr>
                  <w:tcW w:w="1420" w:type="dxa"/>
                  <w:vAlign w:val="center"/>
                </w:tcPr>
                <w:p w14:paraId="6DD5A7A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0.213</w:t>
                  </w:r>
                </w:p>
              </w:tc>
              <w:tc>
                <w:tcPr>
                  <w:tcW w:w="1420" w:type="dxa"/>
                  <w:vAlign w:val="center"/>
                </w:tcPr>
                <w:p w14:paraId="7F6A1D3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0.388</w:t>
                  </w:r>
                </w:p>
              </w:tc>
            </w:tr>
            <w:tr w14:paraId="4BFC9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restart"/>
                  <w:vAlign w:val="center"/>
                </w:tcPr>
                <w:p w14:paraId="0301F2D8">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2号破碎机</w:t>
                  </w:r>
                </w:p>
              </w:tc>
              <w:tc>
                <w:tcPr>
                  <w:tcW w:w="1002" w:type="dxa"/>
                  <w:vMerge w:val="restart"/>
                  <w:vAlign w:val="center"/>
                </w:tcPr>
                <w:p w14:paraId="715818AA">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低浓度颗粒物</w:t>
                  </w:r>
                </w:p>
              </w:tc>
              <w:tc>
                <w:tcPr>
                  <w:tcW w:w="1888" w:type="dxa"/>
                  <w:vAlign w:val="center"/>
                </w:tcPr>
                <w:p w14:paraId="27BC2A90">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标干流量（Nm</w:t>
                  </w:r>
                  <w:r>
                    <w:rPr>
                      <w:rFonts w:hint="eastAsia" w:ascii="Times New Roman" w:hAnsi="Times New Roman" w:cs="Times New Roman"/>
                      <w:b w:val="0"/>
                      <w:bCs w:val="0"/>
                      <w:i w:val="0"/>
                      <w:iCs w:val="0"/>
                      <w:color w:val="auto"/>
                      <w:kern w:val="0"/>
                      <w:sz w:val="21"/>
                      <w:szCs w:val="21"/>
                      <w:highlight w:val="none"/>
                      <w:u w:val="none"/>
                      <w:vertAlign w:val="superscript"/>
                      <w:lang w:val="en-US" w:eastAsia="zh-CN" w:bidi="ar"/>
                    </w:rPr>
                    <w:t>3</w:t>
                  </w:r>
                  <w:r>
                    <w:rPr>
                      <w:rFonts w:hint="eastAsia" w:ascii="Times New Roman" w:hAnsi="Times New Roman" w:cs="Times New Roman"/>
                      <w:b w:val="0"/>
                      <w:bCs w:val="0"/>
                      <w:i w:val="0"/>
                      <w:iCs w:val="0"/>
                      <w:color w:val="auto"/>
                      <w:kern w:val="0"/>
                      <w:sz w:val="21"/>
                      <w:szCs w:val="21"/>
                      <w:highlight w:val="none"/>
                      <w:u w:val="none"/>
                      <w:vertAlign w:val="baseline"/>
                      <w:lang w:val="en-US" w:eastAsia="zh-CN" w:bidi="ar"/>
                    </w:rPr>
                    <w:t>/h</w:t>
                  </w:r>
                  <w:r>
                    <w:rPr>
                      <w:rFonts w:hint="eastAsia" w:ascii="Times New Roman" w:hAnsi="Times New Roman" w:cs="Times New Roman"/>
                      <w:b w:val="0"/>
                      <w:bCs w:val="0"/>
                      <w:i w:val="0"/>
                      <w:iCs w:val="0"/>
                      <w:color w:val="auto"/>
                      <w:kern w:val="0"/>
                      <w:sz w:val="21"/>
                      <w:szCs w:val="21"/>
                      <w:highlight w:val="none"/>
                      <w:u w:val="none"/>
                      <w:lang w:val="en-US" w:eastAsia="zh-CN" w:bidi="ar"/>
                    </w:rPr>
                    <w:t>）</w:t>
                  </w:r>
                </w:p>
              </w:tc>
              <w:tc>
                <w:tcPr>
                  <w:tcW w:w="1420" w:type="dxa"/>
                  <w:vAlign w:val="center"/>
                </w:tcPr>
                <w:p w14:paraId="6049EFFF">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12628</w:t>
                  </w:r>
                </w:p>
              </w:tc>
              <w:tc>
                <w:tcPr>
                  <w:tcW w:w="1420" w:type="dxa"/>
                  <w:vAlign w:val="center"/>
                </w:tcPr>
                <w:p w14:paraId="2AE47955">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14266</w:t>
                  </w:r>
                </w:p>
              </w:tc>
              <w:tc>
                <w:tcPr>
                  <w:tcW w:w="1420" w:type="dxa"/>
                  <w:vAlign w:val="center"/>
                </w:tcPr>
                <w:p w14:paraId="224A2162">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15130</w:t>
                  </w:r>
                </w:p>
              </w:tc>
            </w:tr>
            <w:tr w14:paraId="3A68E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continue"/>
                  <w:vAlign w:val="center"/>
                </w:tcPr>
                <w:p w14:paraId="186B1A46">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002" w:type="dxa"/>
                  <w:vMerge w:val="continue"/>
                  <w:vAlign w:val="center"/>
                </w:tcPr>
                <w:p w14:paraId="1D8CFEA2">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888" w:type="dxa"/>
                  <w:vAlign w:val="center"/>
                </w:tcPr>
                <w:p w14:paraId="61ED3AEA">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实测浓度（mg/m</w:t>
                  </w:r>
                  <w:r>
                    <w:rPr>
                      <w:rFonts w:hint="eastAsia" w:ascii="Times New Roman" w:hAnsi="Times New Roman" w:cs="Times New Roman"/>
                      <w:b w:val="0"/>
                      <w:bCs w:val="0"/>
                      <w:i w:val="0"/>
                      <w:iCs w:val="0"/>
                      <w:color w:val="auto"/>
                      <w:kern w:val="0"/>
                      <w:sz w:val="21"/>
                      <w:szCs w:val="21"/>
                      <w:highlight w:val="none"/>
                      <w:u w:val="none"/>
                      <w:vertAlign w:val="superscript"/>
                      <w:lang w:val="en-US" w:eastAsia="zh-CN" w:bidi="ar"/>
                    </w:rPr>
                    <w:t>3</w:t>
                  </w:r>
                  <w:r>
                    <w:rPr>
                      <w:rFonts w:hint="eastAsia" w:ascii="Times New Roman" w:hAnsi="Times New Roman" w:cs="Times New Roman"/>
                      <w:b w:val="0"/>
                      <w:bCs w:val="0"/>
                      <w:i w:val="0"/>
                      <w:iCs w:val="0"/>
                      <w:color w:val="auto"/>
                      <w:kern w:val="0"/>
                      <w:sz w:val="21"/>
                      <w:szCs w:val="21"/>
                      <w:highlight w:val="none"/>
                      <w:u w:val="none"/>
                      <w:lang w:val="en-US" w:eastAsia="zh-CN" w:bidi="ar"/>
                    </w:rPr>
                    <w:t>）</w:t>
                  </w:r>
                </w:p>
              </w:tc>
              <w:tc>
                <w:tcPr>
                  <w:tcW w:w="1420" w:type="dxa"/>
                  <w:vAlign w:val="center"/>
                </w:tcPr>
                <w:p w14:paraId="7BBF56C8">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4.3</w:t>
                  </w:r>
                </w:p>
              </w:tc>
              <w:tc>
                <w:tcPr>
                  <w:tcW w:w="1420" w:type="dxa"/>
                  <w:vAlign w:val="center"/>
                </w:tcPr>
                <w:p w14:paraId="40F057E1">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2.2</w:t>
                  </w:r>
                </w:p>
              </w:tc>
              <w:tc>
                <w:tcPr>
                  <w:tcW w:w="1420" w:type="dxa"/>
                  <w:vAlign w:val="center"/>
                </w:tcPr>
                <w:p w14:paraId="1F20533E">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3.8</w:t>
                  </w:r>
                </w:p>
              </w:tc>
            </w:tr>
            <w:tr w14:paraId="42F0C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continue"/>
                  <w:vAlign w:val="center"/>
                </w:tcPr>
                <w:p w14:paraId="44C9FFAC">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002" w:type="dxa"/>
                  <w:vMerge w:val="continue"/>
                  <w:vAlign w:val="center"/>
                </w:tcPr>
                <w:p w14:paraId="21CD27A3">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888" w:type="dxa"/>
                  <w:vAlign w:val="center"/>
                </w:tcPr>
                <w:p w14:paraId="168CB885">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排放速率（kg/h）</w:t>
                  </w:r>
                </w:p>
              </w:tc>
              <w:tc>
                <w:tcPr>
                  <w:tcW w:w="1420" w:type="dxa"/>
                  <w:vAlign w:val="center"/>
                </w:tcPr>
                <w:p w14:paraId="2399DD39">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5.43×10</w:t>
                  </w:r>
                  <w:r>
                    <w:rPr>
                      <w:rFonts w:hint="eastAsia" w:ascii="Times New Roman" w:hAnsi="Times New Roman" w:cs="Times New Roman"/>
                      <w:b w:val="0"/>
                      <w:bCs w:val="0"/>
                      <w:i w:val="0"/>
                      <w:iCs w:val="0"/>
                      <w:color w:val="auto"/>
                      <w:kern w:val="0"/>
                      <w:sz w:val="21"/>
                      <w:szCs w:val="21"/>
                      <w:highlight w:val="none"/>
                      <w:u w:val="none"/>
                      <w:vertAlign w:val="superscript"/>
                      <w:lang w:val="en-US" w:eastAsia="zh-CN" w:bidi="ar"/>
                    </w:rPr>
                    <w:t>-2</w:t>
                  </w:r>
                </w:p>
              </w:tc>
              <w:tc>
                <w:tcPr>
                  <w:tcW w:w="1420" w:type="dxa"/>
                  <w:vAlign w:val="center"/>
                </w:tcPr>
                <w:p w14:paraId="089336F7">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3.14×10</w:t>
                  </w:r>
                  <w:r>
                    <w:rPr>
                      <w:rFonts w:hint="eastAsia" w:ascii="Times New Roman" w:hAnsi="Times New Roman" w:cs="Times New Roman"/>
                      <w:b w:val="0"/>
                      <w:bCs w:val="0"/>
                      <w:i w:val="0"/>
                      <w:iCs w:val="0"/>
                      <w:color w:val="auto"/>
                      <w:kern w:val="0"/>
                      <w:sz w:val="21"/>
                      <w:szCs w:val="21"/>
                      <w:highlight w:val="none"/>
                      <w:u w:val="none"/>
                      <w:vertAlign w:val="superscript"/>
                      <w:lang w:val="en-US" w:eastAsia="zh-CN" w:bidi="ar"/>
                    </w:rPr>
                    <w:t>-2</w:t>
                  </w:r>
                </w:p>
              </w:tc>
              <w:tc>
                <w:tcPr>
                  <w:tcW w:w="1420" w:type="dxa"/>
                  <w:vAlign w:val="center"/>
                </w:tcPr>
                <w:p w14:paraId="65B455AD">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5.75×10</w:t>
                  </w:r>
                  <w:r>
                    <w:rPr>
                      <w:rFonts w:hint="eastAsia" w:ascii="Times New Roman" w:hAnsi="Times New Roman" w:cs="Times New Roman"/>
                      <w:b w:val="0"/>
                      <w:bCs w:val="0"/>
                      <w:i w:val="0"/>
                      <w:iCs w:val="0"/>
                      <w:color w:val="auto"/>
                      <w:kern w:val="0"/>
                      <w:sz w:val="21"/>
                      <w:szCs w:val="21"/>
                      <w:highlight w:val="none"/>
                      <w:u w:val="none"/>
                      <w:vertAlign w:val="superscript"/>
                      <w:lang w:val="en-US" w:eastAsia="zh-CN" w:bidi="ar"/>
                    </w:rPr>
                    <w:t>-2</w:t>
                  </w:r>
                </w:p>
              </w:tc>
            </w:tr>
            <w:tr w14:paraId="3F578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restart"/>
                  <w:vAlign w:val="center"/>
                </w:tcPr>
                <w:p w14:paraId="4F510191">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1线煤磨</w:t>
                  </w:r>
                </w:p>
              </w:tc>
              <w:tc>
                <w:tcPr>
                  <w:tcW w:w="1002" w:type="dxa"/>
                  <w:vMerge w:val="restart"/>
                  <w:vAlign w:val="center"/>
                </w:tcPr>
                <w:p w14:paraId="1C188D07">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低浓度颗粒物</w:t>
                  </w:r>
                </w:p>
              </w:tc>
              <w:tc>
                <w:tcPr>
                  <w:tcW w:w="1888" w:type="dxa"/>
                  <w:vAlign w:val="center"/>
                </w:tcPr>
                <w:p w14:paraId="762EF84A">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标干流量（Nm</w:t>
                  </w:r>
                  <w:r>
                    <w:rPr>
                      <w:rFonts w:hint="eastAsia" w:ascii="Times New Roman" w:hAnsi="Times New Roman" w:cs="Times New Roman"/>
                      <w:b w:val="0"/>
                      <w:bCs w:val="0"/>
                      <w:i w:val="0"/>
                      <w:iCs w:val="0"/>
                      <w:color w:val="auto"/>
                      <w:kern w:val="0"/>
                      <w:sz w:val="21"/>
                      <w:szCs w:val="21"/>
                      <w:highlight w:val="none"/>
                      <w:u w:val="none"/>
                      <w:vertAlign w:val="superscript"/>
                      <w:lang w:val="en-US" w:eastAsia="zh-CN" w:bidi="ar"/>
                    </w:rPr>
                    <w:t>3</w:t>
                  </w:r>
                  <w:r>
                    <w:rPr>
                      <w:rFonts w:hint="eastAsia" w:ascii="Times New Roman" w:hAnsi="Times New Roman" w:cs="Times New Roman"/>
                      <w:b w:val="0"/>
                      <w:bCs w:val="0"/>
                      <w:i w:val="0"/>
                      <w:iCs w:val="0"/>
                      <w:color w:val="auto"/>
                      <w:kern w:val="0"/>
                      <w:sz w:val="21"/>
                      <w:szCs w:val="21"/>
                      <w:highlight w:val="none"/>
                      <w:u w:val="none"/>
                      <w:vertAlign w:val="baseline"/>
                      <w:lang w:val="en-US" w:eastAsia="zh-CN" w:bidi="ar"/>
                    </w:rPr>
                    <w:t>/h</w:t>
                  </w:r>
                  <w:r>
                    <w:rPr>
                      <w:rFonts w:hint="eastAsia" w:ascii="Times New Roman" w:hAnsi="Times New Roman" w:cs="Times New Roman"/>
                      <w:b w:val="0"/>
                      <w:bCs w:val="0"/>
                      <w:i w:val="0"/>
                      <w:iCs w:val="0"/>
                      <w:color w:val="auto"/>
                      <w:kern w:val="0"/>
                      <w:sz w:val="21"/>
                      <w:szCs w:val="21"/>
                      <w:highlight w:val="none"/>
                      <w:u w:val="none"/>
                      <w:lang w:val="en-US" w:eastAsia="zh-CN" w:bidi="ar"/>
                    </w:rPr>
                    <w:t>）</w:t>
                  </w:r>
                </w:p>
              </w:tc>
              <w:tc>
                <w:tcPr>
                  <w:tcW w:w="1420" w:type="dxa"/>
                  <w:vAlign w:val="center"/>
                </w:tcPr>
                <w:p w14:paraId="665474E5">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85026</w:t>
                  </w:r>
                </w:p>
              </w:tc>
              <w:tc>
                <w:tcPr>
                  <w:tcW w:w="1420" w:type="dxa"/>
                  <w:vAlign w:val="center"/>
                </w:tcPr>
                <w:p w14:paraId="27CCF09D">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83331</w:t>
                  </w:r>
                </w:p>
              </w:tc>
              <w:tc>
                <w:tcPr>
                  <w:tcW w:w="1420" w:type="dxa"/>
                  <w:vAlign w:val="center"/>
                </w:tcPr>
                <w:p w14:paraId="42852ED2">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81797</w:t>
                  </w:r>
                </w:p>
              </w:tc>
            </w:tr>
            <w:tr w14:paraId="0C44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continue"/>
                  <w:vAlign w:val="center"/>
                </w:tcPr>
                <w:p w14:paraId="729AE1C4">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002" w:type="dxa"/>
                  <w:vMerge w:val="continue"/>
                  <w:vAlign w:val="center"/>
                </w:tcPr>
                <w:p w14:paraId="1EF98364">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888" w:type="dxa"/>
                  <w:vAlign w:val="center"/>
                </w:tcPr>
                <w:p w14:paraId="56B70318">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实测浓度（mg/m</w:t>
                  </w:r>
                  <w:r>
                    <w:rPr>
                      <w:rFonts w:hint="eastAsia" w:ascii="Times New Roman" w:hAnsi="Times New Roman" w:cs="Times New Roman"/>
                      <w:b w:val="0"/>
                      <w:bCs w:val="0"/>
                      <w:i w:val="0"/>
                      <w:iCs w:val="0"/>
                      <w:color w:val="auto"/>
                      <w:kern w:val="0"/>
                      <w:sz w:val="21"/>
                      <w:szCs w:val="21"/>
                      <w:highlight w:val="none"/>
                      <w:u w:val="none"/>
                      <w:vertAlign w:val="superscript"/>
                      <w:lang w:val="en-US" w:eastAsia="zh-CN" w:bidi="ar"/>
                    </w:rPr>
                    <w:t>3</w:t>
                  </w:r>
                  <w:r>
                    <w:rPr>
                      <w:rFonts w:hint="eastAsia" w:ascii="Times New Roman" w:hAnsi="Times New Roman" w:cs="Times New Roman"/>
                      <w:b w:val="0"/>
                      <w:bCs w:val="0"/>
                      <w:i w:val="0"/>
                      <w:iCs w:val="0"/>
                      <w:color w:val="auto"/>
                      <w:kern w:val="0"/>
                      <w:sz w:val="21"/>
                      <w:szCs w:val="21"/>
                      <w:highlight w:val="none"/>
                      <w:u w:val="none"/>
                      <w:lang w:val="en-US" w:eastAsia="zh-CN" w:bidi="ar"/>
                    </w:rPr>
                    <w:t>）</w:t>
                  </w:r>
                </w:p>
              </w:tc>
              <w:tc>
                <w:tcPr>
                  <w:tcW w:w="1420" w:type="dxa"/>
                  <w:vAlign w:val="center"/>
                </w:tcPr>
                <w:p w14:paraId="5C09CF84">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3.3</w:t>
                  </w:r>
                </w:p>
              </w:tc>
              <w:tc>
                <w:tcPr>
                  <w:tcW w:w="1420" w:type="dxa"/>
                  <w:vAlign w:val="center"/>
                </w:tcPr>
                <w:p w14:paraId="556FB092">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1.5</w:t>
                  </w:r>
                </w:p>
              </w:tc>
              <w:tc>
                <w:tcPr>
                  <w:tcW w:w="1420" w:type="dxa"/>
                  <w:vAlign w:val="center"/>
                </w:tcPr>
                <w:p w14:paraId="36AA6A3B">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3.7</w:t>
                  </w:r>
                </w:p>
              </w:tc>
            </w:tr>
            <w:tr w14:paraId="3B36F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continue"/>
                  <w:vAlign w:val="center"/>
                </w:tcPr>
                <w:p w14:paraId="7721EB82">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002" w:type="dxa"/>
                  <w:vMerge w:val="continue"/>
                  <w:vAlign w:val="center"/>
                </w:tcPr>
                <w:p w14:paraId="59BC4B9A">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888" w:type="dxa"/>
                  <w:vAlign w:val="center"/>
                </w:tcPr>
                <w:p w14:paraId="659140CA">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排放速率（kg/h）</w:t>
                  </w:r>
                </w:p>
              </w:tc>
              <w:tc>
                <w:tcPr>
                  <w:tcW w:w="1420" w:type="dxa"/>
                  <w:vAlign w:val="center"/>
                </w:tcPr>
                <w:p w14:paraId="53DA7105">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0.281</w:t>
                  </w:r>
                </w:p>
              </w:tc>
              <w:tc>
                <w:tcPr>
                  <w:tcW w:w="1420" w:type="dxa"/>
                  <w:vAlign w:val="center"/>
                </w:tcPr>
                <w:p w14:paraId="3A394EFF">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0.125</w:t>
                  </w:r>
                </w:p>
              </w:tc>
              <w:tc>
                <w:tcPr>
                  <w:tcW w:w="1420" w:type="dxa"/>
                  <w:vAlign w:val="center"/>
                </w:tcPr>
                <w:p w14:paraId="31C3FF44">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0.303</w:t>
                  </w:r>
                </w:p>
              </w:tc>
            </w:tr>
            <w:tr w14:paraId="629AE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restart"/>
                  <w:vAlign w:val="center"/>
                </w:tcPr>
                <w:p w14:paraId="33DD570B">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2线煤磨</w:t>
                  </w:r>
                </w:p>
              </w:tc>
              <w:tc>
                <w:tcPr>
                  <w:tcW w:w="1002" w:type="dxa"/>
                  <w:vMerge w:val="restart"/>
                  <w:vAlign w:val="center"/>
                </w:tcPr>
                <w:p w14:paraId="537E03B8">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低浓度颗粒物</w:t>
                  </w:r>
                </w:p>
              </w:tc>
              <w:tc>
                <w:tcPr>
                  <w:tcW w:w="1888" w:type="dxa"/>
                  <w:vAlign w:val="center"/>
                </w:tcPr>
                <w:p w14:paraId="71E7B265">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标干流量（Nm</w:t>
                  </w:r>
                  <w:r>
                    <w:rPr>
                      <w:rFonts w:hint="eastAsia" w:ascii="Times New Roman" w:hAnsi="Times New Roman" w:cs="Times New Roman"/>
                      <w:b w:val="0"/>
                      <w:bCs w:val="0"/>
                      <w:i w:val="0"/>
                      <w:iCs w:val="0"/>
                      <w:color w:val="auto"/>
                      <w:kern w:val="0"/>
                      <w:sz w:val="21"/>
                      <w:szCs w:val="21"/>
                      <w:highlight w:val="none"/>
                      <w:u w:val="none"/>
                      <w:vertAlign w:val="superscript"/>
                      <w:lang w:val="en-US" w:eastAsia="zh-CN" w:bidi="ar"/>
                    </w:rPr>
                    <w:t>3</w:t>
                  </w:r>
                  <w:r>
                    <w:rPr>
                      <w:rFonts w:hint="eastAsia" w:ascii="Times New Roman" w:hAnsi="Times New Roman" w:cs="Times New Roman"/>
                      <w:b w:val="0"/>
                      <w:bCs w:val="0"/>
                      <w:i w:val="0"/>
                      <w:iCs w:val="0"/>
                      <w:color w:val="auto"/>
                      <w:kern w:val="0"/>
                      <w:sz w:val="21"/>
                      <w:szCs w:val="21"/>
                      <w:highlight w:val="none"/>
                      <w:u w:val="none"/>
                      <w:vertAlign w:val="baseline"/>
                      <w:lang w:val="en-US" w:eastAsia="zh-CN" w:bidi="ar"/>
                    </w:rPr>
                    <w:t>/h</w:t>
                  </w:r>
                  <w:r>
                    <w:rPr>
                      <w:rFonts w:hint="eastAsia" w:ascii="Times New Roman" w:hAnsi="Times New Roman" w:cs="Times New Roman"/>
                      <w:b w:val="0"/>
                      <w:bCs w:val="0"/>
                      <w:i w:val="0"/>
                      <w:iCs w:val="0"/>
                      <w:color w:val="auto"/>
                      <w:kern w:val="0"/>
                      <w:sz w:val="21"/>
                      <w:szCs w:val="21"/>
                      <w:highlight w:val="none"/>
                      <w:u w:val="none"/>
                      <w:lang w:val="en-US" w:eastAsia="zh-CN" w:bidi="ar"/>
                    </w:rPr>
                    <w:t>）</w:t>
                  </w:r>
                </w:p>
              </w:tc>
              <w:tc>
                <w:tcPr>
                  <w:tcW w:w="1420" w:type="dxa"/>
                  <w:vAlign w:val="center"/>
                </w:tcPr>
                <w:p w14:paraId="6E92B367">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60277</w:t>
                  </w:r>
                </w:p>
              </w:tc>
              <w:tc>
                <w:tcPr>
                  <w:tcW w:w="1420" w:type="dxa"/>
                  <w:vAlign w:val="center"/>
                </w:tcPr>
                <w:p w14:paraId="5B1E5165">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57702</w:t>
                  </w:r>
                </w:p>
              </w:tc>
              <w:tc>
                <w:tcPr>
                  <w:tcW w:w="1420" w:type="dxa"/>
                  <w:vAlign w:val="center"/>
                </w:tcPr>
                <w:p w14:paraId="75044330">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63434</w:t>
                  </w:r>
                </w:p>
              </w:tc>
            </w:tr>
            <w:tr w14:paraId="7FCE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continue"/>
                  <w:vAlign w:val="center"/>
                </w:tcPr>
                <w:p w14:paraId="54A9FD37">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002" w:type="dxa"/>
                  <w:vMerge w:val="continue"/>
                  <w:vAlign w:val="center"/>
                </w:tcPr>
                <w:p w14:paraId="01AD4BD4">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888" w:type="dxa"/>
                  <w:vAlign w:val="center"/>
                </w:tcPr>
                <w:p w14:paraId="4A9ADE72">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实测浓度（mg/m</w:t>
                  </w:r>
                  <w:r>
                    <w:rPr>
                      <w:rFonts w:hint="eastAsia" w:ascii="Times New Roman" w:hAnsi="Times New Roman" w:cs="Times New Roman"/>
                      <w:b w:val="0"/>
                      <w:bCs w:val="0"/>
                      <w:i w:val="0"/>
                      <w:iCs w:val="0"/>
                      <w:color w:val="auto"/>
                      <w:kern w:val="0"/>
                      <w:sz w:val="21"/>
                      <w:szCs w:val="21"/>
                      <w:highlight w:val="none"/>
                      <w:u w:val="none"/>
                      <w:vertAlign w:val="superscript"/>
                      <w:lang w:val="en-US" w:eastAsia="zh-CN" w:bidi="ar"/>
                    </w:rPr>
                    <w:t>3</w:t>
                  </w:r>
                  <w:r>
                    <w:rPr>
                      <w:rFonts w:hint="eastAsia" w:ascii="Times New Roman" w:hAnsi="Times New Roman" w:cs="Times New Roman"/>
                      <w:b w:val="0"/>
                      <w:bCs w:val="0"/>
                      <w:i w:val="0"/>
                      <w:iCs w:val="0"/>
                      <w:color w:val="auto"/>
                      <w:kern w:val="0"/>
                      <w:sz w:val="21"/>
                      <w:szCs w:val="21"/>
                      <w:highlight w:val="none"/>
                      <w:u w:val="none"/>
                      <w:lang w:val="en-US" w:eastAsia="zh-CN" w:bidi="ar"/>
                    </w:rPr>
                    <w:t>）</w:t>
                  </w:r>
                </w:p>
              </w:tc>
              <w:tc>
                <w:tcPr>
                  <w:tcW w:w="1420" w:type="dxa"/>
                  <w:vAlign w:val="center"/>
                </w:tcPr>
                <w:p w14:paraId="7E9D998E">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2.4</w:t>
                  </w:r>
                </w:p>
              </w:tc>
              <w:tc>
                <w:tcPr>
                  <w:tcW w:w="1420" w:type="dxa"/>
                  <w:vAlign w:val="center"/>
                </w:tcPr>
                <w:p w14:paraId="7A4AF1F7">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1.6</w:t>
                  </w:r>
                </w:p>
              </w:tc>
              <w:tc>
                <w:tcPr>
                  <w:tcW w:w="1420" w:type="dxa"/>
                  <w:vAlign w:val="center"/>
                </w:tcPr>
                <w:p w14:paraId="65A023F5">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2.0</w:t>
                  </w:r>
                </w:p>
              </w:tc>
            </w:tr>
            <w:tr w14:paraId="77C77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continue"/>
                  <w:vAlign w:val="center"/>
                </w:tcPr>
                <w:p w14:paraId="2F8F13F2">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002" w:type="dxa"/>
                  <w:vMerge w:val="continue"/>
                  <w:vAlign w:val="center"/>
                </w:tcPr>
                <w:p w14:paraId="2C872676">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888" w:type="dxa"/>
                  <w:vAlign w:val="center"/>
                </w:tcPr>
                <w:p w14:paraId="655DC45C">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排放速率（kg/h）</w:t>
                  </w:r>
                </w:p>
              </w:tc>
              <w:tc>
                <w:tcPr>
                  <w:tcW w:w="1420" w:type="dxa"/>
                  <w:vAlign w:val="center"/>
                </w:tcPr>
                <w:p w14:paraId="69DAD841">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0.145</w:t>
                  </w:r>
                </w:p>
              </w:tc>
              <w:tc>
                <w:tcPr>
                  <w:tcW w:w="1420" w:type="dxa"/>
                  <w:vAlign w:val="center"/>
                </w:tcPr>
                <w:p w14:paraId="01558962">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9.23×10</w:t>
                  </w:r>
                  <w:r>
                    <w:rPr>
                      <w:rFonts w:hint="eastAsia" w:ascii="Times New Roman" w:hAnsi="Times New Roman" w:cs="Times New Roman"/>
                      <w:b w:val="0"/>
                      <w:bCs w:val="0"/>
                      <w:i w:val="0"/>
                      <w:iCs w:val="0"/>
                      <w:color w:val="auto"/>
                      <w:kern w:val="0"/>
                      <w:sz w:val="21"/>
                      <w:szCs w:val="21"/>
                      <w:highlight w:val="none"/>
                      <w:u w:val="none"/>
                      <w:vertAlign w:val="superscript"/>
                      <w:lang w:val="en-US" w:eastAsia="zh-CN" w:bidi="ar"/>
                    </w:rPr>
                    <w:t>-2</w:t>
                  </w:r>
                </w:p>
              </w:tc>
              <w:tc>
                <w:tcPr>
                  <w:tcW w:w="1420" w:type="dxa"/>
                  <w:vAlign w:val="center"/>
                </w:tcPr>
                <w:p w14:paraId="48258E16">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0.127</w:t>
                  </w:r>
                </w:p>
              </w:tc>
            </w:tr>
            <w:tr w14:paraId="52D52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restart"/>
                  <w:vAlign w:val="center"/>
                </w:tcPr>
                <w:p w14:paraId="1FFB4947">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1线旋窑窑尾</w:t>
                  </w:r>
                </w:p>
              </w:tc>
              <w:tc>
                <w:tcPr>
                  <w:tcW w:w="1002" w:type="dxa"/>
                  <w:vMerge w:val="restart"/>
                  <w:vAlign w:val="center"/>
                </w:tcPr>
                <w:p w14:paraId="02334C4C">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氟化物</w:t>
                  </w:r>
                </w:p>
              </w:tc>
              <w:tc>
                <w:tcPr>
                  <w:tcW w:w="1888" w:type="dxa"/>
                  <w:vAlign w:val="center"/>
                </w:tcPr>
                <w:p w14:paraId="2ABFD355">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标干流量（Nm</w:t>
                  </w:r>
                  <w:r>
                    <w:rPr>
                      <w:rFonts w:hint="eastAsia" w:ascii="Times New Roman" w:hAnsi="Times New Roman" w:cs="Times New Roman"/>
                      <w:b w:val="0"/>
                      <w:bCs w:val="0"/>
                      <w:i w:val="0"/>
                      <w:iCs w:val="0"/>
                      <w:color w:val="auto"/>
                      <w:kern w:val="0"/>
                      <w:sz w:val="21"/>
                      <w:szCs w:val="21"/>
                      <w:highlight w:val="none"/>
                      <w:u w:val="none"/>
                      <w:vertAlign w:val="superscript"/>
                      <w:lang w:val="en-US" w:eastAsia="zh-CN" w:bidi="ar"/>
                    </w:rPr>
                    <w:t>3</w:t>
                  </w:r>
                  <w:r>
                    <w:rPr>
                      <w:rFonts w:hint="eastAsia" w:ascii="Times New Roman" w:hAnsi="Times New Roman" w:cs="Times New Roman"/>
                      <w:b w:val="0"/>
                      <w:bCs w:val="0"/>
                      <w:i w:val="0"/>
                      <w:iCs w:val="0"/>
                      <w:color w:val="auto"/>
                      <w:kern w:val="0"/>
                      <w:sz w:val="21"/>
                      <w:szCs w:val="21"/>
                      <w:highlight w:val="none"/>
                      <w:u w:val="none"/>
                      <w:vertAlign w:val="baseline"/>
                      <w:lang w:val="en-US" w:eastAsia="zh-CN" w:bidi="ar"/>
                    </w:rPr>
                    <w:t>/h</w:t>
                  </w:r>
                  <w:r>
                    <w:rPr>
                      <w:rFonts w:hint="eastAsia" w:ascii="Times New Roman" w:hAnsi="Times New Roman" w:cs="Times New Roman"/>
                      <w:b w:val="0"/>
                      <w:bCs w:val="0"/>
                      <w:i w:val="0"/>
                      <w:iCs w:val="0"/>
                      <w:color w:val="auto"/>
                      <w:kern w:val="0"/>
                      <w:sz w:val="21"/>
                      <w:szCs w:val="21"/>
                      <w:highlight w:val="none"/>
                      <w:u w:val="none"/>
                      <w:lang w:val="en-US" w:eastAsia="zh-CN" w:bidi="ar"/>
                    </w:rPr>
                    <w:t>）</w:t>
                  </w:r>
                </w:p>
              </w:tc>
              <w:tc>
                <w:tcPr>
                  <w:tcW w:w="1420" w:type="dxa"/>
                  <w:vAlign w:val="center"/>
                </w:tcPr>
                <w:p w14:paraId="5ECC7462">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488235</w:t>
                  </w:r>
                </w:p>
              </w:tc>
              <w:tc>
                <w:tcPr>
                  <w:tcW w:w="1420" w:type="dxa"/>
                  <w:vAlign w:val="center"/>
                </w:tcPr>
                <w:p w14:paraId="22B46A50">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486620</w:t>
                  </w:r>
                </w:p>
              </w:tc>
              <w:tc>
                <w:tcPr>
                  <w:tcW w:w="1420" w:type="dxa"/>
                  <w:vAlign w:val="center"/>
                </w:tcPr>
                <w:p w14:paraId="5F5305A3">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477658</w:t>
                  </w:r>
                </w:p>
              </w:tc>
            </w:tr>
            <w:tr w14:paraId="7349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continue"/>
                  <w:vAlign w:val="center"/>
                </w:tcPr>
                <w:p w14:paraId="06CB568C">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002" w:type="dxa"/>
                  <w:vMerge w:val="continue"/>
                  <w:vAlign w:val="center"/>
                </w:tcPr>
                <w:p w14:paraId="741BB527">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888" w:type="dxa"/>
                  <w:vAlign w:val="center"/>
                </w:tcPr>
                <w:p w14:paraId="40E0D6F6">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实测浓度（mg/m</w:t>
                  </w:r>
                  <w:r>
                    <w:rPr>
                      <w:rFonts w:hint="eastAsia" w:ascii="Times New Roman" w:hAnsi="Times New Roman" w:cs="Times New Roman"/>
                      <w:b w:val="0"/>
                      <w:bCs w:val="0"/>
                      <w:i w:val="0"/>
                      <w:iCs w:val="0"/>
                      <w:color w:val="auto"/>
                      <w:kern w:val="0"/>
                      <w:sz w:val="21"/>
                      <w:szCs w:val="21"/>
                      <w:highlight w:val="none"/>
                      <w:u w:val="none"/>
                      <w:vertAlign w:val="superscript"/>
                      <w:lang w:val="en-US" w:eastAsia="zh-CN" w:bidi="ar"/>
                    </w:rPr>
                    <w:t>3</w:t>
                  </w:r>
                  <w:r>
                    <w:rPr>
                      <w:rFonts w:hint="eastAsia" w:ascii="Times New Roman" w:hAnsi="Times New Roman" w:cs="Times New Roman"/>
                      <w:b w:val="0"/>
                      <w:bCs w:val="0"/>
                      <w:i w:val="0"/>
                      <w:iCs w:val="0"/>
                      <w:color w:val="auto"/>
                      <w:kern w:val="0"/>
                      <w:sz w:val="21"/>
                      <w:szCs w:val="21"/>
                      <w:highlight w:val="none"/>
                      <w:u w:val="none"/>
                      <w:lang w:val="en-US" w:eastAsia="zh-CN" w:bidi="ar"/>
                    </w:rPr>
                    <w:t>）</w:t>
                  </w:r>
                </w:p>
              </w:tc>
              <w:tc>
                <w:tcPr>
                  <w:tcW w:w="1420" w:type="dxa"/>
                  <w:vAlign w:val="center"/>
                </w:tcPr>
                <w:p w14:paraId="20D0501D">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1.84</w:t>
                  </w:r>
                </w:p>
              </w:tc>
              <w:tc>
                <w:tcPr>
                  <w:tcW w:w="1420" w:type="dxa"/>
                  <w:vAlign w:val="center"/>
                </w:tcPr>
                <w:p w14:paraId="229BA620">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1.95</w:t>
                  </w:r>
                </w:p>
              </w:tc>
              <w:tc>
                <w:tcPr>
                  <w:tcW w:w="1420" w:type="dxa"/>
                  <w:vAlign w:val="center"/>
                </w:tcPr>
                <w:p w14:paraId="65C0F810">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1.91</w:t>
                  </w:r>
                </w:p>
              </w:tc>
            </w:tr>
            <w:tr w14:paraId="3FE10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continue"/>
                  <w:vAlign w:val="center"/>
                </w:tcPr>
                <w:p w14:paraId="1BF41772">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002" w:type="dxa"/>
                  <w:vMerge w:val="continue"/>
                  <w:vAlign w:val="center"/>
                </w:tcPr>
                <w:p w14:paraId="25A350F8">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888" w:type="dxa"/>
                  <w:vAlign w:val="center"/>
                </w:tcPr>
                <w:p w14:paraId="2A046ACF">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排放速率（kg/h）</w:t>
                  </w:r>
                </w:p>
              </w:tc>
              <w:tc>
                <w:tcPr>
                  <w:tcW w:w="1420" w:type="dxa"/>
                  <w:vAlign w:val="center"/>
                </w:tcPr>
                <w:p w14:paraId="4291D830">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0.898</w:t>
                  </w:r>
                </w:p>
              </w:tc>
              <w:tc>
                <w:tcPr>
                  <w:tcW w:w="1420" w:type="dxa"/>
                  <w:vAlign w:val="center"/>
                </w:tcPr>
                <w:p w14:paraId="2E41CFE8">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0.949</w:t>
                  </w:r>
                </w:p>
              </w:tc>
              <w:tc>
                <w:tcPr>
                  <w:tcW w:w="1420" w:type="dxa"/>
                  <w:vAlign w:val="center"/>
                </w:tcPr>
                <w:p w14:paraId="56324B41">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0.912</w:t>
                  </w:r>
                </w:p>
              </w:tc>
            </w:tr>
            <w:tr w14:paraId="213A9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continue"/>
                  <w:vAlign w:val="center"/>
                </w:tcPr>
                <w:p w14:paraId="742B2AE4">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002" w:type="dxa"/>
                  <w:vMerge w:val="restart"/>
                  <w:vAlign w:val="center"/>
                </w:tcPr>
                <w:p w14:paraId="5D78EC0F">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汞</w:t>
                  </w:r>
                </w:p>
              </w:tc>
              <w:tc>
                <w:tcPr>
                  <w:tcW w:w="1888" w:type="dxa"/>
                  <w:vAlign w:val="center"/>
                </w:tcPr>
                <w:p w14:paraId="1D402218">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标干流量（Nm</w:t>
                  </w:r>
                  <w:r>
                    <w:rPr>
                      <w:rFonts w:hint="eastAsia" w:ascii="Times New Roman" w:hAnsi="Times New Roman" w:cs="Times New Roman"/>
                      <w:b w:val="0"/>
                      <w:bCs w:val="0"/>
                      <w:i w:val="0"/>
                      <w:iCs w:val="0"/>
                      <w:color w:val="auto"/>
                      <w:kern w:val="0"/>
                      <w:sz w:val="21"/>
                      <w:szCs w:val="21"/>
                      <w:highlight w:val="none"/>
                      <w:u w:val="none"/>
                      <w:vertAlign w:val="superscript"/>
                      <w:lang w:val="en-US" w:eastAsia="zh-CN" w:bidi="ar"/>
                    </w:rPr>
                    <w:t>3</w:t>
                  </w:r>
                  <w:r>
                    <w:rPr>
                      <w:rFonts w:hint="eastAsia" w:ascii="Times New Roman" w:hAnsi="Times New Roman" w:cs="Times New Roman"/>
                      <w:b w:val="0"/>
                      <w:bCs w:val="0"/>
                      <w:i w:val="0"/>
                      <w:iCs w:val="0"/>
                      <w:color w:val="auto"/>
                      <w:kern w:val="0"/>
                      <w:sz w:val="21"/>
                      <w:szCs w:val="21"/>
                      <w:highlight w:val="none"/>
                      <w:u w:val="none"/>
                      <w:vertAlign w:val="baseline"/>
                      <w:lang w:val="en-US" w:eastAsia="zh-CN" w:bidi="ar"/>
                    </w:rPr>
                    <w:t>/h</w:t>
                  </w:r>
                  <w:r>
                    <w:rPr>
                      <w:rFonts w:hint="eastAsia" w:ascii="Times New Roman" w:hAnsi="Times New Roman" w:cs="Times New Roman"/>
                      <w:b w:val="0"/>
                      <w:bCs w:val="0"/>
                      <w:i w:val="0"/>
                      <w:iCs w:val="0"/>
                      <w:color w:val="auto"/>
                      <w:kern w:val="0"/>
                      <w:sz w:val="21"/>
                      <w:szCs w:val="21"/>
                      <w:highlight w:val="none"/>
                      <w:u w:val="none"/>
                      <w:lang w:val="en-US" w:eastAsia="zh-CN" w:bidi="ar"/>
                    </w:rPr>
                    <w:t>）</w:t>
                  </w:r>
                </w:p>
              </w:tc>
              <w:tc>
                <w:tcPr>
                  <w:tcW w:w="1420" w:type="dxa"/>
                  <w:vAlign w:val="center"/>
                </w:tcPr>
                <w:p w14:paraId="403E1FD4">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430726</w:t>
                  </w:r>
                </w:p>
              </w:tc>
              <w:tc>
                <w:tcPr>
                  <w:tcW w:w="1420" w:type="dxa"/>
                  <w:vAlign w:val="center"/>
                </w:tcPr>
                <w:p w14:paraId="6A7032DC">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439727</w:t>
                  </w:r>
                </w:p>
              </w:tc>
              <w:tc>
                <w:tcPr>
                  <w:tcW w:w="1420" w:type="dxa"/>
                  <w:vAlign w:val="center"/>
                </w:tcPr>
                <w:p w14:paraId="723715CA">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453379</w:t>
                  </w:r>
                </w:p>
              </w:tc>
            </w:tr>
            <w:tr w14:paraId="20CD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continue"/>
                  <w:vAlign w:val="center"/>
                </w:tcPr>
                <w:p w14:paraId="2D54FF96">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002" w:type="dxa"/>
                  <w:vMerge w:val="continue"/>
                  <w:vAlign w:val="center"/>
                </w:tcPr>
                <w:p w14:paraId="467A7F82">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888" w:type="dxa"/>
                  <w:vAlign w:val="center"/>
                </w:tcPr>
                <w:p w14:paraId="08164CCF">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实测浓度（mg/m</w:t>
                  </w:r>
                  <w:r>
                    <w:rPr>
                      <w:rFonts w:hint="eastAsia" w:ascii="Times New Roman" w:hAnsi="Times New Roman" w:cs="Times New Roman"/>
                      <w:b w:val="0"/>
                      <w:bCs w:val="0"/>
                      <w:i w:val="0"/>
                      <w:iCs w:val="0"/>
                      <w:color w:val="auto"/>
                      <w:kern w:val="0"/>
                      <w:sz w:val="21"/>
                      <w:szCs w:val="21"/>
                      <w:highlight w:val="none"/>
                      <w:u w:val="none"/>
                      <w:vertAlign w:val="superscript"/>
                      <w:lang w:val="en-US" w:eastAsia="zh-CN" w:bidi="ar"/>
                    </w:rPr>
                    <w:t>3</w:t>
                  </w:r>
                  <w:r>
                    <w:rPr>
                      <w:rFonts w:hint="eastAsia" w:ascii="Times New Roman" w:hAnsi="Times New Roman" w:cs="Times New Roman"/>
                      <w:b w:val="0"/>
                      <w:bCs w:val="0"/>
                      <w:i w:val="0"/>
                      <w:iCs w:val="0"/>
                      <w:color w:val="auto"/>
                      <w:kern w:val="0"/>
                      <w:sz w:val="21"/>
                      <w:szCs w:val="21"/>
                      <w:highlight w:val="none"/>
                      <w:u w:val="none"/>
                      <w:lang w:val="en-US" w:eastAsia="zh-CN" w:bidi="ar"/>
                    </w:rPr>
                    <w:t>）</w:t>
                  </w:r>
                </w:p>
              </w:tc>
              <w:tc>
                <w:tcPr>
                  <w:tcW w:w="1420" w:type="dxa"/>
                  <w:vAlign w:val="center"/>
                </w:tcPr>
                <w:p w14:paraId="4B3CDB0A">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0.036</w:t>
                  </w:r>
                </w:p>
              </w:tc>
              <w:tc>
                <w:tcPr>
                  <w:tcW w:w="1420" w:type="dxa"/>
                  <w:vAlign w:val="center"/>
                </w:tcPr>
                <w:p w14:paraId="226489B8">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0.034</w:t>
                  </w:r>
                </w:p>
              </w:tc>
              <w:tc>
                <w:tcPr>
                  <w:tcW w:w="1420" w:type="dxa"/>
                  <w:vAlign w:val="center"/>
                </w:tcPr>
                <w:p w14:paraId="19C56303">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0.032</w:t>
                  </w:r>
                </w:p>
              </w:tc>
            </w:tr>
            <w:tr w14:paraId="72326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continue"/>
                  <w:vAlign w:val="center"/>
                </w:tcPr>
                <w:p w14:paraId="371574F9">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002" w:type="dxa"/>
                  <w:vMerge w:val="continue"/>
                  <w:vAlign w:val="center"/>
                </w:tcPr>
                <w:p w14:paraId="5A749A17">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888" w:type="dxa"/>
                  <w:vAlign w:val="center"/>
                </w:tcPr>
                <w:p w14:paraId="764274D2">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排放速率（kg/h）</w:t>
                  </w:r>
                </w:p>
              </w:tc>
              <w:tc>
                <w:tcPr>
                  <w:tcW w:w="1420" w:type="dxa"/>
                  <w:vAlign w:val="center"/>
                </w:tcPr>
                <w:p w14:paraId="29CCCA3D">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1.55×10</w:t>
                  </w:r>
                  <w:r>
                    <w:rPr>
                      <w:rFonts w:hint="eastAsia" w:ascii="Times New Roman" w:hAnsi="Times New Roman" w:cs="Times New Roman"/>
                      <w:b w:val="0"/>
                      <w:bCs w:val="0"/>
                      <w:i w:val="0"/>
                      <w:iCs w:val="0"/>
                      <w:color w:val="auto"/>
                      <w:kern w:val="0"/>
                      <w:sz w:val="21"/>
                      <w:szCs w:val="21"/>
                      <w:highlight w:val="none"/>
                      <w:u w:val="none"/>
                      <w:vertAlign w:val="superscript"/>
                      <w:lang w:val="en-US" w:eastAsia="zh-CN" w:bidi="ar"/>
                    </w:rPr>
                    <w:t>-5</w:t>
                  </w:r>
                </w:p>
              </w:tc>
              <w:tc>
                <w:tcPr>
                  <w:tcW w:w="1420" w:type="dxa"/>
                  <w:vAlign w:val="center"/>
                </w:tcPr>
                <w:p w14:paraId="2AB03AB3">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1.50×10</w:t>
                  </w:r>
                  <w:r>
                    <w:rPr>
                      <w:rFonts w:hint="eastAsia" w:ascii="Times New Roman" w:hAnsi="Times New Roman" w:cs="Times New Roman"/>
                      <w:b w:val="0"/>
                      <w:bCs w:val="0"/>
                      <w:i w:val="0"/>
                      <w:iCs w:val="0"/>
                      <w:color w:val="auto"/>
                      <w:kern w:val="0"/>
                      <w:sz w:val="21"/>
                      <w:szCs w:val="21"/>
                      <w:highlight w:val="none"/>
                      <w:u w:val="none"/>
                      <w:vertAlign w:val="superscript"/>
                      <w:lang w:val="en-US" w:eastAsia="zh-CN" w:bidi="ar"/>
                    </w:rPr>
                    <w:t>-5</w:t>
                  </w:r>
                </w:p>
              </w:tc>
              <w:tc>
                <w:tcPr>
                  <w:tcW w:w="1420" w:type="dxa"/>
                  <w:vAlign w:val="center"/>
                </w:tcPr>
                <w:p w14:paraId="5B1476B4">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1.45×10</w:t>
                  </w:r>
                  <w:r>
                    <w:rPr>
                      <w:rFonts w:hint="eastAsia" w:ascii="Times New Roman" w:hAnsi="Times New Roman" w:cs="Times New Roman"/>
                      <w:b w:val="0"/>
                      <w:bCs w:val="0"/>
                      <w:i w:val="0"/>
                      <w:iCs w:val="0"/>
                      <w:color w:val="auto"/>
                      <w:kern w:val="0"/>
                      <w:sz w:val="21"/>
                      <w:szCs w:val="21"/>
                      <w:highlight w:val="none"/>
                      <w:u w:val="none"/>
                      <w:vertAlign w:val="superscript"/>
                      <w:lang w:val="en-US" w:eastAsia="zh-CN" w:bidi="ar"/>
                    </w:rPr>
                    <w:t>-5</w:t>
                  </w:r>
                </w:p>
              </w:tc>
            </w:tr>
            <w:tr w14:paraId="2BFD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50" w:type="dxa"/>
                  <w:vMerge w:val="continue"/>
                  <w:vAlign w:val="center"/>
                </w:tcPr>
                <w:p w14:paraId="0CC43714">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002" w:type="dxa"/>
                  <w:vMerge w:val="restart"/>
                  <w:vAlign w:val="center"/>
                </w:tcPr>
                <w:p w14:paraId="4CF50297">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氨</w:t>
                  </w:r>
                </w:p>
              </w:tc>
              <w:tc>
                <w:tcPr>
                  <w:tcW w:w="1888" w:type="dxa"/>
                  <w:vAlign w:val="center"/>
                </w:tcPr>
                <w:p w14:paraId="287A1841">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实测浓度（mg/m</w:t>
                  </w:r>
                  <w:r>
                    <w:rPr>
                      <w:rFonts w:hint="eastAsia" w:ascii="Times New Roman" w:hAnsi="Times New Roman" w:cs="Times New Roman"/>
                      <w:b w:val="0"/>
                      <w:bCs w:val="0"/>
                      <w:i w:val="0"/>
                      <w:iCs w:val="0"/>
                      <w:color w:val="auto"/>
                      <w:kern w:val="0"/>
                      <w:sz w:val="21"/>
                      <w:szCs w:val="21"/>
                      <w:highlight w:val="none"/>
                      <w:u w:val="none"/>
                      <w:vertAlign w:val="superscript"/>
                      <w:lang w:val="en-US" w:eastAsia="zh-CN" w:bidi="ar"/>
                    </w:rPr>
                    <w:t>3</w:t>
                  </w:r>
                  <w:r>
                    <w:rPr>
                      <w:rFonts w:hint="eastAsia" w:ascii="Times New Roman" w:hAnsi="Times New Roman" w:cs="Times New Roman"/>
                      <w:b w:val="0"/>
                      <w:bCs w:val="0"/>
                      <w:i w:val="0"/>
                      <w:iCs w:val="0"/>
                      <w:color w:val="auto"/>
                      <w:kern w:val="0"/>
                      <w:sz w:val="21"/>
                      <w:szCs w:val="21"/>
                      <w:highlight w:val="none"/>
                      <w:u w:val="none"/>
                      <w:lang w:val="en-US" w:eastAsia="zh-CN" w:bidi="ar"/>
                    </w:rPr>
                    <w:t>）</w:t>
                  </w:r>
                </w:p>
              </w:tc>
              <w:tc>
                <w:tcPr>
                  <w:tcW w:w="1420" w:type="dxa"/>
                  <w:vAlign w:val="center"/>
                </w:tcPr>
                <w:p w14:paraId="20C5A3B6">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6.00</w:t>
                  </w:r>
                </w:p>
              </w:tc>
              <w:tc>
                <w:tcPr>
                  <w:tcW w:w="1420" w:type="dxa"/>
                  <w:vAlign w:val="center"/>
                </w:tcPr>
                <w:p w14:paraId="798A53BF">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6.54</w:t>
                  </w:r>
                </w:p>
              </w:tc>
              <w:tc>
                <w:tcPr>
                  <w:tcW w:w="1420" w:type="dxa"/>
                  <w:vAlign w:val="center"/>
                </w:tcPr>
                <w:p w14:paraId="52E72CAC">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7.00</w:t>
                  </w:r>
                </w:p>
              </w:tc>
            </w:tr>
            <w:tr w14:paraId="57749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continue"/>
                  <w:vAlign w:val="center"/>
                </w:tcPr>
                <w:p w14:paraId="10D2277C">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002" w:type="dxa"/>
                  <w:vMerge w:val="continue"/>
                  <w:vAlign w:val="center"/>
                </w:tcPr>
                <w:p w14:paraId="4B454D38">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888" w:type="dxa"/>
                  <w:vAlign w:val="center"/>
                </w:tcPr>
                <w:p w14:paraId="7E05FB07">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排放速率（kg/h）</w:t>
                  </w:r>
                </w:p>
              </w:tc>
              <w:tc>
                <w:tcPr>
                  <w:tcW w:w="1420" w:type="dxa"/>
                  <w:vAlign w:val="center"/>
                </w:tcPr>
                <w:p w14:paraId="7032E866">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2.58</w:t>
                  </w:r>
                </w:p>
              </w:tc>
              <w:tc>
                <w:tcPr>
                  <w:tcW w:w="1420" w:type="dxa"/>
                  <w:vAlign w:val="center"/>
                </w:tcPr>
                <w:p w14:paraId="5921CF90">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2.88</w:t>
                  </w:r>
                </w:p>
              </w:tc>
              <w:tc>
                <w:tcPr>
                  <w:tcW w:w="1420" w:type="dxa"/>
                  <w:vAlign w:val="center"/>
                </w:tcPr>
                <w:p w14:paraId="42CF5E49">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3.17</w:t>
                  </w:r>
                </w:p>
              </w:tc>
            </w:tr>
            <w:tr w14:paraId="75BD6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restart"/>
                  <w:vAlign w:val="center"/>
                </w:tcPr>
                <w:p w14:paraId="0F8DE0BA">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2线旋窑窑尾</w:t>
                  </w:r>
                </w:p>
              </w:tc>
              <w:tc>
                <w:tcPr>
                  <w:tcW w:w="1002" w:type="dxa"/>
                  <w:vMerge w:val="restart"/>
                  <w:vAlign w:val="center"/>
                </w:tcPr>
                <w:p w14:paraId="215A6270">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氟化物</w:t>
                  </w:r>
                </w:p>
              </w:tc>
              <w:tc>
                <w:tcPr>
                  <w:tcW w:w="1888" w:type="dxa"/>
                  <w:vAlign w:val="center"/>
                </w:tcPr>
                <w:p w14:paraId="68BC7640">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标干流量（Nm</w:t>
                  </w:r>
                  <w:r>
                    <w:rPr>
                      <w:rFonts w:hint="eastAsia" w:ascii="Times New Roman" w:hAnsi="Times New Roman" w:cs="Times New Roman"/>
                      <w:b w:val="0"/>
                      <w:bCs w:val="0"/>
                      <w:i w:val="0"/>
                      <w:iCs w:val="0"/>
                      <w:color w:val="auto"/>
                      <w:kern w:val="0"/>
                      <w:sz w:val="21"/>
                      <w:szCs w:val="21"/>
                      <w:highlight w:val="none"/>
                      <w:u w:val="none"/>
                      <w:vertAlign w:val="superscript"/>
                      <w:lang w:val="en-US" w:eastAsia="zh-CN" w:bidi="ar"/>
                    </w:rPr>
                    <w:t>3</w:t>
                  </w:r>
                  <w:r>
                    <w:rPr>
                      <w:rFonts w:hint="eastAsia" w:ascii="Times New Roman" w:hAnsi="Times New Roman" w:cs="Times New Roman"/>
                      <w:b w:val="0"/>
                      <w:bCs w:val="0"/>
                      <w:i w:val="0"/>
                      <w:iCs w:val="0"/>
                      <w:color w:val="auto"/>
                      <w:kern w:val="0"/>
                      <w:sz w:val="21"/>
                      <w:szCs w:val="21"/>
                      <w:highlight w:val="none"/>
                      <w:u w:val="none"/>
                      <w:vertAlign w:val="baseline"/>
                      <w:lang w:val="en-US" w:eastAsia="zh-CN" w:bidi="ar"/>
                    </w:rPr>
                    <w:t>/h</w:t>
                  </w:r>
                  <w:r>
                    <w:rPr>
                      <w:rFonts w:hint="eastAsia" w:ascii="Times New Roman" w:hAnsi="Times New Roman" w:cs="Times New Roman"/>
                      <w:b w:val="0"/>
                      <w:bCs w:val="0"/>
                      <w:i w:val="0"/>
                      <w:iCs w:val="0"/>
                      <w:color w:val="auto"/>
                      <w:kern w:val="0"/>
                      <w:sz w:val="21"/>
                      <w:szCs w:val="21"/>
                      <w:highlight w:val="none"/>
                      <w:u w:val="none"/>
                      <w:lang w:val="en-US" w:eastAsia="zh-CN" w:bidi="ar"/>
                    </w:rPr>
                    <w:t>）</w:t>
                  </w:r>
                </w:p>
              </w:tc>
              <w:tc>
                <w:tcPr>
                  <w:tcW w:w="1420" w:type="dxa"/>
                  <w:vAlign w:val="center"/>
                </w:tcPr>
                <w:p w14:paraId="6946DEF7">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395099</w:t>
                  </w:r>
                </w:p>
              </w:tc>
              <w:tc>
                <w:tcPr>
                  <w:tcW w:w="1420" w:type="dxa"/>
                  <w:vAlign w:val="center"/>
                </w:tcPr>
                <w:p w14:paraId="6E7D11AC">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428954</w:t>
                  </w:r>
                </w:p>
              </w:tc>
              <w:tc>
                <w:tcPr>
                  <w:tcW w:w="1420" w:type="dxa"/>
                  <w:vAlign w:val="center"/>
                </w:tcPr>
                <w:p w14:paraId="04872E21">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430666</w:t>
                  </w:r>
                </w:p>
              </w:tc>
            </w:tr>
            <w:tr w14:paraId="2A017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continue"/>
                  <w:vAlign w:val="center"/>
                </w:tcPr>
                <w:p w14:paraId="7F27B9A7">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002" w:type="dxa"/>
                  <w:vMerge w:val="continue"/>
                  <w:vAlign w:val="center"/>
                </w:tcPr>
                <w:p w14:paraId="6E6961D5">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888" w:type="dxa"/>
                  <w:vAlign w:val="center"/>
                </w:tcPr>
                <w:p w14:paraId="53D28AD0">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实测浓度（mg/m</w:t>
                  </w:r>
                  <w:r>
                    <w:rPr>
                      <w:rFonts w:hint="eastAsia" w:ascii="Times New Roman" w:hAnsi="Times New Roman" w:cs="Times New Roman"/>
                      <w:b w:val="0"/>
                      <w:bCs w:val="0"/>
                      <w:i w:val="0"/>
                      <w:iCs w:val="0"/>
                      <w:color w:val="auto"/>
                      <w:kern w:val="0"/>
                      <w:sz w:val="21"/>
                      <w:szCs w:val="21"/>
                      <w:highlight w:val="none"/>
                      <w:u w:val="none"/>
                      <w:vertAlign w:val="superscript"/>
                      <w:lang w:val="en-US" w:eastAsia="zh-CN" w:bidi="ar"/>
                    </w:rPr>
                    <w:t>3</w:t>
                  </w:r>
                  <w:r>
                    <w:rPr>
                      <w:rFonts w:hint="eastAsia" w:ascii="Times New Roman" w:hAnsi="Times New Roman" w:cs="Times New Roman"/>
                      <w:b w:val="0"/>
                      <w:bCs w:val="0"/>
                      <w:i w:val="0"/>
                      <w:iCs w:val="0"/>
                      <w:color w:val="auto"/>
                      <w:kern w:val="0"/>
                      <w:sz w:val="21"/>
                      <w:szCs w:val="21"/>
                      <w:highlight w:val="none"/>
                      <w:u w:val="none"/>
                      <w:lang w:val="en-US" w:eastAsia="zh-CN" w:bidi="ar"/>
                    </w:rPr>
                    <w:t>）</w:t>
                  </w:r>
                </w:p>
              </w:tc>
              <w:tc>
                <w:tcPr>
                  <w:tcW w:w="1420" w:type="dxa"/>
                  <w:vAlign w:val="center"/>
                </w:tcPr>
                <w:p w14:paraId="1C08F82B">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1.87</w:t>
                  </w:r>
                </w:p>
              </w:tc>
              <w:tc>
                <w:tcPr>
                  <w:tcW w:w="1420" w:type="dxa"/>
                  <w:vAlign w:val="center"/>
                </w:tcPr>
                <w:p w14:paraId="396A156B">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1.96</w:t>
                  </w:r>
                </w:p>
              </w:tc>
              <w:tc>
                <w:tcPr>
                  <w:tcW w:w="1420" w:type="dxa"/>
                  <w:vAlign w:val="center"/>
                </w:tcPr>
                <w:p w14:paraId="108AB81C">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1.91</w:t>
                  </w:r>
                </w:p>
              </w:tc>
            </w:tr>
            <w:tr w14:paraId="624A2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continue"/>
                  <w:vAlign w:val="center"/>
                </w:tcPr>
                <w:p w14:paraId="4EBACD80">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002" w:type="dxa"/>
                  <w:vMerge w:val="continue"/>
                  <w:vAlign w:val="center"/>
                </w:tcPr>
                <w:p w14:paraId="7AF64125">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888" w:type="dxa"/>
                  <w:vAlign w:val="center"/>
                </w:tcPr>
                <w:p w14:paraId="41FBF9AE">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排放速率（kg/h）</w:t>
                  </w:r>
                </w:p>
              </w:tc>
              <w:tc>
                <w:tcPr>
                  <w:tcW w:w="1420" w:type="dxa"/>
                  <w:vAlign w:val="center"/>
                </w:tcPr>
                <w:p w14:paraId="50E78389">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0.739</w:t>
                  </w:r>
                </w:p>
              </w:tc>
              <w:tc>
                <w:tcPr>
                  <w:tcW w:w="1420" w:type="dxa"/>
                  <w:vAlign w:val="center"/>
                </w:tcPr>
                <w:p w14:paraId="70052752">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0.67</w:t>
                  </w:r>
                  <w:r>
                    <w:rPr>
                      <w:rFonts w:hint="eastAsia" w:ascii="Times New Roman" w:hAnsi="Times New Roman" w:cs="Times New Roman"/>
                      <w:b w:val="0"/>
                      <w:bCs w:val="0"/>
                      <w:i w:val="0"/>
                      <w:iCs w:val="0"/>
                      <w:color w:val="auto"/>
                      <w:kern w:val="0"/>
                      <w:sz w:val="21"/>
                      <w:szCs w:val="21"/>
                      <w:highlight w:val="none"/>
                      <w:u w:val="none"/>
                      <w:lang w:val="en-US" w:eastAsia="zh-CN" w:bidi="ar"/>
                    </w:rPr>
                    <w:t>1</w:t>
                  </w:r>
                </w:p>
              </w:tc>
              <w:tc>
                <w:tcPr>
                  <w:tcW w:w="1420" w:type="dxa"/>
                  <w:vAlign w:val="center"/>
                </w:tcPr>
                <w:p w14:paraId="7AE58A6E">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0.823</w:t>
                  </w:r>
                </w:p>
              </w:tc>
            </w:tr>
            <w:tr w14:paraId="6FD04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continue"/>
                  <w:vAlign w:val="center"/>
                </w:tcPr>
                <w:p w14:paraId="1235D932">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002" w:type="dxa"/>
                  <w:vMerge w:val="restart"/>
                  <w:vAlign w:val="center"/>
                </w:tcPr>
                <w:p w14:paraId="0C6A2DC0">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汞</w:t>
                  </w:r>
                </w:p>
              </w:tc>
              <w:tc>
                <w:tcPr>
                  <w:tcW w:w="1888" w:type="dxa"/>
                  <w:vAlign w:val="center"/>
                </w:tcPr>
                <w:p w14:paraId="7CC10FC5">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标干流量（Nm</w:t>
                  </w:r>
                  <w:r>
                    <w:rPr>
                      <w:rFonts w:hint="eastAsia" w:ascii="Times New Roman" w:hAnsi="Times New Roman" w:cs="Times New Roman"/>
                      <w:b w:val="0"/>
                      <w:bCs w:val="0"/>
                      <w:i w:val="0"/>
                      <w:iCs w:val="0"/>
                      <w:color w:val="auto"/>
                      <w:kern w:val="0"/>
                      <w:sz w:val="21"/>
                      <w:szCs w:val="21"/>
                      <w:highlight w:val="none"/>
                      <w:u w:val="none"/>
                      <w:vertAlign w:val="superscript"/>
                      <w:lang w:val="en-US" w:eastAsia="zh-CN" w:bidi="ar"/>
                    </w:rPr>
                    <w:t>3</w:t>
                  </w:r>
                  <w:r>
                    <w:rPr>
                      <w:rFonts w:hint="eastAsia" w:ascii="Times New Roman" w:hAnsi="Times New Roman" w:cs="Times New Roman"/>
                      <w:b w:val="0"/>
                      <w:bCs w:val="0"/>
                      <w:i w:val="0"/>
                      <w:iCs w:val="0"/>
                      <w:color w:val="auto"/>
                      <w:kern w:val="0"/>
                      <w:sz w:val="21"/>
                      <w:szCs w:val="21"/>
                      <w:highlight w:val="none"/>
                      <w:u w:val="none"/>
                      <w:vertAlign w:val="baseline"/>
                      <w:lang w:val="en-US" w:eastAsia="zh-CN" w:bidi="ar"/>
                    </w:rPr>
                    <w:t>/h</w:t>
                  </w:r>
                  <w:r>
                    <w:rPr>
                      <w:rFonts w:hint="eastAsia" w:ascii="Times New Roman" w:hAnsi="Times New Roman" w:cs="Times New Roman"/>
                      <w:b w:val="0"/>
                      <w:bCs w:val="0"/>
                      <w:i w:val="0"/>
                      <w:iCs w:val="0"/>
                      <w:color w:val="auto"/>
                      <w:kern w:val="0"/>
                      <w:sz w:val="21"/>
                      <w:szCs w:val="21"/>
                      <w:highlight w:val="none"/>
                      <w:u w:val="none"/>
                      <w:lang w:val="en-US" w:eastAsia="zh-CN" w:bidi="ar"/>
                    </w:rPr>
                    <w:t>）</w:t>
                  </w:r>
                </w:p>
              </w:tc>
              <w:tc>
                <w:tcPr>
                  <w:tcW w:w="1420" w:type="dxa"/>
                  <w:vAlign w:val="center"/>
                </w:tcPr>
                <w:p w14:paraId="3E71EEA7">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450198</w:t>
                  </w:r>
                </w:p>
              </w:tc>
              <w:tc>
                <w:tcPr>
                  <w:tcW w:w="1420" w:type="dxa"/>
                  <w:vAlign w:val="center"/>
                </w:tcPr>
                <w:p w14:paraId="216226E2">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432926</w:t>
                  </w:r>
                </w:p>
              </w:tc>
              <w:tc>
                <w:tcPr>
                  <w:tcW w:w="1420" w:type="dxa"/>
                  <w:vAlign w:val="center"/>
                </w:tcPr>
                <w:p w14:paraId="45A5DDB5">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432765</w:t>
                  </w:r>
                </w:p>
              </w:tc>
            </w:tr>
            <w:tr w14:paraId="547B1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continue"/>
                  <w:vAlign w:val="center"/>
                </w:tcPr>
                <w:p w14:paraId="16D5ECFA">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002" w:type="dxa"/>
                  <w:vMerge w:val="continue"/>
                  <w:vAlign w:val="center"/>
                </w:tcPr>
                <w:p w14:paraId="2E0D2E45">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888" w:type="dxa"/>
                  <w:vAlign w:val="center"/>
                </w:tcPr>
                <w:p w14:paraId="11A5C650">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实测浓度（mg/m</w:t>
                  </w:r>
                  <w:r>
                    <w:rPr>
                      <w:rFonts w:hint="eastAsia" w:ascii="Times New Roman" w:hAnsi="Times New Roman" w:cs="Times New Roman"/>
                      <w:b w:val="0"/>
                      <w:bCs w:val="0"/>
                      <w:i w:val="0"/>
                      <w:iCs w:val="0"/>
                      <w:color w:val="auto"/>
                      <w:kern w:val="0"/>
                      <w:sz w:val="21"/>
                      <w:szCs w:val="21"/>
                      <w:highlight w:val="none"/>
                      <w:u w:val="none"/>
                      <w:vertAlign w:val="superscript"/>
                      <w:lang w:val="en-US" w:eastAsia="zh-CN" w:bidi="ar"/>
                    </w:rPr>
                    <w:t>3</w:t>
                  </w:r>
                  <w:r>
                    <w:rPr>
                      <w:rFonts w:hint="eastAsia" w:ascii="Times New Roman" w:hAnsi="Times New Roman" w:cs="Times New Roman"/>
                      <w:b w:val="0"/>
                      <w:bCs w:val="0"/>
                      <w:i w:val="0"/>
                      <w:iCs w:val="0"/>
                      <w:color w:val="auto"/>
                      <w:kern w:val="0"/>
                      <w:sz w:val="21"/>
                      <w:szCs w:val="21"/>
                      <w:highlight w:val="none"/>
                      <w:u w:val="none"/>
                      <w:lang w:val="en-US" w:eastAsia="zh-CN" w:bidi="ar"/>
                    </w:rPr>
                    <w:t>）</w:t>
                  </w:r>
                </w:p>
              </w:tc>
              <w:tc>
                <w:tcPr>
                  <w:tcW w:w="1420" w:type="dxa"/>
                  <w:vAlign w:val="center"/>
                </w:tcPr>
                <w:p w14:paraId="0B6D3E5E">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0.024</w:t>
                  </w:r>
                </w:p>
              </w:tc>
              <w:tc>
                <w:tcPr>
                  <w:tcW w:w="1420" w:type="dxa"/>
                  <w:vAlign w:val="center"/>
                </w:tcPr>
                <w:p w14:paraId="20C4BB70">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0.023</w:t>
                  </w:r>
                </w:p>
              </w:tc>
              <w:tc>
                <w:tcPr>
                  <w:tcW w:w="1420" w:type="dxa"/>
                  <w:vAlign w:val="center"/>
                </w:tcPr>
                <w:p w14:paraId="63AEACF9">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0.027</w:t>
                  </w:r>
                </w:p>
              </w:tc>
            </w:tr>
            <w:tr w14:paraId="7466F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continue"/>
                  <w:vAlign w:val="center"/>
                </w:tcPr>
                <w:p w14:paraId="5E0DB804">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002" w:type="dxa"/>
                  <w:vMerge w:val="continue"/>
                  <w:vAlign w:val="center"/>
                </w:tcPr>
                <w:p w14:paraId="5204522C">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888" w:type="dxa"/>
                  <w:vAlign w:val="center"/>
                </w:tcPr>
                <w:p w14:paraId="66295102">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排放速率（kg/h）</w:t>
                  </w:r>
                </w:p>
              </w:tc>
              <w:tc>
                <w:tcPr>
                  <w:tcW w:w="1420" w:type="dxa"/>
                  <w:vAlign w:val="center"/>
                </w:tcPr>
                <w:p w14:paraId="036F5E71">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1.08×10</w:t>
                  </w:r>
                  <w:r>
                    <w:rPr>
                      <w:rFonts w:hint="eastAsia" w:ascii="Times New Roman" w:hAnsi="Times New Roman" w:cs="Times New Roman"/>
                      <w:b w:val="0"/>
                      <w:bCs w:val="0"/>
                      <w:i w:val="0"/>
                      <w:iCs w:val="0"/>
                      <w:color w:val="auto"/>
                      <w:kern w:val="0"/>
                      <w:sz w:val="21"/>
                      <w:szCs w:val="21"/>
                      <w:highlight w:val="none"/>
                      <w:u w:val="none"/>
                      <w:vertAlign w:val="superscript"/>
                      <w:lang w:val="en-US" w:eastAsia="zh-CN" w:bidi="ar"/>
                    </w:rPr>
                    <w:t>-5</w:t>
                  </w:r>
                </w:p>
              </w:tc>
              <w:tc>
                <w:tcPr>
                  <w:tcW w:w="1420" w:type="dxa"/>
                  <w:vAlign w:val="center"/>
                </w:tcPr>
                <w:p w14:paraId="1B529AD4">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9.96×10</w:t>
                  </w:r>
                  <w:r>
                    <w:rPr>
                      <w:rFonts w:hint="eastAsia" w:ascii="Times New Roman" w:hAnsi="Times New Roman" w:cs="Times New Roman"/>
                      <w:b w:val="0"/>
                      <w:bCs w:val="0"/>
                      <w:i w:val="0"/>
                      <w:iCs w:val="0"/>
                      <w:color w:val="auto"/>
                      <w:kern w:val="0"/>
                      <w:sz w:val="21"/>
                      <w:szCs w:val="21"/>
                      <w:highlight w:val="none"/>
                      <w:u w:val="none"/>
                      <w:vertAlign w:val="superscript"/>
                      <w:lang w:val="en-US" w:eastAsia="zh-CN" w:bidi="ar"/>
                    </w:rPr>
                    <w:t>-6</w:t>
                  </w:r>
                </w:p>
              </w:tc>
              <w:tc>
                <w:tcPr>
                  <w:tcW w:w="1420" w:type="dxa"/>
                  <w:vAlign w:val="center"/>
                </w:tcPr>
                <w:p w14:paraId="0590FBC5">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1.17×10</w:t>
                  </w:r>
                  <w:r>
                    <w:rPr>
                      <w:rFonts w:hint="eastAsia" w:ascii="Times New Roman" w:hAnsi="Times New Roman" w:cs="Times New Roman"/>
                      <w:b w:val="0"/>
                      <w:bCs w:val="0"/>
                      <w:i w:val="0"/>
                      <w:iCs w:val="0"/>
                      <w:color w:val="auto"/>
                      <w:kern w:val="0"/>
                      <w:sz w:val="21"/>
                      <w:szCs w:val="21"/>
                      <w:highlight w:val="none"/>
                      <w:u w:val="none"/>
                      <w:vertAlign w:val="superscript"/>
                      <w:lang w:val="en-US" w:eastAsia="zh-CN" w:bidi="ar"/>
                    </w:rPr>
                    <w:t>-5</w:t>
                  </w:r>
                </w:p>
              </w:tc>
            </w:tr>
            <w:tr w14:paraId="5EFF8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continue"/>
                  <w:vAlign w:val="center"/>
                </w:tcPr>
                <w:p w14:paraId="53424D1C">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002" w:type="dxa"/>
                  <w:vMerge w:val="restart"/>
                  <w:vAlign w:val="center"/>
                </w:tcPr>
                <w:p w14:paraId="249DE120">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氨</w:t>
                  </w:r>
                </w:p>
              </w:tc>
              <w:tc>
                <w:tcPr>
                  <w:tcW w:w="1888" w:type="dxa"/>
                  <w:vAlign w:val="center"/>
                </w:tcPr>
                <w:p w14:paraId="2F3EBD0B">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实测浓度（mg/m</w:t>
                  </w:r>
                  <w:r>
                    <w:rPr>
                      <w:rFonts w:hint="eastAsia" w:ascii="Times New Roman" w:hAnsi="Times New Roman" w:cs="Times New Roman"/>
                      <w:b w:val="0"/>
                      <w:bCs w:val="0"/>
                      <w:i w:val="0"/>
                      <w:iCs w:val="0"/>
                      <w:color w:val="auto"/>
                      <w:kern w:val="0"/>
                      <w:sz w:val="21"/>
                      <w:szCs w:val="21"/>
                      <w:highlight w:val="none"/>
                      <w:u w:val="none"/>
                      <w:vertAlign w:val="superscript"/>
                      <w:lang w:val="en-US" w:eastAsia="zh-CN" w:bidi="ar"/>
                    </w:rPr>
                    <w:t>3</w:t>
                  </w:r>
                  <w:r>
                    <w:rPr>
                      <w:rFonts w:hint="eastAsia" w:ascii="Times New Roman" w:hAnsi="Times New Roman" w:cs="Times New Roman"/>
                      <w:b w:val="0"/>
                      <w:bCs w:val="0"/>
                      <w:i w:val="0"/>
                      <w:iCs w:val="0"/>
                      <w:color w:val="auto"/>
                      <w:kern w:val="0"/>
                      <w:sz w:val="21"/>
                      <w:szCs w:val="21"/>
                      <w:highlight w:val="none"/>
                      <w:u w:val="none"/>
                      <w:lang w:val="en-US" w:eastAsia="zh-CN" w:bidi="ar"/>
                    </w:rPr>
                    <w:t>）</w:t>
                  </w:r>
                </w:p>
              </w:tc>
              <w:tc>
                <w:tcPr>
                  <w:tcW w:w="1420" w:type="dxa"/>
                  <w:vAlign w:val="center"/>
                </w:tcPr>
                <w:p w14:paraId="6AB1B0CF">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5.43</w:t>
                  </w:r>
                </w:p>
              </w:tc>
              <w:tc>
                <w:tcPr>
                  <w:tcW w:w="1420" w:type="dxa"/>
                  <w:vAlign w:val="center"/>
                </w:tcPr>
                <w:p w14:paraId="7FF96D6A">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5.61</w:t>
                  </w:r>
                </w:p>
              </w:tc>
              <w:tc>
                <w:tcPr>
                  <w:tcW w:w="1420" w:type="dxa"/>
                  <w:vAlign w:val="center"/>
                </w:tcPr>
                <w:p w14:paraId="7C231A41">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5.04</w:t>
                  </w:r>
                </w:p>
              </w:tc>
            </w:tr>
            <w:tr w14:paraId="0E970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continue"/>
                  <w:vAlign w:val="center"/>
                </w:tcPr>
                <w:p w14:paraId="59160520">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002" w:type="dxa"/>
                  <w:vMerge w:val="continue"/>
                  <w:vAlign w:val="center"/>
                </w:tcPr>
                <w:p w14:paraId="409A0E3C">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1888" w:type="dxa"/>
                  <w:vAlign w:val="center"/>
                </w:tcPr>
                <w:p w14:paraId="0F0DC9CF">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排放速率（kg/h）</w:t>
                  </w:r>
                </w:p>
              </w:tc>
              <w:tc>
                <w:tcPr>
                  <w:tcW w:w="1420" w:type="dxa"/>
                  <w:vAlign w:val="center"/>
                </w:tcPr>
                <w:p w14:paraId="2BE21DD7">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2.44</w:t>
                  </w:r>
                </w:p>
              </w:tc>
              <w:tc>
                <w:tcPr>
                  <w:tcW w:w="1420" w:type="dxa"/>
                  <w:vAlign w:val="center"/>
                </w:tcPr>
                <w:p w14:paraId="6058F36D">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2.43</w:t>
                  </w:r>
                </w:p>
              </w:tc>
              <w:tc>
                <w:tcPr>
                  <w:tcW w:w="1420" w:type="dxa"/>
                  <w:vAlign w:val="center"/>
                </w:tcPr>
                <w:p w14:paraId="239FB433">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2.18</w:t>
                  </w:r>
                </w:p>
              </w:tc>
            </w:tr>
            <w:tr w14:paraId="058E0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Align w:val="center"/>
                </w:tcPr>
                <w:p w14:paraId="54928F9A">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检测类别</w:t>
                  </w:r>
                </w:p>
              </w:tc>
              <w:tc>
                <w:tcPr>
                  <w:tcW w:w="2890" w:type="dxa"/>
                  <w:gridSpan w:val="2"/>
                  <w:vAlign w:val="center"/>
                </w:tcPr>
                <w:p w14:paraId="1DF37472">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无组织废气</w:t>
                  </w:r>
                </w:p>
              </w:tc>
              <w:tc>
                <w:tcPr>
                  <w:tcW w:w="1420" w:type="dxa"/>
                  <w:vAlign w:val="center"/>
                </w:tcPr>
                <w:p w14:paraId="5C10D815">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采样日期</w:t>
                  </w:r>
                </w:p>
              </w:tc>
              <w:tc>
                <w:tcPr>
                  <w:tcW w:w="2840" w:type="dxa"/>
                  <w:gridSpan w:val="2"/>
                  <w:vAlign w:val="center"/>
                </w:tcPr>
                <w:p w14:paraId="561F2E38">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2024.06.25</w:t>
                  </w:r>
                </w:p>
              </w:tc>
            </w:tr>
            <w:tr w14:paraId="34D71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Align w:val="center"/>
                </w:tcPr>
                <w:p w14:paraId="24191017">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检测项目</w:t>
                  </w:r>
                </w:p>
              </w:tc>
              <w:tc>
                <w:tcPr>
                  <w:tcW w:w="2890" w:type="dxa"/>
                  <w:gridSpan w:val="2"/>
                  <w:vAlign w:val="center"/>
                </w:tcPr>
                <w:p w14:paraId="7DD12D40">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采样点位</w:t>
                  </w:r>
                </w:p>
              </w:tc>
              <w:tc>
                <w:tcPr>
                  <w:tcW w:w="4260" w:type="dxa"/>
                  <w:gridSpan w:val="3"/>
                  <w:vAlign w:val="center"/>
                </w:tcPr>
                <w:p w14:paraId="3F304F8A">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检测结果</w:t>
                  </w:r>
                </w:p>
              </w:tc>
            </w:tr>
            <w:tr w14:paraId="3910A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2050" w:type="dxa"/>
                  <w:vMerge w:val="restart"/>
                  <w:vAlign w:val="center"/>
                </w:tcPr>
                <w:p w14:paraId="2AD2139A">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氨（mg/m</w:t>
                  </w:r>
                  <w:r>
                    <w:rPr>
                      <w:rFonts w:hint="eastAsia" w:ascii="Times New Roman" w:hAnsi="Times New Roman" w:cs="Times New Roman"/>
                      <w:b w:val="0"/>
                      <w:bCs w:val="0"/>
                      <w:i w:val="0"/>
                      <w:iCs w:val="0"/>
                      <w:color w:val="auto"/>
                      <w:kern w:val="0"/>
                      <w:sz w:val="21"/>
                      <w:szCs w:val="21"/>
                      <w:highlight w:val="none"/>
                      <w:u w:val="none"/>
                      <w:vertAlign w:val="superscript"/>
                      <w:lang w:val="en-US" w:eastAsia="zh-CN" w:bidi="ar"/>
                    </w:rPr>
                    <w:t>3</w:t>
                  </w:r>
                  <w:r>
                    <w:rPr>
                      <w:rFonts w:hint="eastAsia" w:ascii="Times New Roman" w:hAnsi="Times New Roman" w:cs="Times New Roman"/>
                      <w:b w:val="0"/>
                      <w:bCs w:val="0"/>
                      <w:i w:val="0"/>
                      <w:iCs w:val="0"/>
                      <w:color w:val="auto"/>
                      <w:kern w:val="0"/>
                      <w:sz w:val="21"/>
                      <w:szCs w:val="21"/>
                      <w:highlight w:val="none"/>
                      <w:u w:val="none"/>
                      <w:lang w:val="en-US" w:eastAsia="zh-CN" w:bidi="ar"/>
                    </w:rPr>
                    <w:t>）</w:t>
                  </w:r>
                </w:p>
              </w:tc>
              <w:tc>
                <w:tcPr>
                  <w:tcW w:w="2890" w:type="dxa"/>
                  <w:gridSpan w:val="2"/>
                  <w:vAlign w:val="center"/>
                </w:tcPr>
                <w:p w14:paraId="4E353570">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厂界上风向G1</w:t>
                  </w:r>
                </w:p>
              </w:tc>
              <w:tc>
                <w:tcPr>
                  <w:tcW w:w="4260" w:type="dxa"/>
                  <w:gridSpan w:val="3"/>
                  <w:vAlign w:val="center"/>
                </w:tcPr>
                <w:p w14:paraId="5BC32A38">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0.05</w:t>
                  </w:r>
                </w:p>
              </w:tc>
            </w:tr>
            <w:tr w14:paraId="0E71C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continue"/>
                  <w:vAlign w:val="center"/>
                </w:tcPr>
                <w:p w14:paraId="62661800">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2890" w:type="dxa"/>
                  <w:gridSpan w:val="2"/>
                  <w:vAlign w:val="center"/>
                </w:tcPr>
                <w:p w14:paraId="517484E7">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厂界下风向G2</w:t>
                  </w:r>
                </w:p>
              </w:tc>
              <w:tc>
                <w:tcPr>
                  <w:tcW w:w="4260" w:type="dxa"/>
                  <w:gridSpan w:val="3"/>
                  <w:vAlign w:val="center"/>
                </w:tcPr>
                <w:p w14:paraId="742256D5">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0.08</w:t>
                  </w:r>
                </w:p>
              </w:tc>
            </w:tr>
            <w:tr w14:paraId="14938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continue"/>
                  <w:vAlign w:val="center"/>
                </w:tcPr>
                <w:p w14:paraId="65AC01F9">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2890" w:type="dxa"/>
                  <w:gridSpan w:val="2"/>
                  <w:vAlign w:val="center"/>
                </w:tcPr>
                <w:p w14:paraId="66ED9B88">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厂界下风向G3</w:t>
                  </w:r>
                </w:p>
              </w:tc>
              <w:tc>
                <w:tcPr>
                  <w:tcW w:w="4260" w:type="dxa"/>
                  <w:gridSpan w:val="3"/>
                  <w:vAlign w:val="center"/>
                </w:tcPr>
                <w:p w14:paraId="76F7DF1C">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0.08</w:t>
                  </w:r>
                </w:p>
              </w:tc>
            </w:tr>
            <w:tr w14:paraId="30AAD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continue"/>
                  <w:vAlign w:val="center"/>
                </w:tcPr>
                <w:p w14:paraId="4CF3B4AD">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2890" w:type="dxa"/>
                  <w:gridSpan w:val="2"/>
                  <w:vAlign w:val="center"/>
                </w:tcPr>
                <w:p w14:paraId="3EB0541E">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厂界下风向G4</w:t>
                  </w:r>
                </w:p>
              </w:tc>
              <w:tc>
                <w:tcPr>
                  <w:tcW w:w="4260" w:type="dxa"/>
                  <w:gridSpan w:val="3"/>
                  <w:vAlign w:val="center"/>
                </w:tcPr>
                <w:p w14:paraId="2EC8DE35">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0.07</w:t>
                  </w:r>
                </w:p>
              </w:tc>
            </w:tr>
            <w:tr w14:paraId="0411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restart"/>
                  <w:vAlign w:val="center"/>
                </w:tcPr>
                <w:p w14:paraId="59827D9D">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总悬浮颗粒物（</w:t>
                  </w:r>
                  <w:r>
                    <w:rPr>
                      <w:rFonts w:hint="default" w:ascii="Times New Roman" w:hAnsi="Times New Roman" w:cs="Times New Roman"/>
                      <w:b w:val="0"/>
                      <w:bCs w:val="0"/>
                      <w:i w:val="0"/>
                      <w:iCs w:val="0"/>
                      <w:color w:val="auto"/>
                      <w:kern w:val="0"/>
                      <w:sz w:val="21"/>
                      <w:szCs w:val="21"/>
                      <w:highlight w:val="none"/>
                      <w:u w:val="none"/>
                      <w:lang w:val="en-US" w:eastAsia="zh-CN" w:bidi="ar"/>
                    </w:rPr>
                    <w:t>μg</w:t>
                  </w:r>
                  <w:r>
                    <w:rPr>
                      <w:rFonts w:hint="eastAsia" w:ascii="Times New Roman" w:hAnsi="Times New Roman" w:cs="Times New Roman"/>
                      <w:b w:val="0"/>
                      <w:bCs w:val="0"/>
                      <w:i w:val="0"/>
                      <w:iCs w:val="0"/>
                      <w:color w:val="auto"/>
                      <w:kern w:val="0"/>
                      <w:sz w:val="21"/>
                      <w:szCs w:val="21"/>
                      <w:highlight w:val="none"/>
                      <w:u w:val="none"/>
                      <w:lang w:val="en-US" w:eastAsia="zh-CN" w:bidi="ar"/>
                    </w:rPr>
                    <w:t>/m</w:t>
                  </w:r>
                  <w:r>
                    <w:rPr>
                      <w:rFonts w:hint="eastAsia" w:ascii="Times New Roman" w:hAnsi="Times New Roman" w:cs="Times New Roman"/>
                      <w:b w:val="0"/>
                      <w:bCs w:val="0"/>
                      <w:i w:val="0"/>
                      <w:iCs w:val="0"/>
                      <w:color w:val="auto"/>
                      <w:kern w:val="0"/>
                      <w:sz w:val="21"/>
                      <w:szCs w:val="21"/>
                      <w:highlight w:val="none"/>
                      <w:u w:val="none"/>
                      <w:vertAlign w:val="superscript"/>
                      <w:lang w:val="en-US" w:eastAsia="zh-CN" w:bidi="ar"/>
                    </w:rPr>
                    <w:t>3</w:t>
                  </w:r>
                  <w:r>
                    <w:rPr>
                      <w:rFonts w:hint="eastAsia" w:ascii="Times New Roman" w:hAnsi="Times New Roman" w:cs="Times New Roman"/>
                      <w:b w:val="0"/>
                      <w:bCs w:val="0"/>
                      <w:i w:val="0"/>
                      <w:iCs w:val="0"/>
                      <w:color w:val="auto"/>
                      <w:kern w:val="0"/>
                      <w:sz w:val="21"/>
                      <w:szCs w:val="21"/>
                      <w:highlight w:val="none"/>
                      <w:u w:val="none"/>
                      <w:lang w:val="en-US" w:eastAsia="zh-CN" w:bidi="ar"/>
                    </w:rPr>
                    <w:t>）</w:t>
                  </w:r>
                </w:p>
              </w:tc>
              <w:tc>
                <w:tcPr>
                  <w:tcW w:w="2890" w:type="dxa"/>
                  <w:gridSpan w:val="2"/>
                  <w:vAlign w:val="center"/>
                </w:tcPr>
                <w:p w14:paraId="69150C3D">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厂界上风向G1</w:t>
                  </w:r>
                </w:p>
              </w:tc>
              <w:tc>
                <w:tcPr>
                  <w:tcW w:w="4260" w:type="dxa"/>
                  <w:gridSpan w:val="3"/>
                  <w:vAlign w:val="center"/>
                </w:tcPr>
                <w:p w14:paraId="37F02340">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204</w:t>
                  </w:r>
                </w:p>
              </w:tc>
            </w:tr>
            <w:tr w14:paraId="3193A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continue"/>
                  <w:vAlign w:val="center"/>
                </w:tcPr>
                <w:p w14:paraId="16D621ED">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2890" w:type="dxa"/>
                  <w:gridSpan w:val="2"/>
                  <w:vAlign w:val="center"/>
                </w:tcPr>
                <w:p w14:paraId="7C21B675">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厂界下风向G2</w:t>
                  </w:r>
                </w:p>
              </w:tc>
              <w:tc>
                <w:tcPr>
                  <w:tcW w:w="4260" w:type="dxa"/>
                  <w:gridSpan w:val="3"/>
                  <w:vAlign w:val="center"/>
                </w:tcPr>
                <w:p w14:paraId="31798CB4">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288</w:t>
                  </w:r>
                </w:p>
              </w:tc>
            </w:tr>
            <w:tr w14:paraId="3643D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continue"/>
                  <w:vAlign w:val="center"/>
                </w:tcPr>
                <w:p w14:paraId="6DD43F30">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2890" w:type="dxa"/>
                  <w:gridSpan w:val="2"/>
                  <w:vAlign w:val="center"/>
                </w:tcPr>
                <w:p w14:paraId="486C4ED1">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厂界下风向G3</w:t>
                  </w:r>
                </w:p>
              </w:tc>
              <w:tc>
                <w:tcPr>
                  <w:tcW w:w="4260" w:type="dxa"/>
                  <w:gridSpan w:val="3"/>
                  <w:vAlign w:val="center"/>
                </w:tcPr>
                <w:p w14:paraId="49894763">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289</w:t>
                  </w:r>
                </w:p>
              </w:tc>
            </w:tr>
            <w:tr w14:paraId="2661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50" w:type="dxa"/>
                  <w:vMerge w:val="continue"/>
                  <w:vAlign w:val="center"/>
                </w:tcPr>
                <w:p w14:paraId="371D5E4A">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p>
              </w:tc>
              <w:tc>
                <w:tcPr>
                  <w:tcW w:w="2890" w:type="dxa"/>
                  <w:gridSpan w:val="2"/>
                  <w:vAlign w:val="center"/>
                </w:tcPr>
                <w:p w14:paraId="66EE447F">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厂界下风向G4</w:t>
                  </w:r>
                </w:p>
              </w:tc>
              <w:tc>
                <w:tcPr>
                  <w:tcW w:w="4260" w:type="dxa"/>
                  <w:gridSpan w:val="3"/>
                  <w:vAlign w:val="center"/>
                </w:tcPr>
                <w:p w14:paraId="00056855">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246</w:t>
                  </w:r>
                </w:p>
              </w:tc>
            </w:tr>
            <w:tr w14:paraId="5B3EB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00" w:type="dxa"/>
                  <w:gridSpan w:val="6"/>
                  <w:vAlign w:val="center"/>
                </w:tcPr>
                <w:p w14:paraId="6FAE2271">
                  <w:pPr>
                    <w:keepNext w:val="0"/>
                    <w:keepLines w:val="0"/>
                    <w:widowControl/>
                    <w:suppressLineNumbers w:val="0"/>
                    <w:jc w:val="left"/>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注：根据2023年在线监测数据，颗粒物排放量为31.61t/a，二氧化硫</w:t>
                  </w:r>
                  <w:r>
                    <w:rPr>
                      <w:rFonts w:hint="eastAsia" w:ascii="Times New Roman" w:hAnsi="Times New Roman" w:cs="Times New Roman"/>
                      <w:b w:val="0"/>
                      <w:bCs w:val="0"/>
                      <w:i w:val="0"/>
                      <w:iCs w:val="0"/>
                      <w:color w:val="auto"/>
                      <w:kern w:val="0"/>
                      <w:sz w:val="21"/>
                      <w:szCs w:val="21"/>
                      <w:highlight w:val="none"/>
                      <w:u w:val="none"/>
                      <w:vertAlign w:val="baseline"/>
                      <w:lang w:val="en-US" w:eastAsia="zh-CN" w:bidi="ar"/>
                    </w:rPr>
                    <w:t>排放量为57.20</w:t>
                  </w:r>
                  <w:r>
                    <w:rPr>
                      <w:rFonts w:hint="eastAsia" w:ascii="Times New Roman" w:hAnsi="Times New Roman" w:cs="Times New Roman"/>
                      <w:b w:val="0"/>
                      <w:bCs w:val="0"/>
                      <w:i w:val="0"/>
                      <w:iCs w:val="0"/>
                      <w:color w:val="auto"/>
                      <w:kern w:val="0"/>
                      <w:sz w:val="21"/>
                      <w:szCs w:val="21"/>
                      <w:highlight w:val="none"/>
                      <w:u w:val="none"/>
                      <w:lang w:val="en-US" w:eastAsia="zh-CN" w:bidi="ar"/>
                    </w:rPr>
                    <w:t>t/a，氮氧化物415.72t/a；根据企业排污许可证，许可排放量为颗粒物</w:t>
                  </w:r>
                  <w:r>
                    <w:rPr>
                      <w:rFonts w:hint="eastAsia" w:cs="Times New Roman"/>
                      <w:b w:val="0"/>
                      <w:bCs w:val="0"/>
                      <w:i w:val="0"/>
                      <w:iCs w:val="0"/>
                      <w:color w:val="auto"/>
                      <w:kern w:val="0"/>
                      <w:sz w:val="21"/>
                      <w:szCs w:val="21"/>
                      <w:highlight w:val="none"/>
                      <w:u w:val="none"/>
                      <w:lang w:val="en-US" w:eastAsia="zh-CN" w:bidi="ar"/>
                    </w:rPr>
                    <w:t>171.9</w:t>
                  </w:r>
                  <w:r>
                    <w:rPr>
                      <w:rFonts w:hint="eastAsia" w:ascii="Times New Roman" w:hAnsi="Times New Roman" w:cs="Times New Roman"/>
                      <w:b w:val="0"/>
                      <w:bCs w:val="0"/>
                      <w:i w:val="0"/>
                      <w:iCs w:val="0"/>
                      <w:color w:val="auto"/>
                      <w:kern w:val="0"/>
                      <w:sz w:val="21"/>
                      <w:szCs w:val="21"/>
                      <w:highlight w:val="none"/>
                      <w:u w:val="none"/>
                      <w:lang w:val="en-US" w:eastAsia="zh-CN" w:bidi="ar"/>
                    </w:rPr>
                    <w:t>t/a，二氧化硫</w:t>
                  </w:r>
                  <w:r>
                    <w:rPr>
                      <w:rFonts w:hint="eastAsia" w:cs="Times New Roman"/>
                      <w:b w:val="0"/>
                      <w:bCs w:val="0"/>
                      <w:i w:val="0"/>
                      <w:iCs w:val="0"/>
                      <w:color w:val="auto"/>
                      <w:kern w:val="0"/>
                      <w:sz w:val="21"/>
                      <w:szCs w:val="21"/>
                      <w:highlight w:val="none"/>
                      <w:u w:val="none"/>
                      <w:lang w:val="en-US" w:eastAsia="zh-CN" w:bidi="ar"/>
                    </w:rPr>
                    <w:t>162.11</w:t>
                  </w:r>
                  <w:r>
                    <w:rPr>
                      <w:rFonts w:hint="eastAsia" w:ascii="Times New Roman" w:hAnsi="Times New Roman" w:cs="Times New Roman"/>
                      <w:b w:val="0"/>
                      <w:bCs w:val="0"/>
                      <w:i w:val="0"/>
                      <w:iCs w:val="0"/>
                      <w:color w:val="auto"/>
                      <w:kern w:val="0"/>
                      <w:sz w:val="21"/>
                      <w:szCs w:val="21"/>
                      <w:highlight w:val="none"/>
                      <w:u w:val="none"/>
                      <w:lang w:val="en-US" w:eastAsia="zh-CN" w:bidi="ar"/>
                    </w:rPr>
                    <w:t>t/a，氮氧化物756.25t/a；现有厂区废气污染物排放情况未超过企业现有许可排放量。</w:t>
                  </w:r>
                </w:p>
              </w:tc>
            </w:tr>
          </w:tbl>
          <w:p w14:paraId="30848B29">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（3）噪声</w:t>
            </w:r>
          </w:p>
          <w:p w14:paraId="6E55D7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s="宋体"/>
                <w:color w:val="auto"/>
                <w:sz w:val="24"/>
                <w:szCs w:val="24"/>
                <w:lang w:bidi="ar"/>
              </w:rPr>
              <w:t>企业</w:t>
            </w:r>
            <w:r>
              <w:rPr>
                <w:rFonts w:hint="eastAsia" w:cs="宋体"/>
                <w:color w:val="auto"/>
                <w:sz w:val="24"/>
                <w:szCs w:val="24"/>
                <w:lang w:val="en-US" w:eastAsia="zh-CN" w:bidi="ar"/>
              </w:rPr>
              <w:t>现有</w:t>
            </w:r>
            <w:r>
              <w:rPr>
                <w:rFonts w:hint="eastAsia" w:cs="宋体"/>
                <w:color w:val="auto"/>
                <w:sz w:val="24"/>
                <w:szCs w:val="24"/>
                <w:lang w:bidi="ar"/>
              </w:rPr>
              <w:t>噪声源</w:t>
            </w:r>
            <w:r>
              <w:rPr>
                <w:rFonts w:hint="eastAsia" w:cs="宋体"/>
                <w:color w:val="auto"/>
                <w:sz w:val="24"/>
                <w:szCs w:val="24"/>
                <w:lang w:val="en-US" w:eastAsia="zh-CN" w:bidi="ar"/>
              </w:rPr>
              <w:t>主要</w:t>
            </w:r>
            <w:r>
              <w:rPr>
                <w:rFonts w:hint="eastAsia" w:cs="宋体"/>
                <w:color w:val="auto"/>
                <w:sz w:val="24"/>
                <w:szCs w:val="24"/>
                <w:lang w:bidi="ar"/>
              </w:rPr>
              <w:t>为</w:t>
            </w:r>
            <w:r>
              <w:rPr>
                <w:rFonts w:hint="eastAsia" w:cs="宋体"/>
                <w:color w:val="auto"/>
                <w:sz w:val="24"/>
                <w:szCs w:val="24"/>
                <w:lang w:val="en-US" w:eastAsia="zh-CN" w:bidi="ar"/>
              </w:rPr>
              <w:t>破碎机、磨机、空压机、风机、汽轮发电机、水泵等</w:t>
            </w:r>
            <w:r>
              <w:rPr>
                <w:rFonts w:hint="eastAsia" w:cs="宋体"/>
                <w:color w:val="auto"/>
                <w:sz w:val="24"/>
                <w:szCs w:val="24"/>
                <w:lang w:bidi="ar"/>
              </w:rPr>
              <w:t>生产设备运转所产生的</w:t>
            </w:r>
            <w:r>
              <w:rPr>
                <w:rFonts w:hint="eastAsia" w:cs="宋体"/>
                <w:color w:val="auto"/>
                <w:sz w:val="24"/>
                <w:szCs w:val="24"/>
                <w:lang w:val="en-US" w:eastAsia="zh-CN" w:bidi="ar"/>
              </w:rPr>
              <w:t>噪声</w:t>
            </w:r>
            <w:r>
              <w:rPr>
                <w:rFonts w:hint="eastAsia" w:cs="宋体"/>
                <w:color w:val="auto"/>
                <w:sz w:val="24"/>
                <w:szCs w:val="24"/>
                <w:lang w:bidi="ar"/>
              </w:rPr>
              <w:t>。企业在设备选型时采取了选取低噪声设备的原则，同时采取必要的消声、吸音及减振、隔振等措施。</w:t>
            </w:r>
            <w:r>
              <w:rPr>
                <w:rFonts w:hint="eastAsia" w:cs="宋体"/>
                <w:color w:val="auto"/>
                <w:sz w:val="24"/>
                <w:szCs w:val="22"/>
                <w:lang w:bidi="ar"/>
              </w:rPr>
              <w:t>根据</w:t>
            </w:r>
            <w:r>
              <w:rPr>
                <w:rFonts w:hint="eastAsia" w:ascii="Times New Roman" w:hAnsi="Times New Roman" w:eastAsia="宋体" w:cs="Times New Roman"/>
                <w:color w:val="auto"/>
                <w:sz w:val="24"/>
                <w:szCs w:val="24"/>
                <w:lang w:val="en-US" w:eastAsia="zh-CN"/>
              </w:rPr>
              <w:t>2024年3月6日厂区</w:t>
            </w:r>
            <w:r>
              <w:rPr>
                <w:rFonts w:hint="default" w:ascii="Times New Roman" w:hAnsi="Times New Roman" w:eastAsia="宋体" w:cs="Times New Roman"/>
                <w:color w:val="auto"/>
                <w:sz w:val="24"/>
                <w:szCs w:val="24"/>
                <w:lang w:val="en-US" w:eastAsia="zh-CN"/>
              </w:rPr>
              <w:t>例行</w:t>
            </w:r>
            <w:r>
              <w:rPr>
                <w:rFonts w:hint="eastAsia" w:cs="Times New Roman"/>
                <w:color w:val="auto"/>
                <w:sz w:val="24"/>
                <w:szCs w:val="24"/>
                <w:lang w:val="en-US" w:eastAsia="zh-CN"/>
              </w:rPr>
              <w:t>检测</w:t>
            </w:r>
            <w:r>
              <w:rPr>
                <w:rFonts w:hint="default" w:ascii="Times New Roman" w:hAnsi="Times New Roman" w:eastAsia="宋体" w:cs="Times New Roman"/>
                <w:color w:val="auto"/>
                <w:sz w:val="24"/>
                <w:szCs w:val="24"/>
                <w:lang w:val="en-US" w:eastAsia="zh-CN"/>
              </w:rPr>
              <w:t>结果</w:t>
            </w:r>
            <w:r>
              <w:rPr>
                <w:rFonts w:hint="eastAsia" w:ascii="Times New Roman" w:hAnsi="Times New Roman" w:eastAsia="宋体" w:cs="Times New Roman"/>
                <w:color w:val="auto"/>
                <w:sz w:val="24"/>
                <w:szCs w:val="24"/>
                <w:lang w:val="en-US" w:eastAsia="zh-CN"/>
              </w:rPr>
              <w:t>（检测报告见附件）</w:t>
            </w:r>
            <w:r>
              <w:rPr>
                <w:rFonts w:hint="eastAsia" w:cs="宋体"/>
                <w:color w:val="auto"/>
                <w:sz w:val="24"/>
                <w:szCs w:val="22"/>
                <w:lang w:bidi="ar"/>
              </w:rPr>
              <w:t>，</w:t>
            </w:r>
            <w:r>
              <w:rPr>
                <w:rFonts w:hint="eastAsia" w:cs="宋体"/>
                <w:color w:val="auto"/>
                <w:sz w:val="24"/>
                <w:szCs w:val="24"/>
                <w:lang w:val="en-US" w:eastAsia="zh-CN" w:bidi="ar"/>
              </w:rPr>
              <w:t>项目区东</w:t>
            </w:r>
            <w:r>
              <w:rPr>
                <w:rFonts w:hint="eastAsia" w:cs="宋体"/>
                <w:color w:val="auto"/>
                <w:sz w:val="24"/>
                <w:szCs w:val="24"/>
                <w:lang w:bidi="ar"/>
              </w:rPr>
              <w:t>厂界、南厂界、西厂界、北厂界噪声排放满足《工业企业厂界环境噪声排放标准》（</w:t>
            </w:r>
            <w:r>
              <w:rPr>
                <w:color w:val="auto"/>
                <w:sz w:val="24"/>
                <w:szCs w:val="24"/>
                <w:lang w:bidi="ar"/>
              </w:rPr>
              <w:t>GB</w:t>
            </w:r>
            <w:r>
              <w:rPr>
                <w:rFonts w:hint="eastAsia"/>
                <w:color w:val="auto"/>
                <w:sz w:val="24"/>
                <w:szCs w:val="24"/>
                <w:lang w:val="en-US" w:eastAsia="zh-CN" w:bidi="ar"/>
              </w:rPr>
              <w:t xml:space="preserve"> </w:t>
            </w:r>
            <w:r>
              <w:rPr>
                <w:color w:val="auto"/>
                <w:sz w:val="24"/>
                <w:szCs w:val="24"/>
                <w:lang w:bidi="ar"/>
              </w:rPr>
              <w:t>12348-2008</w:t>
            </w:r>
            <w:r>
              <w:rPr>
                <w:rFonts w:hint="eastAsia" w:cs="宋体"/>
                <w:color w:val="auto"/>
                <w:sz w:val="24"/>
                <w:szCs w:val="24"/>
                <w:lang w:bidi="ar"/>
              </w:rPr>
              <w:t>）</w:t>
            </w:r>
            <w:r>
              <w:rPr>
                <w:rFonts w:hint="eastAsia"/>
                <w:color w:val="auto"/>
                <w:sz w:val="24"/>
                <w:szCs w:val="24"/>
                <w:lang w:val="en-US" w:eastAsia="zh-CN" w:bidi="ar"/>
              </w:rPr>
              <w:t>3</w:t>
            </w:r>
            <w:r>
              <w:rPr>
                <w:rFonts w:hint="eastAsia" w:cs="宋体"/>
                <w:color w:val="auto"/>
                <w:sz w:val="24"/>
                <w:szCs w:val="24"/>
                <w:lang w:bidi="ar"/>
              </w:rPr>
              <w:t>类标准要求。噪声现状监测结果详见</w:t>
            </w:r>
            <w:r>
              <w:rPr>
                <w:rFonts w:hint="eastAsia" w:cs="宋体"/>
                <w:color w:val="auto"/>
                <w:sz w:val="24"/>
                <w:szCs w:val="24"/>
                <w:lang w:eastAsia="zh-CN" w:bidi="ar"/>
              </w:rPr>
              <w:t>下表</w:t>
            </w:r>
            <w:r>
              <w:rPr>
                <w:rFonts w:hint="eastAsia" w:cs="宋体"/>
                <w:color w:val="auto"/>
                <w:sz w:val="24"/>
                <w:szCs w:val="24"/>
                <w:lang w:bidi="ar"/>
              </w:rPr>
              <w:t>。</w:t>
            </w:r>
          </w:p>
          <w:p w14:paraId="7B9D0CFC">
            <w:pPr>
              <w:keepNext/>
              <w:keepLines/>
              <w:tabs>
                <w:tab w:val="left" w:pos="0"/>
                <w:tab w:val="left" w:pos="180"/>
                <w:tab w:val="left" w:pos="1418"/>
                <w:tab w:val="left" w:pos="2976"/>
              </w:tabs>
              <w:jc w:val="center"/>
              <w:outlineLvl w:val="7"/>
              <w:rPr>
                <w:rFonts w:hint="default" w:ascii="Times New Roman" w:hAnsi="Times New Roman" w:eastAsia="宋体" w:cs="Times New Roman"/>
                <w:b/>
                <w:color w:val="auto"/>
                <w:lang w:val="en-US" w:eastAsia="zh-CN"/>
              </w:rPr>
            </w:pPr>
            <w:r>
              <w:rPr>
                <w:rFonts w:hint="eastAsia" w:ascii="Times New Roman" w:hAnsi="Times New Roman" w:eastAsia="宋体" w:cs="Times New Roman"/>
                <w:b/>
                <w:color w:val="auto"/>
                <w:lang w:val="en-US" w:eastAsia="zh-CN"/>
              </w:rPr>
              <w:t>表2-</w:t>
            </w:r>
            <w:r>
              <w:rPr>
                <w:rFonts w:hint="eastAsia" w:cs="Times New Roman"/>
                <w:b/>
                <w:color w:val="auto"/>
                <w:lang w:val="en-US" w:eastAsia="zh-CN"/>
              </w:rPr>
              <w:t xml:space="preserve">43 </w:t>
            </w:r>
            <w:r>
              <w:rPr>
                <w:rFonts w:hint="eastAsia" w:ascii="Times New Roman" w:hAnsi="Times New Roman" w:eastAsia="宋体" w:cs="Times New Roman"/>
                <w:b/>
                <w:color w:val="auto"/>
                <w:lang w:val="en-US" w:eastAsia="zh-CN"/>
              </w:rPr>
              <w:t>噪声现状监测结果</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6"/>
              <w:gridCol w:w="1796"/>
              <w:gridCol w:w="2802"/>
              <w:gridCol w:w="2802"/>
            </w:tblGrid>
            <w:tr w14:paraId="63F79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6" w:type="pct"/>
                  <w:tcBorders>
                    <w:top w:val="single" w:color="auto" w:sz="4" w:space="0"/>
                    <w:left w:val="single" w:color="auto" w:sz="4" w:space="0"/>
                    <w:bottom w:val="single" w:color="auto" w:sz="4" w:space="0"/>
                    <w:right w:val="single" w:color="auto" w:sz="4" w:space="0"/>
                  </w:tcBorders>
                  <w:noWrap w:val="0"/>
                  <w:vAlign w:val="center"/>
                </w:tcPr>
                <w:p w14:paraId="38DF2A46">
                  <w:pPr>
                    <w:jc w:val="center"/>
                    <w:rPr>
                      <w:color w:val="auto"/>
                      <w:szCs w:val="21"/>
                    </w:rPr>
                  </w:pPr>
                  <w:r>
                    <w:rPr>
                      <w:rFonts w:hint="eastAsia" w:cs="宋体"/>
                      <w:color w:val="auto"/>
                      <w:szCs w:val="21"/>
                      <w:lang w:bidi="ar"/>
                    </w:rPr>
                    <w:t>检测日期</w:t>
                  </w:r>
                </w:p>
              </w:tc>
              <w:tc>
                <w:tcPr>
                  <w:tcW w:w="976" w:type="pct"/>
                  <w:tcBorders>
                    <w:top w:val="single" w:color="auto" w:sz="4" w:space="0"/>
                    <w:left w:val="single" w:color="auto" w:sz="4" w:space="0"/>
                    <w:bottom w:val="single" w:color="auto" w:sz="4" w:space="0"/>
                    <w:right w:val="single" w:color="auto" w:sz="4" w:space="0"/>
                  </w:tcBorders>
                  <w:noWrap w:val="0"/>
                  <w:vAlign w:val="center"/>
                </w:tcPr>
                <w:p w14:paraId="08CCE7D5">
                  <w:pPr>
                    <w:jc w:val="center"/>
                    <w:rPr>
                      <w:color w:val="auto"/>
                      <w:szCs w:val="21"/>
                    </w:rPr>
                  </w:pPr>
                  <w:r>
                    <w:rPr>
                      <w:rFonts w:hint="eastAsia" w:cs="宋体"/>
                      <w:color w:val="auto"/>
                      <w:szCs w:val="21"/>
                      <w:lang w:bidi="ar"/>
                    </w:rPr>
                    <w:t>测点位置</w:t>
                  </w:r>
                </w:p>
              </w:tc>
              <w:tc>
                <w:tcPr>
                  <w:tcW w:w="1523" w:type="pct"/>
                  <w:tcBorders>
                    <w:top w:val="single" w:color="auto" w:sz="4" w:space="0"/>
                    <w:left w:val="single" w:color="auto" w:sz="4" w:space="0"/>
                    <w:bottom w:val="single" w:color="auto" w:sz="4" w:space="0"/>
                    <w:right w:val="single" w:color="auto" w:sz="4" w:space="0"/>
                  </w:tcBorders>
                  <w:noWrap w:val="0"/>
                  <w:vAlign w:val="center"/>
                </w:tcPr>
                <w:p w14:paraId="4FF503FE">
                  <w:pPr>
                    <w:jc w:val="center"/>
                    <w:rPr>
                      <w:rFonts w:hint="eastAsia" w:eastAsia="宋体"/>
                      <w:color w:val="auto"/>
                      <w:szCs w:val="21"/>
                      <w:lang w:eastAsia="zh-CN"/>
                    </w:rPr>
                  </w:pPr>
                  <w:r>
                    <w:rPr>
                      <w:rFonts w:hint="eastAsia" w:cs="宋体"/>
                      <w:color w:val="auto"/>
                      <w:szCs w:val="21"/>
                      <w:lang w:bidi="ar"/>
                    </w:rPr>
                    <w:t>昼间噪声</w:t>
                  </w:r>
                  <w:r>
                    <w:rPr>
                      <w:color w:val="auto"/>
                      <w:szCs w:val="21"/>
                      <w:lang w:bidi="ar"/>
                    </w:rPr>
                    <w:t>dB</w:t>
                  </w:r>
                  <w:r>
                    <w:rPr>
                      <w:rFonts w:hint="eastAsia"/>
                      <w:color w:val="auto"/>
                      <w:szCs w:val="21"/>
                      <w:lang w:eastAsia="zh-CN" w:bidi="ar"/>
                    </w:rPr>
                    <w:t>（</w:t>
                  </w:r>
                  <w:r>
                    <w:rPr>
                      <w:color w:val="auto"/>
                      <w:szCs w:val="21"/>
                      <w:lang w:bidi="ar"/>
                    </w:rPr>
                    <w:t>A</w:t>
                  </w:r>
                  <w:r>
                    <w:rPr>
                      <w:rFonts w:hint="eastAsia"/>
                      <w:color w:val="auto"/>
                      <w:szCs w:val="21"/>
                      <w:lang w:eastAsia="zh-CN" w:bidi="ar"/>
                    </w:rPr>
                    <w:t>）</w:t>
                  </w:r>
                </w:p>
              </w:tc>
              <w:tc>
                <w:tcPr>
                  <w:tcW w:w="1523" w:type="pct"/>
                  <w:tcBorders>
                    <w:top w:val="single" w:color="auto" w:sz="4" w:space="0"/>
                    <w:left w:val="single" w:color="auto" w:sz="4" w:space="0"/>
                    <w:bottom w:val="single" w:color="auto" w:sz="4" w:space="0"/>
                    <w:right w:val="single" w:color="auto" w:sz="4" w:space="0"/>
                  </w:tcBorders>
                  <w:noWrap w:val="0"/>
                  <w:vAlign w:val="center"/>
                </w:tcPr>
                <w:p w14:paraId="0C263447">
                  <w:pPr>
                    <w:jc w:val="center"/>
                    <w:rPr>
                      <w:rFonts w:hint="eastAsia" w:eastAsia="宋体"/>
                      <w:color w:val="auto"/>
                      <w:szCs w:val="21"/>
                      <w:lang w:eastAsia="zh-CN"/>
                    </w:rPr>
                  </w:pPr>
                  <w:r>
                    <w:rPr>
                      <w:rFonts w:hint="eastAsia" w:cs="宋体"/>
                      <w:color w:val="auto"/>
                      <w:szCs w:val="21"/>
                      <w:lang w:bidi="ar"/>
                    </w:rPr>
                    <w:t>夜间噪声</w:t>
                  </w:r>
                  <w:r>
                    <w:rPr>
                      <w:color w:val="auto"/>
                      <w:szCs w:val="21"/>
                      <w:lang w:bidi="ar"/>
                    </w:rPr>
                    <w:t>dB</w:t>
                  </w:r>
                  <w:r>
                    <w:rPr>
                      <w:rFonts w:hint="eastAsia"/>
                      <w:color w:val="auto"/>
                      <w:szCs w:val="21"/>
                      <w:lang w:eastAsia="zh-CN" w:bidi="ar"/>
                    </w:rPr>
                    <w:t>（</w:t>
                  </w:r>
                  <w:r>
                    <w:rPr>
                      <w:color w:val="auto"/>
                      <w:szCs w:val="21"/>
                      <w:lang w:bidi="ar"/>
                    </w:rPr>
                    <w:t>A</w:t>
                  </w:r>
                  <w:r>
                    <w:rPr>
                      <w:rFonts w:hint="eastAsia"/>
                      <w:color w:val="auto"/>
                      <w:szCs w:val="21"/>
                      <w:lang w:eastAsia="zh-CN" w:bidi="ar"/>
                    </w:rPr>
                    <w:t>）</w:t>
                  </w:r>
                </w:p>
              </w:tc>
            </w:tr>
            <w:tr w14:paraId="78078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6" w:type="pct"/>
                  <w:vMerge w:val="restart"/>
                  <w:tcBorders>
                    <w:top w:val="single" w:color="auto" w:sz="4" w:space="0"/>
                    <w:left w:val="single" w:color="auto" w:sz="4" w:space="0"/>
                    <w:right w:val="single" w:color="auto" w:sz="4" w:space="0"/>
                  </w:tcBorders>
                  <w:noWrap w:val="0"/>
                  <w:vAlign w:val="center"/>
                </w:tcPr>
                <w:p w14:paraId="135CF1E1">
                  <w:pPr>
                    <w:jc w:val="center"/>
                    <w:rPr>
                      <w:rFonts w:hint="default" w:eastAsia="宋体"/>
                      <w:color w:val="auto"/>
                      <w:szCs w:val="21"/>
                      <w:lang w:val="en-US" w:eastAsia="zh-CN"/>
                    </w:rPr>
                  </w:pPr>
                  <w:r>
                    <w:rPr>
                      <w:rFonts w:hint="eastAsia" w:eastAsia="宋体"/>
                      <w:color w:val="auto"/>
                      <w:szCs w:val="21"/>
                      <w:lang w:val="en-US" w:eastAsia="zh-CN"/>
                    </w:rPr>
                    <w:t>2024.03.14</w:t>
                  </w:r>
                </w:p>
              </w:tc>
              <w:tc>
                <w:tcPr>
                  <w:tcW w:w="976" w:type="pct"/>
                  <w:tcBorders>
                    <w:top w:val="single" w:color="auto" w:sz="4" w:space="0"/>
                    <w:left w:val="single" w:color="auto" w:sz="4" w:space="0"/>
                    <w:bottom w:val="single" w:color="auto" w:sz="4" w:space="0"/>
                    <w:right w:val="single" w:color="auto" w:sz="4" w:space="0"/>
                  </w:tcBorders>
                  <w:noWrap w:val="0"/>
                  <w:vAlign w:val="center"/>
                </w:tcPr>
                <w:p w14:paraId="397153C4">
                  <w:pPr>
                    <w:jc w:val="center"/>
                    <w:rPr>
                      <w:rFonts w:hint="eastAsia" w:eastAsia="宋体"/>
                      <w:color w:val="auto"/>
                      <w:szCs w:val="21"/>
                      <w:lang w:eastAsia="zh-CN"/>
                    </w:rPr>
                  </w:pPr>
                  <w:r>
                    <w:rPr>
                      <w:rFonts w:hint="eastAsia"/>
                      <w:color w:val="auto"/>
                      <w:szCs w:val="21"/>
                      <w:lang w:val="en-US" w:eastAsia="zh-CN"/>
                    </w:rPr>
                    <w:t>东</w:t>
                  </w:r>
                  <w:r>
                    <w:rPr>
                      <w:color w:val="auto"/>
                      <w:szCs w:val="21"/>
                    </w:rPr>
                    <w:t>厂界</w:t>
                  </w:r>
                </w:p>
              </w:tc>
              <w:tc>
                <w:tcPr>
                  <w:tcW w:w="1523" w:type="pct"/>
                  <w:tcBorders>
                    <w:top w:val="single" w:color="auto" w:sz="4" w:space="0"/>
                    <w:left w:val="single" w:color="auto" w:sz="4" w:space="0"/>
                    <w:bottom w:val="single" w:color="auto" w:sz="4" w:space="0"/>
                    <w:right w:val="single" w:color="auto" w:sz="4" w:space="0"/>
                  </w:tcBorders>
                  <w:noWrap w:val="0"/>
                  <w:vAlign w:val="center"/>
                </w:tcPr>
                <w:p w14:paraId="055DE3C6">
                  <w:pPr>
                    <w:jc w:val="center"/>
                    <w:rPr>
                      <w:rFonts w:hint="default" w:eastAsia="宋体"/>
                      <w:color w:val="auto"/>
                      <w:szCs w:val="21"/>
                      <w:lang w:val="en-US" w:eastAsia="zh-CN"/>
                    </w:rPr>
                  </w:pPr>
                  <w:r>
                    <w:rPr>
                      <w:rFonts w:hint="eastAsia"/>
                      <w:color w:val="auto"/>
                      <w:szCs w:val="21"/>
                      <w:lang w:val="en-US" w:eastAsia="zh-CN"/>
                    </w:rPr>
                    <w:t>58</w:t>
                  </w:r>
                </w:p>
              </w:tc>
              <w:tc>
                <w:tcPr>
                  <w:tcW w:w="1523" w:type="pct"/>
                  <w:tcBorders>
                    <w:top w:val="single" w:color="auto" w:sz="4" w:space="0"/>
                    <w:left w:val="single" w:color="auto" w:sz="4" w:space="0"/>
                    <w:bottom w:val="single" w:color="auto" w:sz="4" w:space="0"/>
                    <w:right w:val="single" w:color="auto" w:sz="4" w:space="0"/>
                  </w:tcBorders>
                  <w:noWrap w:val="0"/>
                  <w:vAlign w:val="center"/>
                </w:tcPr>
                <w:p w14:paraId="35D78FF5">
                  <w:pPr>
                    <w:jc w:val="center"/>
                    <w:rPr>
                      <w:rFonts w:hint="default" w:eastAsia="宋体"/>
                      <w:color w:val="auto"/>
                      <w:szCs w:val="21"/>
                      <w:lang w:val="en-US" w:eastAsia="zh-CN"/>
                    </w:rPr>
                  </w:pPr>
                  <w:r>
                    <w:rPr>
                      <w:rFonts w:hint="eastAsia"/>
                      <w:color w:val="auto"/>
                      <w:szCs w:val="21"/>
                      <w:lang w:val="en-US" w:eastAsia="zh-CN"/>
                    </w:rPr>
                    <w:t>48</w:t>
                  </w:r>
                </w:p>
              </w:tc>
            </w:tr>
            <w:tr w14:paraId="57872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6" w:type="pct"/>
                  <w:vMerge w:val="continue"/>
                  <w:tcBorders>
                    <w:left w:val="single" w:color="auto" w:sz="4" w:space="0"/>
                    <w:right w:val="single" w:color="auto" w:sz="4" w:space="0"/>
                  </w:tcBorders>
                  <w:noWrap w:val="0"/>
                  <w:vAlign w:val="center"/>
                </w:tcPr>
                <w:p w14:paraId="0FD6B969">
                  <w:pPr>
                    <w:jc w:val="center"/>
                    <w:rPr>
                      <w:rFonts w:hint="eastAsia"/>
                      <w:color w:val="auto"/>
                      <w:szCs w:val="21"/>
                    </w:rPr>
                  </w:pPr>
                </w:p>
              </w:tc>
              <w:tc>
                <w:tcPr>
                  <w:tcW w:w="976" w:type="pct"/>
                  <w:tcBorders>
                    <w:top w:val="single" w:color="auto" w:sz="4" w:space="0"/>
                    <w:left w:val="single" w:color="auto" w:sz="4" w:space="0"/>
                    <w:bottom w:val="single" w:color="auto" w:sz="4" w:space="0"/>
                    <w:right w:val="single" w:color="auto" w:sz="4" w:space="0"/>
                  </w:tcBorders>
                  <w:noWrap w:val="0"/>
                  <w:vAlign w:val="center"/>
                </w:tcPr>
                <w:p w14:paraId="70C909F9">
                  <w:pPr>
                    <w:jc w:val="center"/>
                    <w:rPr>
                      <w:rFonts w:hint="eastAsia" w:eastAsia="宋体"/>
                      <w:color w:val="auto"/>
                      <w:szCs w:val="21"/>
                      <w:lang w:eastAsia="zh-CN"/>
                    </w:rPr>
                  </w:pPr>
                  <w:r>
                    <w:rPr>
                      <w:color w:val="auto"/>
                      <w:szCs w:val="21"/>
                    </w:rPr>
                    <w:t>南厂界</w:t>
                  </w:r>
                </w:p>
              </w:tc>
              <w:tc>
                <w:tcPr>
                  <w:tcW w:w="1523" w:type="pct"/>
                  <w:tcBorders>
                    <w:top w:val="single" w:color="auto" w:sz="4" w:space="0"/>
                    <w:left w:val="single" w:color="auto" w:sz="4" w:space="0"/>
                    <w:bottom w:val="single" w:color="auto" w:sz="4" w:space="0"/>
                    <w:right w:val="single" w:color="auto" w:sz="4" w:space="0"/>
                  </w:tcBorders>
                  <w:noWrap w:val="0"/>
                  <w:vAlign w:val="center"/>
                </w:tcPr>
                <w:p w14:paraId="4BF41144">
                  <w:pPr>
                    <w:jc w:val="center"/>
                    <w:rPr>
                      <w:rFonts w:hint="default" w:eastAsia="宋体"/>
                      <w:color w:val="auto"/>
                      <w:szCs w:val="21"/>
                      <w:lang w:val="en-US" w:eastAsia="zh-CN"/>
                    </w:rPr>
                  </w:pPr>
                  <w:r>
                    <w:rPr>
                      <w:rFonts w:hint="eastAsia"/>
                      <w:color w:val="auto"/>
                      <w:szCs w:val="21"/>
                      <w:lang w:val="en-US" w:eastAsia="zh-CN"/>
                    </w:rPr>
                    <w:t>51</w:t>
                  </w:r>
                </w:p>
              </w:tc>
              <w:tc>
                <w:tcPr>
                  <w:tcW w:w="1523" w:type="pct"/>
                  <w:tcBorders>
                    <w:top w:val="single" w:color="auto" w:sz="4" w:space="0"/>
                    <w:left w:val="single" w:color="auto" w:sz="4" w:space="0"/>
                    <w:bottom w:val="single" w:color="auto" w:sz="4" w:space="0"/>
                    <w:right w:val="single" w:color="auto" w:sz="4" w:space="0"/>
                  </w:tcBorders>
                  <w:noWrap w:val="0"/>
                  <w:vAlign w:val="center"/>
                </w:tcPr>
                <w:p w14:paraId="2889EB7C">
                  <w:pPr>
                    <w:jc w:val="center"/>
                    <w:rPr>
                      <w:rFonts w:hint="default" w:eastAsia="宋体"/>
                      <w:color w:val="auto"/>
                      <w:szCs w:val="21"/>
                      <w:lang w:val="en-US" w:eastAsia="zh-CN"/>
                    </w:rPr>
                  </w:pPr>
                  <w:r>
                    <w:rPr>
                      <w:rFonts w:hint="eastAsia"/>
                      <w:color w:val="auto"/>
                      <w:szCs w:val="21"/>
                      <w:lang w:val="en-US" w:eastAsia="zh-CN"/>
                    </w:rPr>
                    <w:t>46</w:t>
                  </w:r>
                </w:p>
              </w:tc>
            </w:tr>
            <w:tr w14:paraId="7466B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6" w:type="pct"/>
                  <w:vMerge w:val="continue"/>
                  <w:tcBorders>
                    <w:left w:val="single" w:color="auto" w:sz="4" w:space="0"/>
                    <w:right w:val="single" w:color="auto" w:sz="4" w:space="0"/>
                  </w:tcBorders>
                  <w:noWrap w:val="0"/>
                  <w:vAlign w:val="center"/>
                </w:tcPr>
                <w:p w14:paraId="370EF3DE">
                  <w:pPr>
                    <w:jc w:val="center"/>
                    <w:rPr>
                      <w:rFonts w:hint="eastAsia"/>
                      <w:color w:val="auto"/>
                      <w:szCs w:val="21"/>
                    </w:rPr>
                  </w:pPr>
                </w:p>
              </w:tc>
              <w:tc>
                <w:tcPr>
                  <w:tcW w:w="976" w:type="pct"/>
                  <w:tcBorders>
                    <w:top w:val="single" w:color="auto" w:sz="4" w:space="0"/>
                    <w:left w:val="single" w:color="auto" w:sz="4" w:space="0"/>
                    <w:bottom w:val="single" w:color="auto" w:sz="4" w:space="0"/>
                    <w:right w:val="single" w:color="auto" w:sz="4" w:space="0"/>
                  </w:tcBorders>
                  <w:noWrap w:val="0"/>
                  <w:vAlign w:val="center"/>
                </w:tcPr>
                <w:p w14:paraId="71A19F50">
                  <w:pPr>
                    <w:jc w:val="center"/>
                    <w:rPr>
                      <w:rFonts w:hint="eastAsia" w:eastAsia="宋体"/>
                      <w:color w:val="auto"/>
                      <w:szCs w:val="21"/>
                      <w:lang w:eastAsia="zh-CN"/>
                    </w:rPr>
                  </w:pPr>
                  <w:r>
                    <w:rPr>
                      <w:rFonts w:hint="eastAsia"/>
                      <w:color w:val="auto"/>
                      <w:szCs w:val="21"/>
                      <w:lang w:val="en-US" w:eastAsia="zh-CN"/>
                    </w:rPr>
                    <w:t>西</w:t>
                  </w:r>
                  <w:r>
                    <w:rPr>
                      <w:color w:val="auto"/>
                      <w:szCs w:val="21"/>
                    </w:rPr>
                    <w:t>厂界</w:t>
                  </w:r>
                </w:p>
              </w:tc>
              <w:tc>
                <w:tcPr>
                  <w:tcW w:w="1523" w:type="pct"/>
                  <w:tcBorders>
                    <w:top w:val="single" w:color="auto" w:sz="4" w:space="0"/>
                    <w:left w:val="single" w:color="auto" w:sz="4" w:space="0"/>
                    <w:bottom w:val="single" w:color="auto" w:sz="4" w:space="0"/>
                    <w:right w:val="single" w:color="auto" w:sz="4" w:space="0"/>
                  </w:tcBorders>
                  <w:noWrap w:val="0"/>
                  <w:vAlign w:val="center"/>
                </w:tcPr>
                <w:p w14:paraId="0C92C290">
                  <w:pPr>
                    <w:jc w:val="center"/>
                    <w:rPr>
                      <w:rFonts w:hint="default" w:eastAsia="宋体"/>
                      <w:color w:val="auto"/>
                      <w:szCs w:val="21"/>
                      <w:lang w:val="en-US" w:eastAsia="zh-CN"/>
                    </w:rPr>
                  </w:pPr>
                  <w:r>
                    <w:rPr>
                      <w:rFonts w:hint="eastAsia"/>
                      <w:color w:val="auto"/>
                      <w:szCs w:val="21"/>
                      <w:lang w:val="en-US" w:eastAsia="zh-CN"/>
                    </w:rPr>
                    <w:t>53</w:t>
                  </w:r>
                </w:p>
              </w:tc>
              <w:tc>
                <w:tcPr>
                  <w:tcW w:w="1523" w:type="pct"/>
                  <w:tcBorders>
                    <w:top w:val="single" w:color="auto" w:sz="4" w:space="0"/>
                    <w:left w:val="single" w:color="auto" w:sz="4" w:space="0"/>
                    <w:bottom w:val="single" w:color="auto" w:sz="4" w:space="0"/>
                    <w:right w:val="single" w:color="auto" w:sz="4" w:space="0"/>
                  </w:tcBorders>
                  <w:noWrap w:val="0"/>
                  <w:vAlign w:val="center"/>
                </w:tcPr>
                <w:p w14:paraId="68E7559A">
                  <w:pPr>
                    <w:jc w:val="center"/>
                    <w:rPr>
                      <w:rFonts w:hint="default" w:eastAsia="宋体"/>
                      <w:color w:val="auto"/>
                      <w:szCs w:val="21"/>
                      <w:lang w:val="en-US" w:eastAsia="zh-CN"/>
                    </w:rPr>
                  </w:pPr>
                  <w:r>
                    <w:rPr>
                      <w:rFonts w:hint="eastAsia"/>
                      <w:color w:val="auto"/>
                      <w:szCs w:val="21"/>
                      <w:lang w:val="en-US" w:eastAsia="zh-CN"/>
                    </w:rPr>
                    <w:t>44</w:t>
                  </w:r>
                </w:p>
              </w:tc>
            </w:tr>
            <w:tr w14:paraId="02AAE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6" w:type="pct"/>
                  <w:vMerge w:val="continue"/>
                  <w:tcBorders>
                    <w:left w:val="single" w:color="auto" w:sz="4" w:space="0"/>
                    <w:right w:val="single" w:color="auto" w:sz="4" w:space="0"/>
                  </w:tcBorders>
                  <w:noWrap w:val="0"/>
                  <w:vAlign w:val="center"/>
                </w:tcPr>
                <w:p w14:paraId="7183DFF0">
                  <w:pPr>
                    <w:jc w:val="center"/>
                    <w:rPr>
                      <w:rFonts w:hint="eastAsia"/>
                      <w:color w:val="auto"/>
                      <w:szCs w:val="21"/>
                    </w:rPr>
                  </w:pPr>
                </w:p>
              </w:tc>
              <w:tc>
                <w:tcPr>
                  <w:tcW w:w="976" w:type="pct"/>
                  <w:tcBorders>
                    <w:top w:val="single" w:color="auto" w:sz="4" w:space="0"/>
                    <w:left w:val="single" w:color="auto" w:sz="4" w:space="0"/>
                    <w:bottom w:val="single" w:color="auto" w:sz="4" w:space="0"/>
                    <w:right w:val="single" w:color="auto" w:sz="4" w:space="0"/>
                  </w:tcBorders>
                  <w:noWrap w:val="0"/>
                  <w:vAlign w:val="center"/>
                </w:tcPr>
                <w:p w14:paraId="7D884886">
                  <w:pPr>
                    <w:jc w:val="center"/>
                    <w:rPr>
                      <w:rFonts w:hint="eastAsia" w:eastAsia="宋体"/>
                      <w:color w:val="auto"/>
                      <w:szCs w:val="21"/>
                      <w:lang w:eastAsia="zh-CN"/>
                    </w:rPr>
                  </w:pPr>
                  <w:r>
                    <w:rPr>
                      <w:rFonts w:hint="eastAsia"/>
                      <w:color w:val="auto"/>
                      <w:szCs w:val="21"/>
                      <w:lang w:val="en-US" w:eastAsia="zh-CN"/>
                    </w:rPr>
                    <w:t>北</w:t>
                  </w:r>
                  <w:r>
                    <w:rPr>
                      <w:color w:val="auto"/>
                      <w:szCs w:val="21"/>
                    </w:rPr>
                    <w:t>厂界</w:t>
                  </w:r>
                </w:p>
              </w:tc>
              <w:tc>
                <w:tcPr>
                  <w:tcW w:w="1523" w:type="pct"/>
                  <w:tcBorders>
                    <w:top w:val="single" w:color="auto" w:sz="4" w:space="0"/>
                    <w:left w:val="single" w:color="auto" w:sz="4" w:space="0"/>
                    <w:bottom w:val="single" w:color="auto" w:sz="4" w:space="0"/>
                    <w:right w:val="single" w:color="auto" w:sz="4" w:space="0"/>
                  </w:tcBorders>
                  <w:noWrap w:val="0"/>
                  <w:vAlign w:val="center"/>
                </w:tcPr>
                <w:p w14:paraId="0AE57B49">
                  <w:pPr>
                    <w:jc w:val="center"/>
                    <w:rPr>
                      <w:rFonts w:hint="default" w:eastAsia="宋体"/>
                      <w:color w:val="auto"/>
                      <w:szCs w:val="21"/>
                      <w:lang w:val="en-US" w:eastAsia="zh-CN"/>
                    </w:rPr>
                  </w:pPr>
                  <w:r>
                    <w:rPr>
                      <w:rFonts w:hint="eastAsia"/>
                      <w:color w:val="auto"/>
                      <w:szCs w:val="21"/>
                      <w:lang w:val="en-US" w:eastAsia="zh-CN"/>
                    </w:rPr>
                    <w:t>60</w:t>
                  </w:r>
                </w:p>
              </w:tc>
              <w:tc>
                <w:tcPr>
                  <w:tcW w:w="1523" w:type="pct"/>
                  <w:tcBorders>
                    <w:top w:val="single" w:color="auto" w:sz="4" w:space="0"/>
                    <w:left w:val="single" w:color="auto" w:sz="4" w:space="0"/>
                    <w:bottom w:val="single" w:color="auto" w:sz="4" w:space="0"/>
                    <w:right w:val="single" w:color="auto" w:sz="4" w:space="0"/>
                  </w:tcBorders>
                  <w:noWrap w:val="0"/>
                  <w:vAlign w:val="center"/>
                </w:tcPr>
                <w:p w14:paraId="507998B9">
                  <w:pPr>
                    <w:jc w:val="center"/>
                    <w:rPr>
                      <w:rFonts w:hint="default" w:eastAsia="宋体"/>
                      <w:color w:val="auto"/>
                      <w:szCs w:val="21"/>
                      <w:lang w:val="en-US" w:eastAsia="zh-CN"/>
                    </w:rPr>
                  </w:pPr>
                  <w:r>
                    <w:rPr>
                      <w:rFonts w:hint="eastAsia"/>
                      <w:color w:val="auto"/>
                      <w:szCs w:val="21"/>
                      <w:lang w:val="en-US" w:eastAsia="zh-CN"/>
                    </w:rPr>
                    <w:t>49</w:t>
                  </w:r>
                </w:p>
              </w:tc>
            </w:tr>
          </w:tbl>
          <w:p w14:paraId="5AD59C9D">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（4）固体废物处置情况</w:t>
            </w:r>
          </w:p>
          <w:p w14:paraId="66CBCE03">
            <w:pPr>
              <w:spacing w:line="360" w:lineRule="auto"/>
              <w:ind w:firstLine="480" w:firstLineChars="20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sz w:val="24"/>
                <w:szCs w:val="24"/>
                <w:lang w:val="en-US" w:eastAsia="zh-CN"/>
              </w:rPr>
              <w:t>根据企业提供的20</w:t>
            </w:r>
            <w:r>
              <w:rPr>
                <w:rFonts w:hint="eastAsia" w:ascii="Times New Roman" w:hAnsi="Times New Roman" w:eastAsia="宋体" w:cs="Times New Roman"/>
                <w:b w:val="0"/>
                <w:bCs w:val="0"/>
                <w:color w:val="auto"/>
                <w:sz w:val="24"/>
                <w:szCs w:val="24"/>
                <w:lang w:val="en-US" w:eastAsia="zh-CN"/>
              </w:rPr>
              <w:t>23</w:t>
            </w:r>
            <w:r>
              <w:rPr>
                <w:rFonts w:hint="default" w:ascii="Times New Roman" w:hAnsi="Times New Roman" w:eastAsia="宋体" w:cs="Times New Roman"/>
                <w:b w:val="0"/>
                <w:bCs w:val="0"/>
                <w:color w:val="auto"/>
                <w:sz w:val="24"/>
                <w:szCs w:val="24"/>
                <w:lang w:val="en-US" w:eastAsia="zh-CN"/>
              </w:rPr>
              <w:t>年现有</w:t>
            </w:r>
            <w:r>
              <w:rPr>
                <w:rFonts w:hint="eastAsia" w:ascii="Times New Roman" w:hAnsi="Times New Roman" w:eastAsia="宋体" w:cs="Times New Roman"/>
                <w:b w:val="0"/>
                <w:bCs w:val="0"/>
                <w:color w:val="auto"/>
                <w:sz w:val="24"/>
                <w:szCs w:val="24"/>
                <w:lang w:val="en-US" w:eastAsia="zh-CN"/>
              </w:rPr>
              <w:t>工程</w:t>
            </w:r>
            <w:r>
              <w:rPr>
                <w:rFonts w:hint="default" w:ascii="Times New Roman" w:hAnsi="Times New Roman" w:eastAsia="宋体" w:cs="Times New Roman"/>
                <w:b w:val="0"/>
                <w:bCs w:val="0"/>
                <w:color w:val="auto"/>
                <w:sz w:val="24"/>
                <w:szCs w:val="24"/>
                <w:lang w:val="en-US" w:eastAsia="zh-CN"/>
              </w:rPr>
              <w:t>固体废物产生及处置情况，统计见</w:t>
            </w:r>
            <w:r>
              <w:rPr>
                <w:rFonts w:hint="eastAsia" w:cs="Times New Roman"/>
                <w:b w:val="0"/>
                <w:bCs w:val="0"/>
                <w:color w:val="auto"/>
                <w:sz w:val="24"/>
                <w:szCs w:val="24"/>
                <w:lang w:val="en-US" w:eastAsia="zh-CN"/>
              </w:rPr>
              <w:t>下表</w:t>
            </w:r>
            <w:r>
              <w:rPr>
                <w:rFonts w:hint="default" w:ascii="Times New Roman" w:hAnsi="Times New Roman" w:eastAsia="宋体" w:cs="Times New Roman"/>
                <w:b w:val="0"/>
                <w:bCs w:val="0"/>
                <w:color w:val="auto"/>
                <w:sz w:val="24"/>
                <w:szCs w:val="24"/>
                <w:lang w:val="en-US" w:eastAsia="zh-CN"/>
              </w:rPr>
              <w:t>所示。</w:t>
            </w:r>
          </w:p>
          <w:p w14:paraId="64416018">
            <w:pPr>
              <w:keepNext/>
              <w:keepLines/>
              <w:tabs>
                <w:tab w:val="left" w:pos="0"/>
                <w:tab w:val="left" w:pos="180"/>
                <w:tab w:val="left" w:pos="1418"/>
                <w:tab w:val="left" w:pos="2976"/>
              </w:tabs>
              <w:jc w:val="center"/>
              <w:outlineLvl w:val="7"/>
              <w:rPr>
                <w:rFonts w:hint="default" w:ascii="Times New Roman" w:hAnsi="Times New Roman" w:eastAsia="宋体" w:cs="Times New Roman"/>
                <w:b/>
                <w:color w:val="auto"/>
                <w:lang w:val="en-US" w:eastAsia="zh-CN"/>
              </w:rPr>
            </w:pPr>
            <w:r>
              <w:rPr>
                <w:rFonts w:hint="default" w:ascii="Times New Roman" w:hAnsi="Times New Roman" w:eastAsia="宋体" w:cs="Times New Roman"/>
                <w:b/>
                <w:color w:val="auto"/>
                <w:lang w:val="en-US" w:eastAsia="zh-CN"/>
              </w:rPr>
              <w:t>表2</w:t>
            </w:r>
            <w:r>
              <w:rPr>
                <w:rFonts w:hint="eastAsia" w:ascii="Times New Roman" w:hAnsi="Times New Roman" w:cs="Times New Roman"/>
                <w:b/>
                <w:color w:val="auto"/>
                <w:lang w:val="en-US" w:eastAsia="zh-CN"/>
              </w:rPr>
              <w:t>-</w:t>
            </w:r>
            <w:r>
              <w:rPr>
                <w:rFonts w:hint="eastAsia" w:cs="Times New Roman"/>
                <w:b/>
                <w:color w:val="auto"/>
                <w:lang w:val="en-US" w:eastAsia="zh-CN"/>
              </w:rPr>
              <w:t xml:space="preserve">44 </w:t>
            </w:r>
            <w:r>
              <w:rPr>
                <w:rFonts w:hint="default" w:ascii="Times New Roman" w:hAnsi="Times New Roman" w:eastAsia="宋体" w:cs="Times New Roman"/>
                <w:b/>
                <w:color w:val="auto"/>
                <w:lang w:val="en-US" w:eastAsia="zh-CN"/>
              </w:rPr>
              <w:t>现有工程202</w:t>
            </w:r>
            <w:r>
              <w:rPr>
                <w:rFonts w:hint="eastAsia" w:ascii="Times New Roman" w:hAnsi="Times New Roman" w:eastAsia="宋体" w:cs="Times New Roman"/>
                <w:b/>
                <w:color w:val="auto"/>
                <w:lang w:val="en-US" w:eastAsia="zh-CN"/>
              </w:rPr>
              <w:t>3</w:t>
            </w:r>
            <w:r>
              <w:rPr>
                <w:rFonts w:hint="default" w:ascii="Times New Roman" w:hAnsi="Times New Roman" w:eastAsia="宋体" w:cs="Times New Roman"/>
                <w:b/>
                <w:color w:val="auto"/>
                <w:lang w:val="en-US" w:eastAsia="zh-CN"/>
              </w:rPr>
              <w:t>年固废产生及处置情况统计一览表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1084"/>
              <w:gridCol w:w="3140"/>
              <w:gridCol w:w="3889"/>
            </w:tblGrid>
            <w:tr w14:paraId="5C9F1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89" w:type="pct"/>
                  <w:noWrap w:val="0"/>
                  <w:vAlign w:val="center"/>
                </w:tcPr>
                <w:p w14:paraId="3731CC5C">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分类</w:t>
                  </w:r>
                </w:p>
              </w:tc>
              <w:tc>
                <w:tcPr>
                  <w:tcW w:w="589" w:type="pct"/>
                  <w:noWrap w:val="0"/>
                  <w:vAlign w:val="center"/>
                </w:tcPr>
                <w:p w14:paraId="319FE750">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名称</w:t>
                  </w:r>
                </w:p>
              </w:tc>
              <w:tc>
                <w:tcPr>
                  <w:tcW w:w="1707" w:type="pct"/>
                  <w:noWrap w:val="0"/>
                  <w:vAlign w:val="center"/>
                </w:tcPr>
                <w:p w14:paraId="36B04AAF">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202</w:t>
                  </w:r>
                  <w:r>
                    <w:rPr>
                      <w:rFonts w:hint="eastAsia" w:ascii="Times New Roman" w:hAnsi="Times New Roman" w:cs="Times New Roman"/>
                      <w:b w:val="0"/>
                      <w:bCs w:val="0"/>
                      <w:color w:val="auto"/>
                      <w:kern w:val="2"/>
                      <w:sz w:val="21"/>
                      <w:szCs w:val="21"/>
                      <w:highlight w:val="none"/>
                      <w:lang w:val="en-US" w:eastAsia="zh-CN" w:bidi="ar"/>
                    </w:rPr>
                    <w:t>3</w:t>
                  </w:r>
                  <w:r>
                    <w:rPr>
                      <w:rFonts w:hint="default" w:ascii="Times New Roman" w:hAnsi="Times New Roman" w:cs="Times New Roman"/>
                      <w:b w:val="0"/>
                      <w:bCs w:val="0"/>
                      <w:color w:val="auto"/>
                      <w:kern w:val="2"/>
                      <w:sz w:val="21"/>
                      <w:szCs w:val="21"/>
                      <w:highlight w:val="none"/>
                      <w:lang w:val="en-US" w:eastAsia="zh-CN" w:bidi="ar"/>
                    </w:rPr>
                    <w:t>年实际产生及处置量（t）</w:t>
                  </w:r>
                </w:p>
              </w:tc>
              <w:tc>
                <w:tcPr>
                  <w:tcW w:w="2114" w:type="pct"/>
                  <w:noWrap w:val="0"/>
                  <w:vAlign w:val="center"/>
                </w:tcPr>
                <w:p w14:paraId="732A9730">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处理处置措施</w:t>
                  </w:r>
                </w:p>
              </w:tc>
            </w:tr>
            <w:tr w14:paraId="32D00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9" w:type="pct"/>
                  <w:noWrap w:val="0"/>
                  <w:vAlign w:val="center"/>
                </w:tcPr>
                <w:p w14:paraId="1E0B6DAD">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一般固废</w:t>
                  </w:r>
                </w:p>
              </w:tc>
              <w:tc>
                <w:tcPr>
                  <w:tcW w:w="589" w:type="pct"/>
                  <w:noWrap w:val="0"/>
                  <w:vAlign w:val="center"/>
                </w:tcPr>
                <w:p w14:paraId="32D7CE23">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r>
                    <w:rPr>
                      <w:rFonts w:hint="eastAsia" w:ascii="Times New Roman" w:hAnsi="Times New Roman" w:cs="Times New Roman"/>
                      <w:b w:val="0"/>
                      <w:bCs w:val="0"/>
                      <w:color w:val="auto"/>
                      <w:kern w:val="2"/>
                      <w:sz w:val="21"/>
                      <w:szCs w:val="21"/>
                      <w:highlight w:val="none"/>
                      <w:lang w:val="en-US" w:eastAsia="zh-CN" w:bidi="ar"/>
                    </w:rPr>
                    <w:t>粉尘</w:t>
                  </w:r>
                </w:p>
              </w:tc>
              <w:tc>
                <w:tcPr>
                  <w:tcW w:w="1707" w:type="pct"/>
                  <w:noWrap w:val="0"/>
                  <w:vAlign w:val="center"/>
                </w:tcPr>
                <w:p w14:paraId="334A700D">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r>
                    <w:rPr>
                      <w:rFonts w:hint="eastAsia" w:ascii="Times New Roman" w:hAnsi="Times New Roman" w:cs="Times New Roman"/>
                      <w:b w:val="0"/>
                      <w:bCs w:val="0"/>
                      <w:color w:val="auto"/>
                      <w:kern w:val="2"/>
                      <w:sz w:val="21"/>
                      <w:szCs w:val="21"/>
                      <w:highlight w:val="none"/>
                      <w:lang w:val="en-US" w:eastAsia="zh-CN" w:bidi="ar"/>
                    </w:rPr>
                    <w:t>483300</w:t>
                  </w:r>
                </w:p>
              </w:tc>
              <w:tc>
                <w:tcPr>
                  <w:tcW w:w="2114" w:type="pct"/>
                  <w:noWrap w:val="0"/>
                  <w:vAlign w:val="center"/>
                </w:tcPr>
                <w:p w14:paraId="05A23A67">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外售</w:t>
                  </w:r>
                  <w:r>
                    <w:rPr>
                      <w:rFonts w:hint="eastAsia" w:ascii="Times New Roman" w:hAnsi="Times New Roman" w:cs="Times New Roman"/>
                      <w:b w:val="0"/>
                      <w:bCs w:val="0"/>
                      <w:color w:val="auto"/>
                      <w:kern w:val="2"/>
                      <w:sz w:val="21"/>
                      <w:szCs w:val="21"/>
                      <w:highlight w:val="none"/>
                      <w:lang w:val="en-US" w:eastAsia="zh-CN" w:bidi="ar"/>
                    </w:rPr>
                    <w:t>专门物资回收公司</w:t>
                  </w:r>
                </w:p>
              </w:tc>
            </w:tr>
            <w:tr w14:paraId="6F3D0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9" w:type="pct"/>
                  <w:vMerge w:val="restart"/>
                  <w:noWrap w:val="0"/>
                  <w:vAlign w:val="center"/>
                </w:tcPr>
                <w:p w14:paraId="0C79E42C">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危险废物</w:t>
                  </w:r>
                </w:p>
              </w:tc>
              <w:tc>
                <w:tcPr>
                  <w:tcW w:w="589" w:type="pct"/>
                  <w:noWrap w:val="0"/>
                  <w:vAlign w:val="center"/>
                </w:tcPr>
                <w:p w14:paraId="2B467CC8">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废油管</w:t>
                  </w:r>
                </w:p>
              </w:tc>
              <w:tc>
                <w:tcPr>
                  <w:tcW w:w="1707" w:type="pct"/>
                  <w:noWrap w:val="0"/>
                  <w:vAlign w:val="center"/>
                </w:tcPr>
                <w:p w14:paraId="2B8034FF">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r>
                    <w:rPr>
                      <w:rFonts w:hint="eastAsia" w:ascii="Times New Roman" w:hAnsi="Times New Roman" w:cs="Times New Roman"/>
                      <w:b w:val="0"/>
                      <w:bCs w:val="0"/>
                      <w:color w:val="auto"/>
                      <w:kern w:val="2"/>
                      <w:sz w:val="21"/>
                      <w:szCs w:val="21"/>
                      <w:highlight w:val="none"/>
                      <w:lang w:val="en-US" w:eastAsia="zh-CN" w:bidi="ar"/>
                    </w:rPr>
                    <w:t>20.569</w:t>
                  </w:r>
                </w:p>
              </w:tc>
              <w:tc>
                <w:tcPr>
                  <w:tcW w:w="2114" w:type="pct"/>
                  <w:vMerge w:val="restart"/>
                  <w:noWrap w:val="0"/>
                  <w:vAlign w:val="center"/>
                </w:tcPr>
                <w:p w14:paraId="54D8E267">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危废库暂存，</w:t>
                  </w:r>
                  <w:r>
                    <w:rPr>
                      <w:rFonts w:hint="eastAsia" w:ascii="Times New Roman" w:hAnsi="Times New Roman" w:cs="Times New Roman"/>
                      <w:b w:val="0"/>
                      <w:bCs w:val="0"/>
                      <w:color w:val="auto"/>
                      <w:kern w:val="2"/>
                      <w:sz w:val="21"/>
                      <w:szCs w:val="21"/>
                      <w:highlight w:val="none"/>
                      <w:lang w:val="en-US" w:eastAsia="zh-CN" w:bidi="ar"/>
                    </w:rPr>
                    <w:t>委托有</w:t>
                  </w:r>
                  <w:r>
                    <w:rPr>
                      <w:rFonts w:hint="default" w:ascii="Times New Roman" w:hAnsi="Times New Roman" w:cs="Times New Roman"/>
                      <w:b w:val="0"/>
                      <w:bCs w:val="0"/>
                      <w:color w:val="auto"/>
                      <w:kern w:val="2"/>
                      <w:sz w:val="21"/>
                      <w:szCs w:val="21"/>
                      <w:highlight w:val="none"/>
                      <w:lang w:val="en-US" w:eastAsia="zh-CN" w:bidi="ar"/>
                    </w:rPr>
                    <w:t>资质单位</w:t>
                  </w:r>
                  <w:r>
                    <w:rPr>
                      <w:rFonts w:hint="eastAsia" w:ascii="Times New Roman" w:hAnsi="Times New Roman" w:cs="Times New Roman"/>
                      <w:b w:val="0"/>
                      <w:bCs w:val="0"/>
                      <w:color w:val="auto"/>
                      <w:kern w:val="2"/>
                      <w:sz w:val="21"/>
                      <w:szCs w:val="21"/>
                      <w:highlight w:val="none"/>
                      <w:lang w:val="en-US" w:eastAsia="zh-CN" w:bidi="ar"/>
                    </w:rPr>
                    <w:t>进行</w:t>
                  </w:r>
                  <w:r>
                    <w:rPr>
                      <w:rFonts w:hint="default" w:ascii="Times New Roman" w:hAnsi="Times New Roman" w:cs="Times New Roman"/>
                      <w:b w:val="0"/>
                      <w:bCs w:val="0"/>
                      <w:color w:val="auto"/>
                      <w:kern w:val="2"/>
                      <w:sz w:val="21"/>
                      <w:szCs w:val="21"/>
                      <w:highlight w:val="none"/>
                      <w:lang w:val="en-US" w:eastAsia="zh-CN" w:bidi="ar"/>
                    </w:rPr>
                    <w:t>处置</w:t>
                  </w:r>
                </w:p>
              </w:tc>
            </w:tr>
            <w:tr w14:paraId="251A1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9" w:type="pct"/>
                  <w:vMerge w:val="continue"/>
                  <w:noWrap w:val="0"/>
                  <w:vAlign w:val="center"/>
                </w:tcPr>
                <w:p w14:paraId="43E8D56F">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c>
                <w:tcPr>
                  <w:tcW w:w="589" w:type="pct"/>
                  <w:noWrap w:val="0"/>
                  <w:vAlign w:val="center"/>
                </w:tcPr>
                <w:p w14:paraId="45DA88B2">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废滤芯</w:t>
                  </w:r>
                </w:p>
              </w:tc>
              <w:tc>
                <w:tcPr>
                  <w:tcW w:w="1707" w:type="pct"/>
                  <w:noWrap w:val="0"/>
                  <w:vAlign w:val="center"/>
                </w:tcPr>
                <w:p w14:paraId="502162E1">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0.382</w:t>
                  </w:r>
                </w:p>
              </w:tc>
              <w:tc>
                <w:tcPr>
                  <w:tcW w:w="2114" w:type="pct"/>
                  <w:vMerge w:val="continue"/>
                  <w:noWrap w:val="0"/>
                  <w:vAlign w:val="center"/>
                </w:tcPr>
                <w:p w14:paraId="6C14E361">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r>
            <w:tr w14:paraId="4EFB5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9" w:type="pct"/>
                  <w:vMerge w:val="continue"/>
                  <w:noWrap w:val="0"/>
                  <w:vAlign w:val="center"/>
                </w:tcPr>
                <w:p w14:paraId="66FCEE99">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c>
                <w:tcPr>
                  <w:tcW w:w="589" w:type="pct"/>
                  <w:noWrap w:val="0"/>
                  <w:vAlign w:val="center"/>
                </w:tcPr>
                <w:p w14:paraId="40C35610">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废油桶</w:t>
                  </w:r>
                </w:p>
              </w:tc>
              <w:tc>
                <w:tcPr>
                  <w:tcW w:w="1707" w:type="pct"/>
                  <w:noWrap w:val="0"/>
                  <w:vAlign w:val="center"/>
                </w:tcPr>
                <w:p w14:paraId="3D2BE1D4">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0.668</w:t>
                  </w:r>
                </w:p>
              </w:tc>
              <w:tc>
                <w:tcPr>
                  <w:tcW w:w="2114" w:type="pct"/>
                  <w:vMerge w:val="continue"/>
                  <w:noWrap w:val="0"/>
                  <w:vAlign w:val="center"/>
                </w:tcPr>
                <w:p w14:paraId="27CB8E11">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r>
            <w:tr w14:paraId="7376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9" w:type="pct"/>
                  <w:vMerge w:val="continue"/>
                  <w:noWrap w:val="0"/>
                  <w:vAlign w:val="center"/>
                </w:tcPr>
                <w:p w14:paraId="6348FDED">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c>
                <w:tcPr>
                  <w:tcW w:w="589" w:type="pct"/>
                  <w:noWrap w:val="0"/>
                  <w:vAlign w:val="center"/>
                </w:tcPr>
                <w:p w14:paraId="53DD2D55">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废塑料桶</w:t>
                  </w:r>
                </w:p>
              </w:tc>
              <w:tc>
                <w:tcPr>
                  <w:tcW w:w="1707" w:type="pct"/>
                  <w:noWrap w:val="0"/>
                  <w:vAlign w:val="center"/>
                </w:tcPr>
                <w:p w14:paraId="04C1E2C7">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3.2</w:t>
                  </w:r>
                </w:p>
              </w:tc>
              <w:tc>
                <w:tcPr>
                  <w:tcW w:w="2114" w:type="pct"/>
                  <w:vMerge w:val="continue"/>
                  <w:noWrap w:val="0"/>
                  <w:vAlign w:val="center"/>
                </w:tcPr>
                <w:p w14:paraId="115163FF">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r>
            <w:tr w14:paraId="2CC4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9" w:type="pct"/>
                  <w:vMerge w:val="continue"/>
                  <w:noWrap w:val="0"/>
                  <w:vAlign w:val="center"/>
                </w:tcPr>
                <w:p w14:paraId="180C6A20">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c>
                <w:tcPr>
                  <w:tcW w:w="589" w:type="pct"/>
                  <w:noWrap w:val="0"/>
                  <w:vAlign w:val="center"/>
                </w:tcPr>
                <w:p w14:paraId="10660B16">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废油漆桶</w:t>
                  </w:r>
                </w:p>
              </w:tc>
              <w:tc>
                <w:tcPr>
                  <w:tcW w:w="1707" w:type="pct"/>
                  <w:noWrap w:val="0"/>
                  <w:vAlign w:val="center"/>
                </w:tcPr>
                <w:p w14:paraId="14E56202">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0.8</w:t>
                  </w:r>
                </w:p>
              </w:tc>
              <w:tc>
                <w:tcPr>
                  <w:tcW w:w="2114" w:type="pct"/>
                  <w:vMerge w:val="continue"/>
                  <w:noWrap w:val="0"/>
                  <w:vAlign w:val="center"/>
                </w:tcPr>
                <w:p w14:paraId="425A12C6">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r>
            <w:tr w14:paraId="28B76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9" w:type="pct"/>
                  <w:vMerge w:val="continue"/>
                  <w:noWrap w:val="0"/>
                  <w:vAlign w:val="center"/>
                </w:tcPr>
                <w:p w14:paraId="1C3FC82D">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c>
                <w:tcPr>
                  <w:tcW w:w="589" w:type="pct"/>
                  <w:noWrap w:val="0"/>
                  <w:vAlign w:val="center"/>
                </w:tcPr>
                <w:p w14:paraId="5976F261">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废油</w:t>
                  </w:r>
                </w:p>
              </w:tc>
              <w:tc>
                <w:tcPr>
                  <w:tcW w:w="1707" w:type="pct"/>
                  <w:noWrap w:val="0"/>
                  <w:vAlign w:val="center"/>
                </w:tcPr>
                <w:p w14:paraId="347916B0">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0.3</w:t>
                  </w:r>
                </w:p>
              </w:tc>
              <w:tc>
                <w:tcPr>
                  <w:tcW w:w="2114" w:type="pct"/>
                  <w:vMerge w:val="continue"/>
                  <w:noWrap w:val="0"/>
                  <w:vAlign w:val="center"/>
                </w:tcPr>
                <w:p w14:paraId="5CB1C4F5">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r>
            <w:tr w14:paraId="2CB11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9" w:type="pct"/>
                  <w:vMerge w:val="continue"/>
                  <w:noWrap w:val="0"/>
                  <w:vAlign w:val="center"/>
                </w:tcPr>
                <w:p w14:paraId="3F91E65A">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c>
                <w:tcPr>
                  <w:tcW w:w="589" w:type="pct"/>
                  <w:noWrap w:val="0"/>
                  <w:vAlign w:val="center"/>
                </w:tcPr>
                <w:p w14:paraId="4E0F68D2">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废油桶</w:t>
                  </w:r>
                </w:p>
              </w:tc>
              <w:tc>
                <w:tcPr>
                  <w:tcW w:w="1707" w:type="pct"/>
                  <w:noWrap w:val="0"/>
                  <w:vAlign w:val="center"/>
                </w:tcPr>
                <w:p w14:paraId="0C4F9FFE">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7.35</w:t>
                  </w:r>
                </w:p>
              </w:tc>
              <w:tc>
                <w:tcPr>
                  <w:tcW w:w="2114" w:type="pct"/>
                  <w:vMerge w:val="continue"/>
                  <w:noWrap w:val="0"/>
                  <w:vAlign w:val="center"/>
                </w:tcPr>
                <w:p w14:paraId="4F9ABE5A">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r>
            <w:tr w14:paraId="005F7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9" w:type="pct"/>
                  <w:vMerge w:val="continue"/>
                  <w:noWrap w:val="0"/>
                  <w:vAlign w:val="center"/>
                </w:tcPr>
                <w:p w14:paraId="7E90D0BF">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c>
                <w:tcPr>
                  <w:tcW w:w="589" w:type="pct"/>
                  <w:noWrap w:val="0"/>
                  <w:vAlign w:val="center"/>
                </w:tcPr>
                <w:p w14:paraId="7B4DD6E5">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废油管</w:t>
                  </w:r>
                </w:p>
              </w:tc>
              <w:tc>
                <w:tcPr>
                  <w:tcW w:w="1707" w:type="pct"/>
                  <w:noWrap w:val="0"/>
                  <w:vAlign w:val="center"/>
                </w:tcPr>
                <w:p w14:paraId="0278B5DE">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1.25</w:t>
                  </w:r>
                </w:p>
              </w:tc>
              <w:tc>
                <w:tcPr>
                  <w:tcW w:w="2114" w:type="pct"/>
                  <w:vMerge w:val="continue"/>
                  <w:noWrap w:val="0"/>
                  <w:vAlign w:val="center"/>
                </w:tcPr>
                <w:p w14:paraId="0E4FDBA3">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r>
            <w:tr w14:paraId="103C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9" w:type="pct"/>
                  <w:vMerge w:val="continue"/>
                  <w:noWrap w:val="0"/>
                  <w:vAlign w:val="center"/>
                </w:tcPr>
                <w:p w14:paraId="56AE5C9E">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c>
                <w:tcPr>
                  <w:tcW w:w="589" w:type="pct"/>
                  <w:noWrap w:val="0"/>
                  <w:vAlign w:val="center"/>
                </w:tcPr>
                <w:p w14:paraId="6DEED845">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废滤芯</w:t>
                  </w:r>
                </w:p>
              </w:tc>
              <w:tc>
                <w:tcPr>
                  <w:tcW w:w="1707" w:type="pct"/>
                  <w:noWrap w:val="0"/>
                  <w:vAlign w:val="center"/>
                </w:tcPr>
                <w:p w14:paraId="1B835AD7">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0.685</w:t>
                  </w:r>
                </w:p>
              </w:tc>
              <w:tc>
                <w:tcPr>
                  <w:tcW w:w="2114" w:type="pct"/>
                  <w:vMerge w:val="continue"/>
                  <w:noWrap w:val="0"/>
                  <w:vAlign w:val="center"/>
                </w:tcPr>
                <w:p w14:paraId="1102CEAB">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r>
            <w:tr w14:paraId="151D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9" w:type="pct"/>
                  <w:vMerge w:val="continue"/>
                  <w:noWrap w:val="0"/>
                  <w:vAlign w:val="center"/>
                </w:tcPr>
                <w:p w14:paraId="35907B38">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c>
                <w:tcPr>
                  <w:tcW w:w="589" w:type="pct"/>
                  <w:noWrap w:val="0"/>
                  <w:vAlign w:val="center"/>
                </w:tcPr>
                <w:p w14:paraId="3D6D59D7">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废油脂</w:t>
                  </w:r>
                </w:p>
              </w:tc>
              <w:tc>
                <w:tcPr>
                  <w:tcW w:w="1707" w:type="pct"/>
                  <w:noWrap w:val="0"/>
                  <w:vAlign w:val="center"/>
                </w:tcPr>
                <w:p w14:paraId="7807CFF8">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1.665</w:t>
                  </w:r>
                </w:p>
              </w:tc>
              <w:tc>
                <w:tcPr>
                  <w:tcW w:w="2114" w:type="pct"/>
                  <w:vMerge w:val="continue"/>
                  <w:noWrap w:val="0"/>
                  <w:vAlign w:val="center"/>
                </w:tcPr>
                <w:p w14:paraId="77E73543">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r>
            <w:tr w14:paraId="53553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9" w:type="pct"/>
                  <w:vMerge w:val="continue"/>
                  <w:noWrap w:val="0"/>
                  <w:vAlign w:val="center"/>
                </w:tcPr>
                <w:p w14:paraId="63F73D8C">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c>
                <w:tcPr>
                  <w:tcW w:w="589" w:type="pct"/>
                  <w:noWrap w:val="0"/>
                  <w:vAlign w:val="center"/>
                </w:tcPr>
                <w:p w14:paraId="4BF37BC0">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废油</w:t>
                  </w:r>
                </w:p>
              </w:tc>
              <w:tc>
                <w:tcPr>
                  <w:tcW w:w="1707" w:type="pct"/>
                  <w:noWrap w:val="0"/>
                  <w:vAlign w:val="center"/>
                </w:tcPr>
                <w:p w14:paraId="229AB5E4">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1.55</w:t>
                  </w:r>
                </w:p>
              </w:tc>
              <w:tc>
                <w:tcPr>
                  <w:tcW w:w="2114" w:type="pct"/>
                  <w:vMerge w:val="continue"/>
                  <w:noWrap w:val="0"/>
                  <w:vAlign w:val="center"/>
                </w:tcPr>
                <w:p w14:paraId="3C727B08">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r>
            <w:tr w14:paraId="30B01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9" w:type="pct"/>
                  <w:vMerge w:val="continue"/>
                  <w:noWrap w:val="0"/>
                  <w:vAlign w:val="center"/>
                </w:tcPr>
                <w:p w14:paraId="3305D109">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c>
                <w:tcPr>
                  <w:tcW w:w="589" w:type="pct"/>
                  <w:noWrap w:val="0"/>
                  <w:vAlign w:val="center"/>
                </w:tcPr>
                <w:p w14:paraId="3084CB0A">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废油漆桶</w:t>
                  </w:r>
                </w:p>
              </w:tc>
              <w:tc>
                <w:tcPr>
                  <w:tcW w:w="1707" w:type="pct"/>
                  <w:noWrap w:val="0"/>
                  <w:vAlign w:val="center"/>
                </w:tcPr>
                <w:p w14:paraId="2ABE50A5">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7.2</w:t>
                  </w:r>
                </w:p>
              </w:tc>
              <w:tc>
                <w:tcPr>
                  <w:tcW w:w="2114" w:type="pct"/>
                  <w:vMerge w:val="continue"/>
                  <w:noWrap w:val="0"/>
                  <w:vAlign w:val="center"/>
                </w:tcPr>
                <w:p w14:paraId="50B7B856">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r>
            <w:tr w14:paraId="2632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9" w:type="pct"/>
                  <w:vMerge w:val="continue"/>
                  <w:noWrap w:val="0"/>
                  <w:vAlign w:val="center"/>
                </w:tcPr>
                <w:p w14:paraId="76B34F0B">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c>
                <w:tcPr>
                  <w:tcW w:w="589" w:type="pct"/>
                  <w:noWrap w:val="0"/>
                  <w:vAlign w:val="center"/>
                </w:tcPr>
                <w:p w14:paraId="6538BFD7">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废塑料桶</w:t>
                  </w:r>
                </w:p>
              </w:tc>
              <w:tc>
                <w:tcPr>
                  <w:tcW w:w="1707" w:type="pct"/>
                  <w:noWrap w:val="0"/>
                  <w:vAlign w:val="center"/>
                </w:tcPr>
                <w:p w14:paraId="145FF014">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0.011</w:t>
                  </w:r>
                </w:p>
              </w:tc>
              <w:tc>
                <w:tcPr>
                  <w:tcW w:w="2114" w:type="pct"/>
                  <w:vMerge w:val="continue"/>
                  <w:noWrap w:val="0"/>
                  <w:vAlign w:val="center"/>
                </w:tcPr>
                <w:p w14:paraId="1B5263D6">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r>
            <w:tr w14:paraId="2D75E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9" w:type="pct"/>
                  <w:vMerge w:val="continue"/>
                  <w:noWrap w:val="0"/>
                  <w:vAlign w:val="center"/>
                </w:tcPr>
                <w:p w14:paraId="274903CD">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c>
                <w:tcPr>
                  <w:tcW w:w="589" w:type="pct"/>
                  <w:noWrap w:val="0"/>
                  <w:vAlign w:val="center"/>
                </w:tcPr>
                <w:p w14:paraId="3D615942">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废油桶</w:t>
                  </w:r>
                </w:p>
              </w:tc>
              <w:tc>
                <w:tcPr>
                  <w:tcW w:w="1707" w:type="pct"/>
                  <w:noWrap w:val="0"/>
                  <w:vAlign w:val="center"/>
                </w:tcPr>
                <w:p w14:paraId="4CCE4344">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0.242</w:t>
                  </w:r>
                </w:p>
              </w:tc>
              <w:tc>
                <w:tcPr>
                  <w:tcW w:w="2114" w:type="pct"/>
                  <w:vMerge w:val="continue"/>
                  <w:noWrap w:val="0"/>
                  <w:vAlign w:val="center"/>
                </w:tcPr>
                <w:p w14:paraId="72EB8F81">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r>
            <w:tr w14:paraId="0A136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9" w:type="pct"/>
                  <w:vMerge w:val="continue"/>
                  <w:noWrap w:val="0"/>
                  <w:vAlign w:val="center"/>
                </w:tcPr>
                <w:p w14:paraId="7F299321">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c>
                <w:tcPr>
                  <w:tcW w:w="589" w:type="pct"/>
                  <w:noWrap w:val="0"/>
                  <w:vAlign w:val="center"/>
                </w:tcPr>
                <w:p w14:paraId="4E4AB86B">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废油</w:t>
                  </w:r>
                </w:p>
              </w:tc>
              <w:tc>
                <w:tcPr>
                  <w:tcW w:w="1707" w:type="pct"/>
                  <w:noWrap w:val="0"/>
                  <w:vAlign w:val="center"/>
                </w:tcPr>
                <w:p w14:paraId="6180944D">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2.097</w:t>
                  </w:r>
                </w:p>
              </w:tc>
              <w:tc>
                <w:tcPr>
                  <w:tcW w:w="2114" w:type="pct"/>
                  <w:vMerge w:val="continue"/>
                  <w:noWrap w:val="0"/>
                  <w:vAlign w:val="center"/>
                </w:tcPr>
                <w:p w14:paraId="6BDA08B4">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r>
            <w:tr w14:paraId="20B6A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9" w:type="pct"/>
                  <w:vMerge w:val="continue"/>
                  <w:noWrap w:val="0"/>
                  <w:vAlign w:val="center"/>
                </w:tcPr>
                <w:p w14:paraId="096CABCC">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c>
                <w:tcPr>
                  <w:tcW w:w="589" w:type="pct"/>
                  <w:noWrap w:val="0"/>
                  <w:vAlign w:val="center"/>
                </w:tcPr>
                <w:p w14:paraId="7EA33D55">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废油漆桶</w:t>
                  </w:r>
                </w:p>
              </w:tc>
              <w:tc>
                <w:tcPr>
                  <w:tcW w:w="1707" w:type="pct"/>
                  <w:noWrap w:val="0"/>
                  <w:vAlign w:val="center"/>
                </w:tcPr>
                <w:p w14:paraId="313A05A5">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8.1</w:t>
                  </w:r>
                </w:p>
              </w:tc>
              <w:tc>
                <w:tcPr>
                  <w:tcW w:w="2114" w:type="pct"/>
                  <w:vMerge w:val="continue"/>
                  <w:noWrap w:val="0"/>
                  <w:vAlign w:val="center"/>
                </w:tcPr>
                <w:p w14:paraId="541B4B78">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r>
            <w:tr w14:paraId="46086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9" w:type="pct"/>
                  <w:vMerge w:val="continue"/>
                  <w:noWrap w:val="0"/>
                  <w:vAlign w:val="center"/>
                </w:tcPr>
                <w:p w14:paraId="05F5D0E7">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c>
                <w:tcPr>
                  <w:tcW w:w="589" w:type="pct"/>
                  <w:noWrap w:val="0"/>
                  <w:vAlign w:val="center"/>
                </w:tcPr>
                <w:p w14:paraId="6DC7A5D9">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废油桶</w:t>
                  </w:r>
                </w:p>
              </w:tc>
              <w:tc>
                <w:tcPr>
                  <w:tcW w:w="1707" w:type="pct"/>
                  <w:noWrap w:val="0"/>
                  <w:vAlign w:val="center"/>
                </w:tcPr>
                <w:p w14:paraId="59C6B13C">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0.11</w:t>
                  </w:r>
                </w:p>
              </w:tc>
              <w:tc>
                <w:tcPr>
                  <w:tcW w:w="2114" w:type="pct"/>
                  <w:vMerge w:val="continue"/>
                  <w:noWrap w:val="0"/>
                  <w:vAlign w:val="center"/>
                </w:tcPr>
                <w:p w14:paraId="51ADBF2E">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r>
            <w:tr w14:paraId="4EDEE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9" w:type="pct"/>
                  <w:vMerge w:val="continue"/>
                  <w:noWrap w:val="0"/>
                  <w:vAlign w:val="center"/>
                </w:tcPr>
                <w:p w14:paraId="6508433F">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c>
                <w:tcPr>
                  <w:tcW w:w="589" w:type="pct"/>
                  <w:noWrap w:val="0"/>
                  <w:vAlign w:val="center"/>
                </w:tcPr>
                <w:p w14:paraId="40366DC7">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废塑料桶</w:t>
                  </w:r>
                </w:p>
              </w:tc>
              <w:tc>
                <w:tcPr>
                  <w:tcW w:w="1707" w:type="pct"/>
                  <w:noWrap w:val="0"/>
                  <w:vAlign w:val="center"/>
                </w:tcPr>
                <w:p w14:paraId="52279B2B">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2.49</w:t>
                  </w:r>
                </w:p>
              </w:tc>
              <w:tc>
                <w:tcPr>
                  <w:tcW w:w="2114" w:type="pct"/>
                  <w:vMerge w:val="continue"/>
                  <w:noWrap w:val="0"/>
                  <w:vAlign w:val="center"/>
                </w:tcPr>
                <w:p w14:paraId="5D517399">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r>
            <w:tr w14:paraId="64936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9" w:type="pct"/>
                  <w:vMerge w:val="continue"/>
                  <w:noWrap w:val="0"/>
                  <w:vAlign w:val="center"/>
                </w:tcPr>
                <w:p w14:paraId="0D0203EB">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c>
                <w:tcPr>
                  <w:tcW w:w="589" w:type="pct"/>
                  <w:noWrap w:val="0"/>
                  <w:vAlign w:val="center"/>
                </w:tcPr>
                <w:p w14:paraId="1B72EB69">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废油管</w:t>
                  </w:r>
                </w:p>
              </w:tc>
              <w:tc>
                <w:tcPr>
                  <w:tcW w:w="1707" w:type="pct"/>
                  <w:noWrap w:val="0"/>
                  <w:vAlign w:val="center"/>
                </w:tcPr>
                <w:p w14:paraId="3F7A1D06">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0.1</w:t>
                  </w:r>
                </w:p>
              </w:tc>
              <w:tc>
                <w:tcPr>
                  <w:tcW w:w="2114" w:type="pct"/>
                  <w:vMerge w:val="continue"/>
                  <w:noWrap w:val="0"/>
                  <w:vAlign w:val="center"/>
                </w:tcPr>
                <w:p w14:paraId="6727DAB9">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r>
            <w:tr w14:paraId="3812E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9" w:type="pct"/>
                  <w:vMerge w:val="continue"/>
                  <w:noWrap w:val="0"/>
                  <w:vAlign w:val="center"/>
                </w:tcPr>
                <w:p w14:paraId="10DFEF24">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c>
                <w:tcPr>
                  <w:tcW w:w="589" w:type="pct"/>
                  <w:noWrap w:val="0"/>
                  <w:vAlign w:val="center"/>
                </w:tcPr>
                <w:p w14:paraId="0F5A8D95">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废滤芯</w:t>
                  </w:r>
                </w:p>
              </w:tc>
              <w:tc>
                <w:tcPr>
                  <w:tcW w:w="1707" w:type="pct"/>
                  <w:noWrap w:val="0"/>
                  <w:vAlign w:val="center"/>
                </w:tcPr>
                <w:p w14:paraId="2BB4779D">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0.5</w:t>
                  </w:r>
                </w:p>
              </w:tc>
              <w:tc>
                <w:tcPr>
                  <w:tcW w:w="2114" w:type="pct"/>
                  <w:vMerge w:val="continue"/>
                  <w:noWrap w:val="0"/>
                  <w:vAlign w:val="center"/>
                </w:tcPr>
                <w:p w14:paraId="1183A39D">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r>
            <w:tr w14:paraId="72A8D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9" w:type="pct"/>
                  <w:vMerge w:val="continue"/>
                  <w:noWrap w:val="0"/>
                  <w:vAlign w:val="center"/>
                </w:tcPr>
                <w:p w14:paraId="66EE7A73">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c>
                <w:tcPr>
                  <w:tcW w:w="589" w:type="pct"/>
                  <w:noWrap w:val="0"/>
                  <w:vAlign w:val="center"/>
                </w:tcPr>
                <w:p w14:paraId="5E46669D">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废油脂</w:t>
                  </w:r>
                </w:p>
              </w:tc>
              <w:tc>
                <w:tcPr>
                  <w:tcW w:w="1707" w:type="pct"/>
                  <w:noWrap w:val="0"/>
                  <w:vAlign w:val="center"/>
                </w:tcPr>
                <w:p w14:paraId="44580C32">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1.4</w:t>
                  </w:r>
                </w:p>
              </w:tc>
              <w:tc>
                <w:tcPr>
                  <w:tcW w:w="2114" w:type="pct"/>
                  <w:vMerge w:val="continue"/>
                  <w:noWrap w:val="0"/>
                  <w:vAlign w:val="center"/>
                </w:tcPr>
                <w:p w14:paraId="50CC1F42">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r>
            <w:tr w14:paraId="6AFE0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9" w:type="pct"/>
                  <w:vMerge w:val="continue"/>
                  <w:noWrap w:val="0"/>
                  <w:vAlign w:val="center"/>
                </w:tcPr>
                <w:p w14:paraId="6CE1E6EF">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c>
                <w:tcPr>
                  <w:tcW w:w="589" w:type="pct"/>
                  <w:noWrap w:val="0"/>
                  <w:vAlign w:val="center"/>
                </w:tcPr>
                <w:p w14:paraId="0137729D">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废油</w:t>
                  </w:r>
                </w:p>
              </w:tc>
              <w:tc>
                <w:tcPr>
                  <w:tcW w:w="1707" w:type="pct"/>
                  <w:noWrap w:val="0"/>
                  <w:vAlign w:val="center"/>
                </w:tcPr>
                <w:p w14:paraId="35120418">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1.7</w:t>
                  </w:r>
                </w:p>
              </w:tc>
              <w:tc>
                <w:tcPr>
                  <w:tcW w:w="2114" w:type="pct"/>
                  <w:vMerge w:val="continue"/>
                  <w:noWrap w:val="0"/>
                  <w:vAlign w:val="center"/>
                </w:tcPr>
                <w:p w14:paraId="1FB4E3BC">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p>
              </w:tc>
            </w:tr>
            <w:tr w14:paraId="21A44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8" w:type="pct"/>
                  <w:gridSpan w:val="2"/>
                  <w:noWrap w:val="0"/>
                  <w:vAlign w:val="center"/>
                </w:tcPr>
                <w:p w14:paraId="090F13B2">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生活垃圾</w:t>
                  </w:r>
                </w:p>
              </w:tc>
              <w:tc>
                <w:tcPr>
                  <w:tcW w:w="1707" w:type="pct"/>
                  <w:noWrap w:val="0"/>
                  <w:vAlign w:val="center"/>
                </w:tcPr>
                <w:p w14:paraId="1F9D8C99">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r>
                    <w:rPr>
                      <w:rFonts w:hint="eastAsia" w:ascii="Times New Roman" w:hAnsi="Times New Roman" w:cs="Times New Roman"/>
                      <w:b w:val="0"/>
                      <w:bCs w:val="0"/>
                      <w:color w:val="auto"/>
                      <w:kern w:val="2"/>
                      <w:sz w:val="21"/>
                      <w:szCs w:val="21"/>
                      <w:highlight w:val="none"/>
                      <w:lang w:val="en-US" w:eastAsia="zh-CN" w:bidi="ar"/>
                    </w:rPr>
                    <w:t>60</w:t>
                  </w:r>
                </w:p>
              </w:tc>
              <w:tc>
                <w:tcPr>
                  <w:tcW w:w="2114" w:type="pct"/>
                  <w:noWrap w:val="0"/>
                  <w:vAlign w:val="center"/>
                </w:tcPr>
                <w:p w14:paraId="24786478">
                  <w:pPr>
                    <w:pStyle w:val="24"/>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2"/>
                      <w:sz w:val="21"/>
                      <w:szCs w:val="21"/>
                      <w:highlight w:val="none"/>
                      <w:lang w:val="en-US" w:eastAsia="zh-CN" w:bidi="ar"/>
                    </w:rPr>
                  </w:pPr>
                  <w:r>
                    <w:rPr>
                      <w:rFonts w:hint="default" w:ascii="Times New Roman" w:hAnsi="Times New Roman" w:cs="Times New Roman"/>
                      <w:b w:val="0"/>
                      <w:bCs w:val="0"/>
                      <w:color w:val="auto"/>
                      <w:kern w:val="2"/>
                      <w:sz w:val="21"/>
                      <w:szCs w:val="21"/>
                      <w:highlight w:val="none"/>
                      <w:lang w:val="en-US" w:eastAsia="zh-CN" w:bidi="ar"/>
                    </w:rPr>
                    <w:t>环卫统一清运</w:t>
                  </w:r>
                </w:p>
              </w:tc>
            </w:tr>
          </w:tbl>
          <w:p w14:paraId="6CF23D62">
            <w:pPr>
              <w:spacing w:line="360" w:lineRule="auto"/>
              <w:ind w:firstLine="480" w:firstLineChars="200"/>
              <w:rPr>
                <w:color w:val="auto"/>
              </w:rPr>
            </w:pPr>
            <w:r>
              <w:rPr>
                <w:rFonts w:hint="eastAsia" w:cs="宋体"/>
                <w:color w:val="auto"/>
                <w:sz w:val="24"/>
                <w:szCs w:val="22"/>
                <w:lang w:bidi="ar"/>
              </w:rPr>
              <w:t>（</w:t>
            </w:r>
            <w:r>
              <w:rPr>
                <w:color w:val="auto"/>
                <w:sz w:val="24"/>
                <w:szCs w:val="22"/>
                <w:lang w:bidi="ar"/>
              </w:rPr>
              <w:t>5</w:t>
            </w:r>
            <w:r>
              <w:rPr>
                <w:rFonts w:hint="eastAsia" w:cs="宋体"/>
                <w:color w:val="auto"/>
                <w:sz w:val="24"/>
                <w:szCs w:val="22"/>
                <w:lang w:bidi="ar"/>
              </w:rPr>
              <w:t>）环境监测</w:t>
            </w:r>
          </w:p>
          <w:p w14:paraId="69C84819">
            <w:pPr>
              <w:spacing w:line="360" w:lineRule="auto"/>
              <w:ind w:firstLine="480" w:firstLineChars="200"/>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cs="Times New Roman"/>
                <w:b w:val="0"/>
                <w:bCs w:val="0"/>
                <w:color w:val="auto"/>
                <w:kern w:val="2"/>
                <w:sz w:val="24"/>
                <w:szCs w:val="24"/>
                <w:vertAlign w:val="baseline"/>
                <w:lang w:val="en-US" w:eastAsia="zh-CN" w:bidi="ar-SA"/>
              </w:rPr>
              <w:t>建设单位</w:t>
            </w:r>
            <w:r>
              <w:rPr>
                <w:rFonts w:hint="eastAsia" w:ascii="Times New Roman" w:hAnsi="Times New Roman" w:eastAsia="宋体" w:cs="Times New Roman"/>
                <w:b w:val="0"/>
                <w:bCs w:val="0"/>
                <w:color w:val="auto"/>
                <w:kern w:val="2"/>
                <w:sz w:val="24"/>
                <w:szCs w:val="24"/>
                <w:vertAlign w:val="baseline"/>
                <w:lang w:val="en-US" w:eastAsia="zh-CN" w:bidi="ar-SA"/>
              </w:rPr>
              <w:t>每季度委托第三方检测机构进行例行废水、废气排放监测。</w:t>
            </w:r>
            <w:r>
              <w:rPr>
                <w:rFonts w:hint="eastAsia" w:cs="Times New Roman"/>
                <w:b w:val="0"/>
                <w:bCs w:val="0"/>
                <w:color w:val="auto"/>
                <w:kern w:val="2"/>
                <w:sz w:val="24"/>
                <w:szCs w:val="24"/>
                <w:vertAlign w:val="baseline"/>
                <w:lang w:val="en-US" w:eastAsia="zh-CN" w:bidi="ar-SA"/>
              </w:rPr>
              <w:t>每季度进行一次噪声、废气排放监测、</w:t>
            </w:r>
            <w:r>
              <w:rPr>
                <w:rFonts w:hint="eastAsia" w:ascii="Times New Roman" w:hAnsi="Times New Roman" w:eastAsia="宋体" w:cs="Times New Roman"/>
                <w:b w:val="0"/>
                <w:bCs w:val="0"/>
                <w:color w:val="auto"/>
                <w:kern w:val="2"/>
                <w:sz w:val="24"/>
                <w:szCs w:val="24"/>
                <w:vertAlign w:val="baseline"/>
                <w:lang w:val="en-US" w:eastAsia="zh-CN" w:bidi="ar-SA"/>
              </w:rPr>
              <w:t>每</w:t>
            </w:r>
            <w:r>
              <w:rPr>
                <w:rFonts w:hint="eastAsia" w:cs="Times New Roman"/>
                <w:b w:val="0"/>
                <w:bCs w:val="0"/>
                <w:color w:val="auto"/>
                <w:kern w:val="2"/>
                <w:sz w:val="24"/>
                <w:szCs w:val="24"/>
                <w:vertAlign w:val="baseline"/>
                <w:lang w:val="en-US" w:eastAsia="zh-CN" w:bidi="ar-SA"/>
              </w:rPr>
              <w:t>半</w:t>
            </w:r>
            <w:r>
              <w:rPr>
                <w:rFonts w:hint="eastAsia" w:ascii="Times New Roman" w:hAnsi="Times New Roman" w:eastAsia="宋体" w:cs="Times New Roman"/>
                <w:b w:val="0"/>
                <w:bCs w:val="0"/>
                <w:color w:val="auto"/>
                <w:kern w:val="2"/>
                <w:sz w:val="24"/>
                <w:szCs w:val="24"/>
                <w:vertAlign w:val="baseline"/>
                <w:lang w:val="en-US" w:eastAsia="zh-CN" w:bidi="ar-SA"/>
              </w:rPr>
              <w:t>年</w:t>
            </w:r>
            <w:r>
              <w:rPr>
                <w:rFonts w:hint="eastAsia" w:cs="Times New Roman"/>
                <w:b w:val="0"/>
                <w:bCs w:val="0"/>
                <w:color w:val="auto"/>
                <w:kern w:val="2"/>
                <w:sz w:val="24"/>
                <w:szCs w:val="24"/>
                <w:vertAlign w:val="baseline"/>
                <w:lang w:val="en-US" w:eastAsia="zh-CN" w:bidi="ar-SA"/>
              </w:rPr>
              <w:t>进行一次</w:t>
            </w:r>
            <w:r>
              <w:rPr>
                <w:rFonts w:hint="eastAsia" w:ascii="Times New Roman" w:hAnsi="Times New Roman" w:eastAsia="宋体" w:cs="Times New Roman"/>
                <w:b w:val="0"/>
                <w:bCs w:val="0"/>
                <w:color w:val="auto"/>
                <w:kern w:val="2"/>
                <w:sz w:val="24"/>
                <w:szCs w:val="24"/>
                <w:vertAlign w:val="baseline"/>
                <w:lang w:val="en-US" w:eastAsia="zh-CN" w:bidi="ar-SA"/>
              </w:rPr>
              <w:t>废水排放监测。</w:t>
            </w:r>
          </w:p>
          <w:p w14:paraId="094CA573">
            <w:pPr>
              <w:spacing w:line="360" w:lineRule="auto"/>
              <w:ind w:firstLine="480" w:firstLineChars="200"/>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ascii="Times New Roman" w:hAnsi="Times New Roman" w:eastAsia="宋体" w:cs="Times New Roman"/>
                <w:b w:val="0"/>
                <w:bCs w:val="0"/>
                <w:color w:val="auto"/>
                <w:kern w:val="2"/>
                <w:sz w:val="24"/>
                <w:szCs w:val="24"/>
                <w:vertAlign w:val="baseline"/>
                <w:lang w:val="en-US" w:eastAsia="zh-CN" w:bidi="ar-SA"/>
              </w:rPr>
              <w:t>（6）环保管理机构</w:t>
            </w:r>
          </w:p>
          <w:p w14:paraId="29562191">
            <w:pPr>
              <w:spacing w:line="360" w:lineRule="auto"/>
              <w:ind w:firstLine="480" w:firstLineChars="200"/>
              <w:rPr>
                <w:rFonts w:hint="eastAsia" w:ascii="Times New Roman" w:hAnsi="Times New Roman" w:eastAsia="宋体" w:cs="Times New Roman"/>
                <w:b w:val="0"/>
                <w:bCs w:val="0"/>
                <w:color w:val="auto"/>
                <w:kern w:val="2"/>
                <w:sz w:val="24"/>
                <w:szCs w:val="24"/>
                <w:vertAlign w:val="baseline"/>
                <w:lang w:val="en-US" w:eastAsia="zh-CN" w:bidi="ar-SA"/>
              </w:rPr>
            </w:pPr>
            <w:r>
              <w:rPr>
                <w:rFonts w:hint="eastAsia" w:ascii="Times New Roman" w:hAnsi="Times New Roman" w:eastAsia="宋体" w:cs="Times New Roman"/>
                <w:b w:val="0"/>
                <w:bCs w:val="0"/>
                <w:color w:val="auto"/>
                <w:kern w:val="2"/>
                <w:sz w:val="24"/>
                <w:szCs w:val="24"/>
                <w:vertAlign w:val="baseline"/>
                <w:lang w:val="en-US" w:eastAsia="zh-CN" w:bidi="ar-SA"/>
              </w:rPr>
              <w:t>为使环保措施落实并正常发挥作用，</w:t>
            </w:r>
            <w:r>
              <w:rPr>
                <w:rFonts w:hint="eastAsia" w:cs="Times New Roman"/>
                <w:b w:val="0"/>
                <w:bCs w:val="0"/>
                <w:color w:val="auto"/>
                <w:kern w:val="2"/>
                <w:sz w:val="24"/>
                <w:szCs w:val="24"/>
                <w:vertAlign w:val="baseline"/>
                <w:lang w:val="en-US" w:eastAsia="zh-CN" w:bidi="ar-SA"/>
              </w:rPr>
              <w:t>建设单位</w:t>
            </w:r>
            <w:r>
              <w:rPr>
                <w:rFonts w:hint="eastAsia" w:ascii="Times New Roman" w:hAnsi="Times New Roman" w:eastAsia="宋体" w:cs="Times New Roman"/>
                <w:b w:val="0"/>
                <w:bCs w:val="0"/>
                <w:color w:val="auto"/>
                <w:kern w:val="2"/>
                <w:sz w:val="24"/>
                <w:szCs w:val="24"/>
                <w:vertAlign w:val="baseline"/>
                <w:lang w:val="en-US" w:eastAsia="zh-CN" w:bidi="ar-SA"/>
              </w:rPr>
              <w:t>设有专门的环保机构，配备专职人员。并建立污染档案。认真贯彻执行国家有关环境保护方面的法规和标准。</w:t>
            </w:r>
          </w:p>
          <w:p w14:paraId="3AF281E2">
            <w:pPr>
              <w:spacing w:line="360" w:lineRule="auto"/>
              <w:ind w:firstLine="480" w:firstLineChars="200"/>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ascii="Times New Roman" w:hAnsi="Times New Roman" w:eastAsia="宋体" w:cs="Times New Roman"/>
                <w:b w:val="0"/>
                <w:bCs w:val="0"/>
                <w:color w:val="auto"/>
                <w:kern w:val="2"/>
                <w:sz w:val="24"/>
                <w:szCs w:val="24"/>
                <w:vertAlign w:val="baseline"/>
                <w:lang w:val="en-US" w:eastAsia="zh-CN" w:bidi="ar-SA"/>
              </w:rPr>
              <w:t>5</w:t>
            </w:r>
            <w:r>
              <w:rPr>
                <w:rFonts w:hint="default" w:ascii="Times New Roman" w:hAnsi="Times New Roman" w:eastAsia="宋体" w:cs="Times New Roman"/>
                <w:b w:val="0"/>
                <w:bCs w:val="0"/>
                <w:color w:val="auto"/>
                <w:kern w:val="2"/>
                <w:sz w:val="24"/>
                <w:szCs w:val="24"/>
                <w:vertAlign w:val="baseline"/>
                <w:lang w:val="en-US" w:eastAsia="zh-CN" w:bidi="ar-SA"/>
              </w:rPr>
              <w:t>、</w:t>
            </w:r>
            <w:r>
              <w:rPr>
                <w:rFonts w:hint="eastAsia" w:ascii="Times New Roman" w:hAnsi="Times New Roman" w:eastAsia="宋体" w:cs="Times New Roman"/>
                <w:b w:val="0"/>
                <w:bCs w:val="0"/>
                <w:color w:val="auto"/>
                <w:kern w:val="2"/>
                <w:sz w:val="24"/>
                <w:szCs w:val="24"/>
                <w:vertAlign w:val="baseline"/>
                <w:lang w:val="en-US" w:eastAsia="zh-CN" w:bidi="ar-SA"/>
              </w:rPr>
              <w:t>现有工程污染物排放量汇总</w:t>
            </w:r>
          </w:p>
          <w:p w14:paraId="23EFA7B7">
            <w:pPr>
              <w:spacing w:line="360" w:lineRule="auto"/>
              <w:ind w:firstLine="480" w:firstLineChars="200"/>
              <w:rPr>
                <w:rFonts w:hint="default" w:ascii="Times New Roman" w:hAnsi="Times New Roman" w:eastAsia="宋体" w:cs="Times New Roman"/>
                <w:b w:val="0"/>
                <w:bCs w:val="0"/>
                <w:color w:val="auto"/>
                <w:kern w:val="2"/>
                <w:sz w:val="24"/>
                <w:szCs w:val="24"/>
                <w:vertAlign w:val="baseline"/>
                <w:lang w:val="en-US" w:eastAsia="zh-CN" w:bidi="ar-SA"/>
              </w:rPr>
            </w:pPr>
            <w:r>
              <w:rPr>
                <w:rFonts w:hint="eastAsia" w:cs="Times New Roman"/>
                <w:b w:val="0"/>
                <w:bCs w:val="0"/>
                <w:color w:val="auto"/>
                <w:kern w:val="2"/>
                <w:sz w:val="24"/>
                <w:szCs w:val="24"/>
                <w:vertAlign w:val="baseline"/>
                <w:lang w:val="en-US" w:eastAsia="zh-CN" w:bidi="ar-SA"/>
              </w:rPr>
              <w:t>本项目</w:t>
            </w:r>
            <w:r>
              <w:rPr>
                <w:rFonts w:hint="default" w:ascii="Times New Roman" w:hAnsi="Times New Roman" w:eastAsia="宋体" w:cs="Times New Roman"/>
                <w:b w:val="0"/>
                <w:bCs w:val="0"/>
                <w:color w:val="auto"/>
                <w:kern w:val="2"/>
                <w:sz w:val="24"/>
                <w:szCs w:val="24"/>
                <w:vertAlign w:val="baseline"/>
                <w:lang w:val="en-US" w:eastAsia="zh-CN" w:bidi="ar-SA"/>
              </w:rPr>
              <w:t>现有工程污染排放量汇总见下表。</w:t>
            </w:r>
            <w:r>
              <w:rPr>
                <w:rFonts w:hint="eastAsia" w:ascii="Times New Roman" w:hAnsi="Times New Roman" w:eastAsia="宋体" w:cs="Times New Roman"/>
                <w:b w:val="0"/>
                <w:bCs w:val="0"/>
                <w:color w:val="auto"/>
                <w:kern w:val="2"/>
                <w:sz w:val="24"/>
                <w:szCs w:val="24"/>
                <w:vertAlign w:val="baseline"/>
                <w:lang w:val="en-US" w:eastAsia="zh-CN" w:bidi="ar-SA"/>
              </w:rPr>
              <w:t>根据企业</w:t>
            </w:r>
            <w:r>
              <w:rPr>
                <w:rFonts w:hint="default" w:ascii="Times New Roman" w:hAnsi="Times New Roman" w:eastAsia="宋体" w:cs="Times New Roman"/>
                <w:b w:val="0"/>
                <w:bCs w:val="0"/>
                <w:color w:val="auto"/>
                <w:kern w:val="2"/>
                <w:sz w:val="24"/>
                <w:szCs w:val="24"/>
                <w:vertAlign w:val="baseline"/>
                <w:lang w:val="en-US" w:eastAsia="zh-CN" w:bidi="ar-SA"/>
              </w:rPr>
              <w:t>排污许可证，许可排放量为颗粒物</w:t>
            </w:r>
            <w:r>
              <w:rPr>
                <w:rFonts w:hint="eastAsia" w:cs="Times New Roman"/>
                <w:b w:val="0"/>
                <w:bCs w:val="0"/>
                <w:color w:val="auto"/>
                <w:kern w:val="2"/>
                <w:sz w:val="24"/>
                <w:szCs w:val="24"/>
                <w:vertAlign w:val="baseline"/>
                <w:lang w:val="en-US" w:eastAsia="zh-CN" w:bidi="ar-SA"/>
              </w:rPr>
              <w:t>171.9</w:t>
            </w:r>
            <w:r>
              <w:rPr>
                <w:rFonts w:hint="default" w:ascii="Times New Roman" w:hAnsi="Times New Roman" w:eastAsia="宋体" w:cs="Times New Roman"/>
                <w:b w:val="0"/>
                <w:bCs w:val="0"/>
                <w:color w:val="auto"/>
                <w:kern w:val="2"/>
                <w:sz w:val="24"/>
                <w:szCs w:val="24"/>
                <w:vertAlign w:val="baseline"/>
                <w:lang w:val="en-US" w:eastAsia="zh-CN" w:bidi="ar-SA"/>
              </w:rPr>
              <w:t>t/a，二氧化硫</w:t>
            </w:r>
            <w:r>
              <w:rPr>
                <w:rFonts w:hint="eastAsia" w:cs="Times New Roman"/>
                <w:b w:val="0"/>
                <w:bCs w:val="0"/>
                <w:color w:val="auto"/>
                <w:kern w:val="2"/>
                <w:sz w:val="24"/>
                <w:szCs w:val="24"/>
                <w:vertAlign w:val="baseline"/>
                <w:lang w:val="en-US" w:eastAsia="zh-CN" w:bidi="ar-SA"/>
              </w:rPr>
              <w:t>162.11</w:t>
            </w:r>
            <w:r>
              <w:rPr>
                <w:rFonts w:hint="default" w:ascii="Times New Roman" w:hAnsi="Times New Roman" w:eastAsia="宋体" w:cs="Times New Roman"/>
                <w:b w:val="0"/>
                <w:bCs w:val="0"/>
                <w:color w:val="auto"/>
                <w:kern w:val="2"/>
                <w:sz w:val="24"/>
                <w:szCs w:val="24"/>
                <w:vertAlign w:val="baseline"/>
                <w:lang w:val="en-US" w:eastAsia="zh-CN" w:bidi="ar-SA"/>
              </w:rPr>
              <w:t>t/a，氮氧化物756.25t/a。根据企业例行监测数据和</w:t>
            </w:r>
            <w:r>
              <w:rPr>
                <w:rFonts w:hint="eastAsia" w:cs="Times New Roman"/>
                <w:b w:val="0"/>
                <w:bCs w:val="0"/>
                <w:color w:val="auto"/>
                <w:kern w:val="2"/>
                <w:sz w:val="24"/>
                <w:szCs w:val="24"/>
                <w:vertAlign w:val="baseline"/>
                <w:lang w:val="en-US" w:eastAsia="zh-CN" w:bidi="ar-SA"/>
              </w:rPr>
              <w:t>2023年</w:t>
            </w:r>
            <w:r>
              <w:rPr>
                <w:rFonts w:hint="default" w:ascii="Times New Roman" w:hAnsi="Times New Roman" w:eastAsia="宋体" w:cs="Times New Roman"/>
                <w:b w:val="0"/>
                <w:bCs w:val="0"/>
                <w:color w:val="auto"/>
                <w:kern w:val="2"/>
                <w:sz w:val="24"/>
                <w:szCs w:val="24"/>
                <w:vertAlign w:val="baseline"/>
                <w:lang w:val="en-US" w:eastAsia="zh-CN" w:bidi="ar-SA"/>
              </w:rPr>
              <w:t>在线监测数据，现有厂区废气污染物排放情况未超过企业现有许可排放量。</w:t>
            </w:r>
          </w:p>
          <w:p w14:paraId="159B95D2">
            <w:pPr>
              <w:keepNext/>
              <w:keepLines/>
              <w:tabs>
                <w:tab w:val="left" w:pos="0"/>
                <w:tab w:val="left" w:pos="180"/>
                <w:tab w:val="left" w:pos="1418"/>
                <w:tab w:val="left" w:pos="2976"/>
              </w:tabs>
              <w:jc w:val="center"/>
              <w:outlineLvl w:val="7"/>
              <w:rPr>
                <w:rFonts w:hint="default" w:ascii="Times New Roman" w:hAnsi="Times New Roman" w:eastAsia="宋体" w:cs="Times New Roman"/>
                <w:b/>
                <w:color w:val="000000"/>
                <w:lang w:val="en-US" w:eastAsia="zh-CN"/>
              </w:rPr>
            </w:pPr>
            <w:r>
              <w:rPr>
                <w:rFonts w:hint="default" w:ascii="Times New Roman" w:hAnsi="Times New Roman" w:eastAsia="宋体" w:cs="Times New Roman"/>
                <w:b/>
                <w:color w:val="000000"/>
                <w:lang w:val="en-US" w:eastAsia="zh-CN"/>
              </w:rPr>
              <w:t>表2</w:t>
            </w:r>
            <w:r>
              <w:rPr>
                <w:rFonts w:hint="eastAsia" w:cs="Times New Roman"/>
                <w:b/>
                <w:color w:val="000000"/>
                <w:lang w:val="en-US" w:eastAsia="zh-CN"/>
              </w:rPr>
              <w:t xml:space="preserve">-45 </w:t>
            </w:r>
            <w:r>
              <w:rPr>
                <w:rFonts w:hint="default" w:ascii="Times New Roman" w:hAnsi="Times New Roman" w:eastAsia="宋体" w:cs="Times New Roman"/>
                <w:b/>
                <w:color w:val="000000"/>
                <w:lang w:val="en-US" w:eastAsia="zh-CN"/>
              </w:rPr>
              <w:t>现有工程污染物排放量汇总一览表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9"/>
              <w:gridCol w:w="2299"/>
              <w:gridCol w:w="2300"/>
              <w:gridCol w:w="2300"/>
            </w:tblGrid>
            <w:tr w14:paraId="3A5CC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99" w:type="dxa"/>
                  <w:vAlign w:val="center"/>
                </w:tcPr>
                <w:p w14:paraId="29156385">
                  <w:pPr>
                    <w:adjustRightInd w:val="0"/>
                    <w:snapToGrid w:val="0"/>
                    <w:jc w:val="center"/>
                    <w:rPr>
                      <w:rFonts w:hint="eastAsia" w:cs="Times New Roman"/>
                      <w:bCs/>
                      <w:color w:val="000000"/>
                      <w:sz w:val="21"/>
                      <w:szCs w:val="21"/>
                      <w:lang w:val="en-US" w:eastAsia="zh-CN"/>
                    </w:rPr>
                  </w:pPr>
                  <w:r>
                    <w:rPr>
                      <w:rFonts w:hint="eastAsia" w:cs="Times New Roman"/>
                      <w:bCs/>
                      <w:color w:val="000000"/>
                      <w:sz w:val="21"/>
                      <w:szCs w:val="21"/>
                      <w:lang w:val="en-US" w:eastAsia="zh-CN"/>
                    </w:rPr>
                    <w:t>类别</w:t>
                  </w:r>
                </w:p>
              </w:tc>
              <w:tc>
                <w:tcPr>
                  <w:tcW w:w="2299" w:type="dxa"/>
                  <w:vAlign w:val="center"/>
                </w:tcPr>
                <w:p w14:paraId="26D76B37">
                  <w:pPr>
                    <w:adjustRightInd w:val="0"/>
                    <w:snapToGrid w:val="0"/>
                    <w:jc w:val="center"/>
                    <w:rPr>
                      <w:rFonts w:hint="eastAsia" w:cs="Times New Roman"/>
                      <w:bCs/>
                      <w:color w:val="000000"/>
                      <w:sz w:val="21"/>
                      <w:szCs w:val="21"/>
                      <w:lang w:val="en-US" w:eastAsia="zh-CN"/>
                    </w:rPr>
                  </w:pPr>
                  <w:r>
                    <w:rPr>
                      <w:rFonts w:hint="eastAsia" w:cs="Times New Roman"/>
                      <w:bCs/>
                      <w:color w:val="000000"/>
                      <w:sz w:val="21"/>
                      <w:szCs w:val="21"/>
                      <w:lang w:val="en-US" w:eastAsia="zh-CN"/>
                    </w:rPr>
                    <w:t>污染物名称</w:t>
                  </w:r>
                </w:p>
              </w:tc>
              <w:tc>
                <w:tcPr>
                  <w:tcW w:w="2300" w:type="dxa"/>
                  <w:vAlign w:val="center"/>
                </w:tcPr>
                <w:p w14:paraId="4A9F8896">
                  <w:pPr>
                    <w:adjustRightInd w:val="0"/>
                    <w:snapToGrid w:val="0"/>
                    <w:jc w:val="center"/>
                    <w:rPr>
                      <w:rFonts w:hint="eastAsia" w:cs="Times New Roman"/>
                      <w:bCs/>
                      <w:color w:val="000000"/>
                      <w:sz w:val="21"/>
                      <w:szCs w:val="21"/>
                      <w:lang w:val="en-US" w:eastAsia="zh-CN"/>
                    </w:rPr>
                  </w:pPr>
                  <w:r>
                    <w:rPr>
                      <w:rFonts w:hint="eastAsia" w:cs="Times New Roman"/>
                      <w:bCs/>
                      <w:color w:val="000000"/>
                      <w:sz w:val="21"/>
                      <w:szCs w:val="21"/>
                      <w:lang w:val="en-US" w:eastAsia="zh-CN"/>
                    </w:rPr>
                    <w:t>排放量</w:t>
                  </w:r>
                </w:p>
              </w:tc>
              <w:tc>
                <w:tcPr>
                  <w:tcW w:w="2300" w:type="dxa"/>
                  <w:vAlign w:val="center"/>
                </w:tcPr>
                <w:p w14:paraId="3799CB47">
                  <w:pPr>
                    <w:adjustRightInd w:val="0"/>
                    <w:snapToGrid w:val="0"/>
                    <w:jc w:val="center"/>
                    <w:rPr>
                      <w:rFonts w:hint="eastAsia" w:eastAsia="宋体" w:cs="Times New Roman"/>
                      <w:bCs/>
                      <w:color w:val="000000"/>
                      <w:sz w:val="21"/>
                      <w:szCs w:val="21"/>
                      <w:lang w:val="en-US" w:eastAsia="zh-CN"/>
                    </w:rPr>
                  </w:pPr>
                  <w:r>
                    <w:rPr>
                      <w:rFonts w:hint="eastAsia" w:cs="Times New Roman"/>
                      <w:bCs/>
                      <w:color w:val="000000"/>
                      <w:sz w:val="21"/>
                      <w:szCs w:val="21"/>
                      <w:lang w:val="en-US" w:eastAsia="zh-CN"/>
                    </w:rPr>
                    <w:t>单位</w:t>
                  </w:r>
                </w:p>
              </w:tc>
            </w:tr>
            <w:tr w14:paraId="4E609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99" w:type="dxa"/>
                  <w:vMerge w:val="restart"/>
                  <w:vAlign w:val="center"/>
                </w:tcPr>
                <w:p w14:paraId="33563AE5">
                  <w:pPr>
                    <w:adjustRightInd w:val="0"/>
                    <w:snapToGrid w:val="0"/>
                    <w:jc w:val="center"/>
                    <w:rPr>
                      <w:rFonts w:hint="eastAsia" w:cs="Times New Roman"/>
                      <w:bCs/>
                      <w:color w:val="auto"/>
                      <w:sz w:val="21"/>
                      <w:szCs w:val="21"/>
                      <w:lang w:val="en-US" w:eastAsia="zh-CN"/>
                    </w:rPr>
                  </w:pPr>
                  <w:r>
                    <w:rPr>
                      <w:rFonts w:hint="eastAsia" w:cs="Times New Roman"/>
                      <w:bCs/>
                      <w:color w:val="auto"/>
                      <w:sz w:val="21"/>
                      <w:szCs w:val="21"/>
                      <w:lang w:val="en-US" w:eastAsia="zh-CN"/>
                    </w:rPr>
                    <w:t>废气</w:t>
                  </w:r>
                </w:p>
              </w:tc>
              <w:tc>
                <w:tcPr>
                  <w:tcW w:w="2299" w:type="dxa"/>
                  <w:vAlign w:val="center"/>
                </w:tcPr>
                <w:p w14:paraId="31CC72FF">
                  <w:pPr>
                    <w:adjustRightInd w:val="0"/>
                    <w:snapToGrid w:val="0"/>
                    <w:jc w:val="center"/>
                    <w:rPr>
                      <w:rFonts w:hint="eastAsia" w:cs="Times New Roman"/>
                      <w:bCs/>
                      <w:color w:val="auto"/>
                      <w:sz w:val="21"/>
                      <w:szCs w:val="21"/>
                      <w:highlight w:val="red"/>
                      <w:lang w:val="en-US" w:eastAsia="zh-CN"/>
                    </w:rPr>
                  </w:pPr>
                  <w:r>
                    <w:rPr>
                      <w:rFonts w:hint="eastAsia" w:cs="Times New Roman"/>
                      <w:bCs/>
                      <w:color w:val="auto"/>
                      <w:sz w:val="21"/>
                      <w:szCs w:val="21"/>
                      <w:highlight w:val="red"/>
                      <w:lang w:val="en-US" w:eastAsia="zh-CN"/>
                    </w:rPr>
                    <w:t>颗粒物（粉尘）</w:t>
                  </w:r>
                </w:p>
              </w:tc>
              <w:tc>
                <w:tcPr>
                  <w:tcW w:w="2300" w:type="dxa"/>
                  <w:vAlign w:val="center"/>
                </w:tcPr>
                <w:p w14:paraId="5FC40806">
                  <w:pPr>
                    <w:adjustRightInd w:val="0"/>
                    <w:snapToGrid w:val="0"/>
                    <w:jc w:val="center"/>
                    <w:rPr>
                      <w:rFonts w:hint="default" w:cs="Times New Roman"/>
                      <w:bCs/>
                      <w:color w:val="auto"/>
                      <w:sz w:val="21"/>
                      <w:szCs w:val="21"/>
                      <w:highlight w:val="red"/>
                      <w:lang w:val="en-US" w:eastAsia="zh-CN"/>
                    </w:rPr>
                  </w:pPr>
                  <w:r>
                    <w:rPr>
                      <w:rFonts w:hint="eastAsia" w:cs="Times New Roman"/>
                      <w:bCs/>
                      <w:color w:val="auto"/>
                      <w:sz w:val="21"/>
                      <w:szCs w:val="21"/>
                      <w:highlight w:val="red"/>
                      <w:lang w:val="en-US" w:eastAsia="zh-CN"/>
                    </w:rPr>
                    <w:t>31.61</w:t>
                  </w:r>
                </w:p>
              </w:tc>
              <w:tc>
                <w:tcPr>
                  <w:tcW w:w="2300" w:type="dxa"/>
                  <w:vAlign w:val="center"/>
                </w:tcPr>
                <w:p w14:paraId="0223DB84">
                  <w:pPr>
                    <w:adjustRightInd w:val="0"/>
                    <w:snapToGrid w:val="0"/>
                    <w:jc w:val="center"/>
                    <w:rPr>
                      <w:rFonts w:hint="default" w:cs="Times New Roman"/>
                      <w:bCs/>
                      <w:color w:val="auto"/>
                      <w:sz w:val="21"/>
                      <w:szCs w:val="21"/>
                      <w:highlight w:val="red"/>
                      <w:lang w:val="en-US" w:eastAsia="zh-CN"/>
                    </w:rPr>
                  </w:pPr>
                  <w:r>
                    <w:rPr>
                      <w:rFonts w:hint="eastAsia" w:cs="Times New Roman"/>
                      <w:bCs/>
                      <w:color w:val="auto"/>
                      <w:sz w:val="21"/>
                      <w:szCs w:val="21"/>
                      <w:highlight w:val="red"/>
                      <w:lang w:val="en-US" w:eastAsia="zh-CN"/>
                    </w:rPr>
                    <w:t>t/a</w:t>
                  </w:r>
                </w:p>
              </w:tc>
            </w:tr>
            <w:tr w14:paraId="43B7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99" w:type="dxa"/>
                  <w:vMerge w:val="continue"/>
                  <w:vAlign w:val="center"/>
                </w:tcPr>
                <w:p w14:paraId="1E5F6D49">
                  <w:pPr>
                    <w:adjustRightInd w:val="0"/>
                    <w:snapToGrid w:val="0"/>
                    <w:jc w:val="center"/>
                    <w:rPr>
                      <w:rFonts w:hint="eastAsia" w:cs="Times New Roman"/>
                      <w:bCs/>
                      <w:color w:val="auto"/>
                      <w:sz w:val="21"/>
                      <w:szCs w:val="21"/>
                      <w:lang w:val="en-US" w:eastAsia="zh-CN"/>
                    </w:rPr>
                  </w:pPr>
                </w:p>
              </w:tc>
              <w:tc>
                <w:tcPr>
                  <w:tcW w:w="2299" w:type="dxa"/>
                  <w:vAlign w:val="center"/>
                </w:tcPr>
                <w:p w14:paraId="1D6F91A7">
                  <w:pPr>
                    <w:adjustRightInd w:val="0"/>
                    <w:snapToGrid w:val="0"/>
                    <w:jc w:val="center"/>
                    <w:rPr>
                      <w:rFonts w:hint="default" w:cs="Times New Roman"/>
                      <w:bCs/>
                      <w:color w:val="auto"/>
                      <w:sz w:val="21"/>
                      <w:szCs w:val="21"/>
                      <w:lang w:val="en-US" w:eastAsia="zh-CN"/>
                    </w:rPr>
                  </w:pPr>
                  <w:r>
                    <w:rPr>
                      <w:rFonts w:hint="eastAsia" w:cs="Times New Roman"/>
                      <w:bCs/>
                      <w:color w:val="auto"/>
                      <w:sz w:val="21"/>
                      <w:szCs w:val="21"/>
                      <w:lang w:val="en-US" w:eastAsia="zh-CN"/>
                    </w:rPr>
                    <w:t>SO</w:t>
                  </w:r>
                  <w:r>
                    <w:rPr>
                      <w:rFonts w:hint="eastAsia" w:cs="Times New Roman"/>
                      <w:bCs/>
                      <w:color w:val="auto"/>
                      <w:sz w:val="21"/>
                      <w:szCs w:val="21"/>
                      <w:vertAlign w:val="subscript"/>
                      <w:lang w:val="en-US" w:eastAsia="zh-CN"/>
                    </w:rPr>
                    <w:t>2</w:t>
                  </w:r>
                </w:p>
              </w:tc>
              <w:tc>
                <w:tcPr>
                  <w:tcW w:w="2300" w:type="dxa"/>
                  <w:vAlign w:val="center"/>
                </w:tcPr>
                <w:p w14:paraId="49026FFA">
                  <w:pPr>
                    <w:adjustRightInd w:val="0"/>
                    <w:snapToGrid w:val="0"/>
                    <w:jc w:val="center"/>
                    <w:rPr>
                      <w:rFonts w:hint="default" w:cs="Times New Roman"/>
                      <w:bCs/>
                      <w:color w:val="auto"/>
                      <w:sz w:val="21"/>
                      <w:szCs w:val="21"/>
                      <w:lang w:val="en-US" w:eastAsia="zh-CN"/>
                    </w:rPr>
                  </w:pPr>
                  <w:r>
                    <w:rPr>
                      <w:rFonts w:hint="eastAsia" w:cs="Times New Roman"/>
                      <w:bCs/>
                      <w:color w:val="auto"/>
                      <w:sz w:val="21"/>
                      <w:szCs w:val="21"/>
                      <w:lang w:val="en-US" w:eastAsia="zh-CN"/>
                    </w:rPr>
                    <w:t>57.20</w:t>
                  </w:r>
                </w:p>
              </w:tc>
              <w:tc>
                <w:tcPr>
                  <w:tcW w:w="2300" w:type="dxa"/>
                  <w:vAlign w:val="center"/>
                </w:tcPr>
                <w:p w14:paraId="2CC3492A">
                  <w:pPr>
                    <w:adjustRightInd w:val="0"/>
                    <w:snapToGrid w:val="0"/>
                    <w:jc w:val="center"/>
                    <w:rPr>
                      <w:rFonts w:hint="default" w:cs="Times New Roman"/>
                      <w:bCs/>
                      <w:color w:val="auto"/>
                      <w:sz w:val="21"/>
                      <w:szCs w:val="21"/>
                      <w:lang w:val="en-US" w:eastAsia="zh-CN"/>
                    </w:rPr>
                  </w:pPr>
                  <w:r>
                    <w:rPr>
                      <w:rFonts w:hint="eastAsia" w:cs="Times New Roman"/>
                      <w:bCs/>
                      <w:color w:val="auto"/>
                      <w:sz w:val="21"/>
                      <w:szCs w:val="21"/>
                      <w:lang w:val="en-US" w:eastAsia="zh-CN"/>
                    </w:rPr>
                    <w:t>t/a</w:t>
                  </w:r>
                </w:p>
              </w:tc>
            </w:tr>
            <w:tr w14:paraId="230EB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99" w:type="dxa"/>
                  <w:vMerge w:val="continue"/>
                  <w:vAlign w:val="center"/>
                </w:tcPr>
                <w:p w14:paraId="2DBE1894">
                  <w:pPr>
                    <w:adjustRightInd w:val="0"/>
                    <w:snapToGrid w:val="0"/>
                    <w:jc w:val="center"/>
                    <w:rPr>
                      <w:rFonts w:hint="eastAsia" w:cs="Times New Roman"/>
                      <w:bCs/>
                      <w:color w:val="auto"/>
                      <w:sz w:val="21"/>
                      <w:szCs w:val="21"/>
                      <w:lang w:val="en-US" w:eastAsia="zh-CN"/>
                    </w:rPr>
                  </w:pPr>
                </w:p>
              </w:tc>
              <w:tc>
                <w:tcPr>
                  <w:tcW w:w="2299" w:type="dxa"/>
                  <w:vAlign w:val="center"/>
                </w:tcPr>
                <w:p w14:paraId="00896510">
                  <w:pPr>
                    <w:adjustRightInd w:val="0"/>
                    <w:snapToGrid w:val="0"/>
                    <w:jc w:val="center"/>
                    <w:rPr>
                      <w:rFonts w:hint="default" w:cs="Times New Roman"/>
                      <w:bCs/>
                      <w:color w:val="auto"/>
                      <w:sz w:val="21"/>
                      <w:szCs w:val="21"/>
                      <w:lang w:val="en-US" w:eastAsia="zh-CN"/>
                    </w:rPr>
                  </w:pPr>
                  <w:r>
                    <w:rPr>
                      <w:rFonts w:hint="eastAsia" w:cs="Times New Roman"/>
                      <w:bCs/>
                      <w:color w:val="auto"/>
                      <w:sz w:val="21"/>
                      <w:szCs w:val="21"/>
                      <w:lang w:val="en-US" w:eastAsia="zh-CN"/>
                    </w:rPr>
                    <w:t>NO</w:t>
                  </w:r>
                  <w:r>
                    <w:rPr>
                      <w:rFonts w:hint="eastAsia" w:cs="Times New Roman"/>
                      <w:bCs/>
                      <w:color w:val="auto"/>
                      <w:sz w:val="21"/>
                      <w:szCs w:val="21"/>
                      <w:vertAlign w:val="baseline"/>
                      <w:lang w:val="en-US" w:eastAsia="zh-CN"/>
                    </w:rPr>
                    <w:t>x</w:t>
                  </w:r>
                </w:p>
              </w:tc>
              <w:tc>
                <w:tcPr>
                  <w:tcW w:w="2300" w:type="dxa"/>
                  <w:vAlign w:val="center"/>
                </w:tcPr>
                <w:p w14:paraId="372EA915">
                  <w:pPr>
                    <w:adjustRightInd w:val="0"/>
                    <w:snapToGrid w:val="0"/>
                    <w:jc w:val="center"/>
                    <w:rPr>
                      <w:rFonts w:hint="default" w:cs="Times New Roman"/>
                      <w:bCs/>
                      <w:color w:val="auto"/>
                      <w:sz w:val="21"/>
                      <w:szCs w:val="21"/>
                      <w:lang w:val="en-US" w:eastAsia="zh-CN"/>
                    </w:rPr>
                  </w:pPr>
                  <w:r>
                    <w:rPr>
                      <w:rFonts w:hint="eastAsia" w:cs="Times New Roman"/>
                      <w:bCs/>
                      <w:color w:val="auto"/>
                      <w:sz w:val="21"/>
                      <w:szCs w:val="21"/>
                      <w:lang w:val="en-US" w:eastAsia="zh-CN"/>
                    </w:rPr>
                    <w:t>415.72</w:t>
                  </w:r>
                </w:p>
              </w:tc>
              <w:tc>
                <w:tcPr>
                  <w:tcW w:w="2300" w:type="dxa"/>
                  <w:vAlign w:val="center"/>
                </w:tcPr>
                <w:p w14:paraId="32EC800D">
                  <w:pPr>
                    <w:adjustRightInd w:val="0"/>
                    <w:snapToGrid w:val="0"/>
                    <w:jc w:val="center"/>
                    <w:rPr>
                      <w:rFonts w:hint="default" w:cs="Times New Roman"/>
                      <w:bCs/>
                      <w:color w:val="auto"/>
                      <w:sz w:val="21"/>
                      <w:szCs w:val="21"/>
                      <w:lang w:val="en-US" w:eastAsia="zh-CN"/>
                    </w:rPr>
                  </w:pPr>
                  <w:r>
                    <w:rPr>
                      <w:rFonts w:hint="eastAsia" w:cs="Times New Roman"/>
                      <w:bCs/>
                      <w:color w:val="auto"/>
                      <w:sz w:val="21"/>
                      <w:szCs w:val="21"/>
                      <w:lang w:val="en-US" w:eastAsia="zh-CN"/>
                    </w:rPr>
                    <w:t>t/a</w:t>
                  </w:r>
                </w:p>
              </w:tc>
            </w:tr>
            <w:tr w14:paraId="0963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99" w:type="dxa"/>
                  <w:vMerge w:val="restart"/>
                  <w:vAlign w:val="center"/>
                </w:tcPr>
                <w:p w14:paraId="3AD200FC">
                  <w:pPr>
                    <w:adjustRightInd w:val="0"/>
                    <w:snapToGrid w:val="0"/>
                    <w:jc w:val="center"/>
                    <w:rPr>
                      <w:rFonts w:hint="eastAsia" w:cs="Times New Roman"/>
                      <w:bCs/>
                      <w:color w:val="auto"/>
                      <w:sz w:val="21"/>
                      <w:szCs w:val="21"/>
                      <w:lang w:val="en-US" w:eastAsia="zh-CN"/>
                    </w:rPr>
                  </w:pPr>
                  <w:r>
                    <w:rPr>
                      <w:rFonts w:hint="eastAsia" w:cs="Times New Roman"/>
                      <w:bCs/>
                      <w:color w:val="auto"/>
                      <w:sz w:val="21"/>
                      <w:szCs w:val="21"/>
                      <w:lang w:val="en-US" w:eastAsia="zh-CN"/>
                    </w:rPr>
                    <w:t>废水</w:t>
                  </w:r>
                </w:p>
              </w:tc>
              <w:tc>
                <w:tcPr>
                  <w:tcW w:w="2299" w:type="dxa"/>
                  <w:vAlign w:val="center"/>
                </w:tcPr>
                <w:p w14:paraId="7638B6BE">
                  <w:pPr>
                    <w:adjustRightInd w:val="0"/>
                    <w:snapToGrid w:val="0"/>
                    <w:jc w:val="center"/>
                    <w:rPr>
                      <w:rFonts w:hint="eastAsia" w:cs="Times New Roman"/>
                      <w:bCs/>
                      <w:color w:val="auto"/>
                      <w:sz w:val="21"/>
                      <w:szCs w:val="21"/>
                      <w:lang w:val="en-US" w:eastAsia="zh-CN"/>
                    </w:rPr>
                  </w:pPr>
                  <w:r>
                    <w:rPr>
                      <w:rFonts w:hint="eastAsia" w:cs="Times New Roman"/>
                      <w:bCs/>
                      <w:color w:val="auto"/>
                      <w:sz w:val="21"/>
                      <w:szCs w:val="21"/>
                      <w:lang w:val="en-US" w:eastAsia="zh-CN"/>
                    </w:rPr>
                    <w:t>废水量</w:t>
                  </w:r>
                </w:p>
              </w:tc>
              <w:tc>
                <w:tcPr>
                  <w:tcW w:w="2300" w:type="dxa"/>
                  <w:vAlign w:val="center"/>
                </w:tcPr>
                <w:p w14:paraId="4C8A5BB0">
                  <w:pPr>
                    <w:adjustRightInd w:val="0"/>
                    <w:snapToGrid w:val="0"/>
                    <w:jc w:val="center"/>
                    <w:rPr>
                      <w:rFonts w:hint="default" w:cs="Times New Roman"/>
                      <w:bCs/>
                      <w:color w:val="auto"/>
                      <w:sz w:val="21"/>
                      <w:szCs w:val="21"/>
                      <w:lang w:val="en-US" w:eastAsia="zh-CN"/>
                    </w:rPr>
                  </w:pPr>
                  <w:r>
                    <w:rPr>
                      <w:rFonts w:hint="eastAsia" w:cs="Times New Roman"/>
                      <w:bCs/>
                      <w:color w:val="auto"/>
                      <w:sz w:val="21"/>
                      <w:szCs w:val="21"/>
                      <w:lang w:val="en-US" w:eastAsia="zh-CN"/>
                    </w:rPr>
                    <w:t>15.34</w:t>
                  </w:r>
                </w:p>
              </w:tc>
              <w:tc>
                <w:tcPr>
                  <w:tcW w:w="2300" w:type="dxa"/>
                  <w:vAlign w:val="center"/>
                </w:tcPr>
                <w:p w14:paraId="2929E859">
                  <w:pPr>
                    <w:adjustRightInd w:val="0"/>
                    <w:snapToGrid w:val="0"/>
                    <w:jc w:val="center"/>
                    <w:rPr>
                      <w:rFonts w:hint="eastAsia" w:cs="Times New Roman"/>
                      <w:bCs/>
                      <w:color w:val="auto"/>
                      <w:sz w:val="21"/>
                      <w:szCs w:val="21"/>
                      <w:lang w:val="en-US" w:eastAsia="zh-CN"/>
                    </w:rPr>
                  </w:pPr>
                  <w:r>
                    <w:rPr>
                      <w:rFonts w:hint="eastAsia" w:cs="Times New Roman"/>
                      <w:bCs/>
                      <w:color w:val="auto"/>
                      <w:sz w:val="21"/>
                      <w:szCs w:val="21"/>
                      <w:lang w:val="en-US" w:eastAsia="zh-CN"/>
                    </w:rPr>
                    <w:t>万t/a</w:t>
                  </w:r>
                </w:p>
              </w:tc>
            </w:tr>
            <w:tr w14:paraId="5FC50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99" w:type="dxa"/>
                  <w:vMerge w:val="continue"/>
                  <w:vAlign w:val="center"/>
                </w:tcPr>
                <w:p w14:paraId="43051EE6">
                  <w:pPr>
                    <w:adjustRightInd w:val="0"/>
                    <w:snapToGrid w:val="0"/>
                    <w:jc w:val="center"/>
                    <w:rPr>
                      <w:rFonts w:hint="eastAsia" w:cs="Times New Roman"/>
                      <w:bCs/>
                      <w:color w:val="auto"/>
                      <w:sz w:val="21"/>
                      <w:szCs w:val="21"/>
                      <w:lang w:val="en-US" w:eastAsia="zh-CN"/>
                    </w:rPr>
                  </w:pPr>
                </w:p>
              </w:tc>
              <w:tc>
                <w:tcPr>
                  <w:tcW w:w="2299" w:type="dxa"/>
                  <w:vAlign w:val="center"/>
                </w:tcPr>
                <w:p w14:paraId="20D63B4C">
                  <w:pPr>
                    <w:adjustRightInd w:val="0"/>
                    <w:snapToGrid w:val="0"/>
                    <w:jc w:val="center"/>
                    <w:rPr>
                      <w:rFonts w:hint="default" w:cs="Times New Roman"/>
                      <w:bCs/>
                      <w:color w:val="auto"/>
                      <w:sz w:val="21"/>
                      <w:szCs w:val="21"/>
                      <w:lang w:val="en-US" w:eastAsia="zh-CN"/>
                    </w:rPr>
                  </w:pPr>
                  <w:r>
                    <w:rPr>
                      <w:rFonts w:hint="eastAsia" w:cs="Times New Roman"/>
                      <w:bCs/>
                      <w:color w:val="auto"/>
                      <w:sz w:val="21"/>
                      <w:szCs w:val="21"/>
                      <w:lang w:val="en-US" w:eastAsia="zh-CN"/>
                    </w:rPr>
                    <w:t>COD</w:t>
                  </w:r>
                </w:p>
              </w:tc>
              <w:tc>
                <w:tcPr>
                  <w:tcW w:w="2300" w:type="dxa"/>
                  <w:vAlign w:val="center"/>
                </w:tcPr>
                <w:p w14:paraId="5447A2A5">
                  <w:pPr>
                    <w:adjustRightInd w:val="0"/>
                    <w:snapToGrid w:val="0"/>
                    <w:jc w:val="center"/>
                    <w:rPr>
                      <w:rFonts w:hint="default" w:cs="Times New Roman"/>
                      <w:bCs/>
                      <w:color w:val="auto"/>
                      <w:sz w:val="21"/>
                      <w:szCs w:val="21"/>
                      <w:lang w:val="en-US" w:eastAsia="zh-CN"/>
                    </w:rPr>
                  </w:pPr>
                  <w:r>
                    <w:rPr>
                      <w:rFonts w:hint="eastAsia" w:cs="Times New Roman"/>
                      <w:bCs/>
                      <w:color w:val="auto"/>
                      <w:sz w:val="21"/>
                      <w:szCs w:val="21"/>
                      <w:lang w:val="en-US" w:eastAsia="zh-CN"/>
                    </w:rPr>
                    <w:t>0.67</w:t>
                  </w:r>
                </w:p>
              </w:tc>
              <w:tc>
                <w:tcPr>
                  <w:tcW w:w="2300" w:type="dxa"/>
                  <w:vAlign w:val="center"/>
                </w:tcPr>
                <w:p w14:paraId="65FE55B9">
                  <w:pPr>
                    <w:adjustRightInd w:val="0"/>
                    <w:snapToGrid w:val="0"/>
                    <w:jc w:val="center"/>
                    <w:rPr>
                      <w:rFonts w:hint="eastAsia" w:cs="Times New Roman"/>
                      <w:bCs/>
                      <w:color w:val="auto"/>
                      <w:sz w:val="21"/>
                      <w:szCs w:val="21"/>
                      <w:lang w:val="en-US" w:eastAsia="zh-CN"/>
                    </w:rPr>
                  </w:pPr>
                  <w:r>
                    <w:rPr>
                      <w:rFonts w:hint="eastAsia" w:cs="Times New Roman"/>
                      <w:bCs/>
                      <w:color w:val="auto"/>
                      <w:sz w:val="21"/>
                      <w:szCs w:val="21"/>
                      <w:lang w:val="en-US" w:eastAsia="zh-CN"/>
                    </w:rPr>
                    <w:t>t/a</w:t>
                  </w:r>
                </w:p>
              </w:tc>
            </w:tr>
            <w:tr w14:paraId="29BF1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99" w:type="dxa"/>
                  <w:vMerge w:val="continue"/>
                  <w:vAlign w:val="center"/>
                </w:tcPr>
                <w:p w14:paraId="379859BF">
                  <w:pPr>
                    <w:adjustRightInd w:val="0"/>
                    <w:snapToGrid w:val="0"/>
                    <w:jc w:val="center"/>
                    <w:rPr>
                      <w:rFonts w:hint="eastAsia" w:cs="Times New Roman"/>
                      <w:bCs/>
                      <w:color w:val="auto"/>
                      <w:sz w:val="21"/>
                      <w:szCs w:val="21"/>
                      <w:lang w:val="en-US" w:eastAsia="zh-CN"/>
                    </w:rPr>
                  </w:pPr>
                </w:p>
              </w:tc>
              <w:tc>
                <w:tcPr>
                  <w:tcW w:w="2299" w:type="dxa"/>
                  <w:vAlign w:val="center"/>
                </w:tcPr>
                <w:p w14:paraId="3008CDBE">
                  <w:pPr>
                    <w:adjustRightInd w:val="0"/>
                    <w:snapToGrid w:val="0"/>
                    <w:jc w:val="center"/>
                    <w:rPr>
                      <w:rFonts w:hint="eastAsia" w:cs="Times New Roman"/>
                      <w:bCs/>
                      <w:color w:val="auto"/>
                      <w:sz w:val="21"/>
                      <w:szCs w:val="21"/>
                      <w:lang w:val="en-US" w:eastAsia="zh-CN"/>
                    </w:rPr>
                  </w:pPr>
                  <w:r>
                    <w:rPr>
                      <w:rFonts w:hint="eastAsia" w:cs="Times New Roman"/>
                      <w:bCs/>
                      <w:color w:val="auto"/>
                      <w:sz w:val="21"/>
                      <w:szCs w:val="21"/>
                      <w:lang w:val="en-US" w:eastAsia="zh-CN"/>
                    </w:rPr>
                    <w:t>氨氮</w:t>
                  </w:r>
                </w:p>
              </w:tc>
              <w:tc>
                <w:tcPr>
                  <w:tcW w:w="2300" w:type="dxa"/>
                  <w:vAlign w:val="center"/>
                </w:tcPr>
                <w:p w14:paraId="04D731C8">
                  <w:pPr>
                    <w:adjustRightInd w:val="0"/>
                    <w:snapToGrid w:val="0"/>
                    <w:jc w:val="center"/>
                    <w:rPr>
                      <w:rFonts w:hint="default" w:cs="Times New Roman"/>
                      <w:bCs/>
                      <w:color w:val="auto"/>
                      <w:sz w:val="21"/>
                      <w:szCs w:val="21"/>
                      <w:lang w:val="en-US" w:eastAsia="zh-CN"/>
                    </w:rPr>
                  </w:pPr>
                  <w:r>
                    <w:rPr>
                      <w:rFonts w:hint="eastAsia" w:cs="Times New Roman"/>
                      <w:bCs/>
                      <w:color w:val="auto"/>
                      <w:sz w:val="21"/>
                      <w:szCs w:val="21"/>
                      <w:lang w:val="en-US" w:eastAsia="zh-CN"/>
                    </w:rPr>
                    <w:t>0.13</w:t>
                  </w:r>
                </w:p>
              </w:tc>
              <w:tc>
                <w:tcPr>
                  <w:tcW w:w="2300" w:type="dxa"/>
                  <w:vAlign w:val="center"/>
                </w:tcPr>
                <w:p w14:paraId="5FFBF1D8">
                  <w:pPr>
                    <w:adjustRightInd w:val="0"/>
                    <w:snapToGrid w:val="0"/>
                    <w:jc w:val="center"/>
                    <w:rPr>
                      <w:rFonts w:hint="eastAsia" w:cs="Times New Roman"/>
                      <w:bCs/>
                      <w:color w:val="auto"/>
                      <w:sz w:val="21"/>
                      <w:szCs w:val="21"/>
                      <w:lang w:val="en-US" w:eastAsia="zh-CN"/>
                    </w:rPr>
                  </w:pPr>
                  <w:r>
                    <w:rPr>
                      <w:rFonts w:hint="eastAsia" w:cs="Times New Roman"/>
                      <w:bCs/>
                      <w:color w:val="auto"/>
                      <w:sz w:val="21"/>
                      <w:szCs w:val="21"/>
                      <w:lang w:val="en-US" w:eastAsia="zh-CN"/>
                    </w:rPr>
                    <w:t>t/a</w:t>
                  </w:r>
                </w:p>
              </w:tc>
            </w:tr>
            <w:tr w14:paraId="77CF3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99" w:type="dxa"/>
                  <w:vMerge w:val="restart"/>
                  <w:vAlign w:val="center"/>
                </w:tcPr>
                <w:p w14:paraId="3F26817C">
                  <w:pPr>
                    <w:adjustRightInd w:val="0"/>
                    <w:snapToGrid w:val="0"/>
                    <w:jc w:val="center"/>
                    <w:rPr>
                      <w:rFonts w:hint="eastAsia" w:cs="Times New Roman"/>
                      <w:bCs/>
                      <w:color w:val="auto"/>
                      <w:sz w:val="21"/>
                      <w:szCs w:val="21"/>
                      <w:lang w:val="en-US" w:eastAsia="zh-CN"/>
                    </w:rPr>
                  </w:pPr>
                  <w:r>
                    <w:rPr>
                      <w:rFonts w:hint="eastAsia" w:cs="Times New Roman"/>
                      <w:bCs/>
                      <w:color w:val="auto"/>
                      <w:sz w:val="21"/>
                      <w:szCs w:val="21"/>
                      <w:lang w:val="en-US" w:eastAsia="zh-CN"/>
                    </w:rPr>
                    <w:t>固废</w:t>
                  </w:r>
                </w:p>
              </w:tc>
              <w:tc>
                <w:tcPr>
                  <w:tcW w:w="2299" w:type="dxa"/>
                  <w:vAlign w:val="center"/>
                </w:tcPr>
                <w:p w14:paraId="26F90DBD">
                  <w:pPr>
                    <w:adjustRightInd w:val="0"/>
                    <w:snapToGrid w:val="0"/>
                    <w:jc w:val="center"/>
                    <w:rPr>
                      <w:rFonts w:hint="eastAsia" w:cs="Times New Roman"/>
                      <w:bCs/>
                      <w:color w:val="auto"/>
                      <w:sz w:val="21"/>
                      <w:szCs w:val="21"/>
                      <w:lang w:val="en-US" w:eastAsia="zh-CN"/>
                    </w:rPr>
                  </w:pPr>
                  <w:r>
                    <w:rPr>
                      <w:rFonts w:hint="eastAsia" w:cs="Times New Roman"/>
                      <w:bCs/>
                      <w:color w:val="auto"/>
                      <w:sz w:val="21"/>
                      <w:szCs w:val="21"/>
                      <w:lang w:val="en-US" w:eastAsia="zh-CN"/>
                    </w:rPr>
                    <w:t>一般固废</w:t>
                  </w:r>
                </w:p>
              </w:tc>
              <w:tc>
                <w:tcPr>
                  <w:tcW w:w="2300" w:type="dxa"/>
                  <w:vAlign w:val="center"/>
                </w:tcPr>
                <w:p w14:paraId="2637E95F">
                  <w:pPr>
                    <w:adjustRightInd w:val="0"/>
                    <w:snapToGrid w:val="0"/>
                    <w:jc w:val="center"/>
                    <w:rPr>
                      <w:rFonts w:hint="default" w:cs="Times New Roman"/>
                      <w:bCs/>
                      <w:color w:val="auto"/>
                      <w:sz w:val="21"/>
                      <w:szCs w:val="21"/>
                      <w:lang w:val="en-US" w:eastAsia="zh-CN"/>
                    </w:rPr>
                  </w:pPr>
                  <w:r>
                    <w:rPr>
                      <w:rFonts w:hint="eastAsia" w:cs="Times New Roman"/>
                      <w:bCs/>
                      <w:color w:val="auto"/>
                      <w:sz w:val="21"/>
                      <w:szCs w:val="21"/>
                      <w:lang w:val="en-US" w:eastAsia="zh-CN"/>
                    </w:rPr>
                    <w:t>483300</w:t>
                  </w:r>
                </w:p>
              </w:tc>
              <w:tc>
                <w:tcPr>
                  <w:tcW w:w="2300" w:type="dxa"/>
                  <w:vAlign w:val="center"/>
                </w:tcPr>
                <w:p w14:paraId="69964E7B">
                  <w:pPr>
                    <w:jc w:val="center"/>
                    <w:rPr>
                      <w:rFonts w:hint="eastAsia" w:cs="Times New Roman"/>
                      <w:bCs/>
                      <w:color w:val="auto"/>
                      <w:sz w:val="21"/>
                      <w:szCs w:val="21"/>
                      <w:lang w:val="en-US" w:eastAsia="zh-CN"/>
                    </w:rPr>
                  </w:pPr>
                  <w:r>
                    <w:rPr>
                      <w:rFonts w:hint="default" w:ascii="Times New Roman" w:hAnsi="Times New Roman" w:cs="Times New Roman"/>
                      <w:color w:val="auto"/>
                      <w:sz w:val="21"/>
                      <w:szCs w:val="21"/>
                      <w:highlight w:val="none"/>
                    </w:rPr>
                    <w:t>t/a</w:t>
                  </w:r>
                </w:p>
              </w:tc>
            </w:tr>
            <w:tr w14:paraId="62EB9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99" w:type="dxa"/>
                  <w:vMerge w:val="continue"/>
                  <w:vAlign w:val="center"/>
                </w:tcPr>
                <w:p w14:paraId="57F14ABB">
                  <w:pPr>
                    <w:adjustRightInd w:val="0"/>
                    <w:snapToGrid w:val="0"/>
                    <w:jc w:val="center"/>
                    <w:rPr>
                      <w:rFonts w:hint="eastAsia" w:cs="Times New Roman"/>
                      <w:bCs/>
                      <w:color w:val="auto"/>
                      <w:sz w:val="21"/>
                      <w:szCs w:val="21"/>
                      <w:lang w:val="en-US" w:eastAsia="zh-CN"/>
                    </w:rPr>
                  </w:pPr>
                </w:p>
              </w:tc>
              <w:tc>
                <w:tcPr>
                  <w:tcW w:w="2299" w:type="dxa"/>
                  <w:vAlign w:val="center"/>
                </w:tcPr>
                <w:p w14:paraId="5400641B">
                  <w:pPr>
                    <w:adjustRightInd w:val="0"/>
                    <w:snapToGrid w:val="0"/>
                    <w:jc w:val="center"/>
                    <w:rPr>
                      <w:rFonts w:hint="eastAsia" w:cs="Times New Roman"/>
                      <w:bCs/>
                      <w:color w:val="auto"/>
                      <w:sz w:val="21"/>
                      <w:szCs w:val="21"/>
                      <w:lang w:val="en-US" w:eastAsia="zh-CN"/>
                    </w:rPr>
                  </w:pPr>
                  <w:r>
                    <w:rPr>
                      <w:rFonts w:hint="eastAsia" w:cs="Times New Roman"/>
                      <w:bCs/>
                      <w:color w:val="auto"/>
                      <w:sz w:val="21"/>
                      <w:szCs w:val="21"/>
                      <w:lang w:val="en-US" w:eastAsia="zh-CN"/>
                    </w:rPr>
                    <w:t>危险废物</w:t>
                  </w:r>
                </w:p>
              </w:tc>
              <w:tc>
                <w:tcPr>
                  <w:tcW w:w="2300" w:type="dxa"/>
                  <w:vAlign w:val="center"/>
                </w:tcPr>
                <w:p w14:paraId="296653B5">
                  <w:pPr>
                    <w:adjustRightInd w:val="0"/>
                    <w:snapToGrid w:val="0"/>
                    <w:jc w:val="center"/>
                    <w:rPr>
                      <w:rFonts w:hint="default" w:cs="Times New Roman"/>
                      <w:bCs/>
                      <w:color w:val="auto"/>
                      <w:sz w:val="21"/>
                      <w:szCs w:val="21"/>
                      <w:lang w:val="en-US" w:eastAsia="zh-CN"/>
                    </w:rPr>
                  </w:pPr>
                  <w:r>
                    <w:rPr>
                      <w:rFonts w:hint="eastAsia" w:cs="Times New Roman"/>
                      <w:bCs/>
                      <w:color w:val="auto"/>
                      <w:sz w:val="21"/>
                      <w:szCs w:val="21"/>
                      <w:lang w:val="en-US" w:eastAsia="zh-CN"/>
                    </w:rPr>
                    <w:t>47.85</w:t>
                  </w:r>
                </w:p>
              </w:tc>
              <w:tc>
                <w:tcPr>
                  <w:tcW w:w="2300" w:type="dxa"/>
                  <w:vAlign w:val="center"/>
                </w:tcPr>
                <w:p w14:paraId="58AF5494">
                  <w:pPr>
                    <w:jc w:val="center"/>
                    <w:rPr>
                      <w:rFonts w:hint="eastAsia" w:cs="Times New Roman"/>
                      <w:bCs/>
                      <w:color w:val="auto"/>
                      <w:sz w:val="21"/>
                      <w:szCs w:val="21"/>
                      <w:lang w:val="en-US" w:eastAsia="zh-CN"/>
                    </w:rPr>
                  </w:pPr>
                  <w:r>
                    <w:rPr>
                      <w:rFonts w:hint="default" w:ascii="Times New Roman" w:hAnsi="Times New Roman" w:cs="Times New Roman"/>
                      <w:color w:val="auto"/>
                      <w:sz w:val="21"/>
                      <w:szCs w:val="21"/>
                      <w:highlight w:val="none"/>
                    </w:rPr>
                    <w:t>t/a</w:t>
                  </w:r>
                </w:p>
              </w:tc>
            </w:tr>
            <w:tr w14:paraId="52772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99" w:type="dxa"/>
                  <w:vMerge w:val="continue"/>
                  <w:vAlign w:val="center"/>
                </w:tcPr>
                <w:p w14:paraId="7EBD922E">
                  <w:pPr>
                    <w:adjustRightInd w:val="0"/>
                    <w:snapToGrid w:val="0"/>
                    <w:jc w:val="center"/>
                    <w:rPr>
                      <w:rFonts w:hint="eastAsia" w:cs="Times New Roman"/>
                      <w:bCs/>
                      <w:color w:val="auto"/>
                      <w:sz w:val="21"/>
                      <w:szCs w:val="21"/>
                      <w:lang w:val="en-US" w:eastAsia="zh-CN"/>
                    </w:rPr>
                  </w:pPr>
                </w:p>
              </w:tc>
              <w:tc>
                <w:tcPr>
                  <w:tcW w:w="2299" w:type="dxa"/>
                  <w:vAlign w:val="center"/>
                </w:tcPr>
                <w:p w14:paraId="028BFEAC">
                  <w:pPr>
                    <w:adjustRightInd w:val="0"/>
                    <w:snapToGrid w:val="0"/>
                    <w:jc w:val="center"/>
                    <w:rPr>
                      <w:rFonts w:hint="eastAsia" w:cs="Times New Roman"/>
                      <w:bCs/>
                      <w:color w:val="auto"/>
                      <w:sz w:val="21"/>
                      <w:szCs w:val="21"/>
                      <w:lang w:val="en-US" w:eastAsia="zh-CN"/>
                    </w:rPr>
                  </w:pPr>
                  <w:r>
                    <w:rPr>
                      <w:rFonts w:hint="eastAsia" w:cs="Times New Roman"/>
                      <w:bCs/>
                      <w:color w:val="auto"/>
                      <w:sz w:val="21"/>
                      <w:szCs w:val="21"/>
                      <w:lang w:val="en-US" w:eastAsia="zh-CN"/>
                    </w:rPr>
                    <w:t>生活垃圾</w:t>
                  </w:r>
                </w:p>
              </w:tc>
              <w:tc>
                <w:tcPr>
                  <w:tcW w:w="2300" w:type="dxa"/>
                  <w:vAlign w:val="center"/>
                </w:tcPr>
                <w:p w14:paraId="7C3FEFFF">
                  <w:pPr>
                    <w:adjustRightInd w:val="0"/>
                    <w:snapToGrid w:val="0"/>
                    <w:jc w:val="center"/>
                    <w:rPr>
                      <w:rFonts w:hint="eastAsia" w:cs="Times New Roman"/>
                      <w:bCs/>
                      <w:color w:val="auto"/>
                      <w:sz w:val="21"/>
                      <w:szCs w:val="21"/>
                      <w:lang w:val="en-US" w:eastAsia="zh-CN"/>
                    </w:rPr>
                  </w:pPr>
                  <w:r>
                    <w:rPr>
                      <w:rFonts w:hint="eastAsia" w:cs="Times New Roman"/>
                      <w:bCs/>
                      <w:color w:val="auto"/>
                      <w:sz w:val="21"/>
                      <w:szCs w:val="21"/>
                      <w:lang w:val="en-US" w:eastAsia="zh-CN"/>
                    </w:rPr>
                    <w:t>60</w:t>
                  </w:r>
                </w:p>
              </w:tc>
              <w:tc>
                <w:tcPr>
                  <w:tcW w:w="2300" w:type="dxa"/>
                  <w:vAlign w:val="center"/>
                </w:tcPr>
                <w:p w14:paraId="5B36AE4E">
                  <w:pPr>
                    <w:jc w:val="center"/>
                    <w:rPr>
                      <w:rFonts w:hint="eastAsia" w:cs="Times New Roman"/>
                      <w:bCs/>
                      <w:color w:val="auto"/>
                      <w:sz w:val="21"/>
                      <w:szCs w:val="21"/>
                      <w:lang w:val="en-US" w:eastAsia="zh-CN"/>
                    </w:rPr>
                  </w:pPr>
                  <w:r>
                    <w:rPr>
                      <w:rFonts w:hint="default" w:ascii="Times New Roman" w:hAnsi="Times New Roman" w:cs="Times New Roman"/>
                      <w:color w:val="auto"/>
                      <w:sz w:val="21"/>
                      <w:szCs w:val="21"/>
                      <w:highlight w:val="none"/>
                    </w:rPr>
                    <w:t>t/a</w:t>
                  </w:r>
                </w:p>
              </w:tc>
            </w:tr>
          </w:tbl>
          <w:p w14:paraId="7A152D8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0000FF"/>
                <w:kern w:val="2"/>
                <w:sz w:val="24"/>
                <w:szCs w:val="21"/>
                <w:lang w:val="en-US" w:eastAsia="zh-CN" w:bidi="ar-SA"/>
              </w:rPr>
            </w:pPr>
            <w:r>
              <w:rPr>
                <w:rFonts w:hint="eastAsia" w:ascii="Times New Roman" w:hAnsi="Times New Roman" w:eastAsia="宋体" w:cs="Times New Roman"/>
                <w:b/>
                <w:bCs/>
                <w:color w:val="0000FF"/>
                <w:kern w:val="2"/>
                <w:sz w:val="24"/>
                <w:szCs w:val="21"/>
                <w:lang w:val="en-US" w:eastAsia="zh-CN" w:bidi="ar-SA"/>
              </w:rPr>
              <w:t>二、现有项目存在的环保问题</w:t>
            </w:r>
          </w:p>
          <w:p w14:paraId="1C8EA083">
            <w:pPr>
              <w:spacing w:line="360" w:lineRule="auto"/>
              <w:ind w:firstLine="480" w:firstLineChars="200"/>
              <w:rPr>
                <w:rFonts w:hint="default" w:ascii="Times New Roman" w:hAnsi="Times New Roman" w:eastAsia="宋体" w:cs="Times New Roman"/>
                <w:b w:val="0"/>
                <w:bCs w:val="0"/>
                <w:color w:val="0000FF"/>
                <w:kern w:val="2"/>
                <w:sz w:val="24"/>
                <w:szCs w:val="24"/>
                <w:vertAlign w:val="baseline"/>
                <w:lang w:val="en-US" w:eastAsia="zh-CN" w:bidi="ar-SA"/>
              </w:rPr>
            </w:pPr>
            <w:r>
              <w:rPr>
                <w:rFonts w:hint="eastAsia" w:cs="Times New Roman"/>
                <w:b w:val="0"/>
                <w:bCs w:val="0"/>
                <w:color w:val="0000FF"/>
                <w:kern w:val="2"/>
                <w:sz w:val="24"/>
                <w:szCs w:val="24"/>
                <w:vertAlign w:val="baseline"/>
                <w:lang w:val="en-US" w:eastAsia="zh-CN" w:bidi="ar-SA"/>
              </w:rPr>
              <w:t>淮北众城水泥有限责任公司</w:t>
            </w:r>
            <w:r>
              <w:rPr>
                <w:rFonts w:hint="default" w:ascii="Times New Roman" w:hAnsi="Times New Roman" w:eastAsia="宋体" w:cs="Times New Roman"/>
                <w:b w:val="0"/>
                <w:bCs w:val="0"/>
                <w:color w:val="0000FF"/>
                <w:kern w:val="2"/>
                <w:sz w:val="24"/>
                <w:szCs w:val="24"/>
                <w:vertAlign w:val="baseline"/>
                <w:lang w:val="en-US" w:eastAsia="zh-CN" w:bidi="ar-SA"/>
              </w:rPr>
              <w:t>现有工程已履行了环保审批和验收程序，环保手续齐全；现有工程生产设备、环保设施运行正常，废水、废气、固体废物、噪声等均采取了相应的环保措施，各项污染物排放可达到相应的排放标准</w:t>
            </w:r>
            <w:r>
              <w:rPr>
                <w:rFonts w:hint="eastAsia" w:cs="Times New Roman"/>
                <w:b w:val="0"/>
                <w:bCs w:val="0"/>
                <w:color w:val="0000FF"/>
                <w:kern w:val="2"/>
                <w:sz w:val="24"/>
                <w:szCs w:val="24"/>
                <w:vertAlign w:val="baseline"/>
                <w:lang w:val="en-US" w:eastAsia="zh-CN" w:bidi="ar-SA"/>
              </w:rPr>
              <w:t>；已</w:t>
            </w:r>
            <w:r>
              <w:rPr>
                <w:rFonts w:hint="default" w:ascii="Times New Roman" w:hAnsi="Times New Roman" w:eastAsia="宋体" w:cs="Times New Roman"/>
                <w:b w:val="0"/>
                <w:bCs w:val="0"/>
                <w:color w:val="0000FF"/>
                <w:kern w:val="2"/>
                <w:sz w:val="24"/>
                <w:szCs w:val="24"/>
                <w:vertAlign w:val="baseline"/>
                <w:lang w:val="en-US" w:eastAsia="zh-CN" w:bidi="ar-SA"/>
              </w:rPr>
              <w:t>按照《环境保护图形标志实施细则（试行）》等相关规定，设置与排污口相应的图形标志牌</w:t>
            </w:r>
            <w:r>
              <w:rPr>
                <w:rFonts w:hint="eastAsia" w:cs="Times New Roman"/>
                <w:b w:val="0"/>
                <w:bCs w:val="0"/>
                <w:color w:val="0000FF"/>
                <w:kern w:val="2"/>
                <w:sz w:val="24"/>
                <w:szCs w:val="24"/>
                <w:vertAlign w:val="baseline"/>
                <w:lang w:val="en-US" w:eastAsia="zh-CN" w:bidi="ar-SA"/>
              </w:rPr>
              <w:t>；已</w:t>
            </w:r>
            <w:r>
              <w:rPr>
                <w:rFonts w:hint="default" w:ascii="Times New Roman" w:hAnsi="Times New Roman" w:eastAsia="宋体" w:cs="Times New Roman"/>
                <w:b w:val="0"/>
                <w:bCs w:val="0"/>
                <w:color w:val="0000FF"/>
                <w:kern w:val="2"/>
                <w:sz w:val="24"/>
                <w:szCs w:val="24"/>
                <w:vertAlign w:val="baseline"/>
                <w:lang w:val="en-US" w:eastAsia="zh-CN" w:bidi="ar-SA"/>
              </w:rPr>
              <w:t>严格按照相关要求</w:t>
            </w:r>
            <w:r>
              <w:rPr>
                <w:rFonts w:hint="eastAsia" w:cs="Times New Roman"/>
                <w:b w:val="0"/>
                <w:bCs w:val="0"/>
                <w:color w:val="0000FF"/>
                <w:kern w:val="2"/>
                <w:sz w:val="24"/>
                <w:szCs w:val="24"/>
                <w:vertAlign w:val="baseline"/>
                <w:lang w:val="en-US" w:eastAsia="zh-CN" w:bidi="ar-SA"/>
              </w:rPr>
              <w:t>设立</w:t>
            </w:r>
            <w:r>
              <w:rPr>
                <w:rFonts w:hint="default" w:ascii="Times New Roman" w:hAnsi="Times New Roman" w:eastAsia="宋体" w:cs="Times New Roman"/>
                <w:b w:val="0"/>
                <w:bCs w:val="0"/>
                <w:color w:val="0000FF"/>
                <w:kern w:val="2"/>
                <w:sz w:val="24"/>
                <w:szCs w:val="24"/>
                <w:vertAlign w:val="baseline"/>
                <w:lang w:val="en-US" w:eastAsia="zh-CN" w:bidi="ar-SA"/>
              </w:rPr>
              <w:t>相关管理台账。根据现场踏勘核实，项目运行至今，未发生过环境风险事故和安全事故，该公司与当地环保部门尚未接收到临近群众或单位的环保投诉，项目运行良好，暂未发现其他环境相关问题。</w:t>
            </w:r>
          </w:p>
          <w:p w14:paraId="06E8041E">
            <w:pPr>
              <w:spacing w:line="360" w:lineRule="auto"/>
              <w:ind w:firstLine="480" w:firstLineChars="200"/>
              <w:rPr>
                <w:rFonts w:hint="default" w:ascii="Times New Roman" w:hAnsi="Times New Roman" w:eastAsia="宋体" w:cs="Times New Roman"/>
                <w:b w:val="0"/>
                <w:bCs w:val="0"/>
                <w:color w:val="0000FF"/>
                <w:kern w:val="2"/>
                <w:sz w:val="24"/>
                <w:szCs w:val="24"/>
                <w:vertAlign w:val="baseline"/>
                <w:lang w:val="en-US" w:eastAsia="zh-CN" w:bidi="ar-SA"/>
              </w:rPr>
            </w:pPr>
            <w:r>
              <w:rPr>
                <w:rFonts w:hint="eastAsia" w:cs="Times New Roman"/>
                <w:b w:val="0"/>
                <w:bCs w:val="0"/>
                <w:color w:val="0000FF"/>
                <w:kern w:val="2"/>
                <w:sz w:val="24"/>
                <w:szCs w:val="24"/>
                <w:vertAlign w:val="baseline"/>
                <w:lang w:val="en-US" w:eastAsia="zh-CN" w:bidi="ar-SA"/>
              </w:rPr>
              <w:t>根据</w:t>
            </w:r>
            <w:r>
              <w:rPr>
                <w:rFonts w:hint="default" w:ascii="Times New Roman" w:hAnsi="Times New Roman" w:eastAsia="宋体" w:cs="Times New Roman"/>
                <w:b w:val="0"/>
                <w:bCs w:val="0"/>
                <w:color w:val="0000FF"/>
                <w:kern w:val="2"/>
                <w:sz w:val="24"/>
                <w:szCs w:val="24"/>
                <w:vertAlign w:val="baseline"/>
                <w:lang w:val="en-US" w:eastAsia="zh-CN" w:bidi="ar-SA"/>
              </w:rPr>
              <w:t>《企业事业单位突发环境事件应急预案备案管理办法（试行）》第十二条规定，</w:t>
            </w:r>
            <w:r>
              <w:rPr>
                <w:rFonts w:hint="eastAsia" w:cs="Times New Roman"/>
                <w:b w:val="0"/>
                <w:bCs w:val="0"/>
                <w:color w:val="0000FF"/>
                <w:kern w:val="2"/>
                <w:sz w:val="24"/>
                <w:szCs w:val="24"/>
                <w:vertAlign w:val="baseline"/>
                <w:lang w:val="en-US" w:eastAsia="zh-CN" w:bidi="ar-SA"/>
              </w:rPr>
              <w:t>“</w:t>
            </w:r>
            <w:r>
              <w:rPr>
                <w:rFonts w:hint="default" w:ascii="Times New Roman" w:hAnsi="Times New Roman" w:eastAsia="宋体" w:cs="Times New Roman"/>
                <w:b w:val="0"/>
                <w:bCs w:val="0"/>
                <w:color w:val="0000FF"/>
                <w:kern w:val="2"/>
                <w:sz w:val="24"/>
                <w:szCs w:val="24"/>
                <w:vertAlign w:val="baseline"/>
                <w:lang w:val="en-US" w:eastAsia="zh-CN" w:bidi="ar-SA"/>
              </w:rPr>
              <w:t>企业结合环境应急预案实施情况，至少每三年对环境应急预案进行一次回顾性评估。有下列情形之一的，及时修订：（1）面临的环境风险发生重大变化，需要重新进行环境风险评估的；（2）应急管理组织指挥体系与职责发生重大变化的；（3）环境应急监测预警及报告机制、应对流程和措施、应急保障措施发生重大变化的；（4）重要应急资源发生重大变化的；（5）在突发事件实际应对和应急演练中发现问题，需要对环境应急预案作出重大调整的；（6）其他需要修订的情况。对环境应急预案进行重大修订的，修订工作参照环境应急预案制定步骤进行。对环境应急预案个别内容进行调整的，修订工作可适当简化。</w:t>
            </w:r>
            <w:r>
              <w:rPr>
                <w:rFonts w:hint="eastAsia" w:cs="Times New Roman"/>
                <w:b w:val="0"/>
                <w:bCs w:val="0"/>
                <w:color w:val="0000FF"/>
                <w:kern w:val="2"/>
                <w:sz w:val="24"/>
                <w:szCs w:val="24"/>
                <w:vertAlign w:val="baseline"/>
                <w:lang w:val="en-US" w:eastAsia="zh-CN" w:bidi="ar-SA"/>
              </w:rPr>
              <w:t>”</w:t>
            </w:r>
            <w:r>
              <w:rPr>
                <w:rFonts w:hint="default" w:ascii="Times New Roman" w:hAnsi="Times New Roman" w:eastAsia="宋体" w:cs="Times New Roman"/>
                <w:b w:val="0"/>
                <w:bCs w:val="0"/>
                <w:color w:val="0000FF"/>
                <w:kern w:val="2"/>
                <w:sz w:val="24"/>
                <w:szCs w:val="24"/>
                <w:vertAlign w:val="baseline"/>
                <w:lang w:val="en-US" w:eastAsia="zh-CN" w:bidi="ar-SA"/>
              </w:rPr>
              <w:t>目前厂内现有的项目已经进行环境风险评估，</w:t>
            </w:r>
            <w:r>
              <w:rPr>
                <w:rFonts w:hint="eastAsia" w:cs="Times New Roman"/>
                <w:b w:val="0"/>
                <w:bCs w:val="0"/>
                <w:color w:val="0000FF"/>
                <w:kern w:val="2"/>
                <w:sz w:val="24"/>
                <w:szCs w:val="24"/>
                <w:vertAlign w:val="baseline"/>
                <w:lang w:val="en-US" w:eastAsia="zh-CN" w:bidi="ar-SA"/>
              </w:rPr>
              <w:t>但《突发环境事件应急预案》未及时修编，</w:t>
            </w:r>
            <w:r>
              <w:rPr>
                <w:rFonts w:hint="default" w:ascii="Times New Roman" w:hAnsi="Times New Roman" w:eastAsia="宋体" w:cs="Times New Roman"/>
                <w:b w:val="0"/>
                <w:bCs w:val="0"/>
                <w:color w:val="0000FF"/>
                <w:kern w:val="2"/>
                <w:sz w:val="24"/>
                <w:szCs w:val="24"/>
                <w:vertAlign w:val="baseline"/>
                <w:lang w:val="en-US" w:eastAsia="zh-CN" w:bidi="ar-SA"/>
              </w:rPr>
              <w:t>本次</w:t>
            </w:r>
            <w:r>
              <w:rPr>
                <w:rFonts w:hint="eastAsia" w:cs="Times New Roman"/>
                <w:b w:val="0"/>
                <w:bCs w:val="0"/>
                <w:color w:val="0000FF"/>
                <w:kern w:val="2"/>
                <w:sz w:val="24"/>
                <w:szCs w:val="24"/>
                <w:vertAlign w:val="baseline"/>
                <w:lang w:val="en-US" w:eastAsia="zh-CN" w:bidi="ar-SA"/>
              </w:rPr>
              <w:t>应</w:t>
            </w:r>
            <w:r>
              <w:rPr>
                <w:rFonts w:hint="default" w:ascii="Times New Roman" w:hAnsi="Times New Roman" w:eastAsia="宋体" w:cs="Times New Roman"/>
                <w:b w:val="0"/>
                <w:bCs w:val="0"/>
                <w:color w:val="0000FF"/>
                <w:kern w:val="2"/>
                <w:sz w:val="24"/>
                <w:szCs w:val="24"/>
                <w:vertAlign w:val="baseline"/>
                <w:lang w:val="en-US" w:eastAsia="zh-CN" w:bidi="ar-SA"/>
              </w:rPr>
              <w:t>对增加处置的固废情况进行风险评估</w:t>
            </w:r>
            <w:r>
              <w:rPr>
                <w:rFonts w:hint="eastAsia" w:cs="Times New Roman"/>
                <w:b w:val="0"/>
                <w:bCs w:val="0"/>
                <w:color w:val="0000FF"/>
                <w:kern w:val="2"/>
                <w:sz w:val="24"/>
                <w:szCs w:val="24"/>
                <w:vertAlign w:val="baseline"/>
                <w:lang w:val="en-US" w:eastAsia="zh-CN" w:bidi="ar-SA"/>
              </w:rPr>
              <w:t>，及时</w:t>
            </w:r>
            <w:r>
              <w:rPr>
                <w:rFonts w:hint="default" w:ascii="Times New Roman" w:hAnsi="Times New Roman" w:eastAsia="宋体" w:cs="Times New Roman"/>
                <w:b w:val="0"/>
                <w:bCs w:val="0"/>
                <w:color w:val="0000FF"/>
                <w:kern w:val="2"/>
                <w:sz w:val="24"/>
                <w:szCs w:val="24"/>
                <w:vertAlign w:val="baseline"/>
                <w:lang w:val="en-US" w:eastAsia="zh-CN" w:bidi="ar-SA"/>
              </w:rPr>
              <w:t>更新应急预案</w:t>
            </w:r>
            <w:r>
              <w:rPr>
                <w:rFonts w:hint="eastAsia" w:cs="Times New Roman"/>
                <w:b w:val="0"/>
                <w:bCs w:val="0"/>
                <w:color w:val="0000FF"/>
                <w:kern w:val="2"/>
                <w:sz w:val="24"/>
                <w:szCs w:val="24"/>
                <w:vertAlign w:val="baseline"/>
                <w:lang w:val="en-US" w:eastAsia="zh-CN" w:bidi="ar-SA"/>
              </w:rPr>
              <w:t>内容</w:t>
            </w:r>
            <w:r>
              <w:rPr>
                <w:rFonts w:hint="default" w:ascii="Times New Roman" w:hAnsi="Times New Roman" w:eastAsia="宋体" w:cs="Times New Roman"/>
                <w:b w:val="0"/>
                <w:bCs w:val="0"/>
                <w:color w:val="0000FF"/>
                <w:kern w:val="2"/>
                <w:sz w:val="24"/>
                <w:szCs w:val="24"/>
                <w:vertAlign w:val="baseline"/>
                <w:lang w:val="en-US" w:eastAsia="zh-CN" w:bidi="ar-SA"/>
              </w:rPr>
              <w:t>。</w:t>
            </w:r>
          </w:p>
        </w:tc>
      </w:tr>
    </w:tbl>
    <w:p w14:paraId="4EB7D6BA">
      <w:pPr>
        <w:pStyle w:val="24"/>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br w:type="page"/>
      </w:r>
      <w:r>
        <w:rPr>
          <w:rFonts w:hint="default" w:ascii="Times New Roman" w:hAnsi="Times New Roman" w:eastAsia="黑体" w:cs="Times New Roman"/>
          <w:snapToGrid w:val="0"/>
          <w:color w:val="auto"/>
          <w:sz w:val="30"/>
          <w:szCs w:val="30"/>
        </w:rPr>
        <w:t>三、区域环境质量现状</w:t>
      </w:r>
      <w:bookmarkStart w:id="129" w:name="OLE_LINK40"/>
      <w:r>
        <w:rPr>
          <w:rFonts w:hint="default" w:ascii="Times New Roman" w:hAnsi="Times New Roman" w:eastAsia="黑体" w:cs="Times New Roman"/>
          <w:snapToGrid w:val="0"/>
          <w:color w:val="auto"/>
          <w:sz w:val="30"/>
          <w:szCs w:val="30"/>
        </w:rPr>
        <w:t>、环境保护目标及评价标准</w:t>
      </w:r>
    </w:p>
    <w:bookmarkEnd w:id="129"/>
    <w:tbl>
      <w:tblPr>
        <w:tblStyle w:val="28"/>
        <w:tblW w:w="946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008"/>
      </w:tblGrid>
      <w:tr w14:paraId="44B18B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tcBorders>
              <w:top w:val="single" w:color="auto" w:sz="8" w:space="0"/>
            </w:tcBorders>
            <w:vAlign w:val="center"/>
          </w:tcPr>
          <w:p w14:paraId="441D8CBC">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区域</w:t>
            </w:r>
          </w:p>
          <w:p w14:paraId="2790ACF6">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环境</w:t>
            </w:r>
          </w:p>
          <w:p w14:paraId="7BBCA3B7">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质量</w:t>
            </w:r>
          </w:p>
          <w:p w14:paraId="62C62B1C">
            <w:pPr>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sz w:val="24"/>
                <w:szCs w:val="24"/>
              </w:rPr>
              <w:t>现状</w:t>
            </w:r>
          </w:p>
        </w:tc>
        <w:tc>
          <w:tcPr>
            <w:tcW w:w="9008" w:type="dxa"/>
            <w:tcBorders>
              <w:top w:val="single" w:color="auto" w:sz="8" w:space="0"/>
            </w:tcBorders>
            <w:vAlign w:val="center"/>
          </w:tcPr>
          <w:p w14:paraId="3625DAB2">
            <w:pPr>
              <w:adjustRightInd w:val="0"/>
              <w:snapToGrid w:val="0"/>
              <w:spacing w:line="360" w:lineRule="auto"/>
              <w:ind w:firstLine="472" w:firstLineChars="196"/>
              <w:rPr>
                <w:color w:val="auto"/>
                <w:sz w:val="24"/>
                <w:highlight w:val="none"/>
              </w:rPr>
            </w:pPr>
            <w:r>
              <w:rPr>
                <w:rFonts w:hint="eastAsia"/>
                <w:b/>
                <w:bCs/>
                <w:color w:val="auto"/>
                <w:sz w:val="24"/>
                <w:highlight w:val="none"/>
              </w:rPr>
              <w:t>一、大气环境</w:t>
            </w:r>
          </w:p>
          <w:p w14:paraId="467D4762">
            <w:pPr>
              <w:adjustRightInd w:val="0"/>
              <w:spacing w:line="360" w:lineRule="auto"/>
              <w:ind w:firstLine="480" w:firstLineChars="200"/>
              <w:jc w:val="both"/>
              <w:rPr>
                <w:color w:val="auto"/>
                <w:sz w:val="24"/>
                <w:highlight w:val="none"/>
              </w:rPr>
            </w:pPr>
            <w:r>
              <w:rPr>
                <w:rFonts w:hint="eastAsia"/>
                <w:color w:val="auto"/>
                <w:sz w:val="24"/>
                <w:highlight w:val="none"/>
              </w:rPr>
              <w:t>1、区域大气环境达标情况判定</w:t>
            </w:r>
          </w:p>
          <w:p w14:paraId="7A68CAE8">
            <w:pPr>
              <w:adjustRightInd w:val="0"/>
              <w:spacing w:line="360" w:lineRule="auto"/>
              <w:ind w:firstLine="480" w:firstLineChars="200"/>
              <w:jc w:val="both"/>
              <w:rPr>
                <w:rFonts w:hint="eastAsia" w:eastAsia="宋体"/>
                <w:color w:val="auto"/>
                <w:sz w:val="24"/>
                <w:highlight w:val="none"/>
                <w:lang w:eastAsia="zh-CN"/>
              </w:rPr>
            </w:pPr>
            <w:r>
              <w:rPr>
                <w:color w:val="auto"/>
                <w:sz w:val="24"/>
                <w:highlight w:val="none"/>
              </w:rPr>
              <w:t>根据《建设项目环境影响报告表编制技术指南（污染影响类）（试行）》要求，本次基本污染物环境质量现状数据选用淮北市生态环境局网站公开的</w:t>
            </w:r>
            <w:r>
              <w:rPr>
                <w:rFonts w:hint="eastAsia"/>
                <w:color w:val="auto"/>
                <w:sz w:val="24"/>
                <w:highlight w:val="none"/>
              </w:rPr>
              <w:t>2023年度淮北市生态环境状况公报</w:t>
            </w:r>
            <w:r>
              <w:rPr>
                <w:color w:val="auto"/>
                <w:sz w:val="24"/>
                <w:highlight w:val="none"/>
              </w:rPr>
              <w:t>，项目区域各基本污染物评价因子现状如下表</w:t>
            </w:r>
            <w:r>
              <w:rPr>
                <w:rFonts w:hint="eastAsia"/>
                <w:color w:val="auto"/>
                <w:sz w:val="24"/>
                <w:highlight w:val="none"/>
                <w:lang w:val="en-US" w:eastAsia="zh-CN"/>
              </w:rPr>
              <w:t>3-1</w:t>
            </w:r>
            <w:r>
              <w:rPr>
                <w:color w:val="auto"/>
                <w:sz w:val="24"/>
                <w:highlight w:val="none"/>
              </w:rPr>
              <w:t>所示</w:t>
            </w:r>
            <w:r>
              <w:rPr>
                <w:rFonts w:hint="eastAsia"/>
                <w:color w:val="auto"/>
                <w:sz w:val="24"/>
                <w:highlight w:val="none"/>
                <w:lang w:eastAsia="zh-CN"/>
              </w:rPr>
              <w:t>。</w:t>
            </w:r>
          </w:p>
          <w:p w14:paraId="37636F86">
            <w:pPr>
              <w:pStyle w:val="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表3-1 区域环境质量现状一览表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3052"/>
              <w:gridCol w:w="1203"/>
              <w:gridCol w:w="1203"/>
              <w:gridCol w:w="1203"/>
              <w:gridCol w:w="1205"/>
            </w:tblGrid>
            <w:tr w14:paraId="43A84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noWrap w:val="0"/>
                  <w:vAlign w:val="center"/>
                </w:tcPr>
                <w:p w14:paraId="4C417E8B">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污染物</w:t>
                  </w:r>
                </w:p>
              </w:tc>
              <w:tc>
                <w:tcPr>
                  <w:tcW w:w="1738" w:type="pct"/>
                  <w:noWrap w:val="0"/>
                  <w:vAlign w:val="center"/>
                </w:tcPr>
                <w:p w14:paraId="303B3E8E">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年评价指标</w:t>
                  </w:r>
                </w:p>
              </w:tc>
              <w:tc>
                <w:tcPr>
                  <w:tcW w:w="685" w:type="pct"/>
                  <w:noWrap w:val="0"/>
                  <w:vAlign w:val="center"/>
                </w:tcPr>
                <w:p w14:paraId="76EC9812">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现状浓度/（μg/m³）</w:t>
                  </w:r>
                </w:p>
              </w:tc>
              <w:tc>
                <w:tcPr>
                  <w:tcW w:w="685" w:type="pct"/>
                  <w:noWrap w:val="0"/>
                  <w:vAlign w:val="center"/>
                </w:tcPr>
                <w:p w14:paraId="3907B479">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标准值（μg/m³）</w:t>
                  </w:r>
                </w:p>
              </w:tc>
              <w:tc>
                <w:tcPr>
                  <w:tcW w:w="685" w:type="pct"/>
                  <w:noWrap w:val="0"/>
                  <w:vAlign w:val="center"/>
                </w:tcPr>
                <w:p w14:paraId="4B7D4FB5">
                  <w:pPr>
                    <w:widowControl w:val="0"/>
                    <w:adjustRightInd w:val="0"/>
                    <w:snapToGrid w:val="0"/>
                    <w:spacing w:beforeLines="0" w:afterLines="0" w:line="240" w:lineRule="auto"/>
                    <w:ind w:firstLine="0" w:firstLineChars="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达标率（%）</w:t>
                  </w:r>
                </w:p>
              </w:tc>
              <w:tc>
                <w:tcPr>
                  <w:tcW w:w="686" w:type="pct"/>
                  <w:noWrap w:val="0"/>
                  <w:vAlign w:val="center"/>
                </w:tcPr>
                <w:p w14:paraId="609A4A89">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达标情况</w:t>
                  </w:r>
                </w:p>
              </w:tc>
            </w:tr>
            <w:tr w14:paraId="63C7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Merge w:val="restart"/>
                  <w:noWrap w:val="0"/>
                  <w:vAlign w:val="center"/>
                </w:tcPr>
                <w:p w14:paraId="68D9F282">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SO</w:t>
                  </w:r>
                  <w:r>
                    <w:rPr>
                      <w:rFonts w:ascii="Times New Roman" w:hAnsi="Times New Roman" w:eastAsia="宋体" w:cs="宋体"/>
                      <w:color w:val="auto"/>
                      <w:kern w:val="0"/>
                      <w:sz w:val="21"/>
                      <w:szCs w:val="21"/>
                      <w:vertAlign w:val="subscript"/>
                      <w:lang w:val="en-US" w:eastAsia="zh-CN" w:bidi="ar-SA"/>
                    </w:rPr>
                    <w:t>2</w:t>
                  </w:r>
                </w:p>
              </w:tc>
              <w:tc>
                <w:tcPr>
                  <w:tcW w:w="1738" w:type="pct"/>
                  <w:noWrap w:val="0"/>
                  <w:vAlign w:val="center"/>
                </w:tcPr>
                <w:p w14:paraId="7B935530">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年平均</w:t>
                  </w:r>
                  <w:r>
                    <w:rPr>
                      <w:rFonts w:hint="eastAsia" w:ascii="Times New Roman" w:hAnsi="Times New Roman" w:eastAsia="宋体" w:cs="宋体"/>
                      <w:color w:val="auto"/>
                      <w:kern w:val="0"/>
                      <w:sz w:val="21"/>
                      <w:szCs w:val="21"/>
                      <w:lang w:val="en-US" w:eastAsia="zh-CN" w:bidi="ar-SA"/>
                    </w:rPr>
                    <w:t>质量</w:t>
                  </w:r>
                  <w:r>
                    <w:rPr>
                      <w:rFonts w:ascii="Times New Roman" w:hAnsi="Times New Roman" w:eastAsia="宋体" w:cs="宋体"/>
                      <w:color w:val="auto"/>
                      <w:kern w:val="0"/>
                      <w:sz w:val="21"/>
                      <w:szCs w:val="21"/>
                      <w:lang w:val="en-US" w:eastAsia="zh-CN" w:bidi="ar-SA"/>
                    </w:rPr>
                    <w:t>浓度</w:t>
                  </w:r>
                </w:p>
              </w:tc>
              <w:tc>
                <w:tcPr>
                  <w:tcW w:w="685" w:type="pct"/>
                  <w:noWrap w:val="0"/>
                  <w:vAlign w:val="center"/>
                </w:tcPr>
                <w:p w14:paraId="60B0291C">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7</w:t>
                  </w:r>
                </w:p>
              </w:tc>
              <w:tc>
                <w:tcPr>
                  <w:tcW w:w="685" w:type="pct"/>
                  <w:noWrap w:val="0"/>
                  <w:vAlign w:val="center"/>
                </w:tcPr>
                <w:p w14:paraId="1608C05C">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60</w:t>
                  </w:r>
                </w:p>
              </w:tc>
              <w:tc>
                <w:tcPr>
                  <w:tcW w:w="685" w:type="pct"/>
                  <w:noWrap w:val="0"/>
                  <w:vAlign w:val="center"/>
                </w:tcPr>
                <w:p w14:paraId="143635F7">
                  <w:pPr>
                    <w:widowControl w:val="0"/>
                    <w:adjustRightInd w:val="0"/>
                    <w:snapToGrid w:val="0"/>
                    <w:spacing w:beforeLines="0" w:afterLines="0" w:line="240" w:lineRule="auto"/>
                    <w:ind w:firstLine="0" w:firstLineChars="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w:t>
                  </w:r>
                </w:p>
              </w:tc>
              <w:tc>
                <w:tcPr>
                  <w:tcW w:w="686" w:type="pct"/>
                  <w:noWrap w:val="0"/>
                  <w:vAlign w:val="center"/>
                </w:tcPr>
                <w:p w14:paraId="504E0290">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达标</w:t>
                  </w:r>
                </w:p>
              </w:tc>
            </w:tr>
            <w:tr w14:paraId="0DAF8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Merge w:val="continue"/>
                  <w:noWrap w:val="0"/>
                  <w:vAlign w:val="center"/>
                </w:tcPr>
                <w:p w14:paraId="66B7DE4D">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p>
              </w:tc>
              <w:tc>
                <w:tcPr>
                  <w:tcW w:w="1738" w:type="pct"/>
                  <w:noWrap w:val="0"/>
                  <w:vAlign w:val="center"/>
                </w:tcPr>
                <w:p w14:paraId="7826DE7B">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百分位数日平均</w:t>
                  </w:r>
                </w:p>
              </w:tc>
              <w:tc>
                <w:tcPr>
                  <w:tcW w:w="685" w:type="pct"/>
                  <w:noWrap w:val="0"/>
                  <w:vAlign w:val="center"/>
                </w:tcPr>
                <w:p w14:paraId="443AFA4B">
                  <w:pPr>
                    <w:widowControl w:val="0"/>
                    <w:adjustRightInd w:val="0"/>
                    <w:snapToGrid w:val="0"/>
                    <w:spacing w:beforeLines="0" w:afterLines="0" w:line="240" w:lineRule="auto"/>
                    <w:ind w:firstLine="0" w:firstLineChars="0"/>
                    <w:jc w:val="center"/>
                    <w:rPr>
                      <w:rFonts w:hint="default"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3～14</w:t>
                  </w:r>
                </w:p>
              </w:tc>
              <w:tc>
                <w:tcPr>
                  <w:tcW w:w="685" w:type="pct"/>
                  <w:noWrap w:val="0"/>
                  <w:vAlign w:val="center"/>
                </w:tcPr>
                <w:p w14:paraId="144795EC">
                  <w:pPr>
                    <w:widowControl w:val="0"/>
                    <w:adjustRightInd w:val="0"/>
                    <w:snapToGrid w:val="0"/>
                    <w:spacing w:beforeLines="0" w:afterLines="0" w:line="240" w:lineRule="auto"/>
                    <w:ind w:firstLine="0" w:firstLineChars="0"/>
                    <w:jc w:val="center"/>
                    <w:rPr>
                      <w:rFonts w:hint="default"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150</w:t>
                  </w:r>
                </w:p>
              </w:tc>
              <w:tc>
                <w:tcPr>
                  <w:tcW w:w="685" w:type="pct"/>
                  <w:noWrap w:val="0"/>
                  <w:vAlign w:val="center"/>
                </w:tcPr>
                <w:p w14:paraId="39BCBA20">
                  <w:pPr>
                    <w:widowControl w:val="0"/>
                    <w:adjustRightInd w:val="0"/>
                    <w:snapToGrid w:val="0"/>
                    <w:spacing w:beforeLines="0" w:afterLines="0" w:line="240" w:lineRule="auto"/>
                    <w:ind w:firstLine="0" w:firstLineChars="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100%</w:t>
                  </w:r>
                </w:p>
              </w:tc>
              <w:tc>
                <w:tcPr>
                  <w:tcW w:w="686" w:type="pct"/>
                  <w:noWrap w:val="0"/>
                  <w:vAlign w:val="center"/>
                </w:tcPr>
                <w:p w14:paraId="3EAB91F1">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达标</w:t>
                  </w:r>
                </w:p>
              </w:tc>
            </w:tr>
            <w:tr w14:paraId="37B77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Merge w:val="restart"/>
                  <w:noWrap w:val="0"/>
                  <w:vAlign w:val="center"/>
                </w:tcPr>
                <w:p w14:paraId="2EB636BB">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NO</w:t>
                  </w:r>
                  <w:r>
                    <w:rPr>
                      <w:rFonts w:ascii="Times New Roman" w:hAnsi="Times New Roman" w:eastAsia="宋体" w:cs="宋体"/>
                      <w:color w:val="auto"/>
                      <w:kern w:val="0"/>
                      <w:sz w:val="21"/>
                      <w:szCs w:val="21"/>
                      <w:vertAlign w:val="subscript"/>
                      <w:lang w:val="en-US" w:eastAsia="zh-CN" w:bidi="ar-SA"/>
                    </w:rPr>
                    <w:t>2</w:t>
                  </w:r>
                </w:p>
              </w:tc>
              <w:tc>
                <w:tcPr>
                  <w:tcW w:w="1738" w:type="pct"/>
                  <w:noWrap w:val="0"/>
                  <w:vAlign w:val="center"/>
                </w:tcPr>
                <w:p w14:paraId="2C3EE88C">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年平均</w:t>
                  </w:r>
                  <w:r>
                    <w:rPr>
                      <w:rFonts w:hint="eastAsia" w:ascii="Times New Roman" w:hAnsi="Times New Roman" w:eastAsia="宋体" w:cs="宋体"/>
                      <w:color w:val="auto"/>
                      <w:kern w:val="0"/>
                      <w:sz w:val="21"/>
                      <w:szCs w:val="21"/>
                      <w:lang w:val="en-US" w:eastAsia="zh-CN" w:bidi="ar-SA"/>
                    </w:rPr>
                    <w:t>质量</w:t>
                  </w:r>
                  <w:r>
                    <w:rPr>
                      <w:rFonts w:ascii="Times New Roman" w:hAnsi="Times New Roman" w:eastAsia="宋体" w:cs="宋体"/>
                      <w:color w:val="auto"/>
                      <w:kern w:val="0"/>
                      <w:sz w:val="21"/>
                      <w:szCs w:val="21"/>
                      <w:lang w:val="en-US" w:eastAsia="zh-CN" w:bidi="ar-SA"/>
                    </w:rPr>
                    <w:t>浓度</w:t>
                  </w:r>
                </w:p>
              </w:tc>
              <w:tc>
                <w:tcPr>
                  <w:tcW w:w="685" w:type="pct"/>
                  <w:noWrap w:val="0"/>
                  <w:vAlign w:val="center"/>
                </w:tcPr>
                <w:p w14:paraId="4C907DDC">
                  <w:pPr>
                    <w:widowControl w:val="0"/>
                    <w:adjustRightInd w:val="0"/>
                    <w:snapToGrid w:val="0"/>
                    <w:spacing w:beforeLines="0" w:afterLines="0" w:line="240" w:lineRule="auto"/>
                    <w:ind w:firstLine="0" w:firstLineChars="0"/>
                    <w:jc w:val="center"/>
                    <w:rPr>
                      <w:rFonts w:hint="eastAsia"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2</w:t>
                  </w:r>
                  <w:r>
                    <w:rPr>
                      <w:rFonts w:hint="eastAsia" w:ascii="Times New Roman" w:hAnsi="Times New Roman" w:eastAsia="宋体" w:cs="宋体"/>
                      <w:color w:val="auto"/>
                      <w:kern w:val="0"/>
                      <w:sz w:val="21"/>
                      <w:szCs w:val="21"/>
                      <w:lang w:val="en-US" w:eastAsia="zh-CN" w:bidi="ar-SA"/>
                    </w:rPr>
                    <w:t>3</w:t>
                  </w:r>
                </w:p>
              </w:tc>
              <w:tc>
                <w:tcPr>
                  <w:tcW w:w="685" w:type="pct"/>
                  <w:noWrap w:val="0"/>
                  <w:vAlign w:val="center"/>
                </w:tcPr>
                <w:p w14:paraId="23E907FF">
                  <w:pPr>
                    <w:widowControl w:val="0"/>
                    <w:adjustRightInd w:val="0"/>
                    <w:snapToGrid w:val="0"/>
                    <w:spacing w:beforeLines="0" w:afterLines="0" w:line="240" w:lineRule="auto"/>
                    <w:ind w:firstLine="0" w:firstLineChars="0"/>
                    <w:jc w:val="center"/>
                    <w:rPr>
                      <w:rFonts w:hint="eastAsia"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40</w:t>
                  </w:r>
                </w:p>
              </w:tc>
              <w:tc>
                <w:tcPr>
                  <w:tcW w:w="685" w:type="pct"/>
                  <w:noWrap w:val="0"/>
                  <w:vAlign w:val="center"/>
                </w:tcPr>
                <w:p w14:paraId="0B3443B6">
                  <w:pPr>
                    <w:widowControl w:val="0"/>
                    <w:adjustRightInd w:val="0"/>
                    <w:snapToGrid w:val="0"/>
                    <w:spacing w:beforeLines="0" w:afterLines="0" w:line="240" w:lineRule="auto"/>
                    <w:ind w:firstLine="0" w:firstLineChars="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w:t>
                  </w:r>
                </w:p>
              </w:tc>
              <w:tc>
                <w:tcPr>
                  <w:tcW w:w="686" w:type="pct"/>
                  <w:noWrap w:val="0"/>
                  <w:vAlign w:val="center"/>
                </w:tcPr>
                <w:p w14:paraId="3083CB56">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达标</w:t>
                  </w:r>
                </w:p>
              </w:tc>
            </w:tr>
            <w:tr w14:paraId="7E2E2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Merge w:val="continue"/>
                  <w:noWrap w:val="0"/>
                  <w:vAlign w:val="center"/>
                </w:tcPr>
                <w:p w14:paraId="04A2699D">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p>
              </w:tc>
              <w:tc>
                <w:tcPr>
                  <w:tcW w:w="1738" w:type="pct"/>
                  <w:noWrap w:val="0"/>
                  <w:vAlign w:val="center"/>
                </w:tcPr>
                <w:p w14:paraId="101E83B0">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百分位数日平均</w:t>
                  </w:r>
                </w:p>
              </w:tc>
              <w:tc>
                <w:tcPr>
                  <w:tcW w:w="685" w:type="pct"/>
                  <w:noWrap w:val="0"/>
                  <w:vAlign w:val="center"/>
                </w:tcPr>
                <w:p w14:paraId="552B2B5A">
                  <w:pPr>
                    <w:widowControl w:val="0"/>
                    <w:adjustRightInd w:val="0"/>
                    <w:snapToGrid w:val="0"/>
                    <w:spacing w:beforeLines="0" w:afterLines="0" w:line="240" w:lineRule="auto"/>
                    <w:ind w:firstLine="0" w:firstLineChars="0"/>
                    <w:jc w:val="center"/>
                    <w:rPr>
                      <w:rFonts w:hint="default"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5～66</w:t>
                  </w:r>
                </w:p>
              </w:tc>
              <w:tc>
                <w:tcPr>
                  <w:tcW w:w="685" w:type="pct"/>
                  <w:noWrap w:val="0"/>
                  <w:vAlign w:val="center"/>
                </w:tcPr>
                <w:p w14:paraId="1ECB1E55">
                  <w:pPr>
                    <w:widowControl w:val="0"/>
                    <w:adjustRightInd w:val="0"/>
                    <w:snapToGrid w:val="0"/>
                    <w:spacing w:beforeLines="0" w:afterLines="0" w:line="240" w:lineRule="auto"/>
                    <w:ind w:firstLine="0" w:firstLineChars="0"/>
                    <w:jc w:val="center"/>
                    <w:rPr>
                      <w:rFonts w:hint="default"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80</w:t>
                  </w:r>
                </w:p>
              </w:tc>
              <w:tc>
                <w:tcPr>
                  <w:tcW w:w="685" w:type="pct"/>
                  <w:noWrap w:val="0"/>
                  <w:vAlign w:val="center"/>
                </w:tcPr>
                <w:p w14:paraId="706BA7FB">
                  <w:pPr>
                    <w:widowControl w:val="0"/>
                    <w:adjustRightInd w:val="0"/>
                    <w:snapToGrid w:val="0"/>
                    <w:spacing w:beforeLines="0" w:afterLines="0" w:line="240" w:lineRule="auto"/>
                    <w:ind w:firstLine="0" w:firstLineChars="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100%</w:t>
                  </w:r>
                </w:p>
              </w:tc>
              <w:tc>
                <w:tcPr>
                  <w:tcW w:w="686" w:type="pct"/>
                  <w:noWrap w:val="0"/>
                  <w:vAlign w:val="center"/>
                </w:tcPr>
                <w:p w14:paraId="3B46772D">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达标</w:t>
                  </w:r>
                </w:p>
              </w:tc>
            </w:tr>
            <w:tr w14:paraId="1D8E6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Merge w:val="restart"/>
                  <w:noWrap w:val="0"/>
                  <w:vAlign w:val="center"/>
                </w:tcPr>
                <w:p w14:paraId="12E0234D">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PM</w:t>
                  </w:r>
                  <w:r>
                    <w:rPr>
                      <w:rFonts w:ascii="Times New Roman" w:hAnsi="Times New Roman" w:eastAsia="宋体" w:cs="宋体"/>
                      <w:color w:val="auto"/>
                      <w:kern w:val="0"/>
                      <w:sz w:val="21"/>
                      <w:szCs w:val="21"/>
                      <w:vertAlign w:val="subscript"/>
                      <w:lang w:val="en-US" w:eastAsia="zh-CN" w:bidi="ar-SA"/>
                    </w:rPr>
                    <w:t>10</w:t>
                  </w:r>
                </w:p>
              </w:tc>
              <w:tc>
                <w:tcPr>
                  <w:tcW w:w="1738" w:type="pct"/>
                  <w:noWrap w:val="0"/>
                  <w:vAlign w:val="center"/>
                </w:tcPr>
                <w:p w14:paraId="0C5A1F1E">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年平均</w:t>
                  </w:r>
                  <w:r>
                    <w:rPr>
                      <w:rFonts w:hint="eastAsia" w:ascii="Times New Roman" w:hAnsi="Times New Roman" w:eastAsia="宋体" w:cs="宋体"/>
                      <w:color w:val="auto"/>
                      <w:kern w:val="0"/>
                      <w:sz w:val="21"/>
                      <w:szCs w:val="21"/>
                      <w:lang w:val="en-US" w:eastAsia="zh-CN" w:bidi="ar-SA"/>
                    </w:rPr>
                    <w:t>质量</w:t>
                  </w:r>
                  <w:r>
                    <w:rPr>
                      <w:rFonts w:ascii="Times New Roman" w:hAnsi="Times New Roman" w:eastAsia="宋体" w:cs="宋体"/>
                      <w:color w:val="auto"/>
                      <w:kern w:val="0"/>
                      <w:sz w:val="21"/>
                      <w:szCs w:val="21"/>
                      <w:lang w:val="en-US" w:eastAsia="zh-CN" w:bidi="ar-SA"/>
                    </w:rPr>
                    <w:t>浓度</w:t>
                  </w:r>
                </w:p>
              </w:tc>
              <w:tc>
                <w:tcPr>
                  <w:tcW w:w="685" w:type="pct"/>
                  <w:noWrap w:val="0"/>
                  <w:vAlign w:val="center"/>
                </w:tcPr>
                <w:p w14:paraId="5571B190">
                  <w:pPr>
                    <w:widowControl w:val="0"/>
                    <w:adjustRightInd w:val="0"/>
                    <w:snapToGrid w:val="0"/>
                    <w:spacing w:beforeLines="0" w:afterLines="0" w:line="240" w:lineRule="auto"/>
                    <w:ind w:firstLine="0" w:firstLineChars="0"/>
                    <w:jc w:val="center"/>
                    <w:rPr>
                      <w:rFonts w:hint="eastAsia"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7</w:t>
                  </w:r>
                  <w:r>
                    <w:rPr>
                      <w:rFonts w:hint="eastAsia" w:ascii="Times New Roman" w:hAnsi="Times New Roman" w:eastAsia="宋体" w:cs="宋体"/>
                      <w:color w:val="auto"/>
                      <w:kern w:val="0"/>
                      <w:sz w:val="21"/>
                      <w:szCs w:val="21"/>
                      <w:lang w:val="en-US" w:eastAsia="zh-CN" w:bidi="ar-SA"/>
                    </w:rPr>
                    <w:t>0</w:t>
                  </w:r>
                </w:p>
              </w:tc>
              <w:tc>
                <w:tcPr>
                  <w:tcW w:w="685" w:type="pct"/>
                  <w:noWrap w:val="0"/>
                  <w:vAlign w:val="center"/>
                </w:tcPr>
                <w:p w14:paraId="6B3F2DAE">
                  <w:pPr>
                    <w:widowControl w:val="0"/>
                    <w:adjustRightInd w:val="0"/>
                    <w:snapToGrid w:val="0"/>
                    <w:spacing w:beforeLines="0" w:afterLines="0" w:line="240" w:lineRule="auto"/>
                    <w:ind w:firstLine="0" w:firstLineChars="0"/>
                    <w:jc w:val="center"/>
                    <w:rPr>
                      <w:rFonts w:hint="eastAsia"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70</w:t>
                  </w:r>
                </w:p>
              </w:tc>
              <w:tc>
                <w:tcPr>
                  <w:tcW w:w="685" w:type="pct"/>
                  <w:noWrap w:val="0"/>
                  <w:vAlign w:val="center"/>
                </w:tcPr>
                <w:p w14:paraId="0E8983A8">
                  <w:pPr>
                    <w:widowControl w:val="0"/>
                    <w:adjustRightInd w:val="0"/>
                    <w:snapToGrid w:val="0"/>
                    <w:spacing w:beforeLines="0" w:afterLines="0" w:line="240" w:lineRule="auto"/>
                    <w:ind w:firstLine="0" w:firstLineChars="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w:t>
                  </w:r>
                </w:p>
              </w:tc>
              <w:tc>
                <w:tcPr>
                  <w:tcW w:w="686" w:type="pct"/>
                  <w:noWrap w:val="0"/>
                  <w:vAlign w:val="center"/>
                </w:tcPr>
                <w:p w14:paraId="76AD7BAE">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达标</w:t>
                  </w:r>
                </w:p>
              </w:tc>
            </w:tr>
            <w:tr w14:paraId="48247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Merge w:val="continue"/>
                  <w:noWrap w:val="0"/>
                  <w:vAlign w:val="center"/>
                </w:tcPr>
                <w:p w14:paraId="7D60AAC0">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p>
              </w:tc>
              <w:tc>
                <w:tcPr>
                  <w:tcW w:w="1738" w:type="pct"/>
                  <w:noWrap w:val="0"/>
                  <w:vAlign w:val="center"/>
                </w:tcPr>
                <w:p w14:paraId="5AEB325C">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日平均</w:t>
                  </w:r>
                </w:p>
              </w:tc>
              <w:tc>
                <w:tcPr>
                  <w:tcW w:w="685" w:type="pct"/>
                  <w:noWrap w:val="0"/>
                  <w:vAlign w:val="center"/>
                </w:tcPr>
                <w:p w14:paraId="570BD984">
                  <w:pPr>
                    <w:widowControl w:val="0"/>
                    <w:adjustRightInd w:val="0"/>
                    <w:snapToGrid w:val="0"/>
                    <w:spacing w:beforeLines="0" w:afterLines="0" w:line="240" w:lineRule="auto"/>
                    <w:ind w:firstLine="0" w:firstLineChars="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7～245</w:t>
                  </w:r>
                </w:p>
              </w:tc>
              <w:tc>
                <w:tcPr>
                  <w:tcW w:w="685" w:type="pct"/>
                  <w:noWrap w:val="0"/>
                  <w:vAlign w:val="center"/>
                </w:tcPr>
                <w:p w14:paraId="0DA858D0">
                  <w:pPr>
                    <w:widowControl w:val="0"/>
                    <w:adjustRightInd w:val="0"/>
                    <w:snapToGrid w:val="0"/>
                    <w:spacing w:beforeLines="0" w:afterLines="0" w:line="240" w:lineRule="auto"/>
                    <w:ind w:firstLine="0" w:firstLineChars="0"/>
                    <w:jc w:val="center"/>
                    <w:rPr>
                      <w:rFonts w:hint="default"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150</w:t>
                  </w:r>
                </w:p>
              </w:tc>
              <w:tc>
                <w:tcPr>
                  <w:tcW w:w="685" w:type="pct"/>
                  <w:noWrap w:val="0"/>
                  <w:vAlign w:val="center"/>
                </w:tcPr>
                <w:p w14:paraId="2EBFC37E">
                  <w:pPr>
                    <w:widowControl w:val="0"/>
                    <w:adjustRightInd w:val="0"/>
                    <w:snapToGrid w:val="0"/>
                    <w:spacing w:beforeLines="0" w:afterLines="0" w:line="240" w:lineRule="auto"/>
                    <w:ind w:firstLine="0" w:firstLineChars="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91.5%</w:t>
                  </w:r>
                </w:p>
              </w:tc>
              <w:tc>
                <w:tcPr>
                  <w:tcW w:w="686" w:type="pct"/>
                  <w:noWrap w:val="0"/>
                  <w:vAlign w:val="center"/>
                </w:tcPr>
                <w:p w14:paraId="5C484FFB">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不达标</w:t>
                  </w:r>
                </w:p>
              </w:tc>
            </w:tr>
            <w:tr w14:paraId="1BD00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Merge w:val="restart"/>
                  <w:noWrap w:val="0"/>
                  <w:vAlign w:val="center"/>
                </w:tcPr>
                <w:p w14:paraId="6CA02195">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PM</w:t>
                  </w:r>
                  <w:r>
                    <w:rPr>
                      <w:rFonts w:ascii="Times New Roman" w:hAnsi="Times New Roman" w:eastAsia="宋体" w:cs="宋体"/>
                      <w:color w:val="auto"/>
                      <w:kern w:val="0"/>
                      <w:sz w:val="21"/>
                      <w:szCs w:val="21"/>
                      <w:vertAlign w:val="subscript"/>
                      <w:lang w:val="en-US" w:eastAsia="zh-CN" w:bidi="ar-SA"/>
                    </w:rPr>
                    <w:t>2.5</w:t>
                  </w:r>
                </w:p>
              </w:tc>
              <w:tc>
                <w:tcPr>
                  <w:tcW w:w="1738" w:type="pct"/>
                  <w:noWrap w:val="0"/>
                  <w:vAlign w:val="center"/>
                </w:tcPr>
                <w:p w14:paraId="793D52DD">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年平均</w:t>
                  </w:r>
                  <w:r>
                    <w:rPr>
                      <w:rFonts w:hint="eastAsia" w:ascii="Times New Roman" w:hAnsi="Times New Roman" w:eastAsia="宋体" w:cs="宋体"/>
                      <w:color w:val="auto"/>
                      <w:kern w:val="0"/>
                      <w:sz w:val="21"/>
                      <w:szCs w:val="21"/>
                      <w:lang w:val="en-US" w:eastAsia="zh-CN" w:bidi="ar-SA"/>
                    </w:rPr>
                    <w:t>质量</w:t>
                  </w:r>
                  <w:r>
                    <w:rPr>
                      <w:rFonts w:ascii="Times New Roman" w:hAnsi="Times New Roman" w:eastAsia="宋体" w:cs="宋体"/>
                      <w:color w:val="auto"/>
                      <w:kern w:val="0"/>
                      <w:sz w:val="21"/>
                      <w:szCs w:val="21"/>
                      <w:lang w:val="en-US" w:eastAsia="zh-CN" w:bidi="ar-SA"/>
                    </w:rPr>
                    <w:t>浓度</w:t>
                  </w:r>
                </w:p>
              </w:tc>
              <w:tc>
                <w:tcPr>
                  <w:tcW w:w="685" w:type="pct"/>
                  <w:noWrap w:val="0"/>
                  <w:vAlign w:val="center"/>
                </w:tcPr>
                <w:p w14:paraId="74B9C5FF">
                  <w:pPr>
                    <w:widowControl w:val="0"/>
                    <w:adjustRightInd w:val="0"/>
                    <w:snapToGrid w:val="0"/>
                    <w:spacing w:beforeLines="0" w:afterLines="0" w:line="240" w:lineRule="auto"/>
                    <w:ind w:firstLine="0" w:firstLineChars="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42</w:t>
                  </w:r>
                </w:p>
              </w:tc>
              <w:tc>
                <w:tcPr>
                  <w:tcW w:w="685" w:type="pct"/>
                  <w:noWrap w:val="0"/>
                  <w:vAlign w:val="center"/>
                </w:tcPr>
                <w:p w14:paraId="13438F49">
                  <w:pPr>
                    <w:widowControl w:val="0"/>
                    <w:adjustRightInd w:val="0"/>
                    <w:snapToGrid w:val="0"/>
                    <w:spacing w:beforeLines="0" w:afterLines="0" w:line="240" w:lineRule="auto"/>
                    <w:ind w:firstLine="0" w:firstLineChars="0"/>
                    <w:jc w:val="center"/>
                    <w:rPr>
                      <w:rFonts w:hint="eastAsia"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35</w:t>
                  </w:r>
                </w:p>
              </w:tc>
              <w:tc>
                <w:tcPr>
                  <w:tcW w:w="685" w:type="pct"/>
                  <w:noWrap w:val="0"/>
                  <w:vAlign w:val="center"/>
                </w:tcPr>
                <w:p w14:paraId="5C0FED6F">
                  <w:pPr>
                    <w:widowControl w:val="0"/>
                    <w:adjustRightInd w:val="0"/>
                    <w:snapToGrid w:val="0"/>
                    <w:spacing w:beforeLines="0" w:afterLines="0" w:line="240" w:lineRule="auto"/>
                    <w:ind w:firstLine="0" w:firstLineChars="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w:t>
                  </w:r>
                </w:p>
              </w:tc>
              <w:tc>
                <w:tcPr>
                  <w:tcW w:w="686" w:type="pct"/>
                  <w:noWrap w:val="0"/>
                  <w:vAlign w:val="center"/>
                </w:tcPr>
                <w:p w14:paraId="47021BBD">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不达标</w:t>
                  </w:r>
                </w:p>
              </w:tc>
            </w:tr>
            <w:tr w14:paraId="0DF9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Merge w:val="continue"/>
                  <w:noWrap w:val="0"/>
                  <w:vAlign w:val="center"/>
                </w:tcPr>
                <w:p w14:paraId="51E860E2">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p>
              </w:tc>
              <w:tc>
                <w:tcPr>
                  <w:tcW w:w="1738" w:type="pct"/>
                  <w:noWrap w:val="0"/>
                  <w:vAlign w:val="center"/>
                </w:tcPr>
                <w:p w14:paraId="75E33CFB">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日平均</w:t>
                  </w:r>
                </w:p>
              </w:tc>
              <w:tc>
                <w:tcPr>
                  <w:tcW w:w="685" w:type="pct"/>
                  <w:noWrap w:val="0"/>
                  <w:vAlign w:val="center"/>
                </w:tcPr>
                <w:p w14:paraId="3B62E03F">
                  <w:pPr>
                    <w:widowControl w:val="0"/>
                    <w:adjustRightInd w:val="0"/>
                    <w:snapToGrid w:val="0"/>
                    <w:spacing w:beforeLines="0" w:afterLines="0" w:line="240" w:lineRule="auto"/>
                    <w:ind w:firstLine="0" w:firstLineChars="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5～189</w:t>
                  </w:r>
                </w:p>
              </w:tc>
              <w:tc>
                <w:tcPr>
                  <w:tcW w:w="685" w:type="pct"/>
                  <w:noWrap w:val="0"/>
                  <w:vAlign w:val="center"/>
                </w:tcPr>
                <w:p w14:paraId="3F7871D1">
                  <w:pPr>
                    <w:widowControl w:val="0"/>
                    <w:adjustRightInd w:val="0"/>
                    <w:snapToGrid w:val="0"/>
                    <w:spacing w:beforeLines="0" w:afterLines="0" w:line="240" w:lineRule="auto"/>
                    <w:ind w:firstLine="0" w:firstLineChars="0"/>
                    <w:jc w:val="center"/>
                    <w:rPr>
                      <w:rFonts w:hint="default"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75</w:t>
                  </w:r>
                </w:p>
              </w:tc>
              <w:tc>
                <w:tcPr>
                  <w:tcW w:w="685" w:type="pct"/>
                  <w:noWrap w:val="0"/>
                  <w:vAlign w:val="center"/>
                </w:tcPr>
                <w:p w14:paraId="57FF895B">
                  <w:pPr>
                    <w:widowControl w:val="0"/>
                    <w:adjustRightInd w:val="0"/>
                    <w:snapToGrid w:val="0"/>
                    <w:spacing w:beforeLines="0" w:afterLines="0" w:line="240" w:lineRule="auto"/>
                    <w:ind w:firstLine="0" w:firstLineChars="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86.6%</w:t>
                  </w:r>
                </w:p>
              </w:tc>
              <w:tc>
                <w:tcPr>
                  <w:tcW w:w="686" w:type="pct"/>
                  <w:noWrap w:val="0"/>
                  <w:vAlign w:val="center"/>
                </w:tcPr>
                <w:p w14:paraId="46D43E7B">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不达标</w:t>
                  </w:r>
                </w:p>
              </w:tc>
            </w:tr>
            <w:tr w14:paraId="7394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noWrap w:val="0"/>
                  <w:vAlign w:val="center"/>
                </w:tcPr>
                <w:p w14:paraId="3CD71ABC">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CO</w:t>
                  </w:r>
                </w:p>
              </w:tc>
              <w:tc>
                <w:tcPr>
                  <w:tcW w:w="1738" w:type="pct"/>
                  <w:noWrap w:val="0"/>
                  <w:vAlign w:val="center"/>
                </w:tcPr>
                <w:p w14:paraId="523ED3D5">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24h平均浓度第95百分位数</w:t>
                  </w:r>
                </w:p>
              </w:tc>
              <w:tc>
                <w:tcPr>
                  <w:tcW w:w="685" w:type="pct"/>
                  <w:noWrap w:val="0"/>
                  <w:vAlign w:val="center"/>
                </w:tcPr>
                <w:p w14:paraId="2BBE6084">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0.9</w:t>
                  </w:r>
                  <w:r>
                    <w:rPr>
                      <w:rFonts w:ascii="Times New Roman" w:hAnsi="Times New Roman" w:eastAsia="宋体" w:cs="宋体"/>
                      <w:color w:val="auto"/>
                      <w:kern w:val="0"/>
                      <w:sz w:val="21"/>
                      <w:szCs w:val="21"/>
                      <w:lang w:val="en-US" w:eastAsia="zh-CN" w:bidi="ar-SA"/>
                    </w:rPr>
                    <w:t>mg/m³</w:t>
                  </w:r>
                </w:p>
              </w:tc>
              <w:tc>
                <w:tcPr>
                  <w:tcW w:w="685" w:type="pct"/>
                  <w:noWrap w:val="0"/>
                  <w:vAlign w:val="center"/>
                </w:tcPr>
                <w:p w14:paraId="57FF7DDB">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4mg/m³</w:t>
                  </w:r>
                </w:p>
              </w:tc>
              <w:tc>
                <w:tcPr>
                  <w:tcW w:w="685" w:type="pct"/>
                  <w:noWrap w:val="0"/>
                  <w:vAlign w:val="center"/>
                </w:tcPr>
                <w:p w14:paraId="2EFC7F3F">
                  <w:pPr>
                    <w:widowControl w:val="0"/>
                    <w:adjustRightInd w:val="0"/>
                    <w:snapToGrid w:val="0"/>
                    <w:spacing w:beforeLines="0" w:afterLines="0" w:line="240" w:lineRule="auto"/>
                    <w:ind w:firstLine="0" w:firstLineChars="0"/>
                    <w:jc w:val="center"/>
                    <w:rPr>
                      <w:rFonts w:hint="default"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100%</w:t>
                  </w:r>
                </w:p>
              </w:tc>
              <w:tc>
                <w:tcPr>
                  <w:tcW w:w="686" w:type="pct"/>
                  <w:noWrap w:val="0"/>
                  <w:vAlign w:val="center"/>
                </w:tcPr>
                <w:p w14:paraId="03317DA4">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达标</w:t>
                  </w:r>
                </w:p>
              </w:tc>
            </w:tr>
            <w:tr w14:paraId="21363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noWrap w:val="0"/>
                  <w:vAlign w:val="center"/>
                </w:tcPr>
                <w:p w14:paraId="382807C1">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O</w:t>
                  </w:r>
                  <w:r>
                    <w:rPr>
                      <w:rFonts w:ascii="Times New Roman" w:hAnsi="Times New Roman" w:eastAsia="宋体" w:cs="宋体"/>
                      <w:color w:val="auto"/>
                      <w:kern w:val="0"/>
                      <w:sz w:val="21"/>
                      <w:szCs w:val="21"/>
                      <w:vertAlign w:val="subscript"/>
                      <w:lang w:val="en-US" w:eastAsia="zh-CN" w:bidi="ar-SA"/>
                    </w:rPr>
                    <w:t>3</w:t>
                  </w:r>
                </w:p>
              </w:tc>
              <w:tc>
                <w:tcPr>
                  <w:tcW w:w="1738" w:type="pct"/>
                  <w:noWrap w:val="0"/>
                  <w:vAlign w:val="center"/>
                </w:tcPr>
                <w:p w14:paraId="0632A0FB">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最大8h平均浓度第90百分位数</w:t>
                  </w:r>
                </w:p>
              </w:tc>
              <w:tc>
                <w:tcPr>
                  <w:tcW w:w="685" w:type="pct"/>
                  <w:noWrap w:val="0"/>
                  <w:vAlign w:val="center"/>
                </w:tcPr>
                <w:p w14:paraId="046E5C0B">
                  <w:pPr>
                    <w:widowControl w:val="0"/>
                    <w:adjustRightInd w:val="0"/>
                    <w:snapToGrid w:val="0"/>
                    <w:spacing w:beforeLines="0" w:afterLines="0" w:line="240" w:lineRule="auto"/>
                    <w:ind w:firstLine="0" w:firstLineChars="0"/>
                    <w:jc w:val="center"/>
                    <w:rPr>
                      <w:rFonts w:hint="default"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166</w:t>
                  </w:r>
                </w:p>
              </w:tc>
              <w:tc>
                <w:tcPr>
                  <w:tcW w:w="685" w:type="pct"/>
                  <w:noWrap w:val="0"/>
                  <w:vAlign w:val="center"/>
                </w:tcPr>
                <w:p w14:paraId="783050DC">
                  <w:pPr>
                    <w:widowControl w:val="0"/>
                    <w:adjustRightInd w:val="0"/>
                    <w:snapToGrid w:val="0"/>
                    <w:spacing w:beforeLines="0" w:afterLines="0" w:line="240" w:lineRule="auto"/>
                    <w:ind w:firstLine="0" w:firstLineChars="0"/>
                    <w:jc w:val="center"/>
                    <w:rPr>
                      <w:rFonts w:hint="default"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160</w:t>
                  </w:r>
                </w:p>
              </w:tc>
              <w:tc>
                <w:tcPr>
                  <w:tcW w:w="685" w:type="pct"/>
                  <w:noWrap w:val="0"/>
                  <w:vAlign w:val="center"/>
                </w:tcPr>
                <w:p w14:paraId="557416C8">
                  <w:pPr>
                    <w:widowControl w:val="0"/>
                    <w:adjustRightInd w:val="0"/>
                    <w:snapToGrid w:val="0"/>
                    <w:spacing w:beforeLines="0" w:afterLines="0" w:line="240" w:lineRule="auto"/>
                    <w:ind w:firstLine="0" w:firstLineChars="0"/>
                    <w:jc w:val="center"/>
                    <w:rPr>
                      <w:rFonts w:hint="default"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86.8%</w:t>
                  </w:r>
                </w:p>
              </w:tc>
              <w:tc>
                <w:tcPr>
                  <w:tcW w:w="686" w:type="pct"/>
                  <w:noWrap w:val="0"/>
                  <w:vAlign w:val="center"/>
                </w:tcPr>
                <w:p w14:paraId="7A2152A4">
                  <w:pPr>
                    <w:widowControl w:val="0"/>
                    <w:adjustRightInd w:val="0"/>
                    <w:snapToGrid w:val="0"/>
                    <w:spacing w:beforeLines="0" w:afterLines="0" w:line="240" w:lineRule="auto"/>
                    <w:ind w:firstLine="0" w:firstLineChars="0"/>
                    <w:jc w:val="center"/>
                    <w:rPr>
                      <w:rFonts w:ascii="Times New Roman" w:hAnsi="Times New Roman" w:eastAsia="宋体" w:cs="宋体"/>
                      <w:color w:val="auto"/>
                      <w:kern w:val="0"/>
                      <w:sz w:val="21"/>
                      <w:szCs w:val="21"/>
                      <w:lang w:val="en-US" w:eastAsia="zh-CN" w:bidi="ar-SA"/>
                    </w:rPr>
                  </w:pPr>
                  <w:r>
                    <w:rPr>
                      <w:rFonts w:ascii="Times New Roman" w:hAnsi="Times New Roman" w:eastAsia="宋体" w:cs="宋体"/>
                      <w:color w:val="auto"/>
                      <w:kern w:val="0"/>
                      <w:sz w:val="21"/>
                      <w:szCs w:val="21"/>
                      <w:lang w:val="en-US" w:eastAsia="zh-CN" w:bidi="ar-SA"/>
                    </w:rPr>
                    <w:t>不达标</w:t>
                  </w:r>
                </w:p>
              </w:tc>
            </w:tr>
          </w:tbl>
          <w:p w14:paraId="51019EAB">
            <w:pPr>
              <w:numPr>
                <w:ilvl w:val="0"/>
                <w:numId w:val="0"/>
              </w:numPr>
              <w:spacing w:line="360" w:lineRule="auto"/>
              <w:ind w:firstLine="480" w:firstLineChars="200"/>
              <w:rPr>
                <w:rFonts w:hint="eastAsia"/>
                <w:color w:val="auto"/>
                <w:sz w:val="24"/>
                <w:highlight w:val="none"/>
              </w:rPr>
            </w:pPr>
            <w:r>
              <w:rPr>
                <w:rFonts w:hint="eastAsia"/>
                <w:color w:val="auto"/>
                <w:sz w:val="24"/>
                <w:highlight w:val="none"/>
              </w:rPr>
              <w:t>由上述数据可见，项目所在区域SO</w:t>
            </w:r>
            <w:r>
              <w:rPr>
                <w:rFonts w:hint="eastAsia"/>
                <w:color w:val="auto"/>
                <w:sz w:val="24"/>
                <w:highlight w:val="none"/>
                <w:vertAlign w:val="subscript"/>
              </w:rPr>
              <w:t>2</w:t>
            </w:r>
            <w:r>
              <w:rPr>
                <w:rFonts w:hint="eastAsia"/>
                <w:color w:val="auto"/>
                <w:sz w:val="24"/>
                <w:highlight w:val="none"/>
              </w:rPr>
              <w:t>、NO</w:t>
            </w:r>
            <w:r>
              <w:rPr>
                <w:rFonts w:hint="eastAsia"/>
                <w:color w:val="auto"/>
                <w:sz w:val="24"/>
                <w:highlight w:val="none"/>
                <w:vertAlign w:val="subscript"/>
              </w:rPr>
              <w:t>2</w:t>
            </w:r>
            <w:r>
              <w:rPr>
                <w:rFonts w:hint="eastAsia"/>
                <w:color w:val="auto"/>
                <w:sz w:val="24"/>
                <w:highlight w:val="none"/>
              </w:rPr>
              <w:t>、PM</w:t>
            </w:r>
            <w:r>
              <w:rPr>
                <w:rFonts w:hint="eastAsia"/>
                <w:color w:val="auto"/>
                <w:sz w:val="24"/>
                <w:highlight w:val="none"/>
                <w:vertAlign w:val="subscript"/>
              </w:rPr>
              <w:t>10</w:t>
            </w:r>
            <w:r>
              <w:rPr>
                <w:rFonts w:hint="eastAsia"/>
                <w:color w:val="auto"/>
                <w:sz w:val="24"/>
                <w:highlight w:val="none"/>
              </w:rPr>
              <w:t>、CO年均浓度均能达到《环境空气质量标准（含修改单）》（GB</w:t>
            </w:r>
            <w:r>
              <w:rPr>
                <w:rFonts w:hint="eastAsia"/>
                <w:color w:val="auto"/>
                <w:sz w:val="24"/>
                <w:highlight w:val="none"/>
                <w:lang w:val="en-US" w:eastAsia="zh-CN"/>
              </w:rPr>
              <w:t xml:space="preserve"> </w:t>
            </w:r>
            <w:r>
              <w:rPr>
                <w:rFonts w:hint="eastAsia"/>
                <w:color w:val="auto"/>
                <w:sz w:val="24"/>
                <w:highlight w:val="none"/>
              </w:rPr>
              <w:t>3095-2012）中的二级标准；PM</w:t>
            </w:r>
            <w:r>
              <w:rPr>
                <w:rFonts w:hint="eastAsia"/>
                <w:color w:val="auto"/>
                <w:sz w:val="24"/>
                <w:highlight w:val="none"/>
                <w:vertAlign w:val="subscript"/>
              </w:rPr>
              <w:t>2.5</w:t>
            </w:r>
            <w:r>
              <w:rPr>
                <w:rFonts w:hint="eastAsia"/>
                <w:color w:val="auto"/>
                <w:sz w:val="24"/>
                <w:highlight w:val="none"/>
              </w:rPr>
              <w:t>年均浓度和O</w:t>
            </w:r>
            <w:r>
              <w:rPr>
                <w:rFonts w:hint="eastAsia"/>
                <w:color w:val="auto"/>
                <w:sz w:val="24"/>
                <w:highlight w:val="none"/>
                <w:vertAlign w:val="subscript"/>
              </w:rPr>
              <w:t>3</w:t>
            </w:r>
            <w:r>
              <w:rPr>
                <w:rFonts w:hint="eastAsia"/>
                <w:color w:val="auto"/>
                <w:sz w:val="24"/>
                <w:highlight w:val="none"/>
              </w:rPr>
              <w:t>日最大8小时平均值第90百分位数均超过二级标准要求。项目所在区域为环境空气属于不达标区。淮北市政府通过采取锅炉淘汰改造、工业炉窑整治、施工工地扬尘治理、强化移动污染源防治等系列整治措施，进一步改善区域环境空气质量。</w:t>
            </w:r>
          </w:p>
          <w:p w14:paraId="5C0A3DDC">
            <w:pPr>
              <w:numPr>
                <w:ilvl w:val="0"/>
                <w:numId w:val="0"/>
              </w:numPr>
              <w:spacing w:line="360" w:lineRule="auto"/>
              <w:ind w:firstLine="480" w:firstLineChars="200"/>
              <w:rPr>
                <w:rFonts w:hint="eastAsia"/>
                <w:color w:val="auto"/>
                <w:sz w:val="24"/>
                <w:highlight w:val="none"/>
              </w:rPr>
            </w:pPr>
            <w:r>
              <w:rPr>
                <w:rFonts w:hint="eastAsia" w:ascii="Times New Roman" w:hAnsi="Times New Roman" w:eastAsia="宋体" w:cs="Times New Roman"/>
                <w:color w:val="auto"/>
                <w:kern w:val="2"/>
                <w:sz w:val="24"/>
                <w:szCs w:val="21"/>
                <w:lang w:val="en-US" w:eastAsia="zh-CN" w:bidi="ar-SA"/>
              </w:rPr>
              <w:t>2、</w:t>
            </w:r>
            <w:r>
              <w:rPr>
                <w:rFonts w:hint="eastAsia"/>
                <w:color w:val="auto"/>
                <w:sz w:val="24"/>
                <w:highlight w:val="none"/>
              </w:rPr>
              <w:t>特征污染物现状数据</w:t>
            </w:r>
          </w:p>
          <w:p w14:paraId="7B1303ED">
            <w:pPr>
              <w:adjustRightInd w:val="0"/>
              <w:spacing w:line="360" w:lineRule="auto"/>
              <w:ind w:firstLine="480" w:firstLineChars="200"/>
              <w:jc w:val="both"/>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根据《环境影响评价技术导则</w:t>
            </w:r>
            <w:r>
              <w:rPr>
                <w:rFonts w:hint="eastAsia" w:ascii="Times New Roman" w:hAnsi="Times New Roman" w:eastAsia="宋体" w:cs="Times New Roman"/>
                <w:color w:val="auto"/>
                <w:sz w:val="24"/>
                <w:highlight w:val="none"/>
                <w:lang w:val="en-US" w:eastAsia="zh-CN"/>
              </w:rPr>
              <w:t xml:space="preserve"> </w:t>
            </w:r>
            <w:r>
              <w:rPr>
                <w:rFonts w:hint="eastAsia" w:ascii="Times New Roman" w:hAnsi="Times New Roman" w:eastAsia="宋体" w:cs="Times New Roman"/>
                <w:color w:val="auto"/>
                <w:sz w:val="24"/>
                <w:highlight w:val="none"/>
              </w:rPr>
              <w:t>大气环境》</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HJ</w:t>
            </w:r>
            <w:r>
              <w:rPr>
                <w:rFonts w:hint="eastAsia" w:ascii="Times New Roman" w:hAnsi="Times New Roman" w:eastAsia="宋体" w:cs="Times New Roman"/>
                <w:color w:val="auto"/>
                <w:sz w:val="24"/>
                <w:highlight w:val="none"/>
                <w:lang w:val="en-US" w:eastAsia="zh-CN"/>
              </w:rPr>
              <w:t xml:space="preserve"> </w:t>
            </w:r>
            <w:r>
              <w:rPr>
                <w:rFonts w:hint="eastAsia" w:ascii="Times New Roman" w:hAnsi="Times New Roman" w:eastAsia="宋体" w:cs="Times New Roman"/>
                <w:color w:val="auto"/>
                <w:sz w:val="24"/>
                <w:highlight w:val="none"/>
              </w:rPr>
              <w:t>2.2-2018</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章节6.2.2，其他污染物环境质量现状数据评价范围内没有环境空气质量监测网数据或公开发布的环境</w:t>
            </w:r>
            <w:r>
              <w:rPr>
                <w:rFonts w:hint="eastAsia" w:ascii="Times New Roman" w:hAnsi="Times New Roman" w:eastAsia="宋体" w:cs="Times New Roman"/>
                <w:color w:val="auto"/>
                <w:sz w:val="24"/>
                <w:highlight w:val="none"/>
                <w:lang w:eastAsia="zh-CN"/>
              </w:rPr>
              <w:t>空</w:t>
            </w:r>
            <w:r>
              <w:rPr>
                <w:rFonts w:hint="eastAsia" w:ascii="Times New Roman" w:hAnsi="Times New Roman" w:eastAsia="宋体" w:cs="Times New Roman"/>
                <w:color w:val="auto"/>
                <w:sz w:val="24"/>
                <w:highlight w:val="none"/>
              </w:rPr>
              <w:t>气质量现状数据的，可收集建设项目周边</w:t>
            </w:r>
            <w:r>
              <w:rPr>
                <w:rFonts w:hint="eastAsia" w:ascii="Times New Roman" w:hAnsi="Times New Roman" w:eastAsia="宋体" w:cs="Times New Roman"/>
                <w:color w:val="auto"/>
                <w:sz w:val="24"/>
                <w:highlight w:val="none"/>
                <w:lang w:val="en-US" w:eastAsia="zh-CN"/>
              </w:rPr>
              <w:t>5</w:t>
            </w:r>
            <w:r>
              <w:rPr>
                <w:rFonts w:hint="eastAsia" w:ascii="Times New Roman" w:hAnsi="Times New Roman" w:eastAsia="宋体" w:cs="Times New Roman"/>
                <w:color w:val="auto"/>
                <w:sz w:val="24"/>
                <w:highlight w:val="none"/>
              </w:rPr>
              <w:t>千米范围内近</w:t>
            </w:r>
            <w:r>
              <w:rPr>
                <w:rFonts w:hint="eastAsia"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rPr>
              <w:t>年与项目排放的其他污染物有关的历史监测数据。若无上述相关监测数据或监测数据不能满足评价要求时，应补充监测。</w:t>
            </w:r>
          </w:p>
          <w:p w14:paraId="3F47C471">
            <w:pPr>
              <w:widowControl/>
              <w:spacing w:line="360" w:lineRule="auto"/>
              <w:ind w:firstLine="480" w:firstLineChars="200"/>
              <w:rPr>
                <w:rFonts w:hint="default" w:ascii="Times New Roman" w:hAnsi="Times New Roman" w:eastAsia="宋体" w:cs="Times New Roman"/>
                <w:bCs/>
                <w:color w:val="0000FF"/>
                <w:sz w:val="24"/>
                <w:szCs w:val="24"/>
                <w:lang w:val="en-US" w:eastAsia="zh-CN"/>
              </w:rPr>
            </w:pPr>
            <w:r>
              <w:rPr>
                <w:rFonts w:hint="default" w:ascii="Times New Roman" w:hAnsi="Times New Roman" w:eastAsia="宋体" w:cs="Times New Roman"/>
                <w:bCs/>
                <w:color w:val="0000FF"/>
                <w:sz w:val="24"/>
                <w:szCs w:val="24"/>
                <w:lang w:val="en-US" w:eastAsia="zh-CN"/>
              </w:rPr>
              <w:t>本项目大气污染物特征因子</w:t>
            </w:r>
            <w:r>
              <w:rPr>
                <w:rFonts w:hint="eastAsia" w:ascii="Times New Roman" w:hAnsi="Times New Roman" w:cs="Times New Roman"/>
                <w:bCs/>
                <w:color w:val="0000FF"/>
                <w:sz w:val="24"/>
                <w:szCs w:val="24"/>
                <w:lang w:val="en-US" w:eastAsia="zh-CN"/>
              </w:rPr>
              <w:t>主要</w:t>
            </w:r>
            <w:r>
              <w:rPr>
                <w:rFonts w:hint="default" w:ascii="Times New Roman" w:hAnsi="Times New Roman" w:eastAsia="宋体" w:cs="Times New Roman"/>
                <w:bCs/>
                <w:color w:val="0000FF"/>
                <w:sz w:val="24"/>
                <w:szCs w:val="24"/>
                <w:lang w:val="en-US" w:eastAsia="zh-CN"/>
              </w:rPr>
              <w:t>为</w:t>
            </w:r>
            <w:r>
              <w:rPr>
                <w:rFonts w:hint="eastAsia" w:ascii="宋体" w:hAnsi="宋体" w:eastAsia="宋体" w:cs="宋体"/>
                <w:color w:val="0000FF"/>
                <w:sz w:val="24"/>
                <w:lang w:val="en-US" w:eastAsia="zh-CN"/>
              </w:rPr>
              <w:t>TSP、</w:t>
            </w:r>
            <w:r>
              <w:rPr>
                <w:rFonts w:hint="eastAsia" w:ascii="宋体" w:hAnsi="宋体" w:eastAsia="宋体" w:cs="宋体"/>
                <w:color w:val="0000FF"/>
                <w:sz w:val="24"/>
              </w:rPr>
              <w:t>氯化氢、氟化物、汞、铅、镉</w:t>
            </w:r>
            <w:r>
              <w:rPr>
                <w:rFonts w:hint="eastAsia" w:ascii="宋体" w:hAnsi="宋体" w:eastAsia="宋体" w:cs="宋体"/>
                <w:color w:val="0000FF"/>
                <w:sz w:val="24"/>
                <w:lang w:eastAsia="zh-CN"/>
              </w:rPr>
              <w:t>、</w:t>
            </w:r>
            <w:r>
              <w:rPr>
                <w:rFonts w:hint="eastAsia" w:ascii="宋体" w:hAnsi="宋体" w:eastAsia="宋体" w:cs="宋体"/>
                <w:color w:val="0000FF"/>
                <w:sz w:val="24"/>
              </w:rPr>
              <w:t>砷、氨、二噁英类</w:t>
            </w:r>
            <w:r>
              <w:rPr>
                <w:rFonts w:hint="default" w:ascii="Times New Roman" w:hAnsi="Times New Roman" w:eastAsia="宋体" w:cs="Times New Roman"/>
                <w:bCs/>
                <w:color w:val="0000FF"/>
                <w:sz w:val="24"/>
                <w:szCs w:val="24"/>
                <w:lang w:val="en-US" w:eastAsia="zh-CN"/>
              </w:rPr>
              <w:t>。</w:t>
            </w:r>
          </w:p>
          <w:p w14:paraId="42FDDBE2">
            <w:pPr>
              <w:widowControl/>
              <w:spacing w:line="360" w:lineRule="auto"/>
              <w:ind w:firstLine="480" w:firstLineChars="200"/>
              <w:rPr>
                <w:rFonts w:hint="eastAsia" w:cs="Times New Roman"/>
                <w:color w:val="auto"/>
                <w:sz w:val="24"/>
                <w:highlight w:val="none"/>
                <w:lang w:eastAsia="zh-CN"/>
              </w:rPr>
            </w:pPr>
            <w:r>
              <w:rPr>
                <w:rFonts w:hint="eastAsia" w:ascii="Times New Roman" w:hAnsi="Times New Roman" w:cs="Times New Roman"/>
                <w:bCs/>
                <w:color w:val="0000FF"/>
                <w:sz w:val="24"/>
                <w:szCs w:val="24"/>
                <w:lang w:val="en-US" w:eastAsia="zh-CN"/>
              </w:rPr>
              <w:t>淮北众城水泥有限责任公司</w:t>
            </w:r>
            <w:r>
              <w:rPr>
                <w:rFonts w:hint="default" w:ascii="Times New Roman" w:hAnsi="Times New Roman" w:eastAsia="宋体" w:cs="Times New Roman"/>
                <w:bCs/>
                <w:color w:val="0000FF"/>
                <w:sz w:val="24"/>
                <w:szCs w:val="24"/>
                <w:lang w:val="en-US" w:eastAsia="zh-CN"/>
              </w:rPr>
              <w:t>于202</w:t>
            </w:r>
            <w:r>
              <w:rPr>
                <w:rFonts w:hint="eastAsia" w:ascii="Times New Roman" w:hAnsi="Times New Roman" w:eastAsia="宋体" w:cs="Times New Roman"/>
                <w:bCs/>
                <w:color w:val="0000FF"/>
                <w:sz w:val="24"/>
                <w:szCs w:val="24"/>
                <w:lang w:val="en-US" w:eastAsia="zh-CN"/>
              </w:rPr>
              <w:t>5</w:t>
            </w:r>
            <w:r>
              <w:rPr>
                <w:rFonts w:hint="default" w:ascii="Times New Roman" w:hAnsi="Times New Roman" w:eastAsia="宋体" w:cs="Times New Roman"/>
                <w:bCs/>
                <w:color w:val="0000FF"/>
                <w:sz w:val="24"/>
                <w:szCs w:val="24"/>
                <w:lang w:val="en-US" w:eastAsia="zh-CN"/>
              </w:rPr>
              <w:t>年</w:t>
            </w:r>
            <w:r>
              <w:rPr>
                <w:rFonts w:hint="eastAsia" w:ascii="Times New Roman" w:hAnsi="Times New Roman" w:eastAsia="宋体" w:cs="Times New Roman"/>
                <w:bCs/>
                <w:color w:val="0000FF"/>
                <w:sz w:val="24"/>
                <w:szCs w:val="24"/>
                <w:lang w:val="en-US" w:eastAsia="zh-CN"/>
              </w:rPr>
              <w:t>3</w:t>
            </w:r>
            <w:r>
              <w:rPr>
                <w:rFonts w:hint="default" w:ascii="Times New Roman" w:hAnsi="Times New Roman" w:eastAsia="宋体" w:cs="Times New Roman"/>
                <w:bCs/>
                <w:color w:val="0000FF"/>
                <w:sz w:val="24"/>
                <w:szCs w:val="24"/>
                <w:lang w:val="en-US" w:eastAsia="zh-CN"/>
              </w:rPr>
              <w:t>月</w:t>
            </w:r>
            <w:r>
              <w:rPr>
                <w:rFonts w:hint="eastAsia" w:ascii="Times New Roman" w:hAnsi="Times New Roman" w:eastAsia="宋体" w:cs="Times New Roman"/>
                <w:bCs/>
                <w:color w:val="0000FF"/>
                <w:sz w:val="24"/>
                <w:szCs w:val="24"/>
                <w:lang w:val="en-US" w:eastAsia="zh-CN"/>
              </w:rPr>
              <w:t>13</w:t>
            </w:r>
            <w:r>
              <w:rPr>
                <w:rFonts w:hint="default" w:ascii="Times New Roman" w:hAnsi="Times New Roman" w:eastAsia="宋体" w:cs="Times New Roman"/>
                <w:bCs/>
                <w:color w:val="0000FF"/>
                <w:sz w:val="24"/>
                <w:szCs w:val="24"/>
                <w:lang w:val="en-US" w:eastAsia="zh-CN"/>
              </w:rPr>
              <w:t>日~</w:t>
            </w:r>
            <w:r>
              <w:rPr>
                <w:rFonts w:hint="eastAsia" w:ascii="Times New Roman" w:hAnsi="Times New Roman" w:eastAsia="宋体" w:cs="Times New Roman"/>
                <w:bCs/>
                <w:color w:val="0000FF"/>
                <w:sz w:val="24"/>
                <w:szCs w:val="24"/>
                <w:lang w:val="en-US" w:eastAsia="zh-CN"/>
              </w:rPr>
              <w:t>3</w:t>
            </w:r>
            <w:r>
              <w:rPr>
                <w:rFonts w:hint="default" w:ascii="Times New Roman" w:hAnsi="Times New Roman" w:eastAsia="宋体" w:cs="Times New Roman"/>
                <w:bCs/>
                <w:color w:val="0000FF"/>
                <w:sz w:val="24"/>
                <w:szCs w:val="24"/>
                <w:lang w:val="en-US" w:eastAsia="zh-CN"/>
              </w:rPr>
              <w:t>月</w:t>
            </w:r>
            <w:r>
              <w:rPr>
                <w:rFonts w:hint="eastAsia" w:ascii="Times New Roman" w:hAnsi="Times New Roman" w:eastAsia="宋体" w:cs="Times New Roman"/>
                <w:bCs/>
                <w:color w:val="0000FF"/>
                <w:sz w:val="24"/>
                <w:szCs w:val="24"/>
                <w:lang w:val="en-US" w:eastAsia="zh-CN"/>
              </w:rPr>
              <w:t>20</w:t>
            </w:r>
            <w:r>
              <w:rPr>
                <w:rFonts w:hint="default" w:ascii="Times New Roman" w:hAnsi="Times New Roman" w:eastAsia="宋体" w:cs="Times New Roman"/>
                <w:bCs/>
                <w:color w:val="0000FF"/>
                <w:sz w:val="24"/>
                <w:szCs w:val="24"/>
                <w:lang w:val="en-US" w:eastAsia="zh-CN"/>
              </w:rPr>
              <w:t>日</w:t>
            </w:r>
            <w:r>
              <w:rPr>
                <w:rFonts w:hint="eastAsia" w:ascii="Times New Roman" w:hAnsi="Times New Roman" w:cs="Times New Roman"/>
                <w:bCs/>
                <w:color w:val="0000FF"/>
                <w:sz w:val="24"/>
                <w:szCs w:val="24"/>
                <w:lang w:val="en-US" w:eastAsia="zh-CN"/>
              </w:rPr>
              <w:t>委托泉鑫检测科技（山东）有限公司进行了特征因子</w:t>
            </w:r>
            <w:r>
              <w:rPr>
                <w:rFonts w:hint="default" w:ascii="Times New Roman" w:hAnsi="Times New Roman" w:eastAsia="宋体" w:cs="Times New Roman"/>
                <w:bCs/>
                <w:color w:val="0000FF"/>
                <w:sz w:val="24"/>
                <w:szCs w:val="24"/>
                <w:lang w:val="en-US" w:eastAsia="zh-CN"/>
              </w:rPr>
              <w:t>补充监测（报告编号：</w:t>
            </w:r>
            <w:r>
              <w:rPr>
                <w:rFonts w:hint="eastAsia" w:ascii="Times New Roman" w:hAnsi="Times New Roman" w:cs="Times New Roman"/>
                <w:bCs/>
                <w:color w:val="0000FF"/>
                <w:sz w:val="24"/>
                <w:szCs w:val="24"/>
                <w:lang w:val="en-US" w:eastAsia="zh-CN"/>
              </w:rPr>
              <w:t>QXJC2503216</w:t>
            </w:r>
            <w:r>
              <w:rPr>
                <w:rFonts w:hint="default" w:ascii="Times New Roman" w:hAnsi="Times New Roman" w:eastAsia="宋体" w:cs="Times New Roman"/>
                <w:bCs/>
                <w:color w:val="0000FF"/>
                <w:sz w:val="24"/>
                <w:szCs w:val="24"/>
                <w:lang w:val="en-US" w:eastAsia="zh-CN"/>
              </w:rPr>
              <w:t>）</w:t>
            </w:r>
            <w:r>
              <w:rPr>
                <w:rFonts w:hint="eastAsia" w:cs="Times New Roman"/>
                <w:color w:val="auto"/>
                <w:sz w:val="24"/>
                <w:highlight w:val="none"/>
                <w:lang w:eastAsia="zh-CN"/>
              </w:rPr>
              <w:t>。</w:t>
            </w:r>
          </w:p>
          <w:p w14:paraId="04BCA13F">
            <w:pPr>
              <w:widowControl/>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（1）监测布点</w:t>
            </w:r>
          </w:p>
          <w:p w14:paraId="6D26EFE6">
            <w:pPr>
              <w:spacing w:line="360" w:lineRule="auto"/>
              <w:ind w:firstLine="480" w:firstLineChars="200"/>
              <w:textAlignment w:val="baseline"/>
              <w:rPr>
                <w:rFonts w:ascii="Times New Roman" w:hAnsi="Times New Roman" w:eastAsia="宋体"/>
                <w:b/>
                <w:bCs/>
                <w:color w:val="auto"/>
                <w:kern w:val="2"/>
                <w:szCs w:val="21"/>
              </w:rPr>
            </w:pPr>
            <w:r>
              <w:rPr>
                <w:rFonts w:ascii="Times New Roman" w:hAnsi="Times New Roman" w:eastAsia="宋体" w:cs="Times New Roman"/>
                <w:sz w:val="24"/>
                <w:szCs w:val="24"/>
              </w:rPr>
              <w:t>具体监测点位见表</w:t>
            </w:r>
            <w:r>
              <w:rPr>
                <w:rFonts w:hint="eastAsia" w:ascii="Times New Roman" w:hAnsi="Times New Roman" w:eastAsia="宋体" w:cs="Times New Roman"/>
                <w:sz w:val="24"/>
                <w:szCs w:val="24"/>
                <w:lang w:val="en-US" w:eastAsia="zh-CN"/>
              </w:rPr>
              <w:t>3-2</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布点图见图3-1。</w:t>
            </w:r>
          </w:p>
          <w:p w14:paraId="145727C4">
            <w:pPr>
              <w:jc w:val="center"/>
              <w:rPr>
                <w:rFonts w:ascii="Times New Roman" w:hAnsi="Times New Roman"/>
                <w:b/>
                <w:bCs/>
                <w:color w:val="auto"/>
                <w:szCs w:val="21"/>
              </w:rPr>
            </w:pPr>
            <w:r>
              <w:rPr>
                <w:rFonts w:ascii="Times New Roman" w:hAnsi="Times New Roman" w:eastAsia="宋体"/>
                <w:b/>
                <w:bCs/>
                <w:color w:val="auto"/>
                <w:kern w:val="2"/>
                <w:szCs w:val="21"/>
              </w:rPr>
              <w:t>表</w:t>
            </w:r>
            <w:r>
              <w:rPr>
                <w:rFonts w:hint="eastAsia" w:ascii="Times New Roman" w:hAnsi="Times New Roman" w:eastAsia="宋体"/>
                <w:b/>
                <w:bCs/>
                <w:color w:val="auto"/>
                <w:kern w:val="2"/>
                <w:szCs w:val="21"/>
                <w:lang w:val="en-US" w:eastAsia="zh-CN"/>
              </w:rPr>
              <w:t xml:space="preserve">3-2 </w:t>
            </w:r>
            <w:r>
              <w:rPr>
                <w:rFonts w:hint="eastAsia" w:ascii="宋体" w:hAnsi="宋体" w:eastAsia="宋体" w:cs="宋体"/>
                <w:b/>
                <w:bCs/>
                <w:color w:val="auto"/>
                <w:szCs w:val="21"/>
              </w:rPr>
              <w:t>环境空气质量现状监测布点一览表</w:t>
            </w:r>
          </w:p>
          <w:tbl>
            <w:tblPr>
              <w:tblStyle w:val="28"/>
              <w:tblW w:w="4996"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252"/>
              <w:gridCol w:w="1897"/>
              <w:gridCol w:w="1293"/>
              <w:gridCol w:w="1771"/>
              <w:gridCol w:w="2552"/>
            </w:tblGrid>
            <w:tr w14:paraId="6A29DD7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22" w:type="dxa"/>
                  <w:noWrap w:val="0"/>
                  <w:vAlign w:val="center"/>
                </w:tcPr>
                <w:p w14:paraId="435DD32C">
                  <w:pPr>
                    <w:pStyle w:val="132"/>
                    <w:spacing w:line="240" w:lineRule="auto"/>
                    <w:ind w:left="0" w:leftChars="0" w:firstLine="0" w:firstLineChars="0"/>
                    <w:jc w:val="center"/>
                    <w:rPr>
                      <w:rFonts w:hint="eastAsia" w:ascii="宋体" w:hAnsi="宋体" w:eastAsia="宋体" w:cs="Times New Roman"/>
                      <w:sz w:val="21"/>
                      <w:szCs w:val="21"/>
                    </w:rPr>
                  </w:pPr>
                  <w:r>
                    <w:rPr>
                      <w:rFonts w:hint="eastAsia" w:ascii="宋体" w:hAnsi="宋体" w:eastAsia="宋体" w:cs="Times New Roman"/>
                      <w:sz w:val="21"/>
                      <w:szCs w:val="21"/>
                    </w:rPr>
                    <w:t>点位编号</w:t>
                  </w:r>
                </w:p>
              </w:tc>
              <w:tc>
                <w:tcPr>
                  <w:tcW w:w="2010" w:type="dxa"/>
                  <w:noWrap w:val="0"/>
                  <w:vAlign w:val="center"/>
                </w:tcPr>
                <w:p w14:paraId="33424EC3">
                  <w:pPr>
                    <w:pStyle w:val="132"/>
                    <w:spacing w:line="240" w:lineRule="auto"/>
                    <w:ind w:left="0" w:leftChars="0" w:firstLine="0" w:firstLineChars="0"/>
                    <w:jc w:val="center"/>
                    <w:rPr>
                      <w:rFonts w:hint="eastAsia" w:ascii="宋体" w:hAnsi="宋体" w:eastAsia="宋体" w:cs="Times New Roman"/>
                      <w:sz w:val="21"/>
                      <w:szCs w:val="21"/>
                    </w:rPr>
                  </w:pPr>
                  <w:r>
                    <w:rPr>
                      <w:rFonts w:hint="eastAsia" w:ascii="宋体" w:hAnsi="宋体" w:eastAsia="宋体" w:cs="Times New Roman"/>
                      <w:sz w:val="21"/>
                      <w:szCs w:val="21"/>
                    </w:rPr>
                    <w:t>点位名称</w:t>
                  </w:r>
                </w:p>
              </w:tc>
              <w:tc>
                <w:tcPr>
                  <w:tcW w:w="1365" w:type="dxa"/>
                  <w:noWrap w:val="0"/>
                  <w:vAlign w:val="center"/>
                </w:tcPr>
                <w:p w14:paraId="5BC4314F">
                  <w:pPr>
                    <w:pStyle w:val="132"/>
                    <w:spacing w:line="240" w:lineRule="auto"/>
                    <w:ind w:left="0" w:leftChars="0" w:firstLine="0" w:firstLineChars="0"/>
                    <w:jc w:val="center"/>
                    <w:rPr>
                      <w:rFonts w:hint="eastAsia" w:ascii="宋体" w:hAnsi="宋体" w:eastAsia="宋体" w:cs="Times New Roman"/>
                      <w:sz w:val="21"/>
                      <w:szCs w:val="21"/>
                    </w:rPr>
                  </w:pPr>
                  <w:r>
                    <w:rPr>
                      <w:rFonts w:hint="eastAsia" w:ascii="宋体" w:hAnsi="宋体" w:eastAsia="宋体" w:cs="Times New Roman"/>
                      <w:sz w:val="21"/>
                      <w:szCs w:val="21"/>
                    </w:rPr>
                    <w:t>相对方位</w:t>
                  </w:r>
                </w:p>
              </w:tc>
              <w:tc>
                <w:tcPr>
                  <w:tcW w:w="1875" w:type="dxa"/>
                  <w:noWrap w:val="0"/>
                  <w:vAlign w:val="center"/>
                </w:tcPr>
                <w:p w14:paraId="62A7F0D1">
                  <w:pPr>
                    <w:pStyle w:val="132"/>
                    <w:spacing w:line="240" w:lineRule="auto"/>
                    <w:ind w:left="0" w:leftChars="0" w:firstLine="0" w:firstLineChars="0"/>
                    <w:jc w:val="center"/>
                    <w:rPr>
                      <w:rFonts w:hint="eastAsia" w:ascii="宋体" w:hAnsi="宋体" w:eastAsia="宋体" w:cs="Times New Roman"/>
                      <w:sz w:val="21"/>
                      <w:szCs w:val="21"/>
                    </w:rPr>
                  </w:pPr>
                  <w:r>
                    <w:rPr>
                      <w:rFonts w:hint="eastAsia" w:ascii="宋体" w:hAnsi="宋体" w:eastAsia="宋体" w:cs="Times New Roman"/>
                      <w:sz w:val="21"/>
                      <w:szCs w:val="21"/>
                    </w:rPr>
                    <w:t>与厂址距离(m)</w:t>
                  </w:r>
                </w:p>
              </w:tc>
              <w:tc>
                <w:tcPr>
                  <w:tcW w:w="2709" w:type="dxa"/>
                  <w:noWrap w:val="0"/>
                  <w:vAlign w:val="center"/>
                </w:tcPr>
                <w:p w14:paraId="12B2C401">
                  <w:pPr>
                    <w:pStyle w:val="132"/>
                    <w:spacing w:line="240" w:lineRule="auto"/>
                    <w:ind w:left="0" w:leftChars="0" w:firstLine="0" w:firstLineChars="0"/>
                    <w:jc w:val="center"/>
                    <w:rPr>
                      <w:rFonts w:hint="eastAsia" w:ascii="宋体" w:hAnsi="宋体" w:eastAsia="宋体" w:cs="Times New Roman"/>
                      <w:sz w:val="21"/>
                      <w:szCs w:val="21"/>
                    </w:rPr>
                  </w:pPr>
                  <w:r>
                    <w:rPr>
                      <w:rFonts w:hint="eastAsia" w:ascii="宋体" w:hAnsi="宋体" w:eastAsia="宋体" w:cs="Times New Roman"/>
                      <w:sz w:val="21"/>
                      <w:szCs w:val="21"/>
                    </w:rPr>
                    <w:t>备 注</w:t>
                  </w:r>
                </w:p>
              </w:tc>
            </w:tr>
            <w:tr w14:paraId="38F2AC5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3" w:hRule="atLeast"/>
              </w:trPr>
              <w:tc>
                <w:tcPr>
                  <w:tcW w:w="1322" w:type="dxa"/>
                  <w:noWrap w:val="0"/>
                  <w:vAlign w:val="center"/>
                </w:tcPr>
                <w:p w14:paraId="3150812E">
                  <w:pPr>
                    <w:pStyle w:val="132"/>
                    <w:spacing w:line="240" w:lineRule="auto"/>
                    <w:ind w:left="0" w:leftChars="0" w:firstLine="0" w:firstLineChars="0"/>
                    <w:jc w:val="center"/>
                    <w:rPr>
                      <w:rFonts w:hint="eastAsia" w:ascii="宋体" w:hAnsi="宋体" w:eastAsia="宋体" w:cs="Times New Roman"/>
                      <w:sz w:val="21"/>
                      <w:szCs w:val="21"/>
                      <w:lang w:val="en-US" w:eastAsia="zh-CN"/>
                    </w:rPr>
                  </w:pPr>
                  <w:r>
                    <w:rPr>
                      <w:rFonts w:hint="eastAsia" w:ascii="宋体" w:hAnsi="宋体" w:eastAsia="宋体" w:cs="Times New Roman"/>
                      <w:sz w:val="21"/>
                      <w:szCs w:val="21"/>
                    </w:rPr>
                    <w:t>G1</w:t>
                  </w:r>
                </w:p>
              </w:tc>
              <w:tc>
                <w:tcPr>
                  <w:tcW w:w="2010" w:type="dxa"/>
                  <w:noWrap w:val="0"/>
                  <w:vAlign w:val="center"/>
                </w:tcPr>
                <w:p w14:paraId="71DAE1CB">
                  <w:pPr>
                    <w:pStyle w:val="132"/>
                    <w:spacing w:line="240" w:lineRule="auto"/>
                    <w:ind w:left="0" w:leftChars="0" w:firstLine="0" w:firstLineChars="0"/>
                    <w:jc w:val="center"/>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淮北众城水泥有限责任公司厂区内</w:t>
                  </w:r>
                </w:p>
              </w:tc>
              <w:tc>
                <w:tcPr>
                  <w:tcW w:w="1365" w:type="dxa"/>
                  <w:noWrap w:val="0"/>
                  <w:vAlign w:val="center"/>
                </w:tcPr>
                <w:p w14:paraId="549EC84A">
                  <w:pPr>
                    <w:pStyle w:val="132"/>
                    <w:spacing w:line="240" w:lineRule="auto"/>
                    <w:ind w:left="0" w:leftChars="0" w:firstLine="0" w:firstLineChars="0"/>
                    <w:jc w:val="center"/>
                    <w:rPr>
                      <w:rFonts w:hint="eastAsia" w:ascii="宋体" w:hAnsi="宋体" w:eastAsia="宋体" w:cs="Times New Roman"/>
                      <w:sz w:val="21"/>
                      <w:szCs w:val="21"/>
                      <w:lang w:val="en-US" w:eastAsia="zh-CN"/>
                    </w:rPr>
                  </w:pPr>
                  <w:r>
                    <w:rPr>
                      <w:rFonts w:hint="eastAsia" w:ascii="宋体" w:hAnsi="宋体" w:eastAsia="宋体" w:cs="Times New Roman"/>
                      <w:sz w:val="21"/>
                      <w:szCs w:val="21"/>
                    </w:rPr>
                    <w:t>/</w:t>
                  </w:r>
                </w:p>
              </w:tc>
              <w:tc>
                <w:tcPr>
                  <w:tcW w:w="1875" w:type="dxa"/>
                  <w:noWrap w:val="0"/>
                  <w:vAlign w:val="center"/>
                </w:tcPr>
                <w:p w14:paraId="4A720B00">
                  <w:pPr>
                    <w:pStyle w:val="132"/>
                    <w:spacing w:line="240" w:lineRule="auto"/>
                    <w:ind w:left="0" w:leftChars="0" w:firstLine="0" w:firstLineChars="0"/>
                    <w:jc w:val="center"/>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w:t>
                  </w:r>
                </w:p>
              </w:tc>
              <w:tc>
                <w:tcPr>
                  <w:tcW w:w="2709" w:type="dxa"/>
                  <w:noWrap w:val="0"/>
                  <w:vAlign w:val="center"/>
                </w:tcPr>
                <w:p w14:paraId="665A4278">
                  <w:pPr>
                    <w:pStyle w:val="132"/>
                    <w:spacing w:line="240" w:lineRule="auto"/>
                    <w:ind w:left="0" w:leftChars="0" w:firstLine="0" w:firstLineChars="0"/>
                    <w:jc w:val="center"/>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项目所在</w:t>
                  </w:r>
                  <w:r>
                    <w:rPr>
                      <w:rFonts w:hint="eastAsia" w:ascii="宋体" w:hAnsi="宋体" w:eastAsia="宋体" w:cs="Times New Roman"/>
                      <w:sz w:val="21"/>
                      <w:szCs w:val="21"/>
                      <w:lang w:val="en-US"/>
                    </w:rPr>
                    <w:t>厂址</w:t>
                  </w:r>
                  <w:r>
                    <w:rPr>
                      <w:rFonts w:hint="eastAsia" w:ascii="宋体" w:hAnsi="宋体" w:eastAsia="宋体" w:cs="Times New Roman"/>
                      <w:sz w:val="21"/>
                      <w:szCs w:val="21"/>
                      <w:lang w:val="en-US" w:eastAsia="zh-CN"/>
                    </w:rPr>
                    <w:t>内</w:t>
                  </w:r>
                </w:p>
              </w:tc>
            </w:tr>
          </w:tbl>
          <w:p w14:paraId="612F3A20">
            <w:pPr>
              <w:pStyle w:val="13"/>
              <w:ind w:left="0" w:leftChars="0" w:firstLine="0" w:firstLineChars="0"/>
              <w:rPr>
                <w:rFonts w:hint="eastAsia" w:ascii="Times New Roman" w:hAnsi="Times New Roman" w:eastAsia="宋体" w:cs="Times New Roman"/>
                <w:b/>
                <w:bCs/>
                <w:sz w:val="24"/>
                <w:szCs w:val="24"/>
                <w:lang w:val="en-US" w:eastAsia="zh-CN"/>
              </w:rPr>
            </w:pPr>
            <w:r>
              <w:rPr>
                <w:rFonts w:hint="eastAsia" w:ascii="Times New Roman" w:hAnsi="Times New Roman" w:eastAsia="宋体"/>
                <w:color w:val="auto"/>
                <w:sz w:val="24"/>
                <w:lang w:eastAsia="zh-CN"/>
              </w:rPr>
              <w:drawing>
                <wp:anchor distT="0" distB="0" distL="114300" distR="114300" simplePos="0" relativeHeight="251661312" behindDoc="0" locked="0" layoutInCell="1" allowOverlap="1">
                  <wp:simplePos x="0" y="0"/>
                  <wp:positionH relativeFrom="column">
                    <wp:posOffset>135890</wp:posOffset>
                  </wp:positionH>
                  <wp:positionV relativeFrom="paragraph">
                    <wp:posOffset>99060</wp:posOffset>
                  </wp:positionV>
                  <wp:extent cx="5306695" cy="3889375"/>
                  <wp:effectExtent l="15875" t="15875" r="30480" b="19050"/>
                  <wp:wrapNone/>
                  <wp:docPr id="4" name="图片 2" descr="3f1193e1-66cb-4b5c-bfad-fb590bb9e8f0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3f1193e1-66cb-4b5c-bfad-fb590bb9e8f0副本"/>
                          <pic:cNvPicPr>
                            <a:picLocks noChangeAspect="1"/>
                          </pic:cNvPicPr>
                        </pic:nvPicPr>
                        <pic:blipFill>
                          <a:blip r:embed="rId12"/>
                          <a:stretch>
                            <a:fillRect/>
                          </a:stretch>
                        </pic:blipFill>
                        <pic:spPr>
                          <a:xfrm>
                            <a:off x="0" y="0"/>
                            <a:ext cx="5306695" cy="3889375"/>
                          </a:xfrm>
                          <a:prstGeom prst="rect">
                            <a:avLst/>
                          </a:prstGeom>
                          <a:noFill/>
                          <a:ln w="15875" cap="flat" cmpd="sng">
                            <a:solidFill>
                              <a:srgbClr val="000000"/>
                            </a:solidFill>
                            <a:prstDash val="solid"/>
                            <a:miter/>
                            <a:headEnd type="none" w="med" len="med"/>
                            <a:tailEnd type="none" w="med" len="med"/>
                          </a:ln>
                        </pic:spPr>
                      </pic:pic>
                    </a:graphicData>
                  </a:graphic>
                </wp:anchor>
              </w:drawing>
            </w:r>
          </w:p>
          <w:p w14:paraId="312AC667">
            <w:pPr>
              <w:pStyle w:val="13"/>
              <w:rPr>
                <w:rFonts w:hint="eastAsia" w:ascii="Times New Roman" w:hAnsi="Times New Roman" w:eastAsia="宋体" w:cs="Times New Roman"/>
                <w:b/>
                <w:bCs/>
                <w:sz w:val="24"/>
                <w:szCs w:val="24"/>
                <w:lang w:val="en-US" w:eastAsia="zh-CN"/>
              </w:rPr>
            </w:pPr>
          </w:p>
          <w:p w14:paraId="2A682E2C">
            <w:pPr>
              <w:pStyle w:val="13"/>
              <w:rPr>
                <w:rFonts w:hint="eastAsia" w:ascii="Times New Roman" w:hAnsi="Times New Roman" w:eastAsia="宋体" w:cs="Times New Roman"/>
                <w:b/>
                <w:bCs/>
                <w:sz w:val="24"/>
                <w:szCs w:val="24"/>
                <w:lang w:val="en-US" w:eastAsia="zh-CN"/>
              </w:rPr>
            </w:pPr>
          </w:p>
          <w:p w14:paraId="3D3A4AE2">
            <w:pPr>
              <w:pStyle w:val="13"/>
              <w:rPr>
                <w:rFonts w:hint="eastAsia" w:ascii="Times New Roman" w:hAnsi="Times New Roman" w:eastAsia="宋体" w:cs="Times New Roman"/>
                <w:b/>
                <w:bCs/>
                <w:sz w:val="24"/>
                <w:szCs w:val="24"/>
                <w:lang w:val="en-US" w:eastAsia="zh-CN"/>
              </w:rPr>
            </w:pPr>
          </w:p>
          <w:p w14:paraId="39701E86">
            <w:pPr>
              <w:pStyle w:val="13"/>
              <w:rPr>
                <w:rFonts w:hint="eastAsia" w:ascii="Times New Roman" w:hAnsi="Times New Roman" w:eastAsia="宋体" w:cs="Times New Roman"/>
                <w:b/>
                <w:bCs/>
                <w:sz w:val="24"/>
                <w:szCs w:val="24"/>
                <w:lang w:val="en-US" w:eastAsia="zh-CN"/>
              </w:rPr>
            </w:pPr>
          </w:p>
          <w:p w14:paraId="418B0CFD">
            <w:pPr>
              <w:pStyle w:val="13"/>
              <w:rPr>
                <w:rFonts w:hint="eastAsia" w:ascii="Times New Roman" w:hAnsi="Times New Roman" w:eastAsia="宋体" w:cs="Times New Roman"/>
                <w:b/>
                <w:bCs/>
                <w:sz w:val="24"/>
                <w:szCs w:val="24"/>
                <w:lang w:val="en-US" w:eastAsia="zh-CN"/>
              </w:rPr>
            </w:pPr>
          </w:p>
          <w:p w14:paraId="4A4EEFBD">
            <w:pPr>
              <w:pStyle w:val="13"/>
              <w:rPr>
                <w:rFonts w:hint="eastAsia" w:ascii="Times New Roman" w:hAnsi="Times New Roman" w:eastAsia="宋体" w:cs="Times New Roman"/>
                <w:b/>
                <w:bCs/>
                <w:sz w:val="24"/>
                <w:szCs w:val="24"/>
                <w:lang w:val="en-US" w:eastAsia="zh-CN"/>
              </w:rPr>
            </w:pPr>
          </w:p>
          <w:p w14:paraId="404F6F89">
            <w:pPr>
              <w:pStyle w:val="13"/>
              <w:rPr>
                <w:rFonts w:hint="eastAsia" w:ascii="Times New Roman" w:hAnsi="Times New Roman" w:eastAsia="宋体" w:cs="Times New Roman"/>
                <w:b/>
                <w:bCs/>
                <w:sz w:val="24"/>
                <w:szCs w:val="24"/>
                <w:lang w:val="en-US" w:eastAsia="zh-CN"/>
              </w:rPr>
            </w:pPr>
          </w:p>
          <w:p w14:paraId="35009A2C">
            <w:pPr>
              <w:pStyle w:val="13"/>
              <w:rPr>
                <w:rFonts w:hint="eastAsia" w:ascii="Times New Roman" w:hAnsi="Times New Roman" w:eastAsia="宋体" w:cs="Times New Roman"/>
                <w:b/>
                <w:bCs/>
                <w:sz w:val="24"/>
                <w:szCs w:val="24"/>
                <w:lang w:val="en-US" w:eastAsia="zh-CN"/>
              </w:rPr>
            </w:pPr>
          </w:p>
          <w:p w14:paraId="7B9591BC">
            <w:pPr>
              <w:pStyle w:val="13"/>
              <w:rPr>
                <w:rFonts w:hint="eastAsia" w:ascii="Times New Roman" w:hAnsi="Times New Roman" w:eastAsia="宋体" w:cs="Times New Roman"/>
                <w:b/>
                <w:bCs/>
                <w:sz w:val="24"/>
                <w:szCs w:val="24"/>
                <w:lang w:val="en-US" w:eastAsia="zh-CN"/>
              </w:rPr>
            </w:pPr>
          </w:p>
          <w:p w14:paraId="58EBBB56">
            <w:pPr>
              <w:pStyle w:val="13"/>
              <w:rPr>
                <w:rFonts w:hint="eastAsia" w:ascii="Times New Roman" w:hAnsi="Times New Roman" w:eastAsia="宋体" w:cs="Times New Roman"/>
                <w:b/>
                <w:bCs/>
                <w:sz w:val="24"/>
                <w:szCs w:val="24"/>
                <w:lang w:val="en-US" w:eastAsia="zh-CN"/>
              </w:rPr>
            </w:pPr>
          </w:p>
          <w:p w14:paraId="2A0A9E3F">
            <w:pPr>
              <w:pStyle w:val="13"/>
              <w:rPr>
                <w:rFonts w:hint="eastAsia" w:ascii="Times New Roman" w:hAnsi="Times New Roman" w:eastAsia="宋体" w:cs="Times New Roman"/>
                <w:b/>
                <w:bCs/>
                <w:sz w:val="24"/>
                <w:szCs w:val="24"/>
                <w:lang w:val="en-US" w:eastAsia="zh-CN"/>
              </w:rPr>
            </w:pPr>
          </w:p>
          <w:p w14:paraId="4F4B932A">
            <w:pPr>
              <w:pStyle w:val="13"/>
              <w:rPr>
                <w:rFonts w:hint="eastAsia" w:ascii="Times New Roman" w:hAnsi="Times New Roman" w:eastAsia="宋体" w:cs="Times New Roman"/>
                <w:b/>
                <w:bCs/>
                <w:sz w:val="24"/>
                <w:szCs w:val="24"/>
                <w:lang w:val="en-US" w:eastAsia="zh-CN"/>
              </w:rPr>
            </w:pPr>
          </w:p>
          <w:p w14:paraId="19F061D0">
            <w:pPr>
              <w:pStyle w:val="39"/>
              <w:jc w:val="center"/>
              <w:rPr>
                <w:rFonts w:hint="eastAsia" w:ascii="Times New Roman" w:hAnsi="Times New Roman" w:eastAsia="宋体" w:cs="Times New Roman"/>
                <w:b/>
                <w:bCs/>
                <w:sz w:val="24"/>
                <w:szCs w:val="24"/>
                <w:lang w:val="en-US" w:eastAsia="zh-CN"/>
              </w:rPr>
            </w:pPr>
          </w:p>
          <w:p w14:paraId="3CC9E4CF">
            <w:pPr>
              <w:pStyle w:val="39"/>
              <w:jc w:val="center"/>
              <w:rPr>
                <w:rFonts w:hint="eastAsia" w:ascii="Times New Roman" w:hAnsi="Times New Roman" w:eastAsia="宋体" w:cs="Times New Roman"/>
                <w:b/>
                <w:bCs/>
                <w:sz w:val="24"/>
                <w:szCs w:val="24"/>
                <w:lang w:val="en-US" w:eastAsia="zh-CN"/>
              </w:rPr>
            </w:pPr>
          </w:p>
          <w:p w14:paraId="25F3F099">
            <w:pPr>
              <w:pStyle w:val="39"/>
              <w:jc w:val="center"/>
              <w:rPr>
                <w:rFonts w:hint="eastAsia" w:ascii="Times New Roman" w:hAnsi="Times New Roman" w:eastAsia="宋体" w:cs="Times New Roman"/>
                <w:bCs/>
                <w:sz w:val="24"/>
                <w:szCs w:val="24"/>
              </w:rPr>
            </w:pPr>
            <w:r>
              <w:rPr>
                <w:rFonts w:hint="eastAsia" w:ascii="Times New Roman" w:hAnsi="Times New Roman" w:eastAsia="宋体" w:cs="Times New Roman"/>
                <w:b/>
                <w:bCs/>
                <w:sz w:val="24"/>
                <w:szCs w:val="24"/>
                <w:lang w:val="en-US" w:eastAsia="zh-CN"/>
              </w:rPr>
              <w:t>图</w:t>
            </w:r>
            <w:r>
              <w:rPr>
                <w:rFonts w:hint="eastAsia" w:ascii="Times New Roman" w:eastAsia="宋体" w:cs="Times New Roman"/>
                <w:b/>
                <w:bCs/>
                <w:sz w:val="24"/>
                <w:szCs w:val="24"/>
                <w:lang w:val="en-US" w:eastAsia="zh-CN"/>
              </w:rPr>
              <w:t>3-1 监测布点图</w:t>
            </w:r>
          </w:p>
          <w:p w14:paraId="61902B63">
            <w:pPr>
              <w:widowControl/>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（2）监测时间与频率</w:t>
            </w:r>
          </w:p>
          <w:p w14:paraId="45F6A925">
            <w:pPr>
              <w:widowControl/>
              <w:spacing w:line="360" w:lineRule="auto"/>
              <w:ind w:firstLine="480" w:firstLineChars="200"/>
              <w:rPr>
                <w:rFonts w:hint="default" w:ascii="Times New Roman" w:hAnsi="Times New Roman" w:eastAsia="宋体" w:cs="Times New Roman"/>
                <w:bCs/>
                <w:sz w:val="24"/>
                <w:szCs w:val="24"/>
                <w:lang w:val="en-US"/>
              </w:rPr>
            </w:pPr>
            <w:r>
              <w:rPr>
                <w:rFonts w:hint="eastAsia" w:ascii="Times New Roman" w:hAnsi="Times New Roman" w:eastAsia="宋体" w:cs="Times New Roman"/>
                <w:bCs/>
                <w:sz w:val="24"/>
                <w:szCs w:val="24"/>
              </w:rPr>
              <w:t>监测时间：</w:t>
            </w:r>
            <w:r>
              <w:rPr>
                <w:rFonts w:hint="eastAsia" w:ascii="Times New Roman" w:hAnsi="Times New Roman" w:eastAsia="宋体" w:cs="Times New Roman"/>
                <w:bCs/>
                <w:color w:val="0000FF"/>
                <w:sz w:val="24"/>
                <w:szCs w:val="24"/>
                <w:lang w:val="en-US" w:eastAsia="zh-CN"/>
              </w:rPr>
              <w:t>202</w:t>
            </w:r>
            <w:r>
              <w:rPr>
                <w:rFonts w:hint="eastAsia" w:ascii="Times New Roman" w:hAnsi="Times New Roman" w:cs="Times New Roman"/>
                <w:bCs/>
                <w:color w:val="0000FF"/>
                <w:sz w:val="24"/>
                <w:szCs w:val="24"/>
                <w:lang w:val="en-US" w:eastAsia="zh-CN"/>
              </w:rPr>
              <w:t>5</w:t>
            </w:r>
            <w:r>
              <w:rPr>
                <w:rFonts w:hint="eastAsia" w:ascii="Times New Roman" w:hAnsi="Times New Roman" w:eastAsia="宋体" w:cs="Times New Roman"/>
                <w:bCs/>
                <w:color w:val="0000FF"/>
                <w:sz w:val="24"/>
                <w:szCs w:val="24"/>
                <w:lang w:val="en-US" w:eastAsia="zh-CN"/>
              </w:rPr>
              <w:t>年</w:t>
            </w:r>
            <w:r>
              <w:rPr>
                <w:rFonts w:hint="eastAsia" w:ascii="Times New Roman" w:hAnsi="Times New Roman" w:cs="Times New Roman"/>
                <w:bCs/>
                <w:color w:val="0000FF"/>
                <w:sz w:val="24"/>
                <w:szCs w:val="24"/>
                <w:lang w:val="en-US" w:eastAsia="zh-CN"/>
              </w:rPr>
              <w:t>3</w:t>
            </w:r>
            <w:r>
              <w:rPr>
                <w:rFonts w:hint="eastAsia" w:ascii="Times New Roman" w:hAnsi="Times New Roman" w:eastAsia="宋体" w:cs="Times New Roman"/>
                <w:bCs/>
                <w:color w:val="0000FF"/>
                <w:sz w:val="24"/>
                <w:szCs w:val="24"/>
                <w:lang w:val="en-US" w:eastAsia="zh-CN"/>
              </w:rPr>
              <w:t>月</w:t>
            </w:r>
            <w:r>
              <w:rPr>
                <w:rFonts w:hint="eastAsia" w:ascii="Times New Roman" w:hAnsi="Times New Roman" w:cs="Times New Roman"/>
                <w:bCs/>
                <w:color w:val="0000FF"/>
                <w:sz w:val="24"/>
                <w:szCs w:val="24"/>
                <w:lang w:val="en-US" w:eastAsia="zh-CN"/>
              </w:rPr>
              <w:t>13</w:t>
            </w:r>
            <w:r>
              <w:rPr>
                <w:rFonts w:hint="eastAsia" w:ascii="Times New Roman" w:hAnsi="Times New Roman" w:eastAsia="宋体" w:cs="Times New Roman"/>
                <w:bCs/>
                <w:color w:val="0000FF"/>
                <w:sz w:val="24"/>
                <w:szCs w:val="24"/>
                <w:lang w:val="en-US" w:eastAsia="zh-CN"/>
              </w:rPr>
              <w:t>日~202</w:t>
            </w:r>
            <w:r>
              <w:rPr>
                <w:rFonts w:hint="eastAsia" w:ascii="Times New Roman" w:hAnsi="Times New Roman" w:cs="Times New Roman"/>
                <w:bCs/>
                <w:color w:val="0000FF"/>
                <w:sz w:val="24"/>
                <w:szCs w:val="24"/>
                <w:lang w:val="en-US" w:eastAsia="zh-CN"/>
              </w:rPr>
              <w:t>5</w:t>
            </w:r>
            <w:r>
              <w:rPr>
                <w:rFonts w:hint="eastAsia" w:ascii="Times New Roman" w:hAnsi="Times New Roman" w:eastAsia="宋体" w:cs="Times New Roman"/>
                <w:bCs/>
                <w:color w:val="0000FF"/>
                <w:sz w:val="24"/>
                <w:szCs w:val="24"/>
                <w:lang w:val="en-US" w:eastAsia="zh-CN"/>
              </w:rPr>
              <w:t>年</w:t>
            </w:r>
            <w:r>
              <w:rPr>
                <w:rFonts w:hint="eastAsia" w:ascii="Times New Roman" w:hAnsi="Times New Roman" w:cs="Times New Roman"/>
                <w:bCs/>
                <w:color w:val="0000FF"/>
                <w:sz w:val="24"/>
                <w:szCs w:val="24"/>
                <w:lang w:val="en-US" w:eastAsia="zh-CN"/>
              </w:rPr>
              <w:t>3</w:t>
            </w:r>
            <w:r>
              <w:rPr>
                <w:rFonts w:hint="eastAsia" w:ascii="Times New Roman" w:hAnsi="Times New Roman" w:eastAsia="宋体" w:cs="Times New Roman"/>
                <w:bCs/>
                <w:color w:val="0000FF"/>
                <w:sz w:val="24"/>
                <w:szCs w:val="24"/>
                <w:lang w:val="en-US" w:eastAsia="zh-CN"/>
              </w:rPr>
              <w:t>月</w:t>
            </w:r>
            <w:r>
              <w:rPr>
                <w:rFonts w:hint="eastAsia" w:ascii="Times New Roman" w:hAnsi="Times New Roman" w:cs="Times New Roman"/>
                <w:bCs/>
                <w:color w:val="0000FF"/>
                <w:sz w:val="24"/>
                <w:szCs w:val="24"/>
                <w:lang w:val="en-US" w:eastAsia="zh-CN"/>
              </w:rPr>
              <w:t>20</w:t>
            </w:r>
            <w:r>
              <w:rPr>
                <w:rFonts w:hint="eastAsia" w:ascii="Times New Roman" w:hAnsi="Times New Roman" w:eastAsia="宋体" w:cs="Times New Roman"/>
                <w:bCs/>
                <w:color w:val="0000FF"/>
                <w:sz w:val="24"/>
                <w:szCs w:val="24"/>
                <w:lang w:val="en-US" w:eastAsia="zh-CN"/>
              </w:rPr>
              <w:t>日</w:t>
            </w:r>
            <w:r>
              <w:rPr>
                <w:rFonts w:hint="eastAsia" w:ascii="Times New Roman" w:hAnsi="Times New Roman" w:eastAsia="宋体" w:cs="Times New Roman"/>
                <w:bCs/>
                <w:color w:val="auto"/>
                <w:sz w:val="24"/>
                <w:szCs w:val="24"/>
                <w:highlight w:val="none"/>
                <w:lang w:val="en-US" w:eastAsia="zh-CN"/>
              </w:rPr>
              <w:t>。</w:t>
            </w:r>
          </w:p>
          <w:p w14:paraId="68A29C97">
            <w:pPr>
              <w:widowControl/>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监测频率：连续监测7天，并同步记录各监测时间的地面风向、风速、气温、气压等气象资料。</w:t>
            </w:r>
          </w:p>
          <w:p w14:paraId="66AB04FC">
            <w:pPr>
              <w:pageBreakBefore w:val="0"/>
              <w:kinsoku/>
              <w:wordWrap/>
              <w:topLinePunct w:val="0"/>
              <w:bidi w:val="0"/>
              <w:spacing w:line="360" w:lineRule="auto"/>
              <w:ind w:firstLine="480" w:firstLineChars="200"/>
              <w:rPr>
                <w:rFonts w:hint="default" w:ascii="Times New Roman" w:hAnsi="Times New Roman" w:cs="Times New Roman"/>
                <w:color w:val="000000"/>
                <w:sz w:val="24"/>
                <w:szCs w:val="24"/>
                <w:highlight w:val="none"/>
                <w:lang w:val="en-US"/>
              </w:rPr>
            </w:pPr>
            <w:r>
              <w:rPr>
                <w:rFonts w:hint="eastAsia" w:ascii="Times New Roman" w:hAnsi="Times New Roman" w:cs="Times New Roman"/>
                <w:color w:val="000000"/>
                <w:sz w:val="24"/>
                <w:szCs w:val="24"/>
                <w:highlight w:val="none"/>
                <w:lang w:val="en-US" w:eastAsia="zh-CN"/>
              </w:rPr>
              <w:t>（3</w:t>
            </w:r>
            <w:r>
              <w:rPr>
                <w:rFonts w:hint="default" w:ascii="Times New Roman" w:hAnsi="Times New Roman" w:cs="Times New Roman"/>
                <w:color w:val="000000"/>
                <w:sz w:val="24"/>
                <w:szCs w:val="24"/>
                <w:highlight w:val="none"/>
                <w:lang w:val="en-US" w:eastAsia="zh-CN"/>
              </w:rPr>
              <w:t>）</w:t>
            </w:r>
            <w:r>
              <w:rPr>
                <w:rFonts w:hint="default" w:ascii="Times New Roman" w:hAnsi="Times New Roman" w:cs="Times New Roman"/>
                <w:color w:val="000000"/>
                <w:sz w:val="24"/>
                <w:szCs w:val="24"/>
                <w:highlight w:val="none"/>
                <w:lang w:eastAsia="zh-CN"/>
              </w:rPr>
              <w:t>现状评价</w:t>
            </w:r>
          </w:p>
          <w:p w14:paraId="5BFD6D33">
            <w:pPr>
              <w:pageBreakBefore w:val="0"/>
              <w:kinsoku/>
              <w:wordWrap/>
              <w:topLinePunct w:val="0"/>
              <w:bidi w:val="0"/>
              <w:spacing w:line="360" w:lineRule="auto"/>
              <w:rPr>
                <w:rFonts w:hint="default" w:ascii="Times New Roman" w:hAnsi="Times New Roman" w:cs="Times New Roman"/>
                <w:color w:val="000000"/>
                <w:sz w:val="24"/>
                <w:szCs w:val="24"/>
                <w:highlight w:val="none"/>
                <w:lang w:val="en-US"/>
              </w:rPr>
            </w:pPr>
            <w:r>
              <w:rPr>
                <w:rFonts w:hint="default" w:ascii="Times New Roman" w:hAnsi="Times New Roman" w:cs="Times New Roman"/>
                <w:color w:val="000000"/>
                <w:sz w:val="24"/>
                <w:szCs w:val="24"/>
                <w:highlight w:val="none"/>
                <w:lang w:eastAsia="zh-CN"/>
              </w:rPr>
              <w:t>采用单项标准指数法进行水质评价，评价模式如下：</w:t>
            </w:r>
          </w:p>
          <w:p w14:paraId="0CA3E64F">
            <w:pPr>
              <w:pageBreakBefore w:val="0"/>
              <w:kinsoku/>
              <w:wordWrap/>
              <w:topLinePunct w:val="0"/>
              <w:bidi w:val="0"/>
              <w:spacing w:line="360" w:lineRule="auto"/>
              <w:rPr>
                <w:rFonts w:hint="default" w:ascii="Times New Roman" w:hAnsi="Times New Roman" w:cs="Times New Roman"/>
                <w:color w:val="000000"/>
                <w:sz w:val="24"/>
                <w:szCs w:val="24"/>
                <w:highlight w:val="none"/>
                <w:lang w:val="en-US"/>
              </w:rPr>
            </w:pPr>
            <w:r>
              <w:rPr>
                <w:rFonts w:hint="default" w:ascii="Times New Roman" w:hAnsi="Times New Roman" w:cs="Times New Roman"/>
                <w:color w:val="000000"/>
                <w:sz w:val="24"/>
                <w:szCs w:val="24"/>
                <w:highlight w:val="none"/>
                <w:lang w:eastAsia="zh-CN"/>
              </w:rPr>
              <w:t>单项参数</w:t>
            </w:r>
            <w:r>
              <w:rPr>
                <w:rFonts w:hint="default" w:ascii="Times New Roman" w:hAnsi="Times New Roman" w:cs="Times New Roman"/>
                <w:color w:val="000000"/>
                <w:sz w:val="24"/>
                <w:szCs w:val="24"/>
                <w:highlight w:val="none"/>
                <w:lang w:val="en-US"/>
              </w:rPr>
              <w:t>i</w:t>
            </w:r>
            <w:r>
              <w:rPr>
                <w:rFonts w:hint="default" w:ascii="Times New Roman" w:hAnsi="Times New Roman" w:cs="Times New Roman"/>
                <w:color w:val="000000"/>
                <w:sz w:val="24"/>
                <w:szCs w:val="24"/>
                <w:highlight w:val="none"/>
                <w:lang w:eastAsia="zh-CN"/>
              </w:rPr>
              <w:t>在第</w:t>
            </w:r>
            <w:r>
              <w:rPr>
                <w:rFonts w:hint="default" w:ascii="Times New Roman" w:hAnsi="Times New Roman" w:cs="Times New Roman"/>
                <w:color w:val="000000"/>
                <w:sz w:val="24"/>
                <w:szCs w:val="24"/>
                <w:highlight w:val="none"/>
                <w:lang w:val="en-US"/>
              </w:rPr>
              <w:t>j</w:t>
            </w:r>
            <w:r>
              <w:rPr>
                <w:rFonts w:hint="default" w:ascii="Times New Roman" w:hAnsi="Times New Roman" w:cs="Times New Roman"/>
                <w:color w:val="000000"/>
                <w:sz w:val="24"/>
                <w:szCs w:val="24"/>
                <w:highlight w:val="none"/>
                <w:lang w:eastAsia="zh-CN"/>
              </w:rPr>
              <w:t>点的标准指数：</w:t>
            </w:r>
          </w:p>
          <w:p w14:paraId="6EE9ADFB">
            <w:pPr>
              <w:pStyle w:val="66"/>
              <w:pageBreakBefore w:val="0"/>
              <w:kinsoku/>
              <w:wordWrap/>
              <w:topLinePunct w:val="0"/>
              <w:bidi w:val="0"/>
              <w:spacing w:line="360" w:lineRule="auto"/>
              <w:rPr>
                <w:rFonts w:hint="default" w:ascii="Times New Roman" w:hAnsi="Times New Roman" w:cs="Times New Roman"/>
                <w:color w:val="000000"/>
                <w:sz w:val="24"/>
                <w:szCs w:val="24"/>
                <w:highlight w:val="none"/>
                <w:lang w:val="en-US"/>
              </w:rPr>
            </w:pPr>
            <w:r>
              <w:rPr>
                <w:rFonts w:hint="default" w:ascii="Times New Roman" w:hAnsi="Times New Roman" w:cs="Times New Roman"/>
                <w:color w:val="000000"/>
                <w:sz w:val="24"/>
                <w:szCs w:val="24"/>
                <w:highlight w:val="none"/>
                <w:lang w:val="en-US" w:eastAsia="zh-CN"/>
              </w:rPr>
              <w:drawing>
                <wp:inline distT="0" distB="0" distL="114300" distR="114300">
                  <wp:extent cx="1247775" cy="352425"/>
                  <wp:effectExtent l="0" t="0" r="9525"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a:stretch>
                            <a:fillRect/>
                          </a:stretch>
                        </pic:blipFill>
                        <pic:spPr>
                          <a:xfrm>
                            <a:off x="0" y="0"/>
                            <a:ext cx="1247775" cy="352425"/>
                          </a:xfrm>
                          <a:prstGeom prst="rect">
                            <a:avLst/>
                          </a:prstGeom>
                          <a:noFill/>
                          <a:ln>
                            <a:noFill/>
                          </a:ln>
                        </pic:spPr>
                      </pic:pic>
                    </a:graphicData>
                  </a:graphic>
                </wp:inline>
              </w:drawing>
            </w:r>
          </w:p>
          <w:p w14:paraId="790461EE">
            <w:pPr>
              <w:pageBreakBefore w:val="0"/>
              <w:kinsoku/>
              <w:wordWrap/>
              <w:topLinePunct w:val="0"/>
              <w:bidi w:val="0"/>
              <w:spacing w:line="360" w:lineRule="auto"/>
              <w:rPr>
                <w:rFonts w:hint="default" w:ascii="Times New Roman" w:hAnsi="Times New Roman" w:cs="Times New Roman"/>
                <w:color w:val="000000"/>
                <w:sz w:val="24"/>
                <w:szCs w:val="24"/>
                <w:highlight w:val="none"/>
                <w:lang w:val="en-US"/>
              </w:rPr>
            </w:pPr>
            <w:r>
              <w:rPr>
                <w:rFonts w:hint="default" w:ascii="Times New Roman" w:hAnsi="Times New Roman" w:cs="Times New Roman"/>
                <w:color w:val="000000"/>
                <w:sz w:val="24"/>
                <w:szCs w:val="24"/>
                <w:highlight w:val="none"/>
                <w:lang w:eastAsia="zh-CN"/>
              </w:rPr>
              <w:t>式中：</w:t>
            </w:r>
            <w:r>
              <w:rPr>
                <w:rFonts w:hint="default" w:ascii="Times New Roman" w:hAnsi="Times New Roman" w:cs="Times New Roman"/>
                <w:color w:val="000000"/>
                <w:sz w:val="24"/>
                <w:szCs w:val="24"/>
                <w:highlight w:val="none"/>
                <w:lang w:val="en-US"/>
              </w:rPr>
              <w:t>Ci</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lang w:val="en-US"/>
              </w:rPr>
              <w:t>j——</w:t>
            </w:r>
            <w:r>
              <w:rPr>
                <w:rFonts w:hint="default" w:ascii="Times New Roman" w:hAnsi="Times New Roman" w:cs="Times New Roman"/>
                <w:color w:val="000000"/>
                <w:sz w:val="24"/>
                <w:szCs w:val="24"/>
                <w:highlight w:val="none"/>
                <w:lang w:eastAsia="zh-CN"/>
              </w:rPr>
              <w:t>污染物</w:t>
            </w:r>
            <w:r>
              <w:rPr>
                <w:rFonts w:hint="default" w:ascii="Times New Roman" w:hAnsi="Times New Roman" w:cs="Times New Roman"/>
                <w:color w:val="000000"/>
                <w:sz w:val="24"/>
                <w:szCs w:val="24"/>
                <w:highlight w:val="none"/>
                <w:lang w:val="en-US"/>
              </w:rPr>
              <w:t>i</w:t>
            </w:r>
            <w:r>
              <w:rPr>
                <w:rFonts w:hint="default" w:ascii="Times New Roman" w:hAnsi="Times New Roman" w:cs="Times New Roman"/>
                <w:color w:val="000000"/>
                <w:sz w:val="24"/>
                <w:szCs w:val="24"/>
                <w:highlight w:val="none"/>
                <w:lang w:eastAsia="zh-CN"/>
              </w:rPr>
              <w:t>在监测点的浓度</w:t>
            </w:r>
            <w:r>
              <w:rPr>
                <w:rFonts w:hint="eastAsia" w:cs="Times New Roman"/>
                <w:color w:val="000000"/>
                <w:sz w:val="24"/>
                <w:szCs w:val="24"/>
                <w:highlight w:val="none"/>
                <w:lang w:val="en-US" w:eastAsia="zh-CN"/>
              </w:rPr>
              <w:t>（</w:t>
            </w:r>
            <w:r>
              <w:rPr>
                <w:rFonts w:hint="default" w:ascii="Times New Roman" w:hAnsi="Times New Roman" w:cs="Times New Roman"/>
                <w:color w:val="000000"/>
                <w:sz w:val="24"/>
                <w:szCs w:val="24"/>
                <w:highlight w:val="none"/>
                <w:lang w:val="en-US"/>
              </w:rPr>
              <w:t>mg/l</w:t>
            </w:r>
            <w:r>
              <w:rPr>
                <w:rFonts w:hint="eastAsia" w:cs="Times New Roman"/>
                <w:color w:val="000000"/>
                <w:sz w:val="24"/>
                <w:szCs w:val="24"/>
                <w:highlight w:val="none"/>
                <w:lang w:val="en-US" w:eastAsia="zh-CN"/>
              </w:rPr>
              <w:t>）</w:t>
            </w:r>
            <w:r>
              <w:rPr>
                <w:rFonts w:hint="default" w:ascii="Times New Roman" w:hAnsi="Times New Roman" w:cs="Times New Roman"/>
                <w:color w:val="000000"/>
                <w:sz w:val="24"/>
                <w:szCs w:val="24"/>
                <w:highlight w:val="none"/>
                <w:lang w:eastAsia="zh-CN"/>
              </w:rPr>
              <w:t>；</w:t>
            </w:r>
          </w:p>
          <w:p w14:paraId="49E96A3B">
            <w:pPr>
              <w:pageBreakBefore w:val="0"/>
              <w:kinsoku/>
              <w:wordWrap/>
              <w:topLinePunct w:val="0"/>
              <w:bidi w:val="0"/>
              <w:spacing w:line="360" w:lineRule="auto"/>
              <w:ind w:firstLine="480" w:firstLineChars="200"/>
              <w:rPr>
                <w:rFonts w:hint="default" w:ascii="Times New Roman" w:hAnsi="Times New Roman" w:cs="Times New Roman"/>
                <w:color w:val="000000"/>
                <w:sz w:val="24"/>
                <w:szCs w:val="24"/>
                <w:highlight w:val="none"/>
                <w:lang w:eastAsia="zh-CN"/>
              </w:rPr>
            </w:pPr>
            <w:r>
              <w:rPr>
                <w:rFonts w:hint="default" w:ascii="Times New Roman" w:hAnsi="Times New Roman" w:cs="Times New Roman"/>
                <w:color w:val="000000"/>
                <w:sz w:val="24"/>
                <w:szCs w:val="24"/>
                <w:highlight w:val="none"/>
                <w:lang w:val="en-US"/>
              </w:rPr>
              <w:t>Csi——</w:t>
            </w:r>
            <w:r>
              <w:rPr>
                <w:rFonts w:hint="default" w:ascii="Times New Roman" w:hAnsi="Times New Roman" w:cs="Times New Roman"/>
                <w:color w:val="000000"/>
                <w:sz w:val="24"/>
                <w:szCs w:val="24"/>
                <w:highlight w:val="none"/>
                <w:lang w:eastAsia="zh-CN"/>
              </w:rPr>
              <w:t>污染物</w:t>
            </w:r>
            <w:r>
              <w:rPr>
                <w:rFonts w:hint="default" w:ascii="Times New Roman" w:hAnsi="Times New Roman" w:cs="Times New Roman"/>
                <w:color w:val="000000"/>
                <w:sz w:val="24"/>
                <w:szCs w:val="24"/>
                <w:highlight w:val="none"/>
                <w:lang w:val="en-US"/>
              </w:rPr>
              <w:t>i</w:t>
            </w:r>
            <w:r>
              <w:rPr>
                <w:rFonts w:hint="default" w:ascii="Times New Roman" w:hAnsi="Times New Roman" w:cs="Times New Roman"/>
                <w:color w:val="000000"/>
                <w:sz w:val="24"/>
                <w:szCs w:val="24"/>
                <w:highlight w:val="none"/>
                <w:lang w:eastAsia="zh-CN"/>
              </w:rPr>
              <w:t>的评价标准</w:t>
            </w:r>
            <w:r>
              <w:rPr>
                <w:rFonts w:hint="eastAsia" w:cs="Times New Roman"/>
                <w:color w:val="000000"/>
                <w:sz w:val="24"/>
                <w:szCs w:val="24"/>
                <w:highlight w:val="none"/>
                <w:lang w:val="en-US" w:eastAsia="zh-CN"/>
              </w:rPr>
              <w:t>（</w:t>
            </w:r>
            <w:r>
              <w:rPr>
                <w:rFonts w:hint="default" w:ascii="Times New Roman" w:hAnsi="Times New Roman" w:cs="Times New Roman"/>
                <w:color w:val="000000"/>
                <w:sz w:val="24"/>
                <w:szCs w:val="24"/>
                <w:highlight w:val="none"/>
                <w:lang w:val="en-US"/>
              </w:rPr>
              <w:t>mg/l</w:t>
            </w:r>
            <w:r>
              <w:rPr>
                <w:rFonts w:hint="eastAsia" w:cs="Times New Roman"/>
                <w:color w:val="000000"/>
                <w:sz w:val="24"/>
                <w:szCs w:val="24"/>
                <w:highlight w:val="none"/>
                <w:lang w:val="en-US" w:eastAsia="zh-CN"/>
              </w:rPr>
              <w:t>）</w:t>
            </w:r>
            <w:r>
              <w:rPr>
                <w:rFonts w:hint="default" w:ascii="Times New Roman" w:hAnsi="Times New Roman" w:cs="Times New Roman"/>
                <w:color w:val="000000"/>
                <w:sz w:val="24"/>
                <w:szCs w:val="24"/>
                <w:highlight w:val="none"/>
                <w:lang w:eastAsia="zh-CN"/>
              </w:rPr>
              <w:t>。</w:t>
            </w:r>
          </w:p>
          <w:p w14:paraId="22D16F44">
            <w:pPr>
              <w:pageBreakBefore w:val="0"/>
              <w:kinsoku/>
              <w:wordWrap/>
              <w:topLinePunct w:val="0"/>
              <w:bidi w:val="0"/>
              <w:spacing w:line="360" w:lineRule="auto"/>
              <w:ind w:firstLine="480" w:firstLineChars="200"/>
              <w:rPr>
                <w:rFonts w:hint="default" w:ascii="Times New Roman" w:hAnsi="Times New Roman" w:cs="Times New Roman"/>
                <w:color w:val="000000"/>
                <w:sz w:val="24"/>
                <w:szCs w:val="24"/>
                <w:highlight w:val="none"/>
                <w:lang w:val="en-US"/>
              </w:rPr>
            </w:pPr>
            <w:r>
              <w:rPr>
                <w:rFonts w:hint="eastAsia" w:ascii="Times New Roman" w:hAnsi="Times New Roman" w:cs="Times New Roman"/>
                <w:color w:val="000000"/>
                <w:sz w:val="24"/>
                <w:szCs w:val="24"/>
                <w:highlight w:val="none"/>
                <w:lang w:val="en-US" w:eastAsia="zh-CN"/>
              </w:rPr>
              <w:t>（4</w:t>
            </w:r>
            <w:r>
              <w:rPr>
                <w:rFonts w:hint="default" w:ascii="Times New Roman" w:hAnsi="Times New Roman" w:cs="Times New Roman"/>
                <w:color w:val="000000"/>
                <w:sz w:val="24"/>
                <w:szCs w:val="24"/>
                <w:highlight w:val="none"/>
                <w:lang w:val="en-US" w:eastAsia="zh-CN"/>
              </w:rPr>
              <w:t>）</w:t>
            </w:r>
            <w:r>
              <w:rPr>
                <w:rFonts w:hint="default" w:ascii="Times New Roman" w:hAnsi="Times New Roman" w:cs="Times New Roman"/>
                <w:color w:val="000000"/>
                <w:sz w:val="24"/>
                <w:szCs w:val="24"/>
                <w:highlight w:val="none"/>
                <w:lang w:eastAsia="zh-CN"/>
              </w:rPr>
              <w:t>现状监测结果</w:t>
            </w:r>
          </w:p>
          <w:p w14:paraId="007B6E59">
            <w:pPr>
              <w:pageBreakBefore w:val="0"/>
              <w:kinsoku/>
              <w:wordWrap/>
              <w:topLinePunct w:val="0"/>
              <w:bidi w:val="0"/>
              <w:spacing w:line="360" w:lineRule="auto"/>
              <w:ind w:firstLine="240" w:firstLineChars="100"/>
              <w:rPr>
                <w:rFonts w:hint="default" w:ascii="Times New Roman" w:hAnsi="Times New Roman" w:eastAsia="宋体" w:cs="Times New Roman"/>
                <w:b/>
                <w:bCs/>
                <w:color w:val="000000"/>
                <w:highlight w:val="none"/>
                <w:lang w:eastAsia="zh-CN"/>
              </w:rPr>
            </w:pPr>
            <w:r>
              <w:rPr>
                <w:rFonts w:hint="default" w:ascii="Times New Roman" w:hAnsi="Times New Roman" w:cs="Times New Roman"/>
                <w:color w:val="000000"/>
                <w:sz w:val="24"/>
                <w:szCs w:val="24"/>
                <w:highlight w:val="none"/>
                <w:lang w:val="en-US" w:eastAsia="zh-CN"/>
              </w:rPr>
              <w:t>现状监测统计结果见下表。</w:t>
            </w:r>
          </w:p>
          <w:p w14:paraId="2467C2E8">
            <w:pPr>
              <w:pStyle w:val="8"/>
              <w:pageBreakBefore w:val="0"/>
              <w:numPr>
                <w:ilvl w:val="0"/>
                <w:numId w:val="0"/>
              </w:numPr>
              <w:tabs>
                <w:tab w:val="left" w:pos="1296"/>
              </w:tabs>
              <w:kinsoku/>
              <w:wordWrap/>
              <w:topLinePunct w:val="0"/>
              <w:bidi w:val="0"/>
              <w:ind w:leftChars="0"/>
              <w:jc w:val="center"/>
              <w:rPr>
                <w:rFonts w:hint="default" w:ascii="Times New Roman" w:hAnsi="Times New Roman" w:cs="Times New Roman"/>
                <w:color w:val="000000"/>
                <w:sz w:val="21"/>
                <w:szCs w:val="21"/>
                <w:highlight w:val="none"/>
                <w:lang w:val="en-US"/>
              </w:rPr>
            </w:pPr>
            <w:r>
              <w:rPr>
                <w:rFonts w:hint="default" w:ascii="Times New Roman" w:hAnsi="Times New Roman" w:cs="Times New Roman"/>
                <w:color w:val="000000"/>
                <w:sz w:val="21"/>
                <w:szCs w:val="21"/>
                <w:highlight w:val="none"/>
                <w:lang w:eastAsia="zh-CN"/>
              </w:rPr>
              <w:t>表</w:t>
            </w:r>
            <w:r>
              <w:rPr>
                <w:rFonts w:hint="eastAsia" w:ascii="Times New Roman" w:hAnsi="Times New Roman" w:cs="Times New Roman"/>
                <w:color w:val="000000"/>
                <w:sz w:val="21"/>
                <w:szCs w:val="21"/>
                <w:highlight w:val="none"/>
                <w:lang w:val="en-US" w:eastAsia="zh-CN"/>
              </w:rPr>
              <w:t>3</w:t>
            </w:r>
            <w:r>
              <w:rPr>
                <w:rFonts w:hint="default" w:ascii="Times New Roman" w:hAnsi="Times New Roman" w:cs="Times New Roman"/>
                <w:color w:val="000000"/>
                <w:sz w:val="21"/>
                <w:szCs w:val="21"/>
                <w:highlight w:val="none"/>
                <w:lang w:val="en-US" w:eastAsia="zh-CN"/>
              </w:rPr>
              <w:t xml:space="preserve">-3 </w:t>
            </w:r>
            <w:r>
              <w:rPr>
                <w:rFonts w:hint="default" w:ascii="Times New Roman" w:hAnsi="Times New Roman" w:cs="Times New Roman"/>
                <w:color w:val="000000"/>
                <w:sz w:val="21"/>
                <w:szCs w:val="21"/>
                <w:highlight w:val="none"/>
                <w:lang w:eastAsia="zh-CN"/>
              </w:rPr>
              <w:t>大气现状监测及统计结果一览表</w:t>
            </w:r>
          </w:p>
          <w:tbl>
            <w:tblPr>
              <w:tblStyle w:val="28"/>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22"/>
              <w:gridCol w:w="489"/>
              <w:gridCol w:w="473"/>
              <w:gridCol w:w="505"/>
              <w:gridCol w:w="568"/>
              <w:gridCol w:w="572"/>
              <w:gridCol w:w="555"/>
              <w:gridCol w:w="598"/>
              <w:gridCol w:w="670"/>
              <w:gridCol w:w="672"/>
              <w:gridCol w:w="702"/>
              <w:gridCol w:w="672"/>
              <w:gridCol w:w="579"/>
              <w:gridCol w:w="672"/>
              <w:gridCol w:w="710"/>
            </w:tblGrid>
            <w:tr w14:paraId="7A11F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359" w:type="dxa"/>
                  <w:vMerge w:val="restart"/>
                  <w:tcBorders>
                    <w:top w:val="single" w:color="auto" w:sz="4" w:space="0"/>
                    <w:left w:val="single" w:color="auto" w:sz="4" w:space="0"/>
                    <w:right w:val="single" w:color="auto" w:sz="4" w:space="0"/>
                  </w:tcBorders>
                  <w:noWrap w:val="0"/>
                  <w:vAlign w:val="center"/>
                </w:tcPr>
                <w:p w14:paraId="52DEEE33">
                  <w:pPr>
                    <w:pStyle w:val="66"/>
                    <w:pageBreakBefore w:val="0"/>
                    <w:kinsoku/>
                    <w:wordWrap/>
                    <w:topLinePunct w:val="0"/>
                    <w:bidi w:val="0"/>
                    <w:jc w:val="center"/>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监测点位</w:t>
                  </w:r>
                </w:p>
              </w:tc>
              <w:tc>
                <w:tcPr>
                  <w:tcW w:w="546" w:type="dxa"/>
                  <w:vMerge w:val="restart"/>
                  <w:tcBorders>
                    <w:top w:val="single" w:color="auto" w:sz="4" w:space="0"/>
                    <w:left w:val="single" w:color="auto" w:sz="4" w:space="0"/>
                    <w:right w:val="single" w:color="auto" w:sz="4" w:space="0"/>
                  </w:tcBorders>
                  <w:noWrap w:val="0"/>
                  <w:vAlign w:val="center"/>
                </w:tcPr>
                <w:p w14:paraId="68F03C1D">
                  <w:pPr>
                    <w:pStyle w:val="66"/>
                    <w:pageBreakBefore w:val="0"/>
                    <w:kinsoku/>
                    <w:wordWrap/>
                    <w:topLinePunct w:val="0"/>
                    <w:bidi w:val="0"/>
                    <w:jc w:val="center"/>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监测项目</w:t>
                  </w:r>
                </w:p>
              </w:tc>
              <w:tc>
                <w:tcPr>
                  <w:tcW w:w="3652" w:type="dxa"/>
                  <w:gridSpan w:val="6"/>
                  <w:tcBorders>
                    <w:top w:val="single" w:color="auto" w:sz="4" w:space="0"/>
                    <w:left w:val="single" w:color="auto" w:sz="4" w:space="0"/>
                    <w:bottom w:val="single" w:color="auto" w:sz="4" w:space="0"/>
                    <w:right w:val="single" w:color="auto" w:sz="4" w:space="0"/>
                  </w:tcBorders>
                  <w:noWrap w:val="0"/>
                  <w:vAlign w:val="center"/>
                </w:tcPr>
                <w:p w14:paraId="09B15220">
                  <w:pPr>
                    <w:pStyle w:val="66"/>
                    <w:pageBreakBefore w:val="0"/>
                    <w:kinsoku/>
                    <w:wordWrap/>
                    <w:topLinePunct w:val="0"/>
                    <w:bidi w:val="0"/>
                    <w:jc w:val="center"/>
                    <w:rPr>
                      <w:rFonts w:hint="default" w:ascii="Times New Roman" w:hAnsi="Times New Roman" w:eastAsia="宋体" w:cs="Times New Roman"/>
                      <w:b/>
                      <w:bCs/>
                      <w:color w:val="000000"/>
                      <w:sz w:val="21"/>
                      <w:szCs w:val="21"/>
                      <w:highlight w:val="none"/>
                      <w:lang w:eastAsia="zh-CN"/>
                    </w:rPr>
                  </w:pPr>
                  <w:r>
                    <w:rPr>
                      <w:rFonts w:hint="default" w:ascii="Times New Roman" w:hAnsi="Times New Roman" w:eastAsia="宋体" w:cs="Times New Roman"/>
                      <w:b/>
                      <w:bCs/>
                      <w:color w:val="000000"/>
                      <w:sz w:val="21"/>
                      <w:szCs w:val="21"/>
                      <w:highlight w:val="none"/>
                    </w:rPr>
                    <w:t>时均值</w:t>
                  </w:r>
                  <w:r>
                    <w:rPr>
                      <w:rFonts w:hint="default" w:ascii="Times New Roman" w:hAnsi="Times New Roman" w:eastAsia="宋体" w:cs="Times New Roman"/>
                      <w:b/>
                      <w:bCs/>
                      <w:color w:val="000000"/>
                      <w:sz w:val="21"/>
                      <w:szCs w:val="21"/>
                      <w:highlight w:val="none"/>
                      <w:lang w:eastAsia="zh-CN"/>
                    </w:rPr>
                    <w:t>（</w:t>
                  </w:r>
                  <w:r>
                    <w:rPr>
                      <w:rFonts w:hint="default" w:ascii="Times New Roman" w:hAnsi="Times New Roman" w:eastAsia="宋体" w:cs="Times New Roman"/>
                      <w:b/>
                      <w:bCs/>
                      <w:color w:val="000000"/>
                      <w:sz w:val="21"/>
                      <w:szCs w:val="21"/>
                      <w:highlight w:val="none"/>
                    </w:rPr>
                    <w:t>或一次</w:t>
                  </w:r>
                  <w:r>
                    <w:rPr>
                      <w:rFonts w:hint="default" w:ascii="Times New Roman" w:hAnsi="Times New Roman" w:eastAsia="宋体" w:cs="Times New Roman"/>
                      <w:b/>
                      <w:bCs/>
                      <w:color w:val="000000"/>
                      <w:sz w:val="21"/>
                      <w:szCs w:val="21"/>
                      <w:highlight w:val="none"/>
                      <w:lang w:eastAsia="zh-CN"/>
                    </w:rPr>
                    <w:t>）</w:t>
                  </w:r>
                </w:p>
              </w:tc>
              <w:tc>
                <w:tcPr>
                  <w:tcW w:w="4428" w:type="dxa"/>
                  <w:gridSpan w:val="6"/>
                  <w:tcBorders>
                    <w:top w:val="single" w:color="auto" w:sz="4" w:space="0"/>
                    <w:left w:val="single" w:color="auto" w:sz="4" w:space="0"/>
                    <w:bottom w:val="single" w:color="auto" w:sz="4" w:space="0"/>
                    <w:right w:val="single" w:color="auto" w:sz="4" w:space="0"/>
                  </w:tcBorders>
                  <w:noWrap w:val="0"/>
                  <w:vAlign w:val="center"/>
                </w:tcPr>
                <w:p w14:paraId="1D040E1B">
                  <w:pPr>
                    <w:pStyle w:val="66"/>
                    <w:pageBreakBefore w:val="0"/>
                    <w:kinsoku/>
                    <w:wordWrap/>
                    <w:topLinePunct w:val="0"/>
                    <w:bidi w:val="0"/>
                    <w:jc w:val="center"/>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日平均值</w:t>
                  </w:r>
                </w:p>
              </w:tc>
              <w:tc>
                <w:tcPr>
                  <w:tcW w:w="792" w:type="dxa"/>
                  <w:vMerge w:val="restart"/>
                  <w:tcBorders>
                    <w:top w:val="single" w:color="auto" w:sz="4" w:space="0"/>
                    <w:left w:val="single" w:color="auto" w:sz="4" w:space="0"/>
                    <w:right w:val="single" w:color="auto" w:sz="4" w:space="0"/>
                  </w:tcBorders>
                  <w:noWrap w:val="0"/>
                  <w:vAlign w:val="center"/>
                </w:tcPr>
                <w:p w14:paraId="51F8F6BB">
                  <w:pPr>
                    <w:pStyle w:val="66"/>
                    <w:pageBreakBefore w:val="0"/>
                    <w:kinsoku/>
                    <w:wordWrap/>
                    <w:topLinePunct w:val="0"/>
                    <w:bidi w:val="0"/>
                    <w:jc w:val="center"/>
                    <w:rPr>
                      <w:rFonts w:hint="default" w:ascii="Times New Roman" w:hAnsi="Times New Roman" w:eastAsia="宋体" w:cs="Times New Roman"/>
                      <w:b/>
                      <w:bCs/>
                      <w:color w:val="000000"/>
                      <w:sz w:val="21"/>
                      <w:szCs w:val="21"/>
                      <w:highlight w:val="none"/>
                      <w:lang w:val="en-US" w:eastAsia="zh-CN"/>
                    </w:rPr>
                  </w:pPr>
                  <w:r>
                    <w:rPr>
                      <w:rFonts w:hint="default" w:ascii="Times New Roman" w:hAnsi="Times New Roman" w:eastAsia="宋体" w:cs="Times New Roman"/>
                      <w:b/>
                      <w:bCs/>
                      <w:color w:val="000000"/>
                      <w:sz w:val="21"/>
                      <w:szCs w:val="21"/>
                      <w:highlight w:val="none"/>
                      <w:lang w:val="en-US" w:eastAsia="zh-CN"/>
                    </w:rPr>
                    <w:t>单位</w:t>
                  </w:r>
                </w:p>
              </w:tc>
            </w:tr>
            <w:tr w14:paraId="4039F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359" w:type="dxa"/>
                  <w:vMerge w:val="continue"/>
                  <w:tcBorders>
                    <w:left w:val="single" w:color="auto" w:sz="4" w:space="0"/>
                    <w:right w:val="single" w:color="auto" w:sz="4" w:space="0"/>
                  </w:tcBorders>
                  <w:noWrap w:val="0"/>
                  <w:vAlign w:val="center"/>
                </w:tcPr>
                <w:p w14:paraId="3B032040">
                  <w:pPr>
                    <w:pStyle w:val="66"/>
                    <w:pageBreakBefore w:val="0"/>
                    <w:kinsoku/>
                    <w:wordWrap/>
                    <w:topLinePunct w:val="0"/>
                    <w:bidi w:val="0"/>
                    <w:jc w:val="center"/>
                    <w:rPr>
                      <w:rFonts w:hint="default" w:ascii="Times New Roman" w:hAnsi="Times New Roman" w:eastAsia="宋体" w:cs="Times New Roman"/>
                      <w:b/>
                      <w:bCs/>
                      <w:color w:val="000000"/>
                      <w:sz w:val="21"/>
                      <w:szCs w:val="21"/>
                      <w:highlight w:val="none"/>
                    </w:rPr>
                  </w:pPr>
                </w:p>
              </w:tc>
              <w:tc>
                <w:tcPr>
                  <w:tcW w:w="546" w:type="dxa"/>
                  <w:vMerge w:val="continue"/>
                  <w:tcBorders>
                    <w:left w:val="single" w:color="auto" w:sz="4" w:space="0"/>
                    <w:right w:val="single" w:color="auto" w:sz="4" w:space="0"/>
                  </w:tcBorders>
                  <w:noWrap w:val="0"/>
                  <w:vAlign w:val="center"/>
                </w:tcPr>
                <w:p w14:paraId="019F526F">
                  <w:pPr>
                    <w:pStyle w:val="66"/>
                    <w:pageBreakBefore w:val="0"/>
                    <w:kinsoku/>
                    <w:wordWrap/>
                    <w:topLinePunct w:val="0"/>
                    <w:bidi w:val="0"/>
                    <w:jc w:val="center"/>
                    <w:rPr>
                      <w:rFonts w:hint="default" w:ascii="Times New Roman" w:hAnsi="Times New Roman" w:eastAsia="宋体" w:cs="Times New Roman"/>
                      <w:b/>
                      <w:bCs/>
                      <w:color w:val="000000"/>
                      <w:sz w:val="21"/>
                      <w:szCs w:val="21"/>
                      <w:highlight w:val="none"/>
                    </w:rPr>
                  </w:pPr>
                </w:p>
              </w:tc>
              <w:tc>
                <w:tcPr>
                  <w:tcW w:w="1092" w:type="dxa"/>
                  <w:gridSpan w:val="2"/>
                  <w:tcBorders>
                    <w:top w:val="single" w:color="auto" w:sz="4" w:space="0"/>
                    <w:left w:val="single" w:color="auto" w:sz="4" w:space="0"/>
                    <w:bottom w:val="single" w:color="auto" w:sz="4" w:space="0"/>
                    <w:right w:val="single" w:color="auto" w:sz="4" w:space="0"/>
                  </w:tcBorders>
                  <w:noWrap w:val="0"/>
                  <w:vAlign w:val="center"/>
                </w:tcPr>
                <w:p w14:paraId="0CAEE249">
                  <w:pPr>
                    <w:pStyle w:val="66"/>
                    <w:pageBreakBefore w:val="0"/>
                    <w:kinsoku/>
                    <w:wordWrap/>
                    <w:topLinePunct w:val="0"/>
                    <w:bidi w:val="0"/>
                    <w:jc w:val="center"/>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浓度范围</w:t>
                  </w:r>
                </w:p>
              </w:tc>
              <w:tc>
                <w:tcPr>
                  <w:tcW w:w="1273" w:type="dxa"/>
                  <w:gridSpan w:val="2"/>
                  <w:tcBorders>
                    <w:top w:val="single" w:color="auto" w:sz="4" w:space="0"/>
                    <w:left w:val="single" w:color="auto" w:sz="4" w:space="0"/>
                    <w:bottom w:val="single" w:color="auto" w:sz="4" w:space="0"/>
                    <w:right w:val="single" w:color="auto" w:sz="4" w:space="0"/>
                  </w:tcBorders>
                  <w:noWrap w:val="0"/>
                  <w:vAlign w:val="center"/>
                </w:tcPr>
                <w:p w14:paraId="6C14B471">
                  <w:pPr>
                    <w:pStyle w:val="66"/>
                    <w:pageBreakBefore w:val="0"/>
                    <w:kinsoku/>
                    <w:wordWrap/>
                    <w:topLinePunct w:val="0"/>
                    <w:bidi w:val="0"/>
                    <w:jc w:val="center"/>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占标率（%）</w:t>
                  </w:r>
                </w:p>
              </w:tc>
              <w:tc>
                <w:tcPr>
                  <w:tcW w:w="620" w:type="dxa"/>
                  <w:vMerge w:val="restart"/>
                  <w:tcBorders>
                    <w:top w:val="single" w:color="auto" w:sz="4" w:space="0"/>
                    <w:left w:val="single" w:color="auto" w:sz="4" w:space="0"/>
                    <w:right w:val="single" w:color="auto" w:sz="4" w:space="0"/>
                  </w:tcBorders>
                  <w:noWrap w:val="0"/>
                  <w:vAlign w:val="center"/>
                </w:tcPr>
                <w:p w14:paraId="4B57232E">
                  <w:pPr>
                    <w:pStyle w:val="66"/>
                    <w:pageBreakBefore w:val="0"/>
                    <w:kinsoku/>
                    <w:wordWrap/>
                    <w:topLinePunct w:val="0"/>
                    <w:bidi w:val="0"/>
                    <w:jc w:val="center"/>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超标数</w:t>
                  </w:r>
                </w:p>
              </w:tc>
              <w:tc>
                <w:tcPr>
                  <w:tcW w:w="667" w:type="dxa"/>
                  <w:vMerge w:val="restart"/>
                  <w:tcBorders>
                    <w:top w:val="single" w:color="auto" w:sz="4" w:space="0"/>
                    <w:left w:val="single" w:color="auto" w:sz="4" w:space="0"/>
                    <w:right w:val="single" w:color="auto" w:sz="4" w:space="0"/>
                  </w:tcBorders>
                  <w:noWrap w:val="0"/>
                  <w:vAlign w:val="center"/>
                </w:tcPr>
                <w:p w14:paraId="0019DEE8">
                  <w:pPr>
                    <w:pStyle w:val="66"/>
                    <w:pageBreakBefore w:val="0"/>
                    <w:kinsoku/>
                    <w:wordWrap/>
                    <w:topLinePunct w:val="0"/>
                    <w:bidi w:val="0"/>
                    <w:jc w:val="center"/>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超标率</w:t>
                  </w:r>
                  <w:r>
                    <w:rPr>
                      <w:rFonts w:hint="default" w:ascii="Times New Roman" w:hAnsi="Times New Roman" w:eastAsia="宋体" w:cs="Times New Roman"/>
                      <w:b/>
                      <w:bCs/>
                      <w:color w:val="000000"/>
                      <w:sz w:val="21"/>
                      <w:szCs w:val="21"/>
                      <w:highlight w:val="none"/>
                      <w:lang w:val="en-US" w:eastAsia="zh-CN"/>
                    </w:rPr>
                    <w:t>/</w:t>
                  </w:r>
                  <w:r>
                    <w:rPr>
                      <w:rFonts w:hint="default" w:ascii="Times New Roman" w:hAnsi="Times New Roman" w:eastAsia="宋体" w:cs="Times New Roman"/>
                      <w:b/>
                      <w:bCs/>
                      <w:color w:val="000000"/>
                      <w:sz w:val="21"/>
                      <w:szCs w:val="21"/>
                      <w:highlight w:val="none"/>
                    </w:rPr>
                    <w:t>%</w:t>
                  </w:r>
                </w:p>
              </w:tc>
              <w:tc>
                <w:tcPr>
                  <w:tcW w:w="1498" w:type="dxa"/>
                  <w:gridSpan w:val="2"/>
                  <w:tcBorders>
                    <w:top w:val="single" w:color="auto" w:sz="4" w:space="0"/>
                    <w:left w:val="single" w:color="auto" w:sz="4" w:space="0"/>
                    <w:bottom w:val="single" w:color="auto" w:sz="4" w:space="0"/>
                    <w:right w:val="single" w:color="auto" w:sz="4" w:space="0"/>
                  </w:tcBorders>
                  <w:noWrap w:val="0"/>
                  <w:vAlign w:val="center"/>
                </w:tcPr>
                <w:p w14:paraId="56F34A04">
                  <w:pPr>
                    <w:pStyle w:val="66"/>
                    <w:pageBreakBefore w:val="0"/>
                    <w:kinsoku/>
                    <w:wordWrap/>
                    <w:topLinePunct w:val="0"/>
                    <w:bidi w:val="0"/>
                    <w:jc w:val="center"/>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浓度范围</w:t>
                  </w:r>
                </w:p>
              </w:tc>
              <w:tc>
                <w:tcPr>
                  <w:tcW w:w="1534" w:type="dxa"/>
                  <w:gridSpan w:val="2"/>
                  <w:tcBorders>
                    <w:top w:val="single" w:color="auto" w:sz="4" w:space="0"/>
                    <w:left w:val="single" w:color="auto" w:sz="4" w:space="0"/>
                    <w:bottom w:val="single" w:color="auto" w:sz="4" w:space="0"/>
                    <w:right w:val="single" w:color="auto" w:sz="4" w:space="0"/>
                  </w:tcBorders>
                  <w:noWrap w:val="0"/>
                  <w:vAlign w:val="center"/>
                </w:tcPr>
                <w:p w14:paraId="1B13B9BF">
                  <w:pPr>
                    <w:pStyle w:val="66"/>
                    <w:pageBreakBefore w:val="0"/>
                    <w:kinsoku/>
                    <w:wordWrap/>
                    <w:topLinePunct w:val="0"/>
                    <w:bidi w:val="0"/>
                    <w:jc w:val="center"/>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占标率（%）</w:t>
                  </w:r>
                </w:p>
              </w:tc>
              <w:tc>
                <w:tcPr>
                  <w:tcW w:w="646" w:type="dxa"/>
                  <w:vMerge w:val="restart"/>
                  <w:tcBorders>
                    <w:top w:val="single" w:color="auto" w:sz="4" w:space="0"/>
                    <w:left w:val="single" w:color="auto" w:sz="4" w:space="0"/>
                    <w:right w:val="single" w:color="auto" w:sz="4" w:space="0"/>
                  </w:tcBorders>
                  <w:noWrap w:val="0"/>
                  <w:vAlign w:val="center"/>
                </w:tcPr>
                <w:p w14:paraId="6843ED2A">
                  <w:pPr>
                    <w:pStyle w:val="66"/>
                    <w:pageBreakBefore w:val="0"/>
                    <w:kinsoku/>
                    <w:wordWrap/>
                    <w:topLinePunct w:val="0"/>
                    <w:bidi w:val="0"/>
                    <w:jc w:val="center"/>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超标数</w:t>
                  </w:r>
                </w:p>
              </w:tc>
              <w:tc>
                <w:tcPr>
                  <w:tcW w:w="750" w:type="dxa"/>
                  <w:vMerge w:val="restart"/>
                  <w:tcBorders>
                    <w:top w:val="single" w:color="auto" w:sz="4" w:space="0"/>
                    <w:left w:val="single" w:color="auto" w:sz="4" w:space="0"/>
                    <w:right w:val="single" w:color="auto" w:sz="4" w:space="0"/>
                  </w:tcBorders>
                  <w:noWrap w:val="0"/>
                  <w:vAlign w:val="center"/>
                </w:tcPr>
                <w:p w14:paraId="5EEEE383">
                  <w:pPr>
                    <w:pStyle w:val="66"/>
                    <w:pageBreakBefore w:val="0"/>
                    <w:kinsoku/>
                    <w:wordWrap/>
                    <w:topLinePunct w:val="0"/>
                    <w:bidi w:val="0"/>
                    <w:jc w:val="center"/>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超标率</w:t>
                  </w:r>
                  <w:r>
                    <w:rPr>
                      <w:rFonts w:hint="default" w:ascii="Times New Roman" w:hAnsi="Times New Roman" w:eastAsia="宋体" w:cs="Times New Roman"/>
                      <w:b/>
                      <w:bCs/>
                      <w:color w:val="000000"/>
                      <w:sz w:val="21"/>
                      <w:szCs w:val="21"/>
                      <w:highlight w:val="none"/>
                      <w:lang w:val="en-US" w:eastAsia="zh-CN"/>
                    </w:rPr>
                    <w:t>/</w:t>
                  </w:r>
                  <w:r>
                    <w:rPr>
                      <w:rFonts w:hint="default" w:ascii="Times New Roman" w:hAnsi="Times New Roman" w:eastAsia="宋体" w:cs="Times New Roman"/>
                      <w:b/>
                      <w:bCs/>
                      <w:color w:val="000000"/>
                      <w:sz w:val="21"/>
                      <w:szCs w:val="21"/>
                      <w:highlight w:val="none"/>
                    </w:rPr>
                    <w:t>%</w:t>
                  </w:r>
                </w:p>
              </w:tc>
              <w:tc>
                <w:tcPr>
                  <w:tcW w:w="792" w:type="dxa"/>
                  <w:vMerge w:val="continue"/>
                  <w:tcBorders>
                    <w:left w:val="single" w:color="auto" w:sz="4" w:space="0"/>
                    <w:right w:val="single" w:color="auto" w:sz="4" w:space="0"/>
                  </w:tcBorders>
                  <w:noWrap w:val="0"/>
                  <w:vAlign w:val="center"/>
                </w:tcPr>
                <w:p w14:paraId="5E6B387F">
                  <w:pPr>
                    <w:pStyle w:val="66"/>
                    <w:pageBreakBefore w:val="0"/>
                    <w:kinsoku/>
                    <w:wordWrap/>
                    <w:topLinePunct w:val="0"/>
                    <w:bidi w:val="0"/>
                    <w:jc w:val="center"/>
                    <w:rPr>
                      <w:rFonts w:hint="default" w:ascii="Times New Roman" w:hAnsi="Times New Roman" w:eastAsia="宋体" w:cs="Times New Roman"/>
                      <w:b/>
                      <w:bCs/>
                      <w:color w:val="000000"/>
                      <w:sz w:val="21"/>
                      <w:szCs w:val="21"/>
                      <w:highlight w:val="none"/>
                    </w:rPr>
                  </w:pPr>
                </w:p>
              </w:tc>
            </w:tr>
            <w:tr w14:paraId="1BA42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359" w:type="dxa"/>
                  <w:vMerge w:val="continue"/>
                  <w:tcBorders>
                    <w:left w:val="single" w:color="auto" w:sz="4" w:space="0"/>
                    <w:bottom w:val="single" w:color="auto" w:sz="4" w:space="0"/>
                    <w:right w:val="single" w:color="auto" w:sz="4" w:space="0"/>
                  </w:tcBorders>
                  <w:noWrap w:val="0"/>
                  <w:vAlign w:val="center"/>
                </w:tcPr>
                <w:p w14:paraId="31888244">
                  <w:pPr>
                    <w:pStyle w:val="66"/>
                    <w:pageBreakBefore w:val="0"/>
                    <w:kinsoku/>
                    <w:wordWrap/>
                    <w:topLinePunct w:val="0"/>
                    <w:bidi w:val="0"/>
                    <w:jc w:val="center"/>
                    <w:rPr>
                      <w:rFonts w:hint="default" w:ascii="Times New Roman" w:hAnsi="Times New Roman" w:eastAsia="宋体" w:cs="Times New Roman"/>
                      <w:color w:val="000000"/>
                      <w:sz w:val="21"/>
                      <w:szCs w:val="21"/>
                      <w:highlight w:val="none"/>
                    </w:rPr>
                  </w:pPr>
                </w:p>
              </w:tc>
              <w:tc>
                <w:tcPr>
                  <w:tcW w:w="546" w:type="dxa"/>
                  <w:vMerge w:val="continue"/>
                  <w:tcBorders>
                    <w:left w:val="single" w:color="auto" w:sz="4" w:space="0"/>
                    <w:bottom w:val="single" w:color="auto" w:sz="4" w:space="0"/>
                    <w:right w:val="single" w:color="auto" w:sz="4" w:space="0"/>
                  </w:tcBorders>
                  <w:noWrap w:val="0"/>
                  <w:vAlign w:val="center"/>
                </w:tcPr>
                <w:p w14:paraId="187FB9BA">
                  <w:pPr>
                    <w:pStyle w:val="66"/>
                    <w:pageBreakBefore w:val="0"/>
                    <w:kinsoku/>
                    <w:wordWrap/>
                    <w:topLinePunct w:val="0"/>
                    <w:bidi w:val="0"/>
                    <w:jc w:val="center"/>
                    <w:rPr>
                      <w:rFonts w:hint="default" w:ascii="Times New Roman" w:hAnsi="Times New Roman" w:eastAsia="宋体" w:cs="Times New Roman"/>
                      <w:color w:val="000000"/>
                      <w:sz w:val="21"/>
                      <w:szCs w:val="21"/>
                      <w:highlight w:val="none"/>
                    </w:rPr>
                  </w:pPr>
                </w:p>
              </w:tc>
              <w:tc>
                <w:tcPr>
                  <w:tcW w:w="528" w:type="dxa"/>
                  <w:tcBorders>
                    <w:top w:val="single" w:color="auto" w:sz="4" w:space="0"/>
                    <w:left w:val="single" w:color="auto" w:sz="4" w:space="0"/>
                    <w:bottom w:val="single" w:color="auto" w:sz="4" w:space="0"/>
                    <w:right w:val="single" w:color="auto" w:sz="4" w:space="0"/>
                  </w:tcBorders>
                  <w:noWrap w:val="0"/>
                  <w:vAlign w:val="center"/>
                </w:tcPr>
                <w:p w14:paraId="17FCB153">
                  <w:pPr>
                    <w:pStyle w:val="66"/>
                    <w:pageBreakBefore w:val="0"/>
                    <w:kinsoku/>
                    <w:wordWrap/>
                    <w:topLinePunct w:val="0"/>
                    <w:bidi w:val="0"/>
                    <w:jc w:val="center"/>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最小值</w:t>
                  </w:r>
                </w:p>
              </w:tc>
              <w:tc>
                <w:tcPr>
                  <w:tcW w:w="564" w:type="dxa"/>
                  <w:tcBorders>
                    <w:top w:val="single" w:color="auto" w:sz="4" w:space="0"/>
                    <w:left w:val="single" w:color="auto" w:sz="4" w:space="0"/>
                    <w:bottom w:val="single" w:color="auto" w:sz="4" w:space="0"/>
                    <w:right w:val="single" w:color="auto" w:sz="4" w:space="0"/>
                  </w:tcBorders>
                  <w:noWrap w:val="0"/>
                  <w:vAlign w:val="center"/>
                </w:tcPr>
                <w:p w14:paraId="3CB77CF9">
                  <w:pPr>
                    <w:pStyle w:val="66"/>
                    <w:pageBreakBefore w:val="0"/>
                    <w:kinsoku/>
                    <w:wordWrap/>
                    <w:topLinePunct w:val="0"/>
                    <w:bidi w:val="0"/>
                    <w:jc w:val="center"/>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最大值</w:t>
                  </w:r>
                </w:p>
              </w:tc>
              <w:tc>
                <w:tcPr>
                  <w:tcW w:w="634" w:type="dxa"/>
                  <w:tcBorders>
                    <w:top w:val="single" w:color="auto" w:sz="4" w:space="0"/>
                    <w:left w:val="single" w:color="auto" w:sz="4" w:space="0"/>
                    <w:bottom w:val="single" w:color="auto" w:sz="4" w:space="0"/>
                    <w:right w:val="single" w:color="auto" w:sz="4" w:space="0"/>
                  </w:tcBorders>
                  <w:noWrap w:val="0"/>
                  <w:vAlign w:val="center"/>
                </w:tcPr>
                <w:p w14:paraId="56997EBB">
                  <w:pPr>
                    <w:pStyle w:val="66"/>
                    <w:pageBreakBefore w:val="0"/>
                    <w:kinsoku/>
                    <w:wordWrap/>
                    <w:topLinePunct w:val="0"/>
                    <w:bidi w:val="0"/>
                    <w:jc w:val="center"/>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最小值</w:t>
                  </w:r>
                </w:p>
              </w:tc>
              <w:tc>
                <w:tcPr>
                  <w:tcW w:w="639" w:type="dxa"/>
                  <w:tcBorders>
                    <w:top w:val="single" w:color="auto" w:sz="4" w:space="0"/>
                    <w:left w:val="single" w:color="auto" w:sz="4" w:space="0"/>
                    <w:bottom w:val="single" w:color="auto" w:sz="4" w:space="0"/>
                    <w:right w:val="single" w:color="auto" w:sz="4" w:space="0"/>
                  </w:tcBorders>
                  <w:noWrap w:val="0"/>
                  <w:vAlign w:val="center"/>
                </w:tcPr>
                <w:p w14:paraId="1F360BF5">
                  <w:pPr>
                    <w:pStyle w:val="66"/>
                    <w:pageBreakBefore w:val="0"/>
                    <w:kinsoku/>
                    <w:wordWrap/>
                    <w:topLinePunct w:val="0"/>
                    <w:bidi w:val="0"/>
                    <w:jc w:val="center"/>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最大值</w:t>
                  </w:r>
                </w:p>
              </w:tc>
              <w:tc>
                <w:tcPr>
                  <w:tcW w:w="620" w:type="dxa"/>
                  <w:vMerge w:val="continue"/>
                  <w:tcBorders>
                    <w:left w:val="single" w:color="auto" w:sz="4" w:space="0"/>
                    <w:bottom w:val="single" w:color="auto" w:sz="4" w:space="0"/>
                    <w:right w:val="single" w:color="auto" w:sz="4" w:space="0"/>
                  </w:tcBorders>
                  <w:noWrap w:val="0"/>
                  <w:vAlign w:val="center"/>
                </w:tcPr>
                <w:p w14:paraId="59800E2C">
                  <w:pPr>
                    <w:pStyle w:val="66"/>
                    <w:pageBreakBefore w:val="0"/>
                    <w:kinsoku/>
                    <w:wordWrap/>
                    <w:topLinePunct w:val="0"/>
                    <w:bidi w:val="0"/>
                    <w:jc w:val="center"/>
                    <w:rPr>
                      <w:rFonts w:hint="default" w:ascii="Times New Roman" w:hAnsi="Times New Roman" w:eastAsia="宋体" w:cs="Times New Roman"/>
                      <w:b/>
                      <w:bCs/>
                      <w:color w:val="000000"/>
                      <w:sz w:val="21"/>
                      <w:szCs w:val="21"/>
                      <w:highlight w:val="none"/>
                    </w:rPr>
                  </w:pPr>
                </w:p>
              </w:tc>
              <w:tc>
                <w:tcPr>
                  <w:tcW w:w="667" w:type="dxa"/>
                  <w:vMerge w:val="continue"/>
                  <w:tcBorders>
                    <w:left w:val="single" w:color="auto" w:sz="4" w:space="0"/>
                    <w:bottom w:val="single" w:color="auto" w:sz="4" w:space="0"/>
                    <w:right w:val="single" w:color="auto" w:sz="4" w:space="0"/>
                  </w:tcBorders>
                  <w:noWrap w:val="0"/>
                  <w:vAlign w:val="center"/>
                </w:tcPr>
                <w:p w14:paraId="073F8406">
                  <w:pPr>
                    <w:pStyle w:val="66"/>
                    <w:pageBreakBefore w:val="0"/>
                    <w:kinsoku/>
                    <w:wordWrap/>
                    <w:topLinePunct w:val="0"/>
                    <w:bidi w:val="0"/>
                    <w:jc w:val="center"/>
                    <w:rPr>
                      <w:rFonts w:hint="default" w:ascii="Times New Roman" w:hAnsi="Times New Roman" w:eastAsia="宋体" w:cs="Times New Roman"/>
                      <w:b/>
                      <w:bCs/>
                      <w:color w:val="000000"/>
                      <w:sz w:val="21"/>
                      <w:szCs w:val="21"/>
                      <w:highlight w:val="none"/>
                    </w:rPr>
                  </w:pPr>
                </w:p>
              </w:tc>
              <w:tc>
                <w:tcPr>
                  <w:tcW w:w="748" w:type="dxa"/>
                  <w:tcBorders>
                    <w:top w:val="single" w:color="auto" w:sz="4" w:space="0"/>
                    <w:left w:val="single" w:color="auto" w:sz="4" w:space="0"/>
                    <w:bottom w:val="single" w:color="auto" w:sz="4" w:space="0"/>
                    <w:right w:val="single" w:color="auto" w:sz="4" w:space="0"/>
                  </w:tcBorders>
                  <w:noWrap w:val="0"/>
                  <w:vAlign w:val="center"/>
                </w:tcPr>
                <w:p w14:paraId="2A58B5F3">
                  <w:pPr>
                    <w:pStyle w:val="66"/>
                    <w:pageBreakBefore w:val="0"/>
                    <w:kinsoku/>
                    <w:wordWrap/>
                    <w:topLinePunct w:val="0"/>
                    <w:bidi w:val="0"/>
                    <w:jc w:val="center"/>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最小值</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402AE710">
                  <w:pPr>
                    <w:pStyle w:val="66"/>
                    <w:pageBreakBefore w:val="0"/>
                    <w:kinsoku/>
                    <w:wordWrap/>
                    <w:topLinePunct w:val="0"/>
                    <w:bidi w:val="0"/>
                    <w:jc w:val="center"/>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最大值</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7C4019C2">
                  <w:pPr>
                    <w:pStyle w:val="66"/>
                    <w:pageBreakBefore w:val="0"/>
                    <w:kinsoku/>
                    <w:wordWrap/>
                    <w:topLinePunct w:val="0"/>
                    <w:bidi w:val="0"/>
                    <w:jc w:val="center"/>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最小值</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1319CFFC">
                  <w:pPr>
                    <w:pStyle w:val="66"/>
                    <w:pageBreakBefore w:val="0"/>
                    <w:kinsoku/>
                    <w:wordWrap/>
                    <w:topLinePunct w:val="0"/>
                    <w:bidi w:val="0"/>
                    <w:jc w:val="center"/>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最大值</w:t>
                  </w:r>
                </w:p>
              </w:tc>
              <w:tc>
                <w:tcPr>
                  <w:tcW w:w="646" w:type="dxa"/>
                  <w:vMerge w:val="continue"/>
                  <w:tcBorders>
                    <w:left w:val="single" w:color="auto" w:sz="4" w:space="0"/>
                    <w:bottom w:val="single" w:color="auto" w:sz="4" w:space="0"/>
                    <w:right w:val="single" w:color="auto" w:sz="4" w:space="0"/>
                  </w:tcBorders>
                  <w:noWrap w:val="0"/>
                  <w:vAlign w:val="center"/>
                </w:tcPr>
                <w:p w14:paraId="73CC127B">
                  <w:pPr>
                    <w:pStyle w:val="66"/>
                    <w:pageBreakBefore w:val="0"/>
                    <w:kinsoku/>
                    <w:wordWrap/>
                    <w:topLinePunct w:val="0"/>
                    <w:bidi w:val="0"/>
                    <w:jc w:val="center"/>
                    <w:rPr>
                      <w:rFonts w:hint="default" w:ascii="Times New Roman" w:hAnsi="Times New Roman" w:eastAsia="宋体" w:cs="Times New Roman"/>
                      <w:color w:val="000000"/>
                      <w:sz w:val="21"/>
                      <w:szCs w:val="21"/>
                      <w:highlight w:val="none"/>
                    </w:rPr>
                  </w:pPr>
                </w:p>
              </w:tc>
              <w:tc>
                <w:tcPr>
                  <w:tcW w:w="750" w:type="dxa"/>
                  <w:vMerge w:val="continue"/>
                  <w:tcBorders>
                    <w:left w:val="single" w:color="auto" w:sz="4" w:space="0"/>
                    <w:bottom w:val="single" w:color="auto" w:sz="4" w:space="0"/>
                    <w:right w:val="single" w:color="auto" w:sz="4" w:space="0"/>
                  </w:tcBorders>
                  <w:noWrap w:val="0"/>
                  <w:vAlign w:val="center"/>
                </w:tcPr>
                <w:p w14:paraId="087DCD7F">
                  <w:pPr>
                    <w:pStyle w:val="66"/>
                    <w:pageBreakBefore w:val="0"/>
                    <w:kinsoku/>
                    <w:wordWrap/>
                    <w:topLinePunct w:val="0"/>
                    <w:bidi w:val="0"/>
                    <w:jc w:val="center"/>
                    <w:rPr>
                      <w:rFonts w:hint="default" w:ascii="Times New Roman" w:hAnsi="Times New Roman" w:eastAsia="宋体" w:cs="Times New Roman"/>
                      <w:color w:val="000000"/>
                      <w:sz w:val="21"/>
                      <w:szCs w:val="21"/>
                      <w:highlight w:val="none"/>
                    </w:rPr>
                  </w:pPr>
                </w:p>
              </w:tc>
              <w:tc>
                <w:tcPr>
                  <w:tcW w:w="792" w:type="dxa"/>
                  <w:vMerge w:val="continue"/>
                  <w:tcBorders>
                    <w:left w:val="single" w:color="auto" w:sz="4" w:space="0"/>
                    <w:bottom w:val="single" w:color="auto" w:sz="4" w:space="0"/>
                    <w:right w:val="single" w:color="auto" w:sz="4" w:space="0"/>
                  </w:tcBorders>
                  <w:noWrap w:val="0"/>
                  <w:vAlign w:val="center"/>
                </w:tcPr>
                <w:p w14:paraId="78E4B5E3">
                  <w:pPr>
                    <w:pStyle w:val="66"/>
                    <w:pageBreakBefore w:val="0"/>
                    <w:kinsoku/>
                    <w:wordWrap/>
                    <w:topLinePunct w:val="0"/>
                    <w:bidi w:val="0"/>
                    <w:jc w:val="center"/>
                    <w:rPr>
                      <w:rFonts w:hint="default" w:ascii="Times New Roman" w:hAnsi="Times New Roman" w:eastAsia="宋体" w:cs="Times New Roman"/>
                      <w:color w:val="000000"/>
                      <w:sz w:val="21"/>
                      <w:szCs w:val="21"/>
                      <w:highlight w:val="none"/>
                    </w:rPr>
                  </w:pPr>
                </w:p>
              </w:tc>
            </w:tr>
            <w:tr w14:paraId="2B1DA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359" w:type="dxa"/>
                  <w:vMerge w:val="restart"/>
                  <w:tcBorders>
                    <w:top w:val="single" w:color="auto" w:sz="4" w:space="0"/>
                    <w:left w:val="single" w:color="auto" w:sz="4" w:space="0"/>
                    <w:right w:val="single" w:color="auto" w:sz="4" w:space="0"/>
                  </w:tcBorders>
                  <w:noWrap w:val="0"/>
                  <w:vAlign w:val="center"/>
                </w:tcPr>
                <w:p w14:paraId="5BB352E2">
                  <w:pPr>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G1</w:t>
                  </w:r>
                </w:p>
              </w:tc>
              <w:tc>
                <w:tcPr>
                  <w:tcW w:w="546" w:type="dxa"/>
                  <w:tcBorders>
                    <w:top w:val="single" w:color="auto" w:sz="4" w:space="0"/>
                    <w:left w:val="single" w:color="auto" w:sz="4" w:space="0"/>
                    <w:bottom w:val="single" w:color="auto" w:sz="4" w:space="0"/>
                    <w:right w:val="single" w:color="auto" w:sz="4" w:space="0"/>
                  </w:tcBorders>
                  <w:noWrap w:val="0"/>
                  <w:vAlign w:val="center"/>
                </w:tcPr>
                <w:p w14:paraId="2CEFDDB4">
                  <w:pPr>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TSP</w:t>
                  </w:r>
                </w:p>
              </w:tc>
              <w:tc>
                <w:tcPr>
                  <w:tcW w:w="528" w:type="dxa"/>
                  <w:tcBorders>
                    <w:top w:val="single" w:color="auto" w:sz="4" w:space="0"/>
                    <w:left w:val="single" w:color="auto" w:sz="4" w:space="0"/>
                    <w:bottom w:val="single" w:color="auto" w:sz="4" w:space="0"/>
                    <w:right w:val="single" w:color="auto" w:sz="4" w:space="0"/>
                  </w:tcBorders>
                  <w:noWrap w:val="0"/>
                  <w:vAlign w:val="center"/>
                </w:tcPr>
                <w:p w14:paraId="3B7898DF">
                  <w:pPr>
                    <w:pStyle w:val="66"/>
                    <w:pageBreakBefore w:val="0"/>
                    <w:kinsoku/>
                    <w:wordWrap/>
                    <w:topLinePunct w:val="0"/>
                    <w:bidi w:val="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564" w:type="dxa"/>
                  <w:tcBorders>
                    <w:top w:val="single" w:color="auto" w:sz="4" w:space="0"/>
                    <w:left w:val="single" w:color="auto" w:sz="4" w:space="0"/>
                    <w:bottom w:val="single" w:color="auto" w:sz="4" w:space="0"/>
                    <w:right w:val="single" w:color="auto" w:sz="4" w:space="0"/>
                  </w:tcBorders>
                  <w:noWrap w:val="0"/>
                  <w:vAlign w:val="center"/>
                </w:tcPr>
                <w:p w14:paraId="18E6C9A1">
                  <w:pPr>
                    <w:pStyle w:val="66"/>
                    <w:pageBreakBefore w:val="0"/>
                    <w:kinsoku/>
                    <w:wordWrap/>
                    <w:topLinePunct w:val="0"/>
                    <w:bidi w:val="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634" w:type="dxa"/>
                  <w:tcBorders>
                    <w:top w:val="single" w:color="auto" w:sz="4" w:space="0"/>
                    <w:left w:val="single" w:color="auto" w:sz="4" w:space="0"/>
                    <w:bottom w:val="single" w:color="auto" w:sz="4" w:space="0"/>
                    <w:right w:val="single" w:color="auto" w:sz="4" w:space="0"/>
                  </w:tcBorders>
                  <w:noWrap w:val="0"/>
                  <w:vAlign w:val="center"/>
                </w:tcPr>
                <w:p w14:paraId="1ECB50AD">
                  <w:pPr>
                    <w:pStyle w:val="66"/>
                    <w:pageBreakBefore w:val="0"/>
                    <w:kinsoku/>
                    <w:wordWrap/>
                    <w:topLinePunct w:val="0"/>
                    <w:bidi w:val="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639" w:type="dxa"/>
                  <w:tcBorders>
                    <w:top w:val="single" w:color="auto" w:sz="4" w:space="0"/>
                    <w:left w:val="single" w:color="auto" w:sz="4" w:space="0"/>
                    <w:bottom w:val="single" w:color="auto" w:sz="4" w:space="0"/>
                    <w:right w:val="single" w:color="auto" w:sz="4" w:space="0"/>
                  </w:tcBorders>
                  <w:noWrap w:val="0"/>
                  <w:vAlign w:val="center"/>
                </w:tcPr>
                <w:p w14:paraId="26C1AA45">
                  <w:pPr>
                    <w:pStyle w:val="66"/>
                    <w:pageBreakBefore w:val="0"/>
                    <w:kinsoku/>
                    <w:wordWrap/>
                    <w:topLinePunct w:val="0"/>
                    <w:bidi w:val="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3E1AC955">
                  <w:pPr>
                    <w:pStyle w:val="66"/>
                    <w:pageBreakBefore w:val="0"/>
                    <w:kinsoku/>
                    <w:wordWrap/>
                    <w:topLinePunct w:val="0"/>
                    <w:bidi w:val="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667" w:type="dxa"/>
                  <w:tcBorders>
                    <w:top w:val="single" w:color="auto" w:sz="4" w:space="0"/>
                    <w:left w:val="single" w:color="auto" w:sz="4" w:space="0"/>
                    <w:bottom w:val="single" w:color="auto" w:sz="4" w:space="0"/>
                    <w:right w:val="single" w:color="auto" w:sz="4" w:space="0"/>
                  </w:tcBorders>
                  <w:noWrap w:val="0"/>
                  <w:vAlign w:val="center"/>
                </w:tcPr>
                <w:p w14:paraId="57843930">
                  <w:pPr>
                    <w:pStyle w:val="66"/>
                    <w:pageBreakBefore w:val="0"/>
                    <w:kinsoku/>
                    <w:wordWrap/>
                    <w:topLinePunct w:val="0"/>
                    <w:bidi w:val="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48" w:type="dxa"/>
                  <w:tcBorders>
                    <w:top w:val="single" w:color="auto" w:sz="4" w:space="0"/>
                    <w:left w:val="single" w:color="auto" w:sz="4" w:space="0"/>
                    <w:bottom w:val="single" w:color="auto" w:sz="4" w:space="0"/>
                    <w:right w:val="single" w:color="auto" w:sz="4" w:space="0"/>
                  </w:tcBorders>
                  <w:noWrap w:val="0"/>
                  <w:vAlign w:val="center"/>
                </w:tcPr>
                <w:p w14:paraId="4DADAC7E">
                  <w:pPr>
                    <w:pStyle w:val="66"/>
                    <w:pageBreakBefore w:val="0"/>
                    <w:kinsoku/>
                    <w:wordWrap/>
                    <w:topLinePunct w:val="0"/>
                    <w:bidi w:val="0"/>
                    <w:ind w:firstLine="0" w:firstLineChars="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111</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58BEDDC1">
                  <w:pPr>
                    <w:pStyle w:val="66"/>
                    <w:pageBreakBefore w:val="0"/>
                    <w:kinsoku/>
                    <w:wordWrap/>
                    <w:topLinePunct w:val="0"/>
                    <w:bidi w:val="0"/>
                    <w:ind w:firstLine="0" w:firstLineChars="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134</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05014BB6">
                  <w:pPr>
                    <w:pStyle w:val="66"/>
                    <w:pageBreakBefore w:val="0"/>
                    <w:kinsoku/>
                    <w:wordWrap/>
                    <w:topLinePunct w:val="0"/>
                    <w:bidi w:val="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0.37</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79AE9C5A">
                  <w:pPr>
                    <w:pStyle w:val="66"/>
                    <w:pageBreakBefore w:val="0"/>
                    <w:kinsoku/>
                    <w:wordWrap/>
                    <w:topLinePunct w:val="0"/>
                    <w:bidi w:val="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0.45</w:t>
                  </w:r>
                </w:p>
              </w:tc>
              <w:tc>
                <w:tcPr>
                  <w:tcW w:w="646" w:type="dxa"/>
                  <w:tcBorders>
                    <w:top w:val="single" w:color="auto" w:sz="4" w:space="0"/>
                    <w:left w:val="single" w:color="auto" w:sz="4" w:space="0"/>
                    <w:bottom w:val="single" w:color="auto" w:sz="4" w:space="0"/>
                    <w:right w:val="single" w:color="auto" w:sz="4" w:space="0"/>
                  </w:tcBorders>
                  <w:noWrap w:val="0"/>
                  <w:vAlign w:val="center"/>
                </w:tcPr>
                <w:p w14:paraId="07FA7E9E">
                  <w:pPr>
                    <w:pStyle w:val="66"/>
                    <w:pageBreakBefore w:val="0"/>
                    <w:kinsoku/>
                    <w:wordWrap/>
                    <w:topLinePunct w:val="0"/>
                    <w:bidi w:val="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111A9E5D">
                  <w:pPr>
                    <w:pStyle w:val="66"/>
                    <w:pageBreakBefore w:val="0"/>
                    <w:kinsoku/>
                    <w:wordWrap/>
                    <w:topLinePunct w:val="0"/>
                    <w:bidi w:val="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0AFAC700">
                  <w:pPr>
                    <w:pStyle w:val="66"/>
                    <w:pageBreakBefore w:val="0"/>
                    <w:kinsoku/>
                    <w:wordWrap/>
                    <w:topLinePunct w:val="0"/>
                    <w:bidi w:val="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Ug/m</w:t>
                  </w:r>
                  <w:r>
                    <w:rPr>
                      <w:rFonts w:hint="default" w:ascii="Times New Roman" w:hAnsi="Times New Roman" w:eastAsia="宋体" w:cs="Times New Roman"/>
                      <w:color w:val="000000"/>
                      <w:sz w:val="21"/>
                      <w:szCs w:val="21"/>
                      <w:highlight w:val="none"/>
                      <w:vertAlign w:val="superscript"/>
                      <w:lang w:val="en-US" w:eastAsia="zh-CN"/>
                    </w:rPr>
                    <w:t>3</w:t>
                  </w:r>
                </w:p>
              </w:tc>
            </w:tr>
            <w:tr w14:paraId="622E1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359" w:type="dxa"/>
                  <w:vMerge w:val="continue"/>
                  <w:tcBorders>
                    <w:left w:val="single" w:color="auto" w:sz="4" w:space="0"/>
                    <w:right w:val="single" w:color="auto" w:sz="4" w:space="0"/>
                  </w:tcBorders>
                  <w:noWrap w:val="0"/>
                  <w:vAlign w:val="center"/>
                </w:tcPr>
                <w:p w14:paraId="5F658F2F">
                  <w:pPr>
                    <w:ind w:left="0" w:leftChars="0" w:firstLine="0" w:firstLineChars="0"/>
                    <w:jc w:val="center"/>
                    <w:rPr>
                      <w:rFonts w:hint="default" w:ascii="Times New Roman" w:hAnsi="Times New Roman" w:eastAsia="宋体" w:cs="Times New Roman"/>
                      <w:sz w:val="21"/>
                      <w:szCs w:val="21"/>
                      <w:highlight w:val="none"/>
                      <w:lang w:val="en-US" w:eastAsia="zh-CN"/>
                    </w:rPr>
                  </w:pPr>
                </w:p>
              </w:tc>
              <w:tc>
                <w:tcPr>
                  <w:tcW w:w="546" w:type="dxa"/>
                  <w:tcBorders>
                    <w:top w:val="single" w:color="auto" w:sz="4" w:space="0"/>
                    <w:left w:val="single" w:color="auto" w:sz="4" w:space="0"/>
                    <w:bottom w:val="single" w:color="auto" w:sz="4" w:space="0"/>
                    <w:right w:val="single" w:color="auto" w:sz="4" w:space="0"/>
                  </w:tcBorders>
                  <w:noWrap w:val="0"/>
                  <w:vAlign w:val="center"/>
                </w:tcPr>
                <w:p w14:paraId="7D606F78">
                  <w:pPr>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氟化物</w:t>
                  </w:r>
                </w:p>
              </w:tc>
              <w:tc>
                <w:tcPr>
                  <w:tcW w:w="528" w:type="dxa"/>
                  <w:tcBorders>
                    <w:top w:val="single" w:color="auto" w:sz="4" w:space="0"/>
                    <w:left w:val="single" w:color="auto" w:sz="4" w:space="0"/>
                    <w:bottom w:val="single" w:color="auto" w:sz="4" w:space="0"/>
                    <w:right w:val="single" w:color="auto" w:sz="4" w:space="0"/>
                  </w:tcBorders>
                  <w:noWrap w:val="0"/>
                  <w:vAlign w:val="center"/>
                </w:tcPr>
                <w:p w14:paraId="1114C80F">
                  <w:pPr>
                    <w:pStyle w:val="66"/>
                    <w:pageBreakBefore w:val="0"/>
                    <w:kinsoku/>
                    <w:wordWrap/>
                    <w:topLinePunct w:val="0"/>
                    <w:bidi w:val="0"/>
                    <w:ind w:firstLine="0" w:firstLineChars="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ND</w:t>
                  </w:r>
                </w:p>
              </w:tc>
              <w:tc>
                <w:tcPr>
                  <w:tcW w:w="564" w:type="dxa"/>
                  <w:tcBorders>
                    <w:top w:val="single" w:color="auto" w:sz="4" w:space="0"/>
                    <w:left w:val="single" w:color="auto" w:sz="4" w:space="0"/>
                    <w:bottom w:val="single" w:color="auto" w:sz="4" w:space="0"/>
                    <w:right w:val="single" w:color="auto" w:sz="4" w:space="0"/>
                  </w:tcBorders>
                  <w:noWrap w:val="0"/>
                  <w:vAlign w:val="center"/>
                </w:tcPr>
                <w:p w14:paraId="18591B9A">
                  <w:pPr>
                    <w:pStyle w:val="66"/>
                    <w:pageBreakBefore w:val="0"/>
                    <w:kinsoku/>
                    <w:wordWrap/>
                    <w:topLinePunct w:val="0"/>
                    <w:bidi w:val="0"/>
                    <w:ind w:firstLine="0" w:firstLineChars="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ND</w:t>
                  </w:r>
                </w:p>
              </w:tc>
              <w:tc>
                <w:tcPr>
                  <w:tcW w:w="634" w:type="dxa"/>
                  <w:tcBorders>
                    <w:top w:val="single" w:color="auto" w:sz="4" w:space="0"/>
                    <w:left w:val="single" w:color="auto" w:sz="4" w:space="0"/>
                    <w:bottom w:val="single" w:color="auto" w:sz="4" w:space="0"/>
                    <w:right w:val="single" w:color="auto" w:sz="4" w:space="0"/>
                  </w:tcBorders>
                  <w:noWrap w:val="0"/>
                  <w:vAlign w:val="center"/>
                </w:tcPr>
                <w:p w14:paraId="460A7A43">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639" w:type="dxa"/>
                  <w:tcBorders>
                    <w:top w:val="single" w:color="auto" w:sz="4" w:space="0"/>
                    <w:left w:val="single" w:color="auto" w:sz="4" w:space="0"/>
                    <w:bottom w:val="single" w:color="auto" w:sz="4" w:space="0"/>
                    <w:right w:val="single" w:color="auto" w:sz="4" w:space="0"/>
                  </w:tcBorders>
                  <w:noWrap w:val="0"/>
                  <w:vAlign w:val="center"/>
                </w:tcPr>
                <w:p w14:paraId="7A781A04">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315FBD13">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667" w:type="dxa"/>
                  <w:tcBorders>
                    <w:top w:val="single" w:color="auto" w:sz="4" w:space="0"/>
                    <w:left w:val="single" w:color="auto" w:sz="4" w:space="0"/>
                    <w:bottom w:val="single" w:color="auto" w:sz="4" w:space="0"/>
                    <w:right w:val="single" w:color="auto" w:sz="4" w:space="0"/>
                  </w:tcBorders>
                  <w:noWrap w:val="0"/>
                  <w:vAlign w:val="center"/>
                </w:tcPr>
                <w:p w14:paraId="6C8B0F9A">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48" w:type="dxa"/>
                  <w:tcBorders>
                    <w:top w:val="single" w:color="auto" w:sz="4" w:space="0"/>
                    <w:left w:val="single" w:color="auto" w:sz="4" w:space="0"/>
                    <w:bottom w:val="single" w:color="auto" w:sz="4" w:space="0"/>
                    <w:right w:val="single" w:color="auto" w:sz="4" w:space="0"/>
                  </w:tcBorders>
                  <w:noWrap w:val="0"/>
                  <w:vAlign w:val="center"/>
                </w:tcPr>
                <w:p w14:paraId="74436842">
                  <w:pPr>
                    <w:pStyle w:val="66"/>
                    <w:pageBreakBefore w:val="0"/>
                    <w:kinsoku/>
                    <w:wordWrap/>
                    <w:topLinePunct w:val="0"/>
                    <w:bidi w:val="0"/>
                    <w:ind w:firstLine="0" w:firstLineChars="0"/>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ND</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302FC99E">
                  <w:pPr>
                    <w:pStyle w:val="66"/>
                    <w:pageBreakBefore w:val="0"/>
                    <w:kinsoku/>
                    <w:wordWrap/>
                    <w:topLinePunct w:val="0"/>
                    <w:bidi w:val="0"/>
                    <w:ind w:firstLine="0" w:firstLineChars="0"/>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ND</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179B06CC">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091845A3">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646" w:type="dxa"/>
                  <w:tcBorders>
                    <w:top w:val="single" w:color="auto" w:sz="4" w:space="0"/>
                    <w:left w:val="single" w:color="auto" w:sz="4" w:space="0"/>
                    <w:bottom w:val="single" w:color="auto" w:sz="4" w:space="0"/>
                    <w:right w:val="single" w:color="auto" w:sz="4" w:space="0"/>
                  </w:tcBorders>
                  <w:noWrap w:val="0"/>
                  <w:vAlign w:val="center"/>
                </w:tcPr>
                <w:p w14:paraId="64C00E87">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479F602B">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6E282836">
                  <w:pPr>
                    <w:pStyle w:val="66"/>
                    <w:pageBreakBefore w:val="0"/>
                    <w:kinsoku/>
                    <w:wordWrap/>
                    <w:topLinePunct w:val="0"/>
                    <w:bidi w:val="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Ug/m</w:t>
                  </w:r>
                  <w:r>
                    <w:rPr>
                      <w:rFonts w:hint="default" w:ascii="Times New Roman" w:hAnsi="Times New Roman" w:eastAsia="宋体" w:cs="Times New Roman"/>
                      <w:color w:val="000000"/>
                      <w:sz w:val="21"/>
                      <w:szCs w:val="21"/>
                      <w:highlight w:val="none"/>
                      <w:vertAlign w:val="superscript"/>
                      <w:lang w:val="en-US" w:eastAsia="zh-CN"/>
                    </w:rPr>
                    <w:t>3</w:t>
                  </w:r>
                </w:p>
              </w:tc>
            </w:tr>
            <w:tr w14:paraId="3A1E4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359" w:type="dxa"/>
                  <w:vMerge w:val="continue"/>
                  <w:tcBorders>
                    <w:left w:val="single" w:color="auto" w:sz="4" w:space="0"/>
                    <w:right w:val="single" w:color="auto" w:sz="4" w:space="0"/>
                  </w:tcBorders>
                  <w:noWrap w:val="0"/>
                  <w:vAlign w:val="center"/>
                </w:tcPr>
                <w:p w14:paraId="65BFFE48">
                  <w:pPr>
                    <w:ind w:left="0" w:leftChars="0" w:firstLine="0" w:firstLineChars="0"/>
                    <w:jc w:val="center"/>
                    <w:rPr>
                      <w:rFonts w:hint="default" w:ascii="Times New Roman" w:hAnsi="Times New Roman" w:eastAsia="宋体" w:cs="Times New Roman"/>
                      <w:sz w:val="21"/>
                      <w:szCs w:val="21"/>
                      <w:highlight w:val="none"/>
                      <w:lang w:val="en-US" w:eastAsia="zh-CN"/>
                    </w:rPr>
                  </w:pPr>
                </w:p>
              </w:tc>
              <w:tc>
                <w:tcPr>
                  <w:tcW w:w="546" w:type="dxa"/>
                  <w:tcBorders>
                    <w:top w:val="single" w:color="auto" w:sz="4" w:space="0"/>
                    <w:left w:val="single" w:color="auto" w:sz="4" w:space="0"/>
                    <w:bottom w:val="single" w:color="auto" w:sz="4" w:space="0"/>
                    <w:right w:val="single" w:color="auto" w:sz="4" w:space="0"/>
                  </w:tcBorders>
                  <w:noWrap w:val="0"/>
                  <w:vAlign w:val="center"/>
                </w:tcPr>
                <w:p w14:paraId="351534FA">
                  <w:pPr>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铅</w:t>
                  </w:r>
                </w:p>
              </w:tc>
              <w:tc>
                <w:tcPr>
                  <w:tcW w:w="528" w:type="dxa"/>
                  <w:tcBorders>
                    <w:top w:val="single" w:color="auto" w:sz="4" w:space="0"/>
                    <w:left w:val="single" w:color="auto" w:sz="4" w:space="0"/>
                    <w:bottom w:val="single" w:color="auto" w:sz="4" w:space="0"/>
                    <w:right w:val="single" w:color="auto" w:sz="4" w:space="0"/>
                  </w:tcBorders>
                  <w:noWrap w:val="0"/>
                  <w:vAlign w:val="center"/>
                </w:tcPr>
                <w:p w14:paraId="760D840B">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83.4</w:t>
                  </w:r>
                </w:p>
              </w:tc>
              <w:tc>
                <w:tcPr>
                  <w:tcW w:w="564" w:type="dxa"/>
                  <w:tcBorders>
                    <w:top w:val="single" w:color="auto" w:sz="4" w:space="0"/>
                    <w:left w:val="single" w:color="auto" w:sz="4" w:space="0"/>
                    <w:bottom w:val="single" w:color="auto" w:sz="4" w:space="0"/>
                    <w:right w:val="single" w:color="auto" w:sz="4" w:space="0"/>
                  </w:tcBorders>
                  <w:noWrap w:val="0"/>
                  <w:vAlign w:val="center"/>
                </w:tcPr>
                <w:p w14:paraId="798AC619">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208</w:t>
                  </w:r>
                </w:p>
              </w:tc>
              <w:tc>
                <w:tcPr>
                  <w:tcW w:w="634" w:type="dxa"/>
                  <w:tcBorders>
                    <w:top w:val="single" w:color="auto" w:sz="4" w:space="0"/>
                    <w:left w:val="single" w:color="auto" w:sz="4" w:space="0"/>
                    <w:bottom w:val="single" w:color="auto" w:sz="4" w:space="0"/>
                    <w:right w:val="single" w:color="auto" w:sz="4" w:space="0"/>
                  </w:tcBorders>
                  <w:noWrap w:val="0"/>
                  <w:vAlign w:val="center"/>
                </w:tcPr>
                <w:p w14:paraId="1252D5F6">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0.0278</w:t>
                  </w:r>
                </w:p>
              </w:tc>
              <w:tc>
                <w:tcPr>
                  <w:tcW w:w="639" w:type="dxa"/>
                  <w:tcBorders>
                    <w:top w:val="single" w:color="auto" w:sz="4" w:space="0"/>
                    <w:left w:val="single" w:color="auto" w:sz="4" w:space="0"/>
                    <w:bottom w:val="single" w:color="auto" w:sz="4" w:space="0"/>
                    <w:right w:val="single" w:color="auto" w:sz="4" w:space="0"/>
                  </w:tcBorders>
                  <w:noWrap w:val="0"/>
                  <w:vAlign w:val="center"/>
                </w:tcPr>
                <w:p w14:paraId="280C4206">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0.069</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1EB64C6D">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667" w:type="dxa"/>
                  <w:tcBorders>
                    <w:top w:val="single" w:color="auto" w:sz="4" w:space="0"/>
                    <w:left w:val="single" w:color="auto" w:sz="4" w:space="0"/>
                    <w:bottom w:val="single" w:color="auto" w:sz="4" w:space="0"/>
                    <w:right w:val="single" w:color="auto" w:sz="4" w:space="0"/>
                  </w:tcBorders>
                  <w:noWrap w:val="0"/>
                  <w:vAlign w:val="center"/>
                </w:tcPr>
                <w:p w14:paraId="3DE00AFF">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48" w:type="dxa"/>
                  <w:tcBorders>
                    <w:top w:val="single" w:color="auto" w:sz="4" w:space="0"/>
                    <w:left w:val="single" w:color="auto" w:sz="4" w:space="0"/>
                    <w:bottom w:val="single" w:color="auto" w:sz="4" w:space="0"/>
                    <w:right w:val="single" w:color="auto" w:sz="4" w:space="0"/>
                  </w:tcBorders>
                  <w:noWrap w:val="0"/>
                  <w:vAlign w:val="center"/>
                </w:tcPr>
                <w:p w14:paraId="3C3DEA25">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18.1</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7BD82405">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26.2</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4A2A037E">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0.0181</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62990603">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0.0262</w:t>
                  </w:r>
                </w:p>
              </w:tc>
              <w:tc>
                <w:tcPr>
                  <w:tcW w:w="646" w:type="dxa"/>
                  <w:tcBorders>
                    <w:top w:val="single" w:color="auto" w:sz="4" w:space="0"/>
                    <w:left w:val="single" w:color="auto" w:sz="4" w:space="0"/>
                    <w:bottom w:val="single" w:color="auto" w:sz="4" w:space="0"/>
                    <w:right w:val="single" w:color="auto" w:sz="4" w:space="0"/>
                  </w:tcBorders>
                  <w:noWrap w:val="0"/>
                  <w:vAlign w:val="center"/>
                </w:tcPr>
                <w:p w14:paraId="726D81CB">
                  <w:pPr>
                    <w:pStyle w:val="66"/>
                    <w:pageBreakBefore w:val="0"/>
                    <w:kinsoku/>
                    <w:wordWrap/>
                    <w:topLinePunct w:val="0"/>
                    <w:bidi w:val="0"/>
                    <w:rPr>
                      <w:rFonts w:hint="default" w:ascii="Times New Roman" w:hAnsi="Times New Roman" w:eastAsia="宋体" w:cs="Times New Roman"/>
                      <w:color w:val="000000"/>
                      <w:sz w:val="21"/>
                      <w:szCs w:val="21"/>
                      <w:highlight w:val="none"/>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0B8EEA6B">
                  <w:pPr>
                    <w:pStyle w:val="66"/>
                    <w:pageBreakBefore w:val="0"/>
                    <w:kinsoku/>
                    <w:wordWrap/>
                    <w:topLinePunct w:val="0"/>
                    <w:bidi w:val="0"/>
                    <w:rPr>
                      <w:rFonts w:hint="default" w:ascii="Times New Roman" w:hAnsi="Times New Roman" w:eastAsia="宋体" w:cs="Times New Roman"/>
                      <w:color w:val="000000"/>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3867327D">
                  <w:pPr>
                    <w:pStyle w:val="66"/>
                    <w:pageBreakBefore w:val="0"/>
                    <w:kinsoku/>
                    <w:wordWrap/>
                    <w:topLinePunct w:val="0"/>
                    <w:bidi w:val="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ng/m</w:t>
                  </w:r>
                  <w:r>
                    <w:rPr>
                      <w:rFonts w:hint="default" w:ascii="Times New Roman" w:hAnsi="Times New Roman" w:eastAsia="宋体" w:cs="Times New Roman"/>
                      <w:color w:val="000000"/>
                      <w:sz w:val="21"/>
                      <w:szCs w:val="21"/>
                      <w:highlight w:val="none"/>
                      <w:vertAlign w:val="superscript"/>
                      <w:lang w:val="en-US" w:eastAsia="zh-CN"/>
                    </w:rPr>
                    <w:t>3</w:t>
                  </w:r>
                </w:p>
              </w:tc>
            </w:tr>
            <w:tr w14:paraId="50D30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359" w:type="dxa"/>
                  <w:vMerge w:val="continue"/>
                  <w:tcBorders>
                    <w:left w:val="single" w:color="auto" w:sz="4" w:space="0"/>
                    <w:right w:val="single" w:color="auto" w:sz="4" w:space="0"/>
                  </w:tcBorders>
                  <w:noWrap w:val="0"/>
                  <w:vAlign w:val="center"/>
                </w:tcPr>
                <w:p w14:paraId="448BF756">
                  <w:pPr>
                    <w:ind w:left="0" w:leftChars="0" w:firstLine="0" w:firstLineChars="0"/>
                    <w:jc w:val="center"/>
                    <w:rPr>
                      <w:rFonts w:hint="default" w:ascii="Times New Roman" w:hAnsi="Times New Roman" w:eastAsia="宋体" w:cs="Times New Roman"/>
                      <w:sz w:val="21"/>
                      <w:szCs w:val="21"/>
                      <w:highlight w:val="none"/>
                      <w:lang w:val="en-US" w:eastAsia="zh-CN"/>
                    </w:rPr>
                  </w:pPr>
                </w:p>
              </w:tc>
              <w:tc>
                <w:tcPr>
                  <w:tcW w:w="546" w:type="dxa"/>
                  <w:tcBorders>
                    <w:top w:val="single" w:color="auto" w:sz="4" w:space="0"/>
                    <w:left w:val="single" w:color="auto" w:sz="4" w:space="0"/>
                    <w:bottom w:val="single" w:color="auto" w:sz="4" w:space="0"/>
                    <w:right w:val="single" w:color="auto" w:sz="4" w:space="0"/>
                  </w:tcBorders>
                  <w:noWrap w:val="0"/>
                  <w:vAlign w:val="center"/>
                </w:tcPr>
                <w:p w14:paraId="1E9449C3">
                  <w:pPr>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汞</w:t>
                  </w:r>
                </w:p>
              </w:tc>
              <w:tc>
                <w:tcPr>
                  <w:tcW w:w="528" w:type="dxa"/>
                  <w:tcBorders>
                    <w:top w:val="single" w:color="auto" w:sz="4" w:space="0"/>
                    <w:left w:val="single" w:color="auto" w:sz="4" w:space="0"/>
                    <w:bottom w:val="single" w:color="auto" w:sz="4" w:space="0"/>
                    <w:right w:val="single" w:color="auto" w:sz="4" w:space="0"/>
                  </w:tcBorders>
                  <w:noWrap w:val="0"/>
                  <w:vAlign w:val="center"/>
                </w:tcPr>
                <w:p w14:paraId="3B16C83A">
                  <w:pPr>
                    <w:pStyle w:val="66"/>
                    <w:pageBreakBefore w:val="0"/>
                    <w:kinsoku/>
                    <w:wordWrap/>
                    <w:topLinePunct w:val="0"/>
                    <w:bidi w:val="0"/>
                    <w:ind w:firstLine="0" w:firstLineChars="0"/>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ND</w:t>
                  </w:r>
                </w:p>
              </w:tc>
              <w:tc>
                <w:tcPr>
                  <w:tcW w:w="564" w:type="dxa"/>
                  <w:tcBorders>
                    <w:top w:val="single" w:color="auto" w:sz="4" w:space="0"/>
                    <w:left w:val="single" w:color="auto" w:sz="4" w:space="0"/>
                    <w:bottom w:val="single" w:color="auto" w:sz="4" w:space="0"/>
                    <w:right w:val="single" w:color="auto" w:sz="4" w:space="0"/>
                  </w:tcBorders>
                  <w:noWrap w:val="0"/>
                  <w:vAlign w:val="center"/>
                </w:tcPr>
                <w:p w14:paraId="6C14BE22">
                  <w:pPr>
                    <w:pStyle w:val="66"/>
                    <w:pageBreakBefore w:val="0"/>
                    <w:kinsoku/>
                    <w:wordWrap/>
                    <w:topLinePunct w:val="0"/>
                    <w:bidi w:val="0"/>
                    <w:ind w:firstLine="0" w:firstLineChars="0"/>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ND</w:t>
                  </w:r>
                </w:p>
              </w:tc>
              <w:tc>
                <w:tcPr>
                  <w:tcW w:w="634" w:type="dxa"/>
                  <w:tcBorders>
                    <w:top w:val="single" w:color="auto" w:sz="4" w:space="0"/>
                    <w:left w:val="single" w:color="auto" w:sz="4" w:space="0"/>
                    <w:bottom w:val="single" w:color="auto" w:sz="4" w:space="0"/>
                    <w:right w:val="single" w:color="auto" w:sz="4" w:space="0"/>
                  </w:tcBorders>
                  <w:noWrap w:val="0"/>
                  <w:vAlign w:val="center"/>
                </w:tcPr>
                <w:p w14:paraId="45B0792F">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639" w:type="dxa"/>
                  <w:tcBorders>
                    <w:top w:val="single" w:color="auto" w:sz="4" w:space="0"/>
                    <w:left w:val="single" w:color="auto" w:sz="4" w:space="0"/>
                    <w:bottom w:val="single" w:color="auto" w:sz="4" w:space="0"/>
                    <w:right w:val="single" w:color="auto" w:sz="4" w:space="0"/>
                  </w:tcBorders>
                  <w:noWrap w:val="0"/>
                  <w:vAlign w:val="center"/>
                </w:tcPr>
                <w:p w14:paraId="5AC2FD93">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269D93F5">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667" w:type="dxa"/>
                  <w:tcBorders>
                    <w:top w:val="single" w:color="auto" w:sz="4" w:space="0"/>
                    <w:left w:val="single" w:color="auto" w:sz="4" w:space="0"/>
                    <w:bottom w:val="single" w:color="auto" w:sz="4" w:space="0"/>
                    <w:right w:val="single" w:color="auto" w:sz="4" w:space="0"/>
                  </w:tcBorders>
                  <w:noWrap w:val="0"/>
                  <w:vAlign w:val="center"/>
                </w:tcPr>
                <w:p w14:paraId="678FBAD2">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48" w:type="dxa"/>
                  <w:tcBorders>
                    <w:top w:val="single" w:color="auto" w:sz="4" w:space="0"/>
                    <w:left w:val="single" w:color="auto" w:sz="4" w:space="0"/>
                    <w:bottom w:val="single" w:color="auto" w:sz="4" w:space="0"/>
                    <w:right w:val="single" w:color="auto" w:sz="4" w:space="0"/>
                  </w:tcBorders>
                  <w:noWrap w:val="0"/>
                  <w:vAlign w:val="center"/>
                </w:tcPr>
                <w:p w14:paraId="645C4278">
                  <w:pPr>
                    <w:pStyle w:val="66"/>
                    <w:pageBreakBefore w:val="0"/>
                    <w:kinsoku/>
                    <w:wordWrap/>
                    <w:topLinePunct w:val="0"/>
                    <w:bidi w:val="0"/>
                    <w:ind w:firstLine="0" w:firstLineChars="0"/>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ND</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13FB04FE">
                  <w:pPr>
                    <w:pStyle w:val="66"/>
                    <w:pageBreakBefore w:val="0"/>
                    <w:kinsoku/>
                    <w:wordWrap/>
                    <w:topLinePunct w:val="0"/>
                    <w:bidi w:val="0"/>
                    <w:ind w:firstLine="0" w:firstLineChars="0"/>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ND</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3051710C">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44DADBEB">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646" w:type="dxa"/>
                  <w:tcBorders>
                    <w:top w:val="single" w:color="auto" w:sz="4" w:space="0"/>
                    <w:left w:val="single" w:color="auto" w:sz="4" w:space="0"/>
                    <w:bottom w:val="single" w:color="auto" w:sz="4" w:space="0"/>
                    <w:right w:val="single" w:color="auto" w:sz="4" w:space="0"/>
                  </w:tcBorders>
                  <w:noWrap w:val="0"/>
                  <w:vAlign w:val="center"/>
                </w:tcPr>
                <w:p w14:paraId="7F565E33">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7CE0D451">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6FB8C4EA">
                  <w:pPr>
                    <w:pStyle w:val="66"/>
                    <w:pageBreakBefore w:val="0"/>
                    <w:kinsoku/>
                    <w:wordWrap/>
                    <w:topLinePunct w:val="0"/>
                    <w:bidi w:val="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Ug/m</w:t>
                  </w:r>
                  <w:r>
                    <w:rPr>
                      <w:rFonts w:hint="default" w:ascii="Times New Roman" w:hAnsi="Times New Roman" w:eastAsia="宋体" w:cs="Times New Roman"/>
                      <w:color w:val="000000"/>
                      <w:sz w:val="21"/>
                      <w:szCs w:val="21"/>
                      <w:highlight w:val="none"/>
                      <w:vertAlign w:val="superscript"/>
                      <w:lang w:val="en-US" w:eastAsia="zh-CN"/>
                    </w:rPr>
                    <w:t>3</w:t>
                  </w:r>
                </w:p>
              </w:tc>
            </w:tr>
            <w:tr w14:paraId="15D89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359" w:type="dxa"/>
                  <w:vMerge w:val="continue"/>
                  <w:tcBorders>
                    <w:left w:val="single" w:color="auto" w:sz="4" w:space="0"/>
                    <w:right w:val="single" w:color="auto" w:sz="4" w:space="0"/>
                  </w:tcBorders>
                  <w:noWrap w:val="0"/>
                  <w:vAlign w:val="center"/>
                </w:tcPr>
                <w:p w14:paraId="5CCFC5A2">
                  <w:pPr>
                    <w:ind w:left="0" w:leftChars="0" w:firstLine="0" w:firstLineChars="0"/>
                    <w:jc w:val="center"/>
                    <w:rPr>
                      <w:rFonts w:hint="default" w:ascii="Times New Roman" w:hAnsi="Times New Roman" w:eastAsia="宋体" w:cs="Times New Roman"/>
                      <w:sz w:val="21"/>
                      <w:szCs w:val="21"/>
                      <w:highlight w:val="none"/>
                      <w:lang w:val="en-US" w:eastAsia="zh-CN"/>
                    </w:rPr>
                  </w:pPr>
                </w:p>
              </w:tc>
              <w:tc>
                <w:tcPr>
                  <w:tcW w:w="546" w:type="dxa"/>
                  <w:tcBorders>
                    <w:top w:val="single" w:color="auto" w:sz="4" w:space="0"/>
                    <w:left w:val="single" w:color="auto" w:sz="4" w:space="0"/>
                    <w:bottom w:val="single" w:color="auto" w:sz="4" w:space="0"/>
                    <w:right w:val="single" w:color="auto" w:sz="4" w:space="0"/>
                  </w:tcBorders>
                  <w:noWrap w:val="0"/>
                  <w:vAlign w:val="center"/>
                </w:tcPr>
                <w:p w14:paraId="418481CA">
                  <w:pPr>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镉</w:t>
                  </w:r>
                </w:p>
              </w:tc>
              <w:tc>
                <w:tcPr>
                  <w:tcW w:w="528" w:type="dxa"/>
                  <w:tcBorders>
                    <w:top w:val="single" w:color="auto" w:sz="4" w:space="0"/>
                    <w:left w:val="single" w:color="auto" w:sz="4" w:space="0"/>
                    <w:bottom w:val="single" w:color="auto" w:sz="4" w:space="0"/>
                    <w:right w:val="single" w:color="auto" w:sz="4" w:space="0"/>
                  </w:tcBorders>
                  <w:noWrap w:val="0"/>
                  <w:vAlign w:val="center"/>
                </w:tcPr>
                <w:p w14:paraId="6EA5E745">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1.88</w:t>
                  </w:r>
                </w:p>
              </w:tc>
              <w:tc>
                <w:tcPr>
                  <w:tcW w:w="564" w:type="dxa"/>
                  <w:tcBorders>
                    <w:top w:val="single" w:color="auto" w:sz="4" w:space="0"/>
                    <w:left w:val="single" w:color="auto" w:sz="4" w:space="0"/>
                    <w:bottom w:val="single" w:color="auto" w:sz="4" w:space="0"/>
                    <w:right w:val="single" w:color="auto" w:sz="4" w:space="0"/>
                  </w:tcBorders>
                  <w:noWrap w:val="0"/>
                  <w:vAlign w:val="center"/>
                </w:tcPr>
                <w:p w14:paraId="37BAE95D">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5.73</w:t>
                  </w:r>
                </w:p>
              </w:tc>
              <w:tc>
                <w:tcPr>
                  <w:tcW w:w="634" w:type="dxa"/>
                  <w:tcBorders>
                    <w:top w:val="single" w:color="auto" w:sz="4" w:space="0"/>
                    <w:left w:val="single" w:color="auto" w:sz="4" w:space="0"/>
                    <w:bottom w:val="single" w:color="auto" w:sz="4" w:space="0"/>
                    <w:right w:val="single" w:color="auto" w:sz="4" w:space="0"/>
                  </w:tcBorders>
                  <w:noWrap w:val="0"/>
                  <w:vAlign w:val="center"/>
                </w:tcPr>
                <w:p w14:paraId="03DA4E3D">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0.063</w:t>
                  </w:r>
                </w:p>
              </w:tc>
              <w:tc>
                <w:tcPr>
                  <w:tcW w:w="639" w:type="dxa"/>
                  <w:tcBorders>
                    <w:top w:val="single" w:color="auto" w:sz="4" w:space="0"/>
                    <w:left w:val="single" w:color="auto" w:sz="4" w:space="0"/>
                    <w:bottom w:val="single" w:color="auto" w:sz="4" w:space="0"/>
                    <w:right w:val="single" w:color="auto" w:sz="4" w:space="0"/>
                  </w:tcBorders>
                  <w:noWrap w:val="0"/>
                  <w:vAlign w:val="center"/>
                </w:tcPr>
                <w:p w14:paraId="5333F208">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0.191</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1E7CFC5B">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667" w:type="dxa"/>
                  <w:tcBorders>
                    <w:top w:val="single" w:color="auto" w:sz="4" w:space="0"/>
                    <w:left w:val="single" w:color="auto" w:sz="4" w:space="0"/>
                    <w:bottom w:val="single" w:color="auto" w:sz="4" w:space="0"/>
                    <w:right w:val="single" w:color="auto" w:sz="4" w:space="0"/>
                  </w:tcBorders>
                  <w:noWrap w:val="0"/>
                  <w:vAlign w:val="center"/>
                </w:tcPr>
                <w:p w14:paraId="48DC9D7E">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48" w:type="dxa"/>
                  <w:tcBorders>
                    <w:top w:val="single" w:color="auto" w:sz="4" w:space="0"/>
                    <w:left w:val="single" w:color="auto" w:sz="4" w:space="0"/>
                    <w:bottom w:val="single" w:color="auto" w:sz="4" w:space="0"/>
                    <w:right w:val="single" w:color="auto" w:sz="4" w:space="0"/>
                  </w:tcBorders>
                  <w:noWrap w:val="0"/>
                  <w:vAlign w:val="center"/>
                </w:tcPr>
                <w:p w14:paraId="4ECE95CE">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0.33</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641FD22F">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0.761</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491FF61A">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0.033</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7DB100F3">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0.0761</w:t>
                  </w:r>
                </w:p>
              </w:tc>
              <w:tc>
                <w:tcPr>
                  <w:tcW w:w="646" w:type="dxa"/>
                  <w:tcBorders>
                    <w:top w:val="single" w:color="auto" w:sz="4" w:space="0"/>
                    <w:left w:val="single" w:color="auto" w:sz="4" w:space="0"/>
                    <w:bottom w:val="single" w:color="auto" w:sz="4" w:space="0"/>
                    <w:right w:val="single" w:color="auto" w:sz="4" w:space="0"/>
                  </w:tcBorders>
                  <w:noWrap w:val="0"/>
                  <w:vAlign w:val="center"/>
                </w:tcPr>
                <w:p w14:paraId="23CBF39C">
                  <w:pPr>
                    <w:pStyle w:val="66"/>
                    <w:pageBreakBefore w:val="0"/>
                    <w:kinsoku/>
                    <w:wordWrap/>
                    <w:topLinePunct w:val="0"/>
                    <w:bidi w:val="0"/>
                    <w:rPr>
                      <w:rFonts w:hint="default" w:ascii="Times New Roman" w:hAnsi="Times New Roman" w:eastAsia="宋体" w:cs="Times New Roman"/>
                      <w:color w:val="000000"/>
                      <w:sz w:val="21"/>
                      <w:szCs w:val="21"/>
                      <w:highlight w:val="none"/>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5BA3E8B5">
                  <w:pPr>
                    <w:pStyle w:val="66"/>
                    <w:pageBreakBefore w:val="0"/>
                    <w:kinsoku/>
                    <w:wordWrap/>
                    <w:topLinePunct w:val="0"/>
                    <w:bidi w:val="0"/>
                    <w:rPr>
                      <w:rFonts w:hint="default" w:ascii="Times New Roman" w:hAnsi="Times New Roman" w:eastAsia="宋体" w:cs="Times New Roman"/>
                      <w:color w:val="000000"/>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0E819C12">
                  <w:pPr>
                    <w:pStyle w:val="66"/>
                    <w:pageBreakBefore w:val="0"/>
                    <w:kinsoku/>
                    <w:wordWrap/>
                    <w:topLinePunct w:val="0"/>
                    <w:bidi w:val="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ng/m</w:t>
                  </w:r>
                  <w:r>
                    <w:rPr>
                      <w:rFonts w:hint="default" w:ascii="Times New Roman" w:hAnsi="Times New Roman" w:eastAsia="宋体" w:cs="Times New Roman"/>
                      <w:color w:val="000000"/>
                      <w:sz w:val="21"/>
                      <w:szCs w:val="21"/>
                      <w:highlight w:val="none"/>
                      <w:vertAlign w:val="superscript"/>
                      <w:lang w:val="en-US" w:eastAsia="zh-CN"/>
                    </w:rPr>
                    <w:t>3</w:t>
                  </w:r>
                </w:p>
              </w:tc>
            </w:tr>
            <w:tr w14:paraId="6E624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359" w:type="dxa"/>
                  <w:vMerge w:val="continue"/>
                  <w:tcBorders>
                    <w:left w:val="single" w:color="auto" w:sz="4" w:space="0"/>
                    <w:right w:val="single" w:color="auto" w:sz="4" w:space="0"/>
                  </w:tcBorders>
                  <w:noWrap w:val="0"/>
                  <w:vAlign w:val="center"/>
                </w:tcPr>
                <w:p w14:paraId="10F20CFC">
                  <w:pPr>
                    <w:ind w:left="0" w:leftChars="0" w:firstLine="0" w:firstLineChars="0"/>
                    <w:jc w:val="center"/>
                    <w:rPr>
                      <w:rFonts w:hint="default" w:ascii="Times New Roman" w:hAnsi="Times New Roman" w:eastAsia="宋体" w:cs="Times New Roman"/>
                      <w:sz w:val="21"/>
                      <w:szCs w:val="21"/>
                      <w:highlight w:val="none"/>
                      <w:lang w:val="en-US" w:eastAsia="zh-CN"/>
                    </w:rPr>
                  </w:pPr>
                </w:p>
              </w:tc>
              <w:tc>
                <w:tcPr>
                  <w:tcW w:w="546" w:type="dxa"/>
                  <w:tcBorders>
                    <w:top w:val="single" w:color="auto" w:sz="4" w:space="0"/>
                    <w:left w:val="single" w:color="auto" w:sz="4" w:space="0"/>
                    <w:bottom w:val="single" w:color="auto" w:sz="4" w:space="0"/>
                    <w:right w:val="single" w:color="auto" w:sz="4" w:space="0"/>
                  </w:tcBorders>
                  <w:noWrap w:val="0"/>
                  <w:vAlign w:val="center"/>
                </w:tcPr>
                <w:p w14:paraId="555B67E4">
                  <w:pPr>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砷</w:t>
                  </w:r>
                </w:p>
              </w:tc>
              <w:tc>
                <w:tcPr>
                  <w:tcW w:w="528" w:type="dxa"/>
                  <w:tcBorders>
                    <w:top w:val="single" w:color="auto" w:sz="4" w:space="0"/>
                    <w:left w:val="single" w:color="auto" w:sz="4" w:space="0"/>
                    <w:bottom w:val="single" w:color="auto" w:sz="4" w:space="0"/>
                    <w:right w:val="single" w:color="auto" w:sz="4" w:space="0"/>
                  </w:tcBorders>
                  <w:noWrap w:val="0"/>
                  <w:vAlign w:val="center"/>
                </w:tcPr>
                <w:p w14:paraId="715E9D32">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10.3</w:t>
                  </w:r>
                </w:p>
              </w:tc>
              <w:tc>
                <w:tcPr>
                  <w:tcW w:w="564" w:type="dxa"/>
                  <w:tcBorders>
                    <w:top w:val="single" w:color="auto" w:sz="4" w:space="0"/>
                    <w:left w:val="single" w:color="auto" w:sz="4" w:space="0"/>
                    <w:bottom w:val="single" w:color="auto" w:sz="4" w:space="0"/>
                    <w:right w:val="single" w:color="auto" w:sz="4" w:space="0"/>
                  </w:tcBorders>
                  <w:noWrap w:val="0"/>
                  <w:vAlign w:val="center"/>
                </w:tcPr>
                <w:p w14:paraId="565BEB28">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20.8</w:t>
                  </w:r>
                </w:p>
              </w:tc>
              <w:tc>
                <w:tcPr>
                  <w:tcW w:w="634" w:type="dxa"/>
                  <w:tcBorders>
                    <w:top w:val="single" w:color="auto" w:sz="4" w:space="0"/>
                    <w:left w:val="single" w:color="auto" w:sz="4" w:space="0"/>
                    <w:bottom w:val="single" w:color="auto" w:sz="4" w:space="0"/>
                    <w:right w:val="single" w:color="auto" w:sz="4" w:space="0"/>
                  </w:tcBorders>
                  <w:noWrap w:val="0"/>
                  <w:vAlign w:val="center"/>
                </w:tcPr>
                <w:p w14:paraId="4F5006DC">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0.286</w:t>
                  </w:r>
                </w:p>
              </w:tc>
              <w:tc>
                <w:tcPr>
                  <w:tcW w:w="639" w:type="dxa"/>
                  <w:tcBorders>
                    <w:top w:val="single" w:color="auto" w:sz="4" w:space="0"/>
                    <w:left w:val="single" w:color="auto" w:sz="4" w:space="0"/>
                    <w:bottom w:val="single" w:color="auto" w:sz="4" w:space="0"/>
                    <w:right w:val="single" w:color="auto" w:sz="4" w:space="0"/>
                  </w:tcBorders>
                  <w:noWrap w:val="0"/>
                  <w:vAlign w:val="center"/>
                </w:tcPr>
                <w:p w14:paraId="72B5AB5B">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0.578</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2902F450">
                  <w:pPr>
                    <w:pStyle w:val="66"/>
                    <w:pageBreakBefore w:val="0"/>
                    <w:kinsoku/>
                    <w:wordWrap/>
                    <w:topLinePunct w:val="0"/>
                    <w:bidi w:val="0"/>
                    <w:rPr>
                      <w:rFonts w:hint="default" w:ascii="Times New Roman" w:hAnsi="Times New Roman" w:eastAsia="宋体" w:cs="Times New Roman"/>
                      <w:color w:val="000000"/>
                      <w:sz w:val="21"/>
                      <w:szCs w:val="21"/>
                      <w:highlight w:val="none"/>
                      <w:lang w:val="en-US"/>
                    </w:rPr>
                  </w:pPr>
                  <w:r>
                    <w:rPr>
                      <w:rFonts w:hint="default" w:ascii="Times New Roman" w:hAnsi="Times New Roman" w:eastAsia="宋体" w:cs="Times New Roman"/>
                      <w:color w:val="000000"/>
                      <w:sz w:val="21"/>
                      <w:szCs w:val="21"/>
                      <w:highlight w:val="none"/>
                      <w:lang w:val="en-US" w:eastAsia="zh-CN"/>
                    </w:rPr>
                    <w:t>/</w:t>
                  </w:r>
                </w:p>
              </w:tc>
              <w:tc>
                <w:tcPr>
                  <w:tcW w:w="667" w:type="dxa"/>
                  <w:tcBorders>
                    <w:top w:val="single" w:color="auto" w:sz="4" w:space="0"/>
                    <w:left w:val="single" w:color="auto" w:sz="4" w:space="0"/>
                    <w:bottom w:val="single" w:color="auto" w:sz="4" w:space="0"/>
                    <w:right w:val="single" w:color="auto" w:sz="4" w:space="0"/>
                  </w:tcBorders>
                  <w:noWrap w:val="0"/>
                  <w:vAlign w:val="center"/>
                </w:tcPr>
                <w:p w14:paraId="07478122">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48" w:type="dxa"/>
                  <w:tcBorders>
                    <w:top w:val="single" w:color="auto" w:sz="4" w:space="0"/>
                    <w:left w:val="single" w:color="auto" w:sz="4" w:space="0"/>
                    <w:bottom w:val="single" w:color="auto" w:sz="4" w:space="0"/>
                    <w:right w:val="single" w:color="auto" w:sz="4" w:space="0"/>
                  </w:tcBorders>
                  <w:noWrap w:val="0"/>
                  <w:vAlign w:val="center"/>
                </w:tcPr>
                <w:p w14:paraId="4A6303A1">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2.57</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6CE54349">
                  <w:pPr>
                    <w:pStyle w:val="66"/>
                    <w:pageBreakBefore w:val="0"/>
                    <w:kinsoku/>
                    <w:wordWrap/>
                    <w:topLinePunct w:val="0"/>
                    <w:bidi w:val="0"/>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5.92</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0DC00EEC">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0.214</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01CFC6EE">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0.493</w:t>
                  </w:r>
                </w:p>
              </w:tc>
              <w:tc>
                <w:tcPr>
                  <w:tcW w:w="646" w:type="dxa"/>
                  <w:tcBorders>
                    <w:top w:val="single" w:color="auto" w:sz="4" w:space="0"/>
                    <w:left w:val="single" w:color="auto" w:sz="4" w:space="0"/>
                    <w:bottom w:val="single" w:color="auto" w:sz="4" w:space="0"/>
                    <w:right w:val="single" w:color="auto" w:sz="4" w:space="0"/>
                  </w:tcBorders>
                  <w:noWrap w:val="0"/>
                  <w:vAlign w:val="center"/>
                </w:tcPr>
                <w:p w14:paraId="6BC50F05">
                  <w:pPr>
                    <w:pStyle w:val="66"/>
                    <w:pageBreakBefore w:val="0"/>
                    <w:kinsoku/>
                    <w:wordWrap/>
                    <w:topLinePunct w:val="0"/>
                    <w:bidi w:val="0"/>
                    <w:rPr>
                      <w:rFonts w:hint="default" w:ascii="Times New Roman" w:hAnsi="Times New Roman" w:eastAsia="宋体" w:cs="Times New Roman"/>
                      <w:color w:val="000000"/>
                      <w:sz w:val="21"/>
                      <w:szCs w:val="21"/>
                      <w:highlight w:val="none"/>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5BE6FBD1">
                  <w:pPr>
                    <w:pStyle w:val="66"/>
                    <w:pageBreakBefore w:val="0"/>
                    <w:kinsoku/>
                    <w:wordWrap/>
                    <w:topLinePunct w:val="0"/>
                    <w:bidi w:val="0"/>
                    <w:rPr>
                      <w:rFonts w:hint="default" w:ascii="Times New Roman" w:hAnsi="Times New Roman" w:eastAsia="宋体" w:cs="Times New Roman"/>
                      <w:color w:val="000000"/>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2C3D7351">
                  <w:pPr>
                    <w:pStyle w:val="66"/>
                    <w:pageBreakBefore w:val="0"/>
                    <w:kinsoku/>
                    <w:wordWrap/>
                    <w:topLinePunct w:val="0"/>
                    <w:bidi w:val="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ng/m</w:t>
                  </w:r>
                  <w:r>
                    <w:rPr>
                      <w:rFonts w:hint="default" w:ascii="Times New Roman" w:hAnsi="Times New Roman" w:eastAsia="宋体" w:cs="Times New Roman"/>
                      <w:color w:val="000000"/>
                      <w:sz w:val="21"/>
                      <w:szCs w:val="21"/>
                      <w:highlight w:val="none"/>
                      <w:vertAlign w:val="superscript"/>
                      <w:lang w:val="en-US" w:eastAsia="zh-CN"/>
                    </w:rPr>
                    <w:t>3</w:t>
                  </w:r>
                </w:p>
              </w:tc>
            </w:tr>
            <w:tr w14:paraId="4BD29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359" w:type="dxa"/>
                  <w:vMerge w:val="continue"/>
                  <w:tcBorders>
                    <w:left w:val="single" w:color="auto" w:sz="4" w:space="0"/>
                    <w:right w:val="single" w:color="auto" w:sz="4" w:space="0"/>
                  </w:tcBorders>
                  <w:noWrap w:val="0"/>
                  <w:vAlign w:val="center"/>
                </w:tcPr>
                <w:p w14:paraId="6C8E6813">
                  <w:pPr>
                    <w:ind w:left="0" w:leftChars="0" w:firstLine="0" w:firstLineChars="0"/>
                    <w:jc w:val="center"/>
                    <w:rPr>
                      <w:rFonts w:hint="default" w:ascii="Times New Roman" w:hAnsi="Times New Roman" w:eastAsia="宋体" w:cs="Times New Roman"/>
                      <w:sz w:val="21"/>
                      <w:szCs w:val="21"/>
                      <w:highlight w:val="none"/>
                      <w:lang w:val="en-US" w:eastAsia="zh-CN"/>
                    </w:rPr>
                  </w:pPr>
                </w:p>
              </w:tc>
              <w:tc>
                <w:tcPr>
                  <w:tcW w:w="546" w:type="dxa"/>
                  <w:tcBorders>
                    <w:top w:val="single" w:color="auto" w:sz="4" w:space="0"/>
                    <w:left w:val="single" w:color="auto" w:sz="4" w:space="0"/>
                    <w:bottom w:val="single" w:color="auto" w:sz="4" w:space="0"/>
                    <w:right w:val="single" w:color="auto" w:sz="4" w:space="0"/>
                  </w:tcBorders>
                  <w:noWrap w:val="0"/>
                  <w:vAlign w:val="center"/>
                </w:tcPr>
                <w:p w14:paraId="2F0F0F8A">
                  <w:pPr>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NH</w:t>
                  </w:r>
                  <w:r>
                    <w:rPr>
                      <w:rFonts w:hint="default" w:ascii="Times New Roman" w:hAnsi="Times New Roman" w:eastAsia="宋体" w:cs="Times New Roman"/>
                      <w:sz w:val="21"/>
                      <w:szCs w:val="21"/>
                      <w:highlight w:val="none"/>
                      <w:vertAlign w:val="subscript"/>
                      <w:lang w:val="en-US" w:eastAsia="zh-CN"/>
                    </w:rPr>
                    <w:t>3</w:t>
                  </w:r>
                </w:p>
              </w:tc>
              <w:tc>
                <w:tcPr>
                  <w:tcW w:w="528" w:type="dxa"/>
                  <w:tcBorders>
                    <w:top w:val="single" w:color="auto" w:sz="4" w:space="0"/>
                    <w:left w:val="single" w:color="auto" w:sz="4" w:space="0"/>
                    <w:bottom w:val="single" w:color="auto" w:sz="4" w:space="0"/>
                    <w:right w:val="single" w:color="auto" w:sz="4" w:space="0"/>
                  </w:tcBorders>
                  <w:noWrap w:val="0"/>
                  <w:vAlign w:val="center"/>
                </w:tcPr>
                <w:p w14:paraId="07181E4F">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0.02</w:t>
                  </w:r>
                </w:p>
              </w:tc>
              <w:tc>
                <w:tcPr>
                  <w:tcW w:w="564" w:type="dxa"/>
                  <w:tcBorders>
                    <w:top w:val="single" w:color="auto" w:sz="4" w:space="0"/>
                    <w:left w:val="single" w:color="auto" w:sz="4" w:space="0"/>
                    <w:bottom w:val="single" w:color="auto" w:sz="4" w:space="0"/>
                    <w:right w:val="single" w:color="auto" w:sz="4" w:space="0"/>
                  </w:tcBorders>
                  <w:noWrap w:val="0"/>
                  <w:vAlign w:val="center"/>
                </w:tcPr>
                <w:p w14:paraId="0B843ECE">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0.03</w:t>
                  </w:r>
                </w:p>
              </w:tc>
              <w:tc>
                <w:tcPr>
                  <w:tcW w:w="634" w:type="dxa"/>
                  <w:tcBorders>
                    <w:top w:val="single" w:color="auto" w:sz="4" w:space="0"/>
                    <w:left w:val="single" w:color="auto" w:sz="4" w:space="0"/>
                    <w:bottom w:val="single" w:color="auto" w:sz="4" w:space="0"/>
                    <w:right w:val="single" w:color="auto" w:sz="4" w:space="0"/>
                  </w:tcBorders>
                  <w:noWrap w:val="0"/>
                  <w:vAlign w:val="center"/>
                </w:tcPr>
                <w:p w14:paraId="67C27546">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0.1</w:t>
                  </w:r>
                </w:p>
              </w:tc>
              <w:tc>
                <w:tcPr>
                  <w:tcW w:w="639" w:type="dxa"/>
                  <w:tcBorders>
                    <w:top w:val="single" w:color="auto" w:sz="4" w:space="0"/>
                    <w:left w:val="single" w:color="auto" w:sz="4" w:space="0"/>
                    <w:bottom w:val="single" w:color="auto" w:sz="4" w:space="0"/>
                    <w:right w:val="single" w:color="auto" w:sz="4" w:space="0"/>
                  </w:tcBorders>
                  <w:noWrap w:val="0"/>
                  <w:vAlign w:val="center"/>
                </w:tcPr>
                <w:p w14:paraId="0858F92D">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0.15</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7E4F7F52">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667" w:type="dxa"/>
                  <w:tcBorders>
                    <w:top w:val="single" w:color="auto" w:sz="4" w:space="0"/>
                    <w:left w:val="single" w:color="auto" w:sz="4" w:space="0"/>
                    <w:bottom w:val="single" w:color="auto" w:sz="4" w:space="0"/>
                    <w:right w:val="single" w:color="auto" w:sz="4" w:space="0"/>
                  </w:tcBorders>
                  <w:noWrap w:val="0"/>
                  <w:vAlign w:val="center"/>
                </w:tcPr>
                <w:p w14:paraId="72D8A3F4">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48" w:type="dxa"/>
                  <w:tcBorders>
                    <w:top w:val="single" w:color="auto" w:sz="4" w:space="0"/>
                    <w:left w:val="single" w:color="auto" w:sz="4" w:space="0"/>
                    <w:bottom w:val="single" w:color="auto" w:sz="4" w:space="0"/>
                    <w:right w:val="single" w:color="auto" w:sz="4" w:space="0"/>
                  </w:tcBorders>
                  <w:noWrap w:val="0"/>
                  <w:vAlign w:val="center"/>
                </w:tcPr>
                <w:p w14:paraId="292666D0">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2B1E5F94">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1D27C1ED">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515FC41A">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646" w:type="dxa"/>
                  <w:tcBorders>
                    <w:top w:val="single" w:color="auto" w:sz="4" w:space="0"/>
                    <w:left w:val="single" w:color="auto" w:sz="4" w:space="0"/>
                    <w:bottom w:val="single" w:color="auto" w:sz="4" w:space="0"/>
                    <w:right w:val="single" w:color="auto" w:sz="4" w:space="0"/>
                  </w:tcBorders>
                  <w:noWrap w:val="0"/>
                  <w:vAlign w:val="center"/>
                </w:tcPr>
                <w:p w14:paraId="4987CC93">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70BE9C75">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686A0389">
                  <w:pPr>
                    <w:pStyle w:val="66"/>
                    <w:pageBreakBefore w:val="0"/>
                    <w:kinsoku/>
                    <w:wordWrap/>
                    <w:topLinePunct w:val="0"/>
                    <w:bidi w:val="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mg/m</w:t>
                  </w:r>
                  <w:r>
                    <w:rPr>
                      <w:rFonts w:hint="default" w:ascii="Times New Roman" w:hAnsi="Times New Roman" w:eastAsia="宋体" w:cs="Times New Roman"/>
                      <w:color w:val="000000"/>
                      <w:sz w:val="21"/>
                      <w:szCs w:val="21"/>
                      <w:highlight w:val="none"/>
                      <w:vertAlign w:val="superscript"/>
                      <w:lang w:val="en-US" w:eastAsia="zh-CN"/>
                    </w:rPr>
                    <w:t>3</w:t>
                  </w:r>
                </w:p>
              </w:tc>
            </w:tr>
            <w:tr w14:paraId="79B2D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359" w:type="dxa"/>
                  <w:vMerge w:val="continue"/>
                  <w:tcBorders>
                    <w:left w:val="single" w:color="auto" w:sz="4" w:space="0"/>
                    <w:right w:val="single" w:color="auto" w:sz="4" w:space="0"/>
                  </w:tcBorders>
                  <w:noWrap w:val="0"/>
                  <w:vAlign w:val="center"/>
                </w:tcPr>
                <w:p w14:paraId="6EBEFB23">
                  <w:pPr>
                    <w:ind w:left="0" w:leftChars="0" w:firstLine="0" w:firstLineChars="0"/>
                    <w:jc w:val="center"/>
                    <w:rPr>
                      <w:rFonts w:hint="default" w:ascii="Times New Roman" w:hAnsi="Times New Roman" w:eastAsia="宋体" w:cs="Times New Roman"/>
                      <w:sz w:val="21"/>
                      <w:szCs w:val="21"/>
                      <w:highlight w:val="none"/>
                      <w:lang w:val="en-US" w:eastAsia="zh-CN"/>
                    </w:rPr>
                  </w:pPr>
                </w:p>
              </w:tc>
              <w:tc>
                <w:tcPr>
                  <w:tcW w:w="546" w:type="dxa"/>
                  <w:tcBorders>
                    <w:top w:val="single" w:color="auto" w:sz="4" w:space="0"/>
                    <w:left w:val="single" w:color="auto" w:sz="4" w:space="0"/>
                    <w:bottom w:val="single" w:color="auto" w:sz="4" w:space="0"/>
                    <w:right w:val="single" w:color="auto" w:sz="4" w:space="0"/>
                  </w:tcBorders>
                  <w:noWrap w:val="0"/>
                  <w:vAlign w:val="center"/>
                </w:tcPr>
                <w:p w14:paraId="206414A0">
                  <w:pPr>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HCl</w:t>
                  </w:r>
                </w:p>
              </w:tc>
              <w:tc>
                <w:tcPr>
                  <w:tcW w:w="528" w:type="dxa"/>
                  <w:tcBorders>
                    <w:top w:val="single" w:color="auto" w:sz="4" w:space="0"/>
                    <w:left w:val="single" w:color="auto" w:sz="4" w:space="0"/>
                    <w:bottom w:val="single" w:color="auto" w:sz="4" w:space="0"/>
                    <w:right w:val="single" w:color="auto" w:sz="4" w:space="0"/>
                  </w:tcBorders>
                  <w:noWrap w:val="0"/>
                  <w:vAlign w:val="center"/>
                </w:tcPr>
                <w:p w14:paraId="1FC05E21">
                  <w:pPr>
                    <w:pStyle w:val="66"/>
                    <w:pageBreakBefore w:val="0"/>
                    <w:kinsoku/>
                    <w:wordWrap/>
                    <w:topLinePunct w:val="0"/>
                    <w:bidi w:val="0"/>
                    <w:ind w:firstLine="0" w:firstLineChars="0"/>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ND</w:t>
                  </w:r>
                </w:p>
              </w:tc>
              <w:tc>
                <w:tcPr>
                  <w:tcW w:w="564" w:type="dxa"/>
                  <w:tcBorders>
                    <w:top w:val="single" w:color="auto" w:sz="4" w:space="0"/>
                    <w:left w:val="single" w:color="auto" w:sz="4" w:space="0"/>
                    <w:bottom w:val="single" w:color="auto" w:sz="4" w:space="0"/>
                    <w:right w:val="single" w:color="auto" w:sz="4" w:space="0"/>
                  </w:tcBorders>
                  <w:noWrap w:val="0"/>
                  <w:vAlign w:val="center"/>
                </w:tcPr>
                <w:p w14:paraId="44AAAC13">
                  <w:pPr>
                    <w:pStyle w:val="66"/>
                    <w:pageBreakBefore w:val="0"/>
                    <w:kinsoku/>
                    <w:wordWrap/>
                    <w:topLinePunct w:val="0"/>
                    <w:bidi w:val="0"/>
                    <w:ind w:firstLine="0" w:firstLineChars="0"/>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ND</w:t>
                  </w:r>
                </w:p>
              </w:tc>
              <w:tc>
                <w:tcPr>
                  <w:tcW w:w="634" w:type="dxa"/>
                  <w:tcBorders>
                    <w:top w:val="single" w:color="auto" w:sz="4" w:space="0"/>
                    <w:left w:val="single" w:color="auto" w:sz="4" w:space="0"/>
                    <w:bottom w:val="single" w:color="auto" w:sz="4" w:space="0"/>
                    <w:right w:val="single" w:color="auto" w:sz="4" w:space="0"/>
                  </w:tcBorders>
                  <w:noWrap w:val="0"/>
                  <w:vAlign w:val="center"/>
                </w:tcPr>
                <w:p w14:paraId="11A298A9">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639" w:type="dxa"/>
                  <w:tcBorders>
                    <w:top w:val="single" w:color="auto" w:sz="4" w:space="0"/>
                    <w:left w:val="single" w:color="auto" w:sz="4" w:space="0"/>
                    <w:bottom w:val="single" w:color="auto" w:sz="4" w:space="0"/>
                    <w:right w:val="single" w:color="auto" w:sz="4" w:space="0"/>
                  </w:tcBorders>
                  <w:noWrap w:val="0"/>
                  <w:vAlign w:val="center"/>
                </w:tcPr>
                <w:p w14:paraId="33EBFFEA">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13C83301">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667" w:type="dxa"/>
                  <w:tcBorders>
                    <w:top w:val="single" w:color="auto" w:sz="4" w:space="0"/>
                    <w:left w:val="single" w:color="auto" w:sz="4" w:space="0"/>
                    <w:bottom w:val="single" w:color="auto" w:sz="4" w:space="0"/>
                    <w:right w:val="single" w:color="auto" w:sz="4" w:space="0"/>
                  </w:tcBorders>
                  <w:noWrap w:val="0"/>
                  <w:vAlign w:val="center"/>
                </w:tcPr>
                <w:p w14:paraId="3EEBE799">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48" w:type="dxa"/>
                  <w:tcBorders>
                    <w:top w:val="single" w:color="auto" w:sz="4" w:space="0"/>
                    <w:left w:val="single" w:color="auto" w:sz="4" w:space="0"/>
                    <w:bottom w:val="single" w:color="auto" w:sz="4" w:space="0"/>
                    <w:right w:val="single" w:color="auto" w:sz="4" w:space="0"/>
                  </w:tcBorders>
                  <w:noWrap w:val="0"/>
                  <w:vAlign w:val="center"/>
                </w:tcPr>
                <w:p w14:paraId="783FE58E">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100BB5BF">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33BE2232">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207506C9">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646" w:type="dxa"/>
                  <w:tcBorders>
                    <w:top w:val="single" w:color="auto" w:sz="4" w:space="0"/>
                    <w:left w:val="single" w:color="auto" w:sz="4" w:space="0"/>
                    <w:bottom w:val="single" w:color="auto" w:sz="4" w:space="0"/>
                    <w:right w:val="single" w:color="auto" w:sz="4" w:space="0"/>
                  </w:tcBorders>
                  <w:noWrap w:val="0"/>
                  <w:vAlign w:val="center"/>
                </w:tcPr>
                <w:p w14:paraId="712FDBD0">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3C77699E">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31064566">
                  <w:pPr>
                    <w:pStyle w:val="66"/>
                    <w:pageBreakBefore w:val="0"/>
                    <w:kinsoku/>
                    <w:wordWrap/>
                    <w:topLinePunct w:val="0"/>
                    <w:bidi w:val="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mg/m</w:t>
                  </w:r>
                  <w:r>
                    <w:rPr>
                      <w:rFonts w:hint="default" w:ascii="Times New Roman" w:hAnsi="Times New Roman" w:eastAsia="宋体" w:cs="Times New Roman"/>
                      <w:color w:val="000000"/>
                      <w:sz w:val="21"/>
                      <w:szCs w:val="21"/>
                      <w:highlight w:val="none"/>
                      <w:vertAlign w:val="superscript"/>
                      <w:lang w:val="en-US" w:eastAsia="zh-CN"/>
                    </w:rPr>
                    <w:t>3</w:t>
                  </w:r>
                </w:p>
              </w:tc>
            </w:tr>
            <w:tr w14:paraId="63410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359" w:type="dxa"/>
                  <w:vMerge w:val="continue"/>
                  <w:tcBorders>
                    <w:left w:val="single" w:color="auto" w:sz="4" w:space="0"/>
                    <w:bottom w:val="single" w:color="auto" w:sz="4" w:space="0"/>
                    <w:right w:val="single" w:color="auto" w:sz="4" w:space="0"/>
                  </w:tcBorders>
                  <w:noWrap w:val="0"/>
                  <w:vAlign w:val="center"/>
                </w:tcPr>
                <w:p w14:paraId="3DDFFB8B">
                  <w:pPr>
                    <w:ind w:left="0" w:leftChars="0" w:firstLine="0" w:firstLineChars="0"/>
                    <w:jc w:val="center"/>
                    <w:rPr>
                      <w:rFonts w:hint="default" w:ascii="Times New Roman" w:hAnsi="Times New Roman" w:eastAsia="宋体" w:cs="Times New Roman"/>
                      <w:sz w:val="21"/>
                      <w:szCs w:val="21"/>
                      <w:highlight w:val="none"/>
                      <w:lang w:val="en-US" w:eastAsia="zh-CN"/>
                    </w:rPr>
                  </w:pPr>
                </w:p>
              </w:tc>
              <w:tc>
                <w:tcPr>
                  <w:tcW w:w="546" w:type="dxa"/>
                  <w:tcBorders>
                    <w:top w:val="single" w:color="auto" w:sz="4" w:space="0"/>
                    <w:left w:val="single" w:color="auto" w:sz="4" w:space="0"/>
                    <w:bottom w:val="single" w:color="auto" w:sz="4" w:space="0"/>
                    <w:right w:val="single" w:color="auto" w:sz="4" w:space="0"/>
                  </w:tcBorders>
                  <w:noWrap w:val="0"/>
                  <w:vAlign w:val="center"/>
                </w:tcPr>
                <w:p w14:paraId="698CDDC5">
                  <w:pPr>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二噁英类</w:t>
                  </w:r>
                </w:p>
              </w:tc>
              <w:tc>
                <w:tcPr>
                  <w:tcW w:w="528" w:type="dxa"/>
                  <w:tcBorders>
                    <w:top w:val="single" w:color="auto" w:sz="4" w:space="0"/>
                    <w:left w:val="single" w:color="auto" w:sz="4" w:space="0"/>
                    <w:bottom w:val="single" w:color="auto" w:sz="4" w:space="0"/>
                    <w:right w:val="single" w:color="auto" w:sz="4" w:space="0"/>
                  </w:tcBorders>
                  <w:noWrap w:val="0"/>
                  <w:vAlign w:val="center"/>
                </w:tcPr>
                <w:p w14:paraId="0CF1F47A">
                  <w:pPr>
                    <w:pStyle w:val="66"/>
                    <w:pageBreakBefore w:val="0"/>
                    <w:kinsoku/>
                    <w:wordWrap/>
                    <w:topLinePunct w:val="0"/>
                    <w:bidi w:val="0"/>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val="en-US" w:eastAsia="zh-CN"/>
                    </w:rPr>
                    <w:t>/</w:t>
                  </w:r>
                </w:p>
              </w:tc>
              <w:tc>
                <w:tcPr>
                  <w:tcW w:w="564" w:type="dxa"/>
                  <w:tcBorders>
                    <w:top w:val="single" w:color="auto" w:sz="4" w:space="0"/>
                    <w:left w:val="single" w:color="auto" w:sz="4" w:space="0"/>
                    <w:bottom w:val="single" w:color="auto" w:sz="4" w:space="0"/>
                    <w:right w:val="single" w:color="auto" w:sz="4" w:space="0"/>
                  </w:tcBorders>
                  <w:noWrap w:val="0"/>
                  <w:vAlign w:val="center"/>
                </w:tcPr>
                <w:p w14:paraId="3ECCE046">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634" w:type="dxa"/>
                  <w:tcBorders>
                    <w:top w:val="single" w:color="auto" w:sz="4" w:space="0"/>
                    <w:left w:val="single" w:color="auto" w:sz="4" w:space="0"/>
                    <w:bottom w:val="single" w:color="auto" w:sz="4" w:space="0"/>
                    <w:right w:val="single" w:color="auto" w:sz="4" w:space="0"/>
                  </w:tcBorders>
                  <w:noWrap w:val="0"/>
                  <w:vAlign w:val="center"/>
                </w:tcPr>
                <w:p w14:paraId="601905FD">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639" w:type="dxa"/>
                  <w:tcBorders>
                    <w:top w:val="single" w:color="auto" w:sz="4" w:space="0"/>
                    <w:left w:val="single" w:color="auto" w:sz="4" w:space="0"/>
                    <w:bottom w:val="single" w:color="auto" w:sz="4" w:space="0"/>
                    <w:right w:val="single" w:color="auto" w:sz="4" w:space="0"/>
                  </w:tcBorders>
                  <w:noWrap w:val="0"/>
                  <w:vAlign w:val="center"/>
                </w:tcPr>
                <w:p w14:paraId="5D0E488F">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620" w:type="dxa"/>
                  <w:tcBorders>
                    <w:top w:val="single" w:color="auto" w:sz="4" w:space="0"/>
                    <w:left w:val="single" w:color="auto" w:sz="4" w:space="0"/>
                    <w:bottom w:val="single" w:color="auto" w:sz="4" w:space="0"/>
                    <w:right w:val="single" w:color="auto" w:sz="4" w:space="0"/>
                  </w:tcBorders>
                  <w:noWrap w:val="0"/>
                  <w:vAlign w:val="center"/>
                </w:tcPr>
                <w:p w14:paraId="57006EFF">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667" w:type="dxa"/>
                  <w:tcBorders>
                    <w:top w:val="single" w:color="auto" w:sz="4" w:space="0"/>
                    <w:left w:val="single" w:color="auto" w:sz="4" w:space="0"/>
                    <w:bottom w:val="single" w:color="auto" w:sz="4" w:space="0"/>
                    <w:right w:val="single" w:color="auto" w:sz="4" w:space="0"/>
                  </w:tcBorders>
                  <w:noWrap w:val="0"/>
                  <w:vAlign w:val="center"/>
                </w:tcPr>
                <w:p w14:paraId="097A5BAB">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48" w:type="dxa"/>
                  <w:tcBorders>
                    <w:top w:val="single" w:color="auto" w:sz="4" w:space="0"/>
                    <w:left w:val="single" w:color="auto" w:sz="4" w:space="0"/>
                    <w:bottom w:val="single" w:color="auto" w:sz="4" w:space="0"/>
                    <w:right w:val="single" w:color="auto" w:sz="4" w:space="0"/>
                  </w:tcBorders>
                  <w:noWrap w:val="0"/>
                  <w:vAlign w:val="center"/>
                </w:tcPr>
                <w:p w14:paraId="410FB4BE">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0.0033</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7F6D4EDB">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0.0072</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5CB219EB">
                  <w:pPr>
                    <w:pStyle w:val="66"/>
                    <w:pageBreakBefore w:val="0"/>
                    <w:kinsoku/>
                    <w:wordWrap/>
                    <w:topLinePunct w:val="0"/>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0.00275</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72C2837F">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0.006</w:t>
                  </w:r>
                </w:p>
              </w:tc>
              <w:tc>
                <w:tcPr>
                  <w:tcW w:w="646" w:type="dxa"/>
                  <w:tcBorders>
                    <w:top w:val="single" w:color="auto" w:sz="4" w:space="0"/>
                    <w:left w:val="single" w:color="auto" w:sz="4" w:space="0"/>
                    <w:bottom w:val="single" w:color="auto" w:sz="4" w:space="0"/>
                    <w:right w:val="single" w:color="auto" w:sz="4" w:space="0"/>
                  </w:tcBorders>
                  <w:noWrap w:val="0"/>
                  <w:vAlign w:val="center"/>
                </w:tcPr>
                <w:p w14:paraId="2C65031F">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472E9FD7">
                  <w:pPr>
                    <w:pStyle w:val="66"/>
                    <w:pageBreakBefore w:val="0"/>
                    <w:kinsoku/>
                    <w:wordWrap/>
                    <w:topLinePunct w:val="0"/>
                    <w:bidi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1FDEB610">
                  <w:pPr>
                    <w:pStyle w:val="66"/>
                    <w:pageBreakBefore w:val="0"/>
                    <w:kinsoku/>
                    <w:wordWrap/>
                    <w:topLinePunct w:val="0"/>
                    <w:bidi w:val="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PgTEQ/Nm</w:t>
                  </w:r>
                  <w:r>
                    <w:rPr>
                      <w:rFonts w:hint="default" w:ascii="Times New Roman" w:hAnsi="Times New Roman" w:eastAsia="宋体" w:cs="Times New Roman"/>
                      <w:color w:val="000000"/>
                      <w:sz w:val="21"/>
                      <w:szCs w:val="21"/>
                      <w:highlight w:val="none"/>
                      <w:vertAlign w:val="superscript"/>
                      <w:lang w:val="en-US" w:eastAsia="zh-CN"/>
                    </w:rPr>
                    <w:t>3</w:t>
                  </w:r>
                </w:p>
              </w:tc>
            </w:tr>
          </w:tbl>
          <w:p w14:paraId="5E19E64E">
            <w:pPr>
              <w:pageBreakBefore w:val="0"/>
              <w:kinsoku/>
              <w:wordWrap/>
              <w:topLinePunct w:val="0"/>
              <w:bidi w:val="0"/>
              <w:spacing w:line="360" w:lineRule="auto"/>
              <w:ind w:firstLine="480" w:firstLineChars="200"/>
              <w:rPr>
                <w:rFonts w:hint="eastAsia"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根据上表可知，</w:t>
            </w:r>
            <w:r>
              <w:rPr>
                <w:rFonts w:hint="default" w:ascii="Times New Roman" w:hAnsi="Times New Roman" w:eastAsia="宋体" w:cs="Times New Roman"/>
                <w:color w:val="000000"/>
                <w:sz w:val="24"/>
                <w:szCs w:val="24"/>
                <w:lang w:val="en-US" w:eastAsia="zh-CN"/>
              </w:rPr>
              <w:t>NOx</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 xml:space="preserve">TSP </w:t>
            </w:r>
            <w:r>
              <w:rPr>
                <w:rFonts w:hint="eastAsia" w:ascii="Times New Roman" w:hAnsi="Times New Roman" w:eastAsia="宋体" w:cs="Times New Roman"/>
                <w:color w:val="000000"/>
                <w:sz w:val="24"/>
                <w:szCs w:val="24"/>
                <w:lang w:val="en-US" w:eastAsia="zh-CN"/>
              </w:rPr>
              <w:t xml:space="preserve">及 </w:t>
            </w:r>
            <w:r>
              <w:rPr>
                <w:rFonts w:hint="default" w:ascii="Times New Roman" w:hAnsi="Times New Roman" w:eastAsia="宋体" w:cs="Times New Roman"/>
                <w:color w:val="000000"/>
                <w:sz w:val="24"/>
                <w:szCs w:val="24"/>
                <w:lang w:val="en-US" w:eastAsia="zh-CN"/>
              </w:rPr>
              <w:t xml:space="preserve">Pb </w:t>
            </w:r>
            <w:r>
              <w:rPr>
                <w:rFonts w:hint="eastAsia" w:ascii="Times New Roman" w:hAnsi="Times New Roman" w:eastAsia="宋体" w:cs="Times New Roman"/>
                <w:color w:val="000000"/>
                <w:sz w:val="24"/>
                <w:szCs w:val="24"/>
                <w:lang w:val="en-US" w:eastAsia="zh-CN"/>
              </w:rPr>
              <w:t>满足《环境空气质量标准》（</w:t>
            </w:r>
            <w:r>
              <w:rPr>
                <w:rFonts w:hint="default" w:ascii="Times New Roman" w:hAnsi="Times New Roman" w:eastAsia="宋体" w:cs="Times New Roman"/>
                <w:color w:val="000000"/>
                <w:sz w:val="24"/>
                <w:szCs w:val="24"/>
                <w:lang w:val="en-US" w:eastAsia="zh-CN"/>
              </w:rPr>
              <w:t>GB3095-2012</w:t>
            </w:r>
            <w:r>
              <w:rPr>
                <w:rFonts w:hint="eastAsia" w:ascii="Times New Roman" w:hAnsi="Times New Roman" w:eastAsia="宋体" w:cs="Times New Roman"/>
                <w:color w:val="000000"/>
                <w:sz w:val="24"/>
                <w:szCs w:val="24"/>
                <w:lang w:val="en-US" w:eastAsia="zh-CN"/>
              </w:rPr>
              <w:t>）及其修改单中的二级标准</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Cd</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Hg</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As</w:t>
            </w:r>
            <w:r>
              <w:rPr>
                <w:rFonts w:hint="eastAsia" w:ascii="Times New Roman" w:hAnsi="Times New Roman" w:eastAsia="宋体" w:cs="Times New Roman"/>
                <w:color w:val="000000"/>
                <w:sz w:val="24"/>
                <w:szCs w:val="24"/>
                <w:lang w:val="en-US" w:eastAsia="zh-CN"/>
              </w:rPr>
              <w:t>及氟化物满足《环境空气质量标准》（</w:t>
            </w:r>
            <w:r>
              <w:rPr>
                <w:rFonts w:hint="default" w:ascii="Times New Roman" w:hAnsi="Times New Roman" w:eastAsia="宋体" w:cs="Times New Roman"/>
                <w:color w:val="000000"/>
                <w:sz w:val="24"/>
                <w:szCs w:val="24"/>
                <w:lang w:val="en-US" w:eastAsia="zh-CN"/>
              </w:rPr>
              <w:t>GB3095-2012</w:t>
            </w:r>
            <w:r>
              <w:rPr>
                <w:rFonts w:hint="eastAsia" w:ascii="Times New Roman" w:hAnsi="Times New Roman" w:eastAsia="宋体" w:cs="Times New Roman"/>
                <w:color w:val="000000"/>
                <w:sz w:val="24"/>
                <w:szCs w:val="24"/>
                <w:lang w:val="en-US" w:eastAsia="zh-CN"/>
              </w:rPr>
              <w:t xml:space="preserve">）附录 </w:t>
            </w:r>
            <w:r>
              <w:rPr>
                <w:rFonts w:hint="default" w:ascii="Times New Roman" w:hAnsi="Times New Roman" w:eastAsia="宋体" w:cs="Times New Roman"/>
                <w:color w:val="000000"/>
                <w:sz w:val="24"/>
                <w:szCs w:val="24"/>
                <w:lang w:val="en-US" w:eastAsia="zh-CN"/>
              </w:rPr>
              <w:t xml:space="preserve">A </w:t>
            </w:r>
            <w:r>
              <w:rPr>
                <w:rFonts w:hint="eastAsia" w:ascii="Times New Roman" w:hAnsi="Times New Roman" w:eastAsia="宋体" w:cs="Times New Roman"/>
                <w:color w:val="000000"/>
                <w:sz w:val="24"/>
                <w:szCs w:val="24"/>
                <w:lang w:val="en-US" w:eastAsia="zh-CN"/>
              </w:rPr>
              <w:t xml:space="preserve">中表 </w:t>
            </w:r>
            <w:r>
              <w:rPr>
                <w:rFonts w:hint="default" w:ascii="Times New Roman" w:hAnsi="Times New Roman" w:eastAsia="宋体" w:cs="Times New Roman"/>
                <w:color w:val="000000"/>
                <w:sz w:val="24"/>
                <w:szCs w:val="24"/>
                <w:lang w:val="en-US" w:eastAsia="zh-CN"/>
              </w:rPr>
              <w:t xml:space="preserve">A.1 </w:t>
            </w:r>
            <w:r>
              <w:rPr>
                <w:rFonts w:hint="eastAsia" w:ascii="Times New Roman" w:hAnsi="Times New Roman" w:eastAsia="宋体" w:cs="Times New Roman"/>
                <w:color w:val="000000"/>
                <w:sz w:val="24"/>
                <w:szCs w:val="24"/>
                <w:lang w:val="en-US" w:eastAsia="zh-CN"/>
              </w:rPr>
              <w:t>标准；氨、氯化氢满足《环境影响评价技术导则大气环境》（</w:t>
            </w:r>
            <w:r>
              <w:rPr>
                <w:rFonts w:hint="default" w:ascii="Times New Roman" w:hAnsi="Times New Roman" w:eastAsia="宋体" w:cs="Times New Roman"/>
                <w:color w:val="000000"/>
                <w:sz w:val="24"/>
                <w:szCs w:val="24"/>
                <w:lang w:val="en-US" w:eastAsia="zh-CN"/>
              </w:rPr>
              <w:t>HJ2.2-2018</w:t>
            </w:r>
            <w:r>
              <w:rPr>
                <w:rFonts w:hint="eastAsia" w:ascii="Times New Roman" w:hAnsi="Times New Roman" w:eastAsia="宋体" w:cs="Times New Roman"/>
                <w:color w:val="000000"/>
                <w:sz w:val="24"/>
                <w:szCs w:val="24"/>
                <w:lang w:val="en-US" w:eastAsia="zh-CN"/>
              </w:rPr>
              <w:t xml:space="preserve">）附录 </w:t>
            </w:r>
            <w:r>
              <w:rPr>
                <w:rFonts w:hint="default" w:ascii="Times New Roman" w:hAnsi="Times New Roman" w:eastAsia="宋体" w:cs="Times New Roman"/>
                <w:color w:val="000000"/>
                <w:sz w:val="24"/>
                <w:szCs w:val="24"/>
                <w:lang w:val="en-US" w:eastAsia="zh-CN"/>
              </w:rPr>
              <w:t xml:space="preserve">D </w:t>
            </w:r>
            <w:r>
              <w:rPr>
                <w:rFonts w:hint="eastAsia" w:ascii="Times New Roman" w:hAnsi="Times New Roman" w:eastAsia="宋体" w:cs="Times New Roman"/>
                <w:color w:val="000000"/>
                <w:sz w:val="24"/>
                <w:szCs w:val="24"/>
                <w:lang w:val="en-US" w:eastAsia="zh-CN"/>
              </w:rPr>
              <w:t>中的限值；二噁英满足日本环境标准。</w:t>
            </w:r>
          </w:p>
          <w:p w14:paraId="0DCA4F0C">
            <w:pPr>
              <w:adjustRightInd w:val="0"/>
              <w:snapToGrid w:val="0"/>
              <w:spacing w:line="360" w:lineRule="auto"/>
              <w:ind w:firstLine="482" w:firstLineChars="200"/>
              <w:rPr>
                <w:b/>
                <w:bCs/>
                <w:color w:val="auto"/>
                <w:sz w:val="24"/>
                <w:highlight w:val="none"/>
              </w:rPr>
            </w:pPr>
            <w:r>
              <w:rPr>
                <w:b/>
                <w:bCs/>
                <w:color w:val="auto"/>
                <w:sz w:val="24"/>
                <w:highlight w:val="none"/>
              </w:rPr>
              <w:t>二、地表水环境质量</w:t>
            </w:r>
          </w:p>
          <w:p w14:paraId="3107EDFD">
            <w:pPr>
              <w:spacing w:line="360" w:lineRule="auto"/>
              <w:ind w:firstLine="480" w:firstLineChars="200"/>
              <w:rPr>
                <w:rFonts w:hint="eastAsia" w:cs="Times New Roman"/>
                <w:color w:val="auto"/>
                <w:sz w:val="24"/>
                <w:lang w:eastAsia="zh-CN"/>
              </w:rPr>
            </w:pPr>
            <w:r>
              <w:rPr>
                <w:rFonts w:hint="eastAsia" w:cs="Times New Roman"/>
                <w:color w:val="auto"/>
                <w:sz w:val="24"/>
                <w:lang w:eastAsia="zh-CN"/>
              </w:rPr>
              <w:t>本项目</w:t>
            </w:r>
            <w:r>
              <w:rPr>
                <w:rFonts w:hint="default" w:ascii="Times New Roman" w:hAnsi="Times New Roman" w:eastAsia="宋体" w:cs="Times New Roman"/>
                <w:color w:val="auto"/>
                <w:sz w:val="24"/>
              </w:rPr>
              <w:t>熟料生产线设备冷却排水、余热发电工程循环水排污水、化学水处理车间反渗透排水以及余热锅炉排污水均为清净下水，可以直接排放。生活污水采用地埋式系列污水成套设备进行处理达到《污水综合排放标准》（GB</w:t>
            </w:r>
            <w:r>
              <w:rPr>
                <w:rFonts w:hint="eastAsia"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rPr>
              <w:t>8978-1996）表4中一级标准后10t/d回用于厂区清洁、绿化等用途，其余30t/d外排至</w:t>
            </w:r>
            <w:r>
              <w:rPr>
                <w:rFonts w:hint="eastAsia" w:ascii="Times New Roman" w:hAnsi="Times New Roman" w:eastAsia="宋体" w:cs="Times New Roman"/>
                <w:color w:val="auto"/>
                <w:sz w:val="24"/>
                <w:lang w:val="en-US" w:eastAsia="zh-CN"/>
              </w:rPr>
              <w:t>龙湖开发区污水处理厂</w:t>
            </w:r>
            <w:r>
              <w:rPr>
                <w:rFonts w:hint="eastAsia" w:ascii="Times New Roman" w:hAnsi="Times New Roman" w:eastAsia="宋体" w:cs="Times New Roman"/>
                <w:color w:val="auto"/>
                <w:sz w:val="24"/>
                <w:lang w:eastAsia="zh-CN"/>
              </w:rPr>
              <w:t>。</w:t>
            </w:r>
          </w:p>
          <w:p w14:paraId="28F593D9">
            <w:pPr>
              <w:spacing w:line="360" w:lineRule="auto"/>
              <w:ind w:firstLine="480" w:firstLineChars="200"/>
              <w:rPr>
                <w:rFonts w:hint="eastAsia" w:eastAsia="宋体" w:cs="宋体"/>
                <w:color w:val="000000"/>
                <w:sz w:val="24"/>
                <w:lang w:val="en-US" w:eastAsia="zh-CN"/>
              </w:rPr>
            </w:pPr>
            <w:r>
              <w:rPr>
                <w:rFonts w:hint="eastAsia" w:eastAsia="宋体" w:cs="宋体"/>
                <w:color w:val="000000"/>
                <w:sz w:val="24"/>
                <w:lang w:val="en-US" w:eastAsia="zh-CN"/>
              </w:rPr>
              <w:t>本次</w:t>
            </w:r>
            <w:r>
              <w:rPr>
                <w:rFonts w:eastAsia="宋体" w:cs="宋体"/>
                <w:color w:val="000000"/>
                <w:sz w:val="24"/>
              </w:rPr>
              <w:t>区域地表水</w:t>
            </w:r>
            <w:r>
              <w:rPr>
                <w:rFonts w:hint="eastAsia" w:cs="宋体"/>
                <w:color w:val="000000"/>
                <w:sz w:val="24"/>
                <w:lang w:eastAsia="zh-CN"/>
              </w:rPr>
              <w:t>岱河</w:t>
            </w:r>
            <w:r>
              <w:rPr>
                <w:rFonts w:eastAsia="宋体" w:cs="宋体"/>
                <w:color w:val="000000"/>
                <w:sz w:val="24"/>
              </w:rPr>
              <w:t>引用2022</w:t>
            </w:r>
            <w:r>
              <w:rPr>
                <w:rFonts w:hint="eastAsia" w:eastAsia="宋体" w:cs="宋体"/>
                <w:color w:val="000000"/>
                <w:sz w:val="24"/>
              </w:rPr>
              <w:t>年淮北市局控地表水检测结果中</w:t>
            </w:r>
            <w:r>
              <w:rPr>
                <w:rFonts w:hint="eastAsia" w:eastAsia="宋体" w:cs="宋体"/>
                <w:color w:val="000000"/>
                <w:sz w:val="24"/>
                <w:lang w:eastAsia="zh-CN"/>
              </w:rPr>
              <w:t>岱河人民路桥</w:t>
            </w:r>
            <w:r>
              <w:rPr>
                <w:rFonts w:hint="eastAsia" w:eastAsia="宋体" w:cs="宋体"/>
                <w:color w:val="000000"/>
                <w:sz w:val="24"/>
              </w:rPr>
              <w:t>监测</w:t>
            </w:r>
            <w:r>
              <w:rPr>
                <w:rFonts w:hint="eastAsia" w:eastAsia="宋体" w:cs="宋体"/>
                <w:color w:val="000000"/>
                <w:sz w:val="24"/>
                <w:lang w:val="zh-CN"/>
              </w:rPr>
              <w:t>数据</w:t>
            </w:r>
            <w:r>
              <w:rPr>
                <w:rFonts w:hint="eastAsia" w:cs="宋体"/>
                <w:color w:val="000000"/>
                <w:sz w:val="24"/>
                <w:lang w:val="zh-CN"/>
              </w:rPr>
              <w:t>，</w:t>
            </w:r>
            <w:r>
              <w:rPr>
                <w:rFonts w:eastAsia="宋体" w:cs="宋体"/>
                <w:color w:val="000000"/>
                <w:sz w:val="24"/>
              </w:rPr>
              <w:t>具体见</w:t>
            </w:r>
            <w:r>
              <w:rPr>
                <w:rFonts w:hint="eastAsia" w:eastAsia="宋体" w:cs="宋体"/>
                <w:color w:val="000000"/>
                <w:sz w:val="24"/>
                <w:lang w:eastAsia="zh-CN"/>
              </w:rPr>
              <w:t>下</w:t>
            </w:r>
            <w:r>
              <w:rPr>
                <w:rFonts w:eastAsia="宋体" w:cs="宋体"/>
                <w:color w:val="000000"/>
                <w:sz w:val="24"/>
              </w:rPr>
              <w:t>表</w:t>
            </w:r>
            <w:r>
              <w:rPr>
                <w:rFonts w:hint="eastAsia" w:cs="宋体"/>
                <w:color w:val="000000"/>
                <w:sz w:val="24"/>
                <w:lang w:val="en-US" w:eastAsia="zh-CN"/>
              </w:rPr>
              <w:t>3-4</w:t>
            </w:r>
            <w:r>
              <w:rPr>
                <w:rFonts w:eastAsia="宋体" w:cs="宋体"/>
                <w:color w:val="000000"/>
                <w:sz w:val="24"/>
              </w:rPr>
              <w:t>。</w:t>
            </w:r>
          </w:p>
          <w:p w14:paraId="2647016D">
            <w:pPr>
              <w:pStyle w:val="3"/>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表3-</w:t>
            </w:r>
            <w:r>
              <w:rPr>
                <w:rFonts w:hint="eastAsia" w:ascii="Times New Roman" w:hAnsi="Times New Roman"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地表水现状现状监测结果（单位：mg/L，pH无量纲）</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9"/>
              <w:gridCol w:w="2304"/>
              <w:gridCol w:w="915"/>
              <w:gridCol w:w="915"/>
              <w:gridCol w:w="915"/>
              <w:gridCol w:w="915"/>
              <w:gridCol w:w="1078"/>
              <w:gridCol w:w="1066"/>
            </w:tblGrid>
            <w:tr w14:paraId="39550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381" w:type="pct"/>
                  <w:tcBorders>
                    <w:tl2br w:val="nil"/>
                    <w:tr2bl w:val="nil"/>
                  </w:tcBorders>
                  <w:noWrap w:val="0"/>
                  <w:vAlign w:val="center"/>
                </w:tcPr>
                <w:p w14:paraId="50DEC504">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断面</w:t>
                  </w:r>
                </w:p>
              </w:tc>
              <w:tc>
                <w:tcPr>
                  <w:tcW w:w="1312" w:type="pct"/>
                  <w:tcBorders>
                    <w:tl2br w:val="nil"/>
                    <w:tr2bl w:val="nil"/>
                  </w:tcBorders>
                  <w:noWrap w:val="0"/>
                  <w:vAlign w:val="center"/>
                </w:tcPr>
                <w:p w14:paraId="4543206C">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监测因子</w:t>
                  </w:r>
                </w:p>
              </w:tc>
              <w:tc>
                <w:tcPr>
                  <w:tcW w:w="521" w:type="pct"/>
                  <w:tcBorders>
                    <w:tl2br w:val="nil"/>
                    <w:tr2bl w:val="nil"/>
                  </w:tcBorders>
                  <w:noWrap w:val="0"/>
                  <w:vAlign w:val="center"/>
                </w:tcPr>
                <w:p w14:paraId="3A425D61">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2022.2</w:t>
                  </w:r>
                </w:p>
              </w:tc>
              <w:tc>
                <w:tcPr>
                  <w:tcW w:w="521" w:type="pct"/>
                  <w:tcBorders>
                    <w:tl2br w:val="nil"/>
                    <w:tr2bl w:val="nil"/>
                  </w:tcBorders>
                  <w:noWrap w:val="0"/>
                  <w:vAlign w:val="center"/>
                </w:tcPr>
                <w:p w14:paraId="772C8133">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2022.5</w:t>
                  </w:r>
                </w:p>
              </w:tc>
              <w:tc>
                <w:tcPr>
                  <w:tcW w:w="521" w:type="pct"/>
                  <w:tcBorders>
                    <w:tl2br w:val="nil"/>
                    <w:tr2bl w:val="nil"/>
                  </w:tcBorders>
                  <w:noWrap w:val="0"/>
                  <w:vAlign w:val="center"/>
                </w:tcPr>
                <w:p w14:paraId="27D1A200">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2022.6</w:t>
                  </w:r>
                </w:p>
              </w:tc>
              <w:tc>
                <w:tcPr>
                  <w:tcW w:w="521" w:type="pct"/>
                  <w:tcBorders>
                    <w:tl2br w:val="nil"/>
                    <w:tr2bl w:val="nil"/>
                  </w:tcBorders>
                  <w:noWrap w:val="0"/>
                  <w:vAlign w:val="center"/>
                </w:tcPr>
                <w:p w14:paraId="65EE8538">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2022.7</w:t>
                  </w:r>
                </w:p>
              </w:tc>
              <w:tc>
                <w:tcPr>
                  <w:tcW w:w="614" w:type="pct"/>
                  <w:tcBorders>
                    <w:tl2br w:val="nil"/>
                    <w:tr2bl w:val="nil"/>
                  </w:tcBorders>
                  <w:noWrap w:val="0"/>
                  <w:vAlign w:val="center"/>
                </w:tcPr>
                <w:p w14:paraId="1C10CB4F">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2022.10</w:t>
                  </w:r>
                </w:p>
              </w:tc>
              <w:tc>
                <w:tcPr>
                  <w:tcW w:w="607" w:type="pct"/>
                  <w:tcBorders>
                    <w:tl2br w:val="nil"/>
                    <w:tr2bl w:val="nil"/>
                  </w:tcBorders>
                  <w:noWrap w:val="0"/>
                  <w:vAlign w:val="center"/>
                </w:tcPr>
                <w:p w14:paraId="5E997D5E">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2022.11</w:t>
                  </w:r>
                </w:p>
              </w:tc>
            </w:tr>
            <w:tr w14:paraId="292C9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381" w:type="pct"/>
                  <w:vMerge w:val="restart"/>
                  <w:tcBorders>
                    <w:tl2br w:val="nil"/>
                    <w:tr2bl w:val="nil"/>
                  </w:tcBorders>
                  <w:noWrap w:val="0"/>
                  <w:vAlign w:val="center"/>
                </w:tcPr>
                <w:p w14:paraId="45D224BC">
                  <w:pPr>
                    <w:jc w:val="center"/>
                    <w:rPr>
                      <w:rFonts w:hint="eastAsia" w:ascii="Times New Roman" w:hAnsi="Times New Roman" w:eastAsia="宋体" w:cs="宋体"/>
                      <w:sz w:val="21"/>
                      <w:szCs w:val="21"/>
                    </w:rPr>
                  </w:pPr>
                  <w:r>
                    <w:rPr>
                      <w:rFonts w:hint="eastAsia" w:ascii="Times New Roman" w:hAnsi="Times New Roman" w:eastAsia="宋体" w:cs="宋体"/>
                      <w:sz w:val="21"/>
                      <w:szCs w:val="21"/>
                      <w:lang w:eastAsia="zh-CN"/>
                    </w:rPr>
                    <w:t>岱河</w:t>
                  </w:r>
                </w:p>
              </w:tc>
              <w:tc>
                <w:tcPr>
                  <w:tcW w:w="1312" w:type="pct"/>
                  <w:tcBorders>
                    <w:tl2br w:val="nil"/>
                    <w:tr2bl w:val="nil"/>
                  </w:tcBorders>
                  <w:noWrap w:val="0"/>
                  <w:vAlign w:val="center"/>
                </w:tcPr>
                <w:p w14:paraId="64DA2BF3">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pH</w:t>
                  </w:r>
                </w:p>
              </w:tc>
              <w:tc>
                <w:tcPr>
                  <w:tcW w:w="521" w:type="pct"/>
                  <w:tcBorders>
                    <w:tl2br w:val="nil"/>
                    <w:tr2bl w:val="nil"/>
                  </w:tcBorders>
                  <w:noWrap w:val="0"/>
                  <w:vAlign w:val="center"/>
                </w:tcPr>
                <w:p w14:paraId="2645FF63">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8.0</w:t>
                  </w:r>
                </w:p>
              </w:tc>
              <w:tc>
                <w:tcPr>
                  <w:tcW w:w="521" w:type="pct"/>
                  <w:tcBorders>
                    <w:tl2br w:val="nil"/>
                    <w:tr2bl w:val="nil"/>
                  </w:tcBorders>
                  <w:noWrap w:val="0"/>
                  <w:vAlign w:val="center"/>
                </w:tcPr>
                <w:p w14:paraId="0C8B60DC">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7.3</w:t>
                  </w:r>
                </w:p>
              </w:tc>
              <w:tc>
                <w:tcPr>
                  <w:tcW w:w="521" w:type="pct"/>
                  <w:tcBorders>
                    <w:tl2br w:val="nil"/>
                    <w:tr2bl w:val="nil"/>
                  </w:tcBorders>
                  <w:noWrap w:val="0"/>
                  <w:vAlign w:val="center"/>
                </w:tcPr>
                <w:p w14:paraId="335D144D">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7.5</w:t>
                  </w:r>
                </w:p>
              </w:tc>
              <w:tc>
                <w:tcPr>
                  <w:tcW w:w="521" w:type="pct"/>
                  <w:tcBorders>
                    <w:tl2br w:val="nil"/>
                    <w:tr2bl w:val="nil"/>
                  </w:tcBorders>
                  <w:noWrap w:val="0"/>
                  <w:vAlign w:val="center"/>
                </w:tcPr>
                <w:p w14:paraId="6660C00D">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7.7</w:t>
                  </w:r>
                </w:p>
              </w:tc>
              <w:tc>
                <w:tcPr>
                  <w:tcW w:w="614" w:type="pct"/>
                  <w:tcBorders>
                    <w:tl2br w:val="nil"/>
                    <w:tr2bl w:val="nil"/>
                  </w:tcBorders>
                  <w:noWrap w:val="0"/>
                  <w:vAlign w:val="center"/>
                </w:tcPr>
                <w:p w14:paraId="1AE0FE0E">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7.7</w:t>
                  </w:r>
                </w:p>
              </w:tc>
              <w:tc>
                <w:tcPr>
                  <w:tcW w:w="607" w:type="pct"/>
                  <w:tcBorders>
                    <w:tl2br w:val="nil"/>
                    <w:tr2bl w:val="nil"/>
                  </w:tcBorders>
                  <w:noWrap w:val="0"/>
                  <w:vAlign w:val="center"/>
                </w:tcPr>
                <w:p w14:paraId="78462433">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7.8</w:t>
                  </w:r>
                </w:p>
              </w:tc>
            </w:tr>
            <w:tr w14:paraId="35F6A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381" w:type="pct"/>
                  <w:vMerge w:val="continue"/>
                  <w:tcBorders>
                    <w:tl2br w:val="nil"/>
                    <w:tr2bl w:val="nil"/>
                  </w:tcBorders>
                  <w:noWrap w:val="0"/>
                  <w:vAlign w:val="center"/>
                </w:tcPr>
                <w:p w14:paraId="2FE2DC53">
                  <w:pPr>
                    <w:jc w:val="center"/>
                    <w:rPr>
                      <w:rFonts w:hint="eastAsia" w:ascii="Times New Roman" w:hAnsi="Times New Roman" w:eastAsia="宋体" w:cs="宋体"/>
                      <w:sz w:val="21"/>
                      <w:szCs w:val="21"/>
                    </w:rPr>
                  </w:pPr>
                </w:p>
              </w:tc>
              <w:tc>
                <w:tcPr>
                  <w:tcW w:w="1312" w:type="pct"/>
                  <w:tcBorders>
                    <w:tl2br w:val="nil"/>
                    <w:tr2bl w:val="nil"/>
                  </w:tcBorders>
                  <w:noWrap w:val="0"/>
                  <w:vAlign w:val="center"/>
                </w:tcPr>
                <w:p w14:paraId="0D7FA3C7">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溶解氧</w:t>
                  </w:r>
                </w:p>
              </w:tc>
              <w:tc>
                <w:tcPr>
                  <w:tcW w:w="521" w:type="pct"/>
                  <w:tcBorders>
                    <w:tl2br w:val="nil"/>
                    <w:tr2bl w:val="nil"/>
                  </w:tcBorders>
                  <w:noWrap w:val="0"/>
                  <w:vAlign w:val="center"/>
                </w:tcPr>
                <w:p w14:paraId="06E5DE54">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15.21</w:t>
                  </w:r>
                </w:p>
              </w:tc>
              <w:tc>
                <w:tcPr>
                  <w:tcW w:w="521" w:type="pct"/>
                  <w:tcBorders>
                    <w:tl2br w:val="nil"/>
                    <w:tr2bl w:val="nil"/>
                  </w:tcBorders>
                  <w:noWrap w:val="0"/>
                  <w:vAlign w:val="center"/>
                </w:tcPr>
                <w:p w14:paraId="235505A4">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14.66</w:t>
                  </w:r>
                </w:p>
              </w:tc>
              <w:tc>
                <w:tcPr>
                  <w:tcW w:w="521" w:type="pct"/>
                  <w:tcBorders>
                    <w:tl2br w:val="nil"/>
                    <w:tr2bl w:val="nil"/>
                  </w:tcBorders>
                  <w:noWrap w:val="0"/>
                  <w:vAlign w:val="center"/>
                </w:tcPr>
                <w:p w14:paraId="5A685DA3">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12.98</w:t>
                  </w:r>
                </w:p>
              </w:tc>
              <w:tc>
                <w:tcPr>
                  <w:tcW w:w="521" w:type="pct"/>
                  <w:tcBorders>
                    <w:tl2br w:val="nil"/>
                    <w:tr2bl w:val="nil"/>
                  </w:tcBorders>
                  <w:noWrap w:val="0"/>
                  <w:vAlign w:val="center"/>
                </w:tcPr>
                <w:p w14:paraId="0D070C56">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5.86</w:t>
                  </w:r>
                </w:p>
              </w:tc>
              <w:tc>
                <w:tcPr>
                  <w:tcW w:w="614" w:type="pct"/>
                  <w:tcBorders>
                    <w:tl2br w:val="nil"/>
                    <w:tr2bl w:val="nil"/>
                  </w:tcBorders>
                  <w:noWrap w:val="0"/>
                  <w:vAlign w:val="center"/>
                </w:tcPr>
                <w:p w14:paraId="033A21D2">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4.16</w:t>
                  </w:r>
                </w:p>
              </w:tc>
              <w:tc>
                <w:tcPr>
                  <w:tcW w:w="607" w:type="pct"/>
                  <w:tcBorders>
                    <w:tl2br w:val="nil"/>
                    <w:tr2bl w:val="nil"/>
                  </w:tcBorders>
                  <w:noWrap w:val="0"/>
                  <w:vAlign w:val="center"/>
                </w:tcPr>
                <w:p w14:paraId="3DA9FD46">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5.26</w:t>
                  </w:r>
                </w:p>
              </w:tc>
            </w:tr>
            <w:tr w14:paraId="5A04A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381" w:type="pct"/>
                  <w:vMerge w:val="continue"/>
                  <w:tcBorders>
                    <w:tl2br w:val="nil"/>
                    <w:tr2bl w:val="nil"/>
                  </w:tcBorders>
                  <w:noWrap w:val="0"/>
                  <w:vAlign w:val="center"/>
                </w:tcPr>
                <w:p w14:paraId="02110268">
                  <w:pPr>
                    <w:jc w:val="center"/>
                    <w:rPr>
                      <w:rFonts w:hint="eastAsia" w:ascii="Times New Roman" w:hAnsi="Times New Roman" w:eastAsia="宋体" w:cs="宋体"/>
                      <w:sz w:val="21"/>
                      <w:szCs w:val="21"/>
                    </w:rPr>
                  </w:pPr>
                </w:p>
              </w:tc>
              <w:tc>
                <w:tcPr>
                  <w:tcW w:w="1312" w:type="pct"/>
                  <w:tcBorders>
                    <w:tl2br w:val="nil"/>
                    <w:tr2bl w:val="nil"/>
                  </w:tcBorders>
                  <w:noWrap w:val="0"/>
                  <w:vAlign w:val="center"/>
                </w:tcPr>
                <w:p w14:paraId="10C86F01">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化学需氧量</w:t>
                  </w:r>
                </w:p>
              </w:tc>
              <w:tc>
                <w:tcPr>
                  <w:tcW w:w="521" w:type="pct"/>
                  <w:tcBorders>
                    <w:tl2br w:val="nil"/>
                    <w:tr2bl w:val="nil"/>
                  </w:tcBorders>
                  <w:noWrap w:val="0"/>
                  <w:vAlign w:val="center"/>
                </w:tcPr>
                <w:p w14:paraId="42DF84AF">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27</w:t>
                  </w:r>
                </w:p>
              </w:tc>
              <w:tc>
                <w:tcPr>
                  <w:tcW w:w="521" w:type="pct"/>
                  <w:tcBorders>
                    <w:tl2br w:val="nil"/>
                    <w:tr2bl w:val="nil"/>
                  </w:tcBorders>
                  <w:noWrap w:val="0"/>
                  <w:vAlign w:val="center"/>
                </w:tcPr>
                <w:p w14:paraId="0463D6FD">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22</w:t>
                  </w:r>
                </w:p>
              </w:tc>
              <w:tc>
                <w:tcPr>
                  <w:tcW w:w="521" w:type="pct"/>
                  <w:tcBorders>
                    <w:tl2br w:val="nil"/>
                    <w:tr2bl w:val="nil"/>
                  </w:tcBorders>
                  <w:noWrap w:val="0"/>
                  <w:vAlign w:val="center"/>
                </w:tcPr>
                <w:p w14:paraId="377098D8">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26</w:t>
                  </w:r>
                </w:p>
              </w:tc>
              <w:tc>
                <w:tcPr>
                  <w:tcW w:w="521" w:type="pct"/>
                  <w:tcBorders>
                    <w:tl2br w:val="nil"/>
                    <w:tr2bl w:val="nil"/>
                  </w:tcBorders>
                  <w:noWrap w:val="0"/>
                  <w:vAlign w:val="center"/>
                </w:tcPr>
                <w:p w14:paraId="400CF88B">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22</w:t>
                  </w:r>
                </w:p>
              </w:tc>
              <w:tc>
                <w:tcPr>
                  <w:tcW w:w="614" w:type="pct"/>
                  <w:tcBorders>
                    <w:tl2br w:val="nil"/>
                    <w:tr2bl w:val="nil"/>
                  </w:tcBorders>
                  <w:noWrap w:val="0"/>
                  <w:vAlign w:val="center"/>
                </w:tcPr>
                <w:p w14:paraId="676E7ABE">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17</w:t>
                  </w:r>
                </w:p>
              </w:tc>
              <w:tc>
                <w:tcPr>
                  <w:tcW w:w="607" w:type="pct"/>
                  <w:tcBorders>
                    <w:tl2br w:val="nil"/>
                    <w:tr2bl w:val="nil"/>
                  </w:tcBorders>
                  <w:noWrap w:val="0"/>
                  <w:vAlign w:val="center"/>
                </w:tcPr>
                <w:p w14:paraId="01329180">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20</w:t>
                  </w:r>
                </w:p>
              </w:tc>
            </w:tr>
            <w:tr w14:paraId="41532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381" w:type="pct"/>
                  <w:vMerge w:val="continue"/>
                  <w:tcBorders>
                    <w:tl2br w:val="nil"/>
                    <w:tr2bl w:val="nil"/>
                  </w:tcBorders>
                  <w:noWrap w:val="0"/>
                  <w:vAlign w:val="center"/>
                </w:tcPr>
                <w:p w14:paraId="3D26C875">
                  <w:pPr>
                    <w:jc w:val="center"/>
                    <w:rPr>
                      <w:rFonts w:hint="eastAsia" w:ascii="Times New Roman" w:hAnsi="Times New Roman" w:eastAsia="宋体" w:cs="宋体"/>
                      <w:sz w:val="21"/>
                      <w:szCs w:val="21"/>
                    </w:rPr>
                  </w:pPr>
                </w:p>
              </w:tc>
              <w:tc>
                <w:tcPr>
                  <w:tcW w:w="1312" w:type="pct"/>
                  <w:tcBorders>
                    <w:tl2br w:val="nil"/>
                    <w:tr2bl w:val="nil"/>
                  </w:tcBorders>
                  <w:noWrap w:val="0"/>
                  <w:vAlign w:val="center"/>
                </w:tcPr>
                <w:p w14:paraId="5D32693B">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五日生化需氧量</w:t>
                  </w:r>
                </w:p>
              </w:tc>
              <w:tc>
                <w:tcPr>
                  <w:tcW w:w="521" w:type="pct"/>
                  <w:tcBorders>
                    <w:tl2br w:val="nil"/>
                    <w:tr2bl w:val="nil"/>
                  </w:tcBorders>
                  <w:noWrap w:val="0"/>
                  <w:vAlign w:val="center"/>
                </w:tcPr>
                <w:p w14:paraId="2A0BC8C7">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3.3</w:t>
                  </w:r>
                </w:p>
              </w:tc>
              <w:tc>
                <w:tcPr>
                  <w:tcW w:w="521" w:type="pct"/>
                  <w:tcBorders>
                    <w:tl2br w:val="nil"/>
                    <w:tr2bl w:val="nil"/>
                  </w:tcBorders>
                  <w:noWrap w:val="0"/>
                  <w:vAlign w:val="center"/>
                </w:tcPr>
                <w:p w14:paraId="012541D6">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2.4</w:t>
                  </w:r>
                </w:p>
              </w:tc>
              <w:tc>
                <w:tcPr>
                  <w:tcW w:w="521" w:type="pct"/>
                  <w:tcBorders>
                    <w:tl2br w:val="nil"/>
                    <w:tr2bl w:val="nil"/>
                  </w:tcBorders>
                  <w:noWrap w:val="0"/>
                  <w:vAlign w:val="center"/>
                </w:tcPr>
                <w:p w14:paraId="70E79B9A">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2.8</w:t>
                  </w:r>
                </w:p>
              </w:tc>
              <w:tc>
                <w:tcPr>
                  <w:tcW w:w="521" w:type="pct"/>
                  <w:tcBorders>
                    <w:tl2br w:val="nil"/>
                    <w:tr2bl w:val="nil"/>
                  </w:tcBorders>
                  <w:noWrap w:val="0"/>
                  <w:vAlign w:val="center"/>
                </w:tcPr>
                <w:p w14:paraId="34D4B269">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2.0</w:t>
                  </w:r>
                </w:p>
              </w:tc>
              <w:tc>
                <w:tcPr>
                  <w:tcW w:w="614" w:type="pct"/>
                  <w:tcBorders>
                    <w:tl2br w:val="nil"/>
                    <w:tr2bl w:val="nil"/>
                  </w:tcBorders>
                  <w:noWrap w:val="0"/>
                  <w:vAlign w:val="center"/>
                </w:tcPr>
                <w:p w14:paraId="4721FB92">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2.1</w:t>
                  </w:r>
                </w:p>
              </w:tc>
              <w:tc>
                <w:tcPr>
                  <w:tcW w:w="607" w:type="pct"/>
                  <w:tcBorders>
                    <w:tl2br w:val="nil"/>
                    <w:tr2bl w:val="nil"/>
                  </w:tcBorders>
                  <w:noWrap w:val="0"/>
                  <w:vAlign w:val="center"/>
                </w:tcPr>
                <w:p w14:paraId="31AE7AFE">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2.9</w:t>
                  </w:r>
                </w:p>
              </w:tc>
            </w:tr>
            <w:tr w14:paraId="4A644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381" w:type="pct"/>
                  <w:vMerge w:val="continue"/>
                  <w:tcBorders>
                    <w:tl2br w:val="nil"/>
                    <w:tr2bl w:val="nil"/>
                  </w:tcBorders>
                  <w:noWrap w:val="0"/>
                  <w:vAlign w:val="center"/>
                </w:tcPr>
                <w:p w14:paraId="61198466">
                  <w:pPr>
                    <w:jc w:val="center"/>
                    <w:rPr>
                      <w:rFonts w:hint="eastAsia" w:ascii="Times New Roman" w:hAnsi="Times New Roman" w:eastAsia="宋体" w:cs="宋体"/>
                      <w:sz w:val="21"/>
                      <w:szCs w:val="21"/>
                    </w:rPr>
                  </w:pPr>
                </w:p>
              </w:tc>
              <w:tc>
                <w:tcPr>
                  <w:tcW w:w="1312" w:type="pct"/>
                  <w:tcBorders>
                    <w:tl2br w:val="nil"/>
                    <w:tr2bl w:val="nil"/>
                  </w:tcBorders>
                  <w:noWrap w:val="0"/>
                  <w:vAlign w:val="center"/>
                </w:tcPr>
                <w:p w14:paraId="6C3914FB">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氨氮</w:t>
                  </w:r>
                </w:p>
              </w:tc>
              <w:tc>
                <w:tcPr>
                  <w:tcW w:w="521" w:type="pct"/>
                  <w:tcBorders>
                    <w:tl2br w:val="nil"/>
                    <w:tr2bl w:val="nil"/>
                  </w:tcBorders>
                  <w:noWrap w:val="0"/>
                  <w:vAlign w:val="center"/>
                </w:tcPr>
                <w:p w14:paraId="34975C7A">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0.9</w:t>
                  </w:r>
                </w:p>
              </w:tc>
              <w:tc>
                <w:tcPr>
                  <w:tcW w:w="521" w:type="pct"/>
                  <w:tcBorders>
                    <w:tl2br w:val="nil"/>
                    <w:tr2bl w:val="nil"/>
                  </w:tcBorders>
                  <w:noWrap w:val="0"/>
                  <w:vAlign w:val="center"/>
                </w:tcPr>
                <w:p w14:paraId="39AE34D3">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0.20</w:t>
                  </w:r>
                </w:p>
              </w:tc>
              <w:tc>
                <w:tcPr>
                  <w:tcW w:w="521" w:type="pct"/>
                  <w:tcBorders>
                    <w:tl2br w:val="nil"/>
                    <w:tr2bl w:val="nil"/>
                  </w:tcBorders>
                  <w:noWrap w:val="0"/>
                  <w:vAlign w:val="center"/>
                </w:tcPr>
                <w:p w14:paraId="19D28A48">
                  <w:pPr>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0.18</w:t>
                  </w:r>
                </w:p>
              </w:tc>
              <w:tc>
                <w:tcPr>
                  <w:tcW w:w="521" w:type="pct"/>
                  <w:tcBorders>
                    <w:tl2br w:val="nil"/>
                    <w:tr2bl w:val="nil"/>
                  </w:tcBorders>
                  <w:noWrap w:val="0"/>
                  <w:vAlign w:val="center"/>
                </w:tcPr>
                <w:p w14:paraId="777403E6">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1.68</w:t>
                  </w:r>
                </w:p>
              </w:tc>
              <w:tc>
                <w:tcPr>
                  <w:tcW w:w="614" w:type="pct"/>
                  <w:tcBorders>
                    <w:tl2br w:val="nil"/>
                    <w:tr2bl w:val="nil"/>
                  </w:tcBorders>
                  <w:noWrap w:val="0"/>
                  <w:vAlign w:val="center"/>
                </w:tcPr>
                <w:p w14:paraId="676A383F">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1.16</w:t>
                  </w:r>
                </w:p>
              </w:tc>
              <w:tc>
                <w:tcPr>
                  <w:tcW w:w="607" w:type="pct"/>
                  <w:tcBorders>
                    <w:tl2br w:val="nil"/>
                    <w:tr2bl w:val="nil"/>
                  </w:tcBorders>
                  <w:noWrap w:val="0"/>
                  <w:vAlign w:val="center"/>
                </w:tcPr>
                <w:p w14:paraId="5A4DE200">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0.6</w:t>
                  </w:r>
                </w:p>
              </w:tc>
            </w:tr>
            <w:tr w14:paraId="3150C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381" w:type="pct"/>
                  <w:vMerge w:val="continue"/>
                  <w:tcBorders>
                    <w:tl2br w:val="nil"/>
                    <w:tr2bl w:val="nil"/>
                  </w:tcBorders>
                  <w:noWrap w:val="0"/>
                  <w:vAlign w:val="center"/>
                </w:tcPr>
                <w:p w14:paraId="135C5865">
                  <w:pPr>
                    <w:jc w:val="center"/>
                    <w:rPr>
                      <w:rFonts w:hint="eastAsia" w:ascii="Times New Roman" w:hAnsi="Times New Roman" w:eastAsia="宋体" w:cs="宋体"/>
                      <w:sz w:val="21"/>
                      <w:szCs w:val="21"/>
                    </w:rPr>
                  </w:pPr>
                </w:p>
              </w:tc>
              <w:tc>
                <w:tcPr>
                  <w:tcW w:w="1312" w:type="pct"/>
                  <w:tcBorders>
                    <w:tl2br w:val="nil"/>
                    <w:tr2bl w:val="nil"/>
                  </w:tcBorders>
                  <w:noWrap w:val="0"/>
                  <w:vAlign w:val="center"/>
                </w:tcPr>
                <w:p w14:paraId="53D12584">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总磷</w:t>
                  </w:r>
                </w:p>
              </w:tc>
              <w:tc>
                <w:tcPr>
                  <w:tcW w:w="521" w:type="pct"/>
                  <w:tcBorders>
                    <w:tl2br w:val="nil"/>
                    <w:tr2bl w:val="nil"/>
                  </w:tcBorders>
                  <w:noWrap w:val="0"/>
                  <w:vAlign w:val="center"/>
                </w:tcPr>
                <w:p w14:paraId="5808F28A">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0.11</w:t>
                  </w:r>
                </w:p>
              </w:tc>
              <w:tc>
                <w:tcPr>
                  <w:tcW w:w="521" w:type="pct"/>
                  <w:tcBorders>
                    <w:tl2br w:val="nil"/>
                    <w:tr2bl w:val="nil"/>
                  </w:tcBorders>
                  <w:noWrap w:val="0"/>
                  <w:vAlign w:val="center"/>
                </w:tcPr>
                <w:p w14:paraId="406B74F5">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0.1</w:t>
                  </w:r>
                </w:p>
              </w:tc>
              <w:tc>
                <w:tcPr>
                  <w:tcW w:w="521" w:type="pct"/>
                  <w:tcBorders>
                    <w:tl2br w:val="nil"/>
                    <w:tr2bl w:val="nil"/>
                  </w:tcBorders>
                  <w:noWrap w:val="0"/>
                  <w:vAlign w:val="center"/>
                </w:tcPr>
                <w:p w14:paraId="1FD25EE6">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0.14</w:t>
                  </w:r>
                </w:p>
              </w:tc>
              <w:tc>
                <w:tcPr>
                  <w:tcW w:w="521" w:type="pct"/>
                  <w:tcBorders>
                    <w:tl2br w:val="nil"/>
                    <w:tr2bl w:val="nil"/>
                  </w:tcBorders>
                  <w:noWrap w:val="0"/>
                  <w:vAlign w:val="center"/>
                </w:tcPr>
                <w:p w14:paraId="24ABD793">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0.15</w:t>
                  </w:r>
                </w:p>
              </w:tc>
              <w:tc>
                <w:tcPr>
                  <w:tcW w:w="614" w:type="pct"/>
                  <w:tcBorders>
                    <w:tl2br w:val="nil"/>
                    <w:tr2bl w:val="nil"/>
                  </w:tcBorders>
                  <w:noWrap w:val="0"/>
                  <w:vAlign w:val="center"/>
                </w:tcPr>
                <w:p w14:paraId="6555CC32">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0.14</w:t>
                  </w:r>
                </w:p>
              </w:tc>
              <w:tc>
                <w:tcPr>
                  <w:tcW w:w="607" w:type="pct"/>
                  <w:tcBorders>
                    <w:tl2br w:val="nil"/>
                    <w:tr2bl w:val="nil"/>
                  </w:tcBorders>
                  <w:noWrap w:val="0"/>
                  <w:vAlign w:val="center"/>
                </w:tcPr>
                <w:p w14:paraId="661388D7">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0.13</w:t>
                  </w:r>
                </w:p>
              </w:tc>
            </w:tr>
          </w:tbl>
          <w:p w14:paraId="66C8D55C">
            <w:pPr>
              <w:spacing w:line="360" w:lineRule="auto"/>
              <w:ind w:firstLine="480" w:firstLineChars="200"/>
              <w:rPr>
                <w:rFonts w:hint="eastAsia"/>
                <w:color w:val="FF0000"/>
                <w:sz w:val="24"/>
                <w:szCs w:val="24"/>
                <w:highlight w:val="none"/>
                <w:lang w:val="en-US" w:eastAsia="zh-CN"/>
              </w:rPr>
            </w:pPr>
            <w:r>
              <w:rPr>
                <w:rFonts w:hint="eastAsia" w:ascii="Times New Roman" w:hAnsi="Times New Roman" w:eastAsia="宋体" w:cs="Times New Roman"/>
                <w:color w:val="000000"/>
                <w:sz w:val="24"/>
                <w:highlight w:val="none"/>
              </w:rPr>
              <w:t>由结果分析可知，监测期间，</w:t>
            </w:r>
            <w:r>
              <w:rPr>
                <w:rFonts w:hint="eastAsia" w:cs="Times New Roman"/>
                <w:color w:val="000000"/>
                <w:sz w:val="24"/>
                <w:highlight w:val="none"/>
                <w:lang w:eastAsia="zh-CN"/>
              </w:rPr>
              <w:t>岱河</w:t>
            </w:r>
            <w:r>
              <w:rPr>
                <w:rFonts w:hint="eastAsia" w:ascii="Times New Roman" w:hAnsi="Times New Roman" w:eastAsia="宋体" w:cs="Times New Roman"/>
                <w:color w:val="000000"/>
                <w:sz w:val="24"/>
                <w:highlight w:val="none"/>
              </w:rPr>
              <w:t>水质断面各监测因子均可满足《地表水环境质量标准》（</w:t>
            </w:r>
            <w:r>
              <w:rPr>
                <w:rFonts w:hint="default" w:ascii="Times New Roman" w:hAnsi="Times New Roman" w:eastAsia="宋体" w:cs="Times New Roman"/>
                <w:color w:val="000000"/>
                <w:sz w:val="24"/>
                <w:highlight w:val="none"/>
              </w:rPr>
              <w:t>GB</w:t>
            </w:r>
            <w:r>
              <w:rPr>
                <w:rFonts w:hint="eastAsia" w:cs="Times New Roman"/>
                <w:color w:val="000000"/>
                <w:sz w:val="24"/>
                <w:highlight w:val="none"/>
                <w:lang w:val="en-US" w:eastAsia="zh-CN"/>
              </w:rPr>
              <w:t xml:space="preserve"> </w:t>
            </w:r>
            <w:r>
              <w:rPr>
                <w:rFonts w:hint="default" w:ascii="Times New Roman" w:hAnsi="Times New Roman" w:eastAsia="宋体" w:cs="Times New Roman"/>
                <w:color w:val="000000"/>
                <w:sz w:val="24"/>
                <w:highlight w:val="none"/>
              </w:rPr>
              <w:t>3838-2002</w:t>
            </w:r>
            <w:r>
              <w:rPr>
                <w:rFonts w:hint="eastAsia" w:ascii="Times New Roman" w:hAnsi="Times New Roman" w:eastAsia="宋体" w:cs="Times New Roman"/>
                <w:color w:val="000000"/>
                <w:sz w:val="24"/>
                <w:highlight w:val="none"/>
              </w:rPr>
              <w:t>）中Ⅳ类标准要求。</w:t>
            </w:r>
          </w:p>
          <w:p w14:paraId="5E18BC3B">
            <w:pPr>
              <w:autoSpaceDE w:val="0"/>
              <w:autoSpaceDN w:val="0"/>
              <w:adjustRightInd w:val="0"/>
              <w:snapToGrid w:val="0"/>
              <w:spacing w:line="360" w:lineRule="auto"/>
              <w:ind w:firstLine="482" w:firstLineChars="200"/>
              <w:jc w:val="left"/>
              <w:rPr>
                <w:b/>
                <w:bCs/>
                <w:color w:val="auto"/>
                <w:sz w:val="24"/>
                <w:highlight w:val="none"/>
              </w:rPr>
            </w:pPr>
            <w:r>
              <w:rPr>
                <w:b/>
                <w:bCs/>
                <w:color w:val="auto"/>
                <w:sz w:val="24"/>
                <w:highlight w:val="none"/>
              </w:rPr>
              <w:t>三、声环境</w:t>
            </w:r>
          </w:p>
          <w:p w14:paraId="1E297AFB">
            <w:pPr>
              <w:widowControl/>
              <w:adjustRightInd w:val="0"/>
              <w:snapToGrid w:val="0"/>
              <w:spacing w:line="360" w:lineRule="auto"/>
              <w:ind w:firstLine="480" w:firstLineChars="200"/>
              <w:jc w:val="both"/>
              <w:rPr>
                <w:rFonts w:hint="eastAsia"/>
                <w:color w:val="auto"/>
                <w:sz w:val="24"/>
                <w:highlight w:val="none"/>
                <w:lang w:eastAsia="zh-CN"/>
              </w:rPr>
            </w:pPr>
            <w:r>
              <w:rPr>
                <w:rFonts w:hint="eastAsia"/>
                <w:color w:val="auto"/>
                <w:sz w:val="24"/>
                <w:highlight w:val="none"/>
                <w:lang w:eastAsia="zh-CN"/>
              </w:rPr>
              <w:t>本次技改项目</w:t>
            </w:r>
            <w:r>
              <w:rPr>
                <w:color w:val="auto"/>
                <w:sz w:val="24"/>
                <w:highlight w:val="none"/>
              </w:rPr>
              <w:t>位于</w:t>
            </w:r>
            <w:r>
              <w:rPr>
                <w:rFonts w:hint="eastAsia" w:cs="Times New Roman"/>
                <w:color w:val="auto"/>
                <w:sz w:val="24"/>
                <w:highlight w:val="none"/>
                <w:lang w:eastAsia="zh-CN"/>
              </w:rPr>
              <w:t>淮北市杜集区东山路202号（淮北众城水泥有限责任公司院内），</w:t>
            </w:r>
            <w:r>
              <w:rPr>
                <w:rFonts w:hint="eastAsia"/>
                <w:color w:val="auto"/>
                <w:sz w:val="24"/>
                <w:highlight w:val="none"/>
                <w:lang w:eastAsia="zh-CN"/>
              </w:rPr>
              <w:t>厂界外周边50米范围内不存在声环境保护目标。本项目声环境质量现状评价引用安徽康菲尔检测科技有限公司于</w:t>
            </w:r>
            <w:r>
              <w:rPr>
                <w:rFonts w:hint="eastAsia"/>
                <w:color w:val="auto"/>
                <w:sz w:val="24"/>
                <w:highlight w:val="none"/>
                <w:lang w:val="en-US" w:eastAsia="zh-CN"/>
              </w:rPr>
              <w:t>2024</w:t>
            </w:r>
            <w:r>
              <w:rPr>
                <w:rFonts w:hint="eastAsia"/>
                <w:color w:val="auto"/>
                <w:sz w:val="24"/>
                <w:highlight w:val="none"/>
                <w:lang w:eastAsia="zh-CN"/>
              </w:rPr>
              <w:t>年</w:t>
            </w:r>
            <w:r>
              <w:rPr>
                <w:rFonts w:hint="eastAsia" w:cs="Times New Roman"/>
                <w:color w:val="auto"/>
                <w:sz w:val="24"/>
                <w:highlight w:val="none"/>
                <w:lang w:val="en-US" w:eastAsia="zh-CN"/>
              </w:rPr>
              <w:t>3</w:t>
            </w:r>
            <w:r>
              <w:rPr>
                <w:rFonts w:hint="eastAsia" w:cs="Times New Roman"/>
                <w:color w:val="auto"/>
                <w:sz w:val="24"/>
                <w:highlight w:val="none"/>
                <w:lang w:eastAsia="zh-CN"/>
              </w:rPr>
              <w:t>月</w:t>
            </w:r>
            <w:r>
              <w:rPr>
                <w:rFonts w:hint="eastAsia" w:cs="Times New Roman"/>
                <w:color w:val="auto"/>
                <w:sz w:val="24"/>
                <w:highlight w:val="none"/>
                <w:lang w:val="en-US" w:eastAsia="zh-CN"/>
              </w:rPr>
              <w:t>21</w:t>
            </w:r>
            <w:r>
              <w:rPr>
                <w:rFonts w:hint="eastAsia" w:cs="Times New Roman"/>
                <w:color w:val="auto"/>
                <w:sz w:val="24"/>
                <w:highlight w:val="none"/>
                <w:lang w:eastAsia="zh-CN"/>
              </w:rPr>
              <w:t>日对项目厂界四周噪声出具的检测报告，报告编号为</w:t>
            </w:r>
            <w:r>
              <w:rPr>
                <w:rFonts w:hint="eastAsia" w:cs="Times New Roman"/>
                <w:color w:val="auto"/>
                <w:sz w:val="24"/>
                <w:highlight w:val="none"/>
                <w:lang w:val="en-US" w:eastAsia="zh-CN"/>
              </w:rPr>
              <w:t>KFE-HJ20240306-18W（1</w:t>
            </w:r>
            <w:r>
              <w:rPr>
                <w:rFonts w:hint="eastAsia" w:cs="Times New Roman"/>
                <w:color w:val="auto"/>
                <w:sz w:val="24"/>
                <w:highlight w:val="none"/>
                <w:lang w:eastAsia="zh-CN"/>
              </w:rPr>
              <w:t>），具体报告内容见附件。厂界噪声监测值均满足《声环境质量标准》（GB</w:t>
            </w:r>
            <w:r>
              <w:rPr>
                <w:rFonts w:hint="eastAsia" w:cs="Times New Roman"/>
                <w:color w:val="auto"/>
                <w:sz w:val="24"/>
                <w:highlight w:val="none"/>
                <w:lang w:val="en-US" w:eastAsia="zh-CN"/>
              </w:rPr>
              <w:t xml:space="preserve"> </w:t>
            </w:r>
            <w:r>
              <w:rPr>
                <w:rFonts w:hint="eastAsia" w:cs="Times New Roman"/>
                <w:color w:val="auto"/>
                <w:sz w:val="24"/>
                <w:highlight w:val="none"/>
                <w:lang w:eastAsia="zh-CN"/>
              </w:rPr>
              <w:t>3096-2008）中</w:t>
            </w:r>
            <w:r>
              <w:rPr>
                <w:rFonts w:hint="eastAsia" w:cs="Times New Roman"/>
                <w:color w:val="auto"/>
                <w:sz w:val="24"/>
                <w:highlight w:val="none"/>
                <w:lang w:val="en-US" w:eastAsia="zh-CN"/>
              </w:rPr>
              <w:t>3</w:t>
            </w:r>
            <w:r>
              <w:rPr>
                <w:rFonts w:hint="eastAsia" w:cs="Times New Roman"/>
                <w:color w:val="auto"/>
                <w:sz w:val="24"/>
                <w:highlight w:val="none"/>
                <w:lang w:eastAsia="zh-CN"/>
              </w:rPr>
              <w:t>类标准，区域声环境质量现状较好。</w:t>
            </w:r>
          </w:p>
          <w:p w14:paraId="0998732B">
            <w:pPr>
              <w:pStyle w:val="3"/>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表3-</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val="en-US" w:eastAsia="zh-CN"/>
              </w:rPr>
              <w:t xml:space="preserve"> 噪声检测结果一览表 </w:t>
            </w:r>
            <w:r>
              <w:rPr>
                <w:rFonts w:hint="default" w:ascii="Times New Roman" w:hAnsi="Times New Roman" w:cs="Times New Roman"/>
                <w:sz w:val="21"/>
                <w:szCs w:val="21"/>
                <w:lang w:val="en-US" w:eastAsia="zh-CN"/>
              </w:rPr>
              <w:t>单位：dB（A）</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1259"/>
              <w:gridCol w:w="1828"/>
              <w:gridCol w:w="1373"/>
              <w:gridCol w:w="1585"/>
              <w:gridCol w:w="1589"/>
            </w:tblGrid>
            <w:tr w14:paraId="40DE9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2" w:type="pct"/>
                  <w:vMerge w:val="restart"/>
                  <w:vAlign w:val="center"/>
                </w:tcPr>
                <w:p w14:paraId="1740C4C5">
                  <w:pPr>
                    <w:jc w:val="center"/>
                    <w:rPr>
                      <w:rFonts w:hint="default" w:ascii="Times New Roman" w:hAnsi="Times New Roman" w:eastAsia="宋体" w:cs="宋体"/>
                      <w:sz w:val="21"/>
                      <w:szCs w:val="21"/>
                      <w:lang w:val="en-US" w:eastAsia="zh-CN"/>
                    </w:rPr>
                  </w:pPr>
                  <w:r>
                    <w:rPr>
                      <w:rFonts w:hint="eastAsia" w:cs="宋体"/>
                      <w:sz w:val="21"/>
                      <w:szCs w:val="21"/>
                      <w:lang w:val="en-US" w:eastAsia="zh-CN"/>
                    </w:rPr>
                    <w:t>点位编号</w:t>
                  </w:r>
                </w:p>
              </w:tc>
              <w:tc>
                <w:tcPr>
                  <w:tcW w:w="717" w:type="pct"/>
                  <w:vMerge w:val="restart"/>
                  <w:vAlign w:val="center"/>
                </w:tcPr>
                <w:p w14:paraId="6493B78C">
                  <w:pPr>
                    <w:jc w:val="center"/>
                    <w:rPr>
                      <w:rFonts w:hint="default" w:ascii="Times New Roman" w:hAnsi="Times New Roman" w:eastAsia="宋体" w:cs="宋体"/>
                      <w:sz w:val="21"/>
                      <w:szCs w:val="21"/>
                      <w:lang w:val="en-US" w:eastAsia="zh-CN"/>
                    </w:rPr>
                  </w:pPr>
                  <w:r>
                    <w:rPr>
                      <w:rFonts w:hint="eastAsia" w:cs="宋体"/>
                      <w:sz w:val="21"/>
                      <w:szCs w:val="21"/>
                      <w:lang w:val="en-US" w:eastAsia="zh-CN"/>
                    </w:rPr>
                    <w:t>检测日期</w:t>
                  </w:r>
                </w:p>
              </w:tc>
              <w:tc>
                <w:tcPr>
                  <w:tcW w:w="1041" w:type="pct"/>
                  <w:vMerge w:val="restart"/>
                  <w:vAlign w:val="center"/>
                </w:tcPr>
                <w:p w14:paraId="31D6F5D3">
                  <w:pPr>
                    <w:jc w:val="center"/>
                    <w:rPr>
                      <w:rFonts w:hint="default" w:ascii="Times New Roman" w:hAnsi="Times New Roman" w:eastAsia="宋体" w:cs="宋体"/>
                      <w:sz w:val="21"/>
                      <w:szCs w:val="21"/>
                      <w:lang w:val="en-US" w:eastAsia="zh-CN"/>
                    </w:rPr>
                  </w:pPr>
                  <w:r>
                    <w:rPr>
                      <w:rFonts w:hint="eastAsia" w:cs="宋体"/>
                      <w:sz w:val="21"/>
                      <w:szCs w:val="21"/>
                      <w:lang w:val="en-US" w:eastAsia="zh-CN"/>
                    </w:rPr>
                    <w:t>检测点位</w:t>
                  </w:r>
                </w:p>
              </w:tc>
              <w:tc>
                <w:tcPr>
                  <w:tcW w:w="782" w:type="pct"/>
                  <w:vMerge w:val="restart"/>
                  <w:vAlign w:val="center"/>
                </w:tcPr>
                <w:p w14:paraId="207EEF5F">
                  <w:pPr>
                    <w:jc w:val="center"/>
                    <w:rPr>
                      <w:rFonts w:hint="default" w:ascii="Times New Roman" w:hAnsi="Times New Roman" w:eastAsia="宋体" w:cs="宋体"/>
                      <w:sz w:val="21"/>
                      <w:szCs w:val="21"/>
                      <w:lang w:val="en-US" w:eastAsia="zh-CN"/>
                    </w:rPr>
                  </w:pPr>
                  <w:r>
                    <w:rPr>
                      <w:rFonts w:hint="eastAsia" w:cs="宋体"/>
                      <w:sz w:val="21"/>
                      <w:szCs w:val="21"/>
                      <w:lang w:val="en-US" w:eastAsia="zh-CN"/>
                    </w:rPr>
                    <w:t>主要噪声源</w:t>
                  </w:r>
                </w:p>
              </w:tc>
              <w:tc>
                <w:tcPr>
                  <w:tcW w:w="1806" w:type="pct"/>
                  <w:gridSpan w:val="2"/>
                  <w:vAlign w:val="center"/>
                </w:tcPr>
                <w:p w14:paraId="367E9D64">
                  <w:pPr>
                    <w:jc w:val="center"/>
                    <w:rPr>
                      <w:rFonts w:hint="default" w:ascii="Times New Roman" w:hAnsi="Times New Roman" w:eastAsia="宋体" w:cs="宋体"/>
                      <w:sz w:val="21"/>
                      <w:szCs w:val="21"/>
                      <w:lang w:val="en-US" w:eastAsia="zh-CN"/>
                    </w:rPr>
                  </w:pPr>
                  <w:r>
                    <w:rPr>
                      <w:rFonts w:hint="eastAsia" w:cs="宋体"/>
                      <w:sz w:val="21"/>
                      <w:szCs w:val="21"/>
                      <w:lang w:val="en-US" w:eastAsia="zh-CN"/>
                    </w:rPr>
                    <w:t>检测结果</w:t>
                  </w:r>
                </w:p>
              </w:tc>
            </w:tr>
            <w:tr w14:paraId="47811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2" w:type="pct"/>
                  <w:vMerge w:val="continue"/>
                  <w:vAlign w:val="center"/>
                </w:tcPr>
                <w:p w14:paraId="5F57981E">
                  <w:pPr>
                    <w:jc w:val="center"/>
                    <w:rPr>
                      <w:rFonts w:hint="default" w:ascii="Times New Roman" w:hAnsi="Times New Roman" w:eastAsia="宋体" w:cs="宋体"/>
                      <w:sz w:val="21"/>
                      <w:szCs w:val="21"/>
                      <w:lang w:val="en-US" w:eastAsia="zh-CN"/>
                    </w:rPr>
                  </w:pPr>
                </w:p>
              </w:tc>
              <w:tc>
                <w:tcPr>
                  <w:tcW w:w="717" w:type="pct"/>
                  <w:vMerge w:val="continue"/>
                  <w:vAlign w:val="center"/>
                </w:tcPr>
                <w:p w14:paraId="57C8874A">
                  <w:pPr>
                    <w:jc w:val="center"/>
                    <w:rPr>
                      <w:rFonts w:hint="default" w:ascii="Times New Roman" w:hAnsi="Times New Roman" w:eastAsia="宋体" w:cs="宋体"/>
                      <w:sz w:val="21"/>
                      <w:szCs w:val="21"/>
                      <w:lang w:val="en-US" w:eastAsia="zh-CN"/>
                    </w:rPr>
                  </w:pPr>
                </w:p>
              </w:tc>
              <w:tc>
                <w:tcPr>
                  <w:tcW w:w="1041" w:type="pct"/>
                  <w:vMerge w:val="continue"/>
                  <w:vAlign w:val="center"/>
                </w:tcPr>
                <w:p w14:paraId="40EFEACC">
                  <w:pPr>
                    <w:jc w:val="center"/>
                    <w:rPr>
                      <w:rFonts w:hint="default" w:ascii="Times New Roman" w:hAnsi="Times New Roman" w:eastAsia="宋体" w:cs="宋体"/>
                      <w:sz w:val="21"/>
                      <w:szCs w:val="21"/>
                      <w:lang w:val="en-US" w:eastAsia="zh-CN"/>
                    </w:rPr>
                  </w:pPr>
                </w:p>
              </w:tc>
              <w:tc>
                <w:tcPr>
                  <w:tcW w:w="782" w:type="pct"/>
                  <w:vMerge w:val="continue"/>
                  <w:vAlign w:val="center"/>
                </w:tcPr>
                <w:p w14:paraId="274AA746">
                  <w:pPr>
                    <w:jc w:val="center"/>
                    <w:rPr>
                      <w:rFonts w:hint="default" w:ascii="Times New Roman" w:hAnsi="Times New Roman" w:eastAsia="宋体" w:cs="宋体"/>
                      <w:sz w:val="21"/>
                      <w:szCs w:val="21"/>
                      <w:lang w:val="en-US" w:eastAsia="zh-CN"/>
                    </w:rPr>
                  </w:pPr>
                </w:p>
              </w:tc>
              <w:tc>
                <w:tcPr>
                  <w:tcW w:w="903" w:type="pct"/>
                  <w:vAlign w:val="center"/>
                </w:tcPr>
                <w:p w14:paraId="0AE6E97F">
                  <w:pPr>
                    <w:jc w:val="center"/>
                    <w:rPr>
                      <w:rFonts w:hint="default" w:ascii="Times New Roman" w:hAnsi="Times New Roman" w:eastAsia="宋体" w:cs="宋体"/>
                      <w:sz w:val="21"/>
                      <w:szCs w:val="21"/>
                      <w:lang w:val="en-US" w:eastAsia="zh-CN"/>
                    </w:rPr>
                  </w:pPr>
                  <w:r>
                    <w:rPr>
                      <w:rFonts w:hint="eastAsia" w:cs="宋体"/>
                      <w:sz w:val="21"/>
                      <w:szCs w:val="21"/>
                      <w:lang w:val="en-US" w:eastAsia="zh-CN"/>
                    </w:rPr>
                    <w:t>昼间</w:t>
                  </w:r>
                </w:p>
              </w:tc>
              <w:tc>
                <w:tcPr>
                  <w:tcW w:w="903" w:type="pct"/>
                  <w:vAlign w:val="center"/>
                </w:tcPr>
                <w:p w14:paraId="279D528A">
                  <w:pPr>
                    <w:jc w:val="center"/>
                    <w:rPr>
                      <w:rFonts w:hint="default" w:ascii="Times New Roman" w:hAnsi="Times New Roman" w:eastAsia="宋体" w:cs="宋体"/>
                      <w:sz w:val="21"/>
                      <w:szCs w:val="21"/>
                      <w:lang w:val="en-US" w:eastAsia="zh-CN"/>
                    </w:rPr>
                  </w:pPr>
                  <w:r>
                    <w:rPr>
                      <w:rFonts w:hint="eastAsia" w:cs="宋体"/>
                      <w:sz w:val="21"/>
                      <w:szCs w:val="21"/>
                      <w:lang w:val="en-US" w:eastAsia="zh-CN"/>
                    </w:rPr>
                    <w:t>夜间</w:t>
                  </w:r>
                </w:p>
              </w:tc>
            </w:tr>
            <w:tr w14:paraId="5895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2" w:type="pct"/>
                  <w:vAlign w:val="center"/>
                </w:tcPr>
                <w:p w14:paraId="59A53115">
                  <w:pPr>
                    <w:jc w:val="center"/>
                    <w:rPr>
                      <w:rFonts w:hint="default" w:ascii="Times New Roman" w:hAnsi="Times New Roman" w:eastAsia="宋体" w:cs="宋体"/>
                      <w:sz w:val="21"/>
                      <w:szCs w:val="21"/>
                      <w:lang w:val="en-US" w:eastAsia="zh-CN"/>
                    </w:rPr>
                  </w:pPr>
                  <w:r>
                    <w:rPr>
                      <w:rFonts w:hint="eastAsia" w:cs="宋体"/>
                      <w:sz w:val="21"/>
                      <w:szCs w:val="21"/>
                      <w:lang w:val="en-US" w:eastAsia="zh-CN"/>
                    </w:rPr>
                    <w:t>N1</w:t>
                  </w:r>
                </w:p>
              </w:tc>
              <w:tc>
                <w:tcPr>
                  <w:tcW w:w="717" w:type="pct"/>
                  <w:vMerge w:val="restart"/>
                  <w:vAlign w:val="center"/>
                </w:tcPr>
                <w:p w14:paraId="2069F993">
                  <w:pPr>
                    <w:jc w:val="center"/>
                    <w:rPr>
                      <w:rFonts w:hint="default" w:ascii="Times New Roman" w:hAnsi="Times New Roman" w:eastAsia="宋体" w:cs="宋体"/>
                      <w:sz w:val="21"/>
                      <w:szCs w:val="21"/>
                      <w:lang w:val="en-US" w:eastAsia="zh-CN"/>
                    </w:rPr>
                  </w:pPr>
                  <w:r>
                    <w:rPr>
                      <w:rFonts w:hint="eastAsia" w:cs="宋体"/>
                      <w:sz w:val="21"/>
                      <w:szCs w:val="21"/>
                      <w:lang w:val="en-US" w:eastAsia="zh-CN"/>
                    </w:rPr>
                    <w:t>2024.03.14</w:t>
                  </w:r>
                </w:p>
              </w:tc>
              <w:tc>
                <w:tcPr>
                  <w:tcW w:w="1041" w:type="pct"/>
                  <w:vAlign w:val="center"/>
                </w:tcPr>
                <w:p w14:paraId="03014CDA">
                  <w:pPr>
                    <w:jc w:val="center"/>
                    <w:rPr>
                      <w:rFonts w:hint="default" w:ascii="Times New Roman" w:hAnsi="Times New Roman" w:eastAsia="宋体" w:cs="宋体"/>
                      <w:sz w:val="21"/>
                      <w:szCs w:val="21"/>
                      <w:lang w:val="en-US" w:eastAsia="zh-CN"/>
                    </w:rPr>
                  </w:pPr>
                  <w:r>
                    <w:rPr>
                      <w:rFonts w:hint="eastAsia" w:cs="宋体"/>
                      <w:sz w:val="21"/>
                      <w:szCs w:val="21"/>
                      <w:lang w:val="en-US" w:eastAsia="zh-CN"/>
                    </w:rPr>
                    <w:t>东厂界外1米处</w:t>
                  </w:r>
                </w:p>
              </w:tc>
              <w:tc>
                <w:tcPr>
                  <w:tcW w:w="782" w:type="pct"/>
                  <w:vMerge w:val="restart"/>
                  <w:vAlign w:val="center"/>
                </w:tcPr>
                <w:p w14:paraId="1AB1364E">
                  <w:pPr>
                    <w:jc w:val="center"/>
                    <w:rPr>
                      <w:rFonts w:hint="default" w:ascii="Times New Roman" w:hAnsi="Times New Roman" w:eastAsia="宋体" w:cs="宋体"/>
                      <w:sz w:val="21"/>
                      <w:szCs w:val="21"/>
                      <w:lang w:val="en-US" w:eastAsia="zh-CN"/>
                    </w:rPr>
                  </w:pPr>
                  <w:r>
                    <w:rPr>
                      <w:rFonts w:hint="eastAsia" w:cs="宋体"/>
                      <w:sz w:val="21"/>
                      <w:szCs w:val="21"/>
                      <w:lang w:val="en-US" w:eastAsia="zh-CN"/>
                    </w:rPr>
                    <w:t>生产噪声</w:t>
                  </w:r>
                </w:p>
              </w:tc>
              <w:tc>
                <w:tcPr>
                  <w:tcW w:w="903" w:type="pct"/>
                  <w:vAlign w:val="center"/>
                </w:tcPr>
                <w:p w14:paraId="5DA0BDC3">
                  <w:pPr>
                    <w:jc w:val="center"/>
                    <w:rPr>
                      <w:rFonts w:hint="default" w:ascii="Times New Roman" w:hAnsi="Times New Roman" w:eastAsia="宋体" w:cs="宋体"/>
                      <w:sz w:val="21"/>
                      <w:szCs w:val="21"/>
                      <w:lang w:val="en-US" w:eastAsia="zh-CN"/>
                    </w:rPr>
                  </w:pPr>
                  <w:r>
                    <w:rPr>
                      <w:rFonts w:hint="eastAsia" w:cs="宋体"/>
                      <w:sz w:val="21"/>
                      <w:szCs w:val="21"/>
                      <w:lang w:val="en-US" w:eastAsia="zh-CN"/>
                    </w:rPr>
                    <w:t>58</w:t>
                  </w:r>
                </w:p>
              </w:tc>
              <w:tc>
                <w:tcPr>
                  <w:tcW w:w="903" w:type="pct"/>
                  <w:vAlign w:val="center"/>
                </w:tcPr>
                <w:p w14:paraId="1275F2F8">
                  <w:pPr>
                    <w:jc w:val="center"/>
                    <w:rPr>
                      <w:rFonts w:hint="default" w:ascii="Times New Roman" w:hAnsi="Times New Roman" w:eastAsia="宋体" w:cs="宋体"/>
                      <w:sz w:val="21"/>
                      <w:szCs w:val="21"/>
                      <w:lang w:val="en-US" w:eastAsia="zh-CN"/>
                    </w:rPr>
                  </w:pPr>
                  <w:r>
                    <w:rPr>
                      <w:rFonts w:hint="eastAsia" w:cs="宋体"/>
                      <w:sz w:val="21"/>
                      <w:szCs w:val="21"/>
                      <w:lang w:val="en-US" w:eastAsia="zh-CN"/>
                    </w:rPr>
                    <w:t>48</w:t>
                  </w:r>
                </w:p>
              </w:tc>
            </w:tr>
            <w:tr w14:paraId="0C5AF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2" w:type="pct"/>
                  <w:vAlign w:val="center"/>
                </w:tcPr>
                <w:p w14:paraId="319AEFDE">
                  <w:pPr>
                    <w:jc w:val="center"/>
                    <w:rPr>
                      <w:rFonts w:hint="default" w:ascii="Times New Roman" w:hAnsi="Times New Roman" w:eastAsia="宋体" w:cs="宋体"/>
                      <w:sz w:val="21"/>
                      <w:szCs w:val="21"/>
                      <w:lang w:val="en-US" w:eastAsia="zh-CN"/>
                    </w:rPr>
                  </w:pPr>
                  <w:r>
                    <w:rPr>
                      <w:rFonts w:hint="eastAsia" w:cs="宋体"/>
                      <w:sz w:val="21"/>
                      <w:szCs w:val="21"/>
                      <w:lang w:val="en-US" w:eastAsia="zh-CN"/>
                    </w:rPr>
                    <w:t>N2</w:t>
                  </w:r>
                </w:p>
              </w:tc>
              <w:tc>
                <w:tcPr>
                  <w:tcW w:w="717" w:type="pct"/>
                  <w:vMerge w:val="continue"/>
                  <w:vAlign w:val="center"/>
                </w:tcPr>
                <w:p w14:paraId="36D4E228">
                  <w:pPr>
                    <w:jc w:val="center"/>
                    <w:rPr>
                      <w:rFonts w:hint="default" w:ascii="Times New Roman" w:hAnsi="Times New Roman" w:eastAsia="宋体" w:cs="宋体"/>
                      <w:sz w:val="21"/>
                      <w:szCs w:val="21"/>
                      <w:lang w:val="en-US" w:eastAsia="zh-CN"/>
                    </w:rPr>
                  </w:pPr>
                </w:p>
              </w:tc>
              <w:tc>
                <w:tcPr>
                  <w:tcW w:w="1041" w:type="pct"/>
                  <w:vAlign w:val="center"/>
                </w:tcPr>
                <w:p w14:paraId="145ABC7B">
                  <w:pPr>
                    <w:jc w:val="center"/>
                    <w:rPr>
                      <w:rFonts w:hint="default" w:ascii="Times New Roman" w:hAnsi="Times New Roman" w:eastAsia="宋体" w:cs="宋体"/>
                      <w:sz w:val="21"/>
                      <w:szCs w:val="21"/>
                      <w:lang w:val="en-US" w:eastAsia="zh-CN"/>
                    </w:rPr>
                  </w:pPr>
                  <w:r>
                    <w:rPr>
                      <w:rFonts w:hint="eastAsia" w:cs="宋体"/>
                      <w:sz w:val="21"/>
                      <w:szCs w:val="21"/>
                      <w:lang w:val="en-US" w:eastAsia="zh-CN"/>
                    </w:rPr>
                    <w:t>南厂界外1米处</w:t>
                  </w:r>
                </w:p>
              </w:tc>
              <w:tc>
                <w:tcPr>
                  <w:tcW w:w="782" w:type="pct"/>
                  <w:vMerge w:val="continue"/>
                  <w:vAlign w:val="center"/>
                </w:tcPr>
                <w:p w14:paraId="0279467E">
                  <w:pPr>
                    <w:jc w:val="center"/>
                    <w:rPr>
                      <w:rFonts w:hint="default" w:ascii="Times New Roman" w:hAnsi="Times New Roman" w:eastAsia="宋体" w:cs="宋体"/>
                      <w:sz w:val="21"/>
                      <w:szCs w:val="21"/>
                      <w:lang w:val="en-US" w:eastAsia="zh-CN"/>
                    </w:rPr>
                  </w:pPr>
                </w:p>
              </w:tc>
              <w:tc>
                <w:tcPr>
                  <w:tcW w:w="903" w:type="pct"/>
                  <w:vAlign w:val="center"/>
                </w:tcPr>
                <w:p w14:paraId="0279EC33">
                  <w:pPr>
                    <w:jc w:val="center"/>
                    <w:rPr>
                      <w:rFonts w:hint="default" w:ascii="Times New Roman" w:hAnsi="Times New Roman" w:eastAsia="宋体" w:cs="宋体"/>
                      <w:sz w:val="21"/>
                      <w:szCs w:val="21"/>
                      <w:lang w:val="en-US" w:eastAsia="zh-CN"/>
                    </w:rPr>
                  </w:pPr>
                  <w:r>
                    <w:rPr>
                      <w:rFonts w:hint="eastAsia" w:cs="宋体"/>
                      <w:sz w:val="21"/>
                      <w:szCs w:val="21"/>
                      <w:lang w:val="en-US" w:eastAsia="zh-CN"/>
                    </w:rPr>
                    <w:t>51</w:t>
                  </w:r>
                </w:p>
              </w:tc>
              <w:tc>
                <w:tcPr>
                  <w:tcW w:w="903" w:type="pct"/>
                  <w:vAlign w:val="center"/>
                </w:tcPr>
                <w:p w14:paraId="47D9AE53">
                  <w:pPr>
                    <w:jc w:val="center"/>
                    <w:rPr>
                      <w:rFonts w:hint="default" w:ascii="Times New Roman" w:hAnsi="Times New Roman" w:eastAsia="宋体" w:cs="宋体"/>
                      <w:sz w:val="21"/>
                      <w:szCs w:val="21"/>
                      <w:lang w:val="en-US" w:eastAsia="zh-CN"/>
                    </w:rPr>
                  </w:pPr>
                  <w:r>
                    <w:rPr>
                      <w:rFonts w:hint="eastAsia" w:cs="宋体"/>
                      <w:sz w:val="21"/>
                      <w:szCs w:val="21"/>
                      <w:lang w:val="en-US" w:eastAsia="zh-CN"/>
                    </w:rPr>
                    <w:t>46</w:t>
                  </w:r>
                </w:p>
              </w:tc>
            </w:tr>
            <w:tr w14:paraId="66870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2" w:type="pct"/>
                  <w:vAlign w:val="center"/>
                </w:tcPr>
                <w:p w14:paraId="1DA5CC5E">
                  <w:pPr>
                    <w:jc w:val="center"/>
                    <w:rPr>
                      <w:rFonts w:hint="default" w:ascii="Times New Roman" w:hAnsi="Times New Roman" w:eastAsia="宋体" w:cs="宋体"/>
                      <w:sz w:val="21"/>
                      <w:szCs w:val="21"/>
                      <w:lang w:val="en-US" w:eastAsia="zh-CN"/>
                    </w:rPr>
                  </w:pPr>
                  <w:r>
                    <w:rPr>
                      <w:rFonts w:hint="eastAsia" w:cs="宋体"/>
                      <w:sz w:val="21"/>
                      <w:szCs w:val="21"/>
                      <w:lang w:val="en-US" w:eastAsia="zh-CN"/>
                    </w:rPr>
                    <w:t>N3</w:t>
                  </w:r>
                </w:p>
              </w:tc>
              <w:tc>
                <w:tcPr>
                  <w:tcW w:w="717" w:type="pct"/>
                  <w:vMerge w:val="continue"/>
                  <w:vAlign w:val="center"/>
                </w:tcPr>
                <w:p w14:paraId="235E498B">
                  <w:pPr>
                    <w:jc w:val="center"/>
                    <w:rPr>
                      <w:rFonts w:hint="default" w:ascii="Times New Roman" w:hAnsi="Times New Roman" w:eastAsia="宋体" w:cs="宋体"/>
                      <w:sz w:val="21"/>
                      <w:szCs w:val="21"/>
                      <w:lang w:val="en-US" w:eastAsia="zh-CN"/>
                    </w:rPr>
                  </w:pPr>
                </w:p>
              </w:tc>
              <w:tc>
                <w:tcPr>
                  <w:tcW w:w="1041" w:type="pct"/>
                  <w:vAlign w:val="center"/>
                </w:tcPr>
                <w:p w14:paraId="20A88FFE">
                  <w:pPr>
                    <w:jc w:val="center"/>
                    <w:rPr>
                      <w:rFonts w:hint="default" w:ascii="Times New Roman" w:hAnsi="Times New Roman" w:eastAsia="宋体" w:cs="宋体"/>
                      <w:sz w:val="21"/>
                      <w:szCs w:val="21"/>
                      <w:lang w:val="en-US" w:eastAsia="zh-CN"/>
                    </w:rPr>
                  </w:pPr>
                  <w:r>
                    <w:rPr>
                      <w:rFonts w:hint="eastAsia" w:cs="宋体"/>
                      <w:sz w:val="21"/>
                      <w:szCs w:val="21"/>
                      <w:lang w:val="en-US" w:eastAsia="zh-CN"/>
                    </w:rPr>
                    <w:t>西厂界外1米处</w:t>
                  </w:r>
                </w:p>
              </w:tc>
              <w:tc>
                <w:tcPr>
                  <w:tcW w:w="782" w:type="pct"/>
                  <w:vMerge w:val="continue"/>
                  <w:vAlign w:val="center"/>
                </w:tcPr>
                <w:p w14:paraId="1FDF03A5">
                  <w:pPr>
                    <w:jc w:val="center"/>
                    <w:rPr>
                      <w:rFonts w:hint="default" w:ascii="Times New Roman" w:hAnsi="Times New Roman" w:eastAsia="宋体" w:cs="宋体"/>
                      <w:sz w:val="21"/>
                      <w:szCs w:val="21"/>
                      <w:lang w:val="en-US" w:eastAsia="zh-CN"/>
                    </w:rPr>
                  </w:pPr>
                </w:p>
              </w:tc>
              <w:tc>
                <w:tcPr>
                  <w:tcW w:w="903" w:type="pct"/>
                  <w:vAlign w:val="center"/>
                </w:tcPr>
                <w:p w14:paraId="0E9BBAB6">
                  <w:pPr>
                    <w:jc w:val="center"/>
                    <w:rPr>
                      <w:rFonts w:hint="default" w:ascii="Times New Roman" w:hAnsi="Times New Roman" w:eastAsia="宋体" w:cs="宋体"/>
                      <w:sz w:val="21"/>
                      <w:szCs w:val="21"/>
                      <w:lang w:val="en-US" w:eastAsia="zh-CN"/>
                    </w:rPr>
                  </w:pPr>
                  <w:r>
                    <w:rPr>
                      <w:rFonts w:hint="eastAsia" w:cs="宋体"/>
                      <w:sz w:val="21"/>
                      <w:szCs w:val="21"/>
                      <w:lang w:val="en-US" w:eastAsia="zh-CN"/>
                    </w:rPr>
                    <w:t>53</w:t>
                  </w:r>
                </w:p>
              </w:tc>
              <w:tc>
                <w:tcPr>
                  <w:tcW w:w="903" w:type="pct"/>
                  <w:vAlign w:val="center"/>
                </w:tcPr>
                <w:p w14:paraId="78F6565E">
                  <w:pPr>
                    <w:jc w:val="center"/>
                    <w:rPr>
                      <w:rFonts w:hint="default" w:ascii="Times New Roman" w:hAnsi="Times New Roman" w:eastAsia="宋体" w:cs="宋体"/>
                      <w:sz w:val="21"/>
                      <w:szCs w:val="21"/>
                      <w:lang w:val="en-US" w:eastAsia="zh-CN"/>
                    </w:rPr>
                  </w:pPr>
                  <w:r>
                    <w:rPr>
                      <w:rFonts w:hint="eastAsia" w:cs="宋体"/>
                      <w:sz w:val="21"/>
                      <w:szCs w:val="21"/>
                      <w:lang w:val="en-US" w:eastAsia="zh-CN"/>
                    </w:rPr>
                    <w:t>44</w:t>
                  </w:r>
                </w:p>
              </w:tc>
            </w:tr>
            <w:tr w14:paraId="25E1D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2" w:type="pct"/>
                  <w:vAlign w:val="center"/>
                </w:tcPr>
                <w:p w14:paraId="37630A7F">
                  <w:pPr>
                    <w:jc w:val="center"/>
                    <w:rPr>
                      <w:rFonts w:hint="default" w:ascii="Times New Roman" w:hAnsi="Times New Roman" w:eastAsia="宋体" w:cs="宋体"/>
                      <w:sz w:val="21"/>
                      <w:szCs w:val="21"/>
                      <w:lang w:val="en-US" w:eastAsia="zh-CN"/>
                    </w:rPr>
                  </w:pPr>
                  <w:r>
                    <w:rPr>
                      <w:rFonts w:hint="eastAsia" w:cs="宋体"/>
                      <w:sz w:val="21"/>
                      <w:szCs w:val="21"/>
                      <w:lang w:val="en-US" w:eastAsia="zh-CN"/>
                    </w:rPr>
                    <w:t>N4</w:t>
                  </w:r>
                </w:p>
              </w:tc>
              <w:tc>
                <w:tcPr>
                  <w:tcW w:w="717" w:type="pct"/>
                  <w:vMerge w:val="continue"/>
                  <w:vAlign w:val="center"/>
                </w:tcPr>
                <w:p w14:paraId="6E2FDA29">
                  <w:pPr>
                    <w:jc w:val="center"/>
                    <w:rPr>
                      <w:rFonts w:hint="default" w:ascii="Times New Roman" w:hAnsi="Times New Roman" w:eastAsia="宋体" w:cs="宋体"/>
                      <w:sz w:val="21"/>
                      <w:szCs w:val="21"/>
                      <w:lang w:val="en-US" w:eastAsia="zh-CN"/>
                    </w:rPr>
                  </w:pPr>
                </w:p>
              </w:tc>
              <w:tc>
                <w:tcPr>
                  <w:tcW w:w="1041" w:type="pct"/>
                  <w:vAlign w:val="center"/>
                </w:tcPr>
                <w:p w14:paraId="592ECCD7">
                  <w:pPr>
                    <w:jc w:val="center"/>
                    <w:rPr>
                      <w:rFonts w:hint="default" w:ascii="Times New Roman" w:hAnsi="Times New Roman" w:eastAsia="宋体" w:cs="宋体"/>
                      <w:sz w:val="21"/>
                      <w:szCs w:val="21"/>
                      <w:lang w:val="en-US" w:eastAsia="zh-CN"/>
                    </w:rPr>
                  </w:pPr>
                  <w:r>
                    <w:rPr>
                      <w:rFonts w:hint="eastAsia" w:cs="宋体"/>
                      <w:sz w:val="21"/>
                      <w:szCs w:val="21"/>
                      <w:lang w:val="en-US" w:eastAsia="zh-CN"/>
                    </w:rPr>
                    <w:t>北厂界外1米处</w:t>
                  </w:r>
                </w:p>
              </w:tc>
              <w:tc>
                <w:tcPr>
                  <w:tcW w:w="782" w:type="pct"/>
                  <w:vMerge w:val="continue"/>
                  <w:vAlign w:val="center"/>
                </w:tcPr>
                <w:p w14:paraId="09FE1627">
                  <w:pPr>
                    <w:jc w:val="center"/>
                    <w:rPr>
                      <w:rFonts w:hint="default" w:ascii="Times New Roman" w:hAnsi="Times New Roman" w:eastAsia="宋体" w:cs="宋体"/>
                      <w:sz w:val="21"/>
                      <w:szCs w:val="21"/>
                      <w:lang w:val="en-US" w:eastAsia="zh-CN"/>
                    </w:rPr>
                  </w:pPr>
                </w:p>
              </w:tc>
              <w:tc>
                <w:tcPr>
                  <w:tcW w:w="903" w:type="pct"/>
                  <w:vAlign w:val="center"/>
                </w:tcPr>
                <w:p w14:paraId="763BFCC2">
                  <w:pPr>
                    <w:jc w:val="center"/>
                    <w:rPr>
                      <w:rFonts w:hint="default" w:ascii="Times New Roman" w:hAnsi="Times New Roman" w:eastAsia="宋体" w:cs="宋体"/>
                      <w:sz w:val="21"/>
                      <w:szCs w:val="21"/>
                      <w:lang w:val="en-US" w:eastAsia="zh-CN"/>
                    </w:rPr>
                  </w:pPr>
                  <w:r>
                    <w:rPr>
                      <w:rFonts w:hint="eastAsia" w:cs="宋体"/>
                      <w:sz w:val="21"/>
                      <w:szCs w:val="21"/>
                      <w:lang w:val="en-US" w:eastAsia="zh-CN"/>
                    </w:rPr>
                    <w:t>60</w:t>
                  </w:r>
                </w:p>
              </w:tc>
              <w:tc>
                <w:tcPr>
                  <w:tcW w:w="903" w:type="pct"/>
                  <w:vAlign w:val="center"/>
                </w:tcPr>
                <w:p w14:paraId="22DEEB5D">
                  <w:pPr>
                    <w:jc w:val="center"/>
                    <w:rPr>
                      <w:rFonts w:hint="default" w:ascii="Times New Roman" w:hAnsi="Times New Roman" w:eastAsia="宋体" w:cs="宋体"/>
                      <w:sz w:val="21"/>
                      <w:szCs w:val="21"/>
                      <w:lang w:val="en-US" w:eastAsia="zh-CN"/>
                    </w:rPr>
                  </w:pPr>
                  <w:r>
                    <w:rPr>
                      <w:rFonts w:hint="eastAsia" w:cs="宋体"/>
                      <w:sz w:val="21"/>
                      <w:szCs w:val="21"/>
                      <w:lang w:val="en-US" w:eastAsia="zh-CN"/>
                    </w:rPr>
                    <w:t>49</w:t>
                  </w:r>
                </w:p>
              </w:tc>
            </w:tr>
            <w:tr w14:paraId="663BE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6"/>
                  <w:vAlign w:val="center"/>
                </w:tcPr>
                <w:p w14:paraId="056DC41E">
                  <w:pPr>
                    <w:jc w:val="left"/>
                    <w:rPr>
                      <w:rFonts w:hint="eastAsia" w:cs="宋体"/>
                      <w:sz w:val="21"/>
                      <w:szCs w:val="21"/>
                      <w:lang w:val="en-US" w:eastAsia="zh-CN"/>
                    </w:rPr>
                  </w:pPr>
                  <w:r>
                    <w:rPr>
                      <w:rFonts w:hint="eastAsia" w:cs="宋体"/>
                      <w:sz w:val="21"/>
                      <w:szCs w:val="21"/>
                      <w:lang w:val="en-US" w:eastAsia="zh-CN"/>
                    </w:rPr>
                    <w:t>注：企业无法停产未检测背景值</w:t>
                  </w:r>
                </w:p>
              </w:tc>
            </w:tr>
          </w:tbl>
          <w:p w14:paraId="0A072EE1">
            <w:pPr>
              <w:widowControl/>
              <w:adjustRightInd w:val="0"/>
              <w:snapToGrid w:val="0"/>
              <w:spacing w:line="360" w:lineRule="auto"/>
              <w:ind w:firstLine="482" w:firstLineChars="200"/>
              <w:jc w:val="both"/>
              <w:rPr>
                <w:b/>
                <w:bCs/>
                <w:color w:val="0000FF"/>
                <w:sz w:val="24"/>
                <w:highlight w:val="none"/>
              </w:rPr>
            </w:pPr>
            <w:r>
              <w:rPr>
                <w:rFonts w:hint="eastAsia"/>
                <w:b/>
                <w:bCs/>
                <w:color w:val="auto"/>
                <w:sz w:val="24"/>
                <w:highlight w:val="none"/>
              </w:rPr>
              <w:t>四</w:t>
            </w:r>
            <w:r>
              <w:rPr>
                <w:b/>
                <w:bCs/>
                <w:color w:val="auto"/>
                <w:sz w:val="24"/>
                <w:highlight w:val="none"/>
              </w:rPr>
              <w:t>、</w:t>
            </w:r>
            <w:r>
              <w:rPr>
                <w:rFonts w:hint="eastAsia"/>
                <w:b/>
                <w:bCs/>
                <w:color w:val="auto"/>
                <w:sz w:val="24"/>
                <w:highlight w:val="none"/>
                <w:lang w:eastAsia="zh-CN"/>
              </w:rPr>
              <w:t>土壤、</w:t>
            </w:r>
            <w:r>
              <w:rPr>
                <w:b/>
                <w:bCs/>
                <w:color w:val="0000FF"/>
                <w:sz w:val="24"/>
                <w:highlight w:val="none"/>
              </w:rPr>
              <w:t>地下水环境</w:t>
            </w:r>
          </w:p>
          <w:p w14:paraId="357D53BE">
            <w:pPr>
              <w:adjustRightInd w:val="0"/>
              <w:spacing w:line="360" w:lineRule="auto"/>
              <w:ind w:firstLine="480" w:firstLineChars="200"/>
              <w:jc w:val="both"/>
              <w:rPr>
                <w:rFonts w:hint="default"/>
                <w:color w:val="0000FF"/>
                <w:sz w:val="24"/>
                <w:highlight w:val="none"/>
                <w:lang w:val="en-US" w:eastAsia="zh-CN"/>
              </w:rPr>
            </w:pPr>
            <w:r>
              <w:rPr>
                <w:rFonts w:hint="eastAsia"/>
                <w:color w:val="0000FF"/>
                <w:sz w:val="24"/>
                <w:highlight w:val="none"/>
                <w:lang w:val="en-US" w:eastAsia="zh-CN"/>
              </w:rPr>
              <w:t>1、地下水</w:t>
            </w:r>
          </w:p>
          <w:p w14:paraId="66A537F3">
            <w:pPr>
              <w:adjustRightInd w:val="0"/>
              <w:spacing w:line="360" w:lineRule="auto"/>
              <w:ind w:firstLine="480" w:firstLineChars="200"/>
              <w:jc w:val="both"/>
              <w:rPr>
                <w:rFonts w:hint="eastAsia"/>
                <w:color w:val="0000FF"/>
                <w:sz w:val="24"/>
                <w:highlight w:val="none"/>
                <w:lang w:eastAsia="zh-CN"/>
              </w:rPr>
            </w:pPr>
            <w:r>
              <w:rPr>
                <w:rFonts w:hint="default"/>
                <w:color w:val="0000FF"/>
                <w:sz w:val="24"/>
                <w:highlight w:val="none"/>
                <w:lang w:eastAsia="zh-CN"/>
              </w:rPr>
              <w:t>本项目区域地下水现状数据引用《2023年度淮北市生态环境状况公报》，</w:t>
            </w:r>
            <w:r>
              <w:rPr>
                <w:rFonts w:hint="eastAsia"/>
                <w:color w:val="0000FF"/>
                <w:sz w:val="24"/>
                <w:highlight w:val="none"/>
                <w:lang w:eastAsia="zh-CN"/>
              </w:rPr>
              <w:t>2023年淮北市城市集中饮用水源地（地下水）监测指标均达到《地下水质量标准》（GB/T</w:t>
            </w:r>
            <w:r>
              <w:rPr>
                <w:rFonts w:hint="eastAsia"/>
                <w:color w:val="0000FF"/>
                <w:sz w:val="24"/>
                <w:highlight w:val="none"/>
                <w:lang w:val="en-US" w:eastAsia="zh-CN"/>
              </w:rPr>
              <w:t xml:space="preserve"> </w:t>
            </w:r>
            <w:r>
              <w:rPr>
                <w:rFonts w:hint="eastAsia"/>
                <w:color w:val="0000FF"/>
                <w:sz w:val="24"/>
                <w:highlight w:val="none"/>
                <w:lang w:eastAsia="zh-CN"/>
              </w:rPr>
              <w:t>14848-2017）中Ⅲ类标准，2023年淮北市饮用水源地（地下水）取水总量为1369万吨，饮用水源地（地下水）水质达标率为100%。</w:t>
            </w:r>
          </w:p>
          <w:p w14:paraId="035C8A53">
            <w:pPr>
              <w:adjustRightInd w:val="0"/>
              <w:spacing w:line="360" w:lineRule="auto"/>
              <w:ind w:firstLine="480" w:firstLineChars="200"/>
              <w:jc w:val="both"/>
              <w:rPr>
                <w:rFonts w:hint="eastAsia"/>
                <w:color w:val="0000FF"/>
                <w:sz w:val="24"/>
                <w:highlight w:val="none"/>
                <w:lang w:eastAsia="zh-CN"/>
              </w:rPr>
            </w:pPr>
            <w:r>
              <w:rPr>
                <w:rFonts w:hint="eastAsia"/>
                <w:color w:val="0000FF"/>
                <w:sz w:val="24"/>
                <w:highlight w:val="none"/>
                <w:lang w:eastAsia="zh-CN"/>
              </w:rPr>
              <w:t>本项目地下水现状检测值引用《淮北海创循环科技有限责任公司淮北市废旧锂电池资源化绿色循环利用项目》中监测数据，采样时间为2023年</w:t>
            </w:r>
            <w:r>
              <w:rPr>
                <w:rFonts w:hint="eastAsia"/>
                <w:color w:val="0000FF"/>
                <w:sz w:val="24"/>
                <w:highlight w:val="none"/>
                <w:lang w:val="en-US" w:eastAsia="zh-CN"/>
              </w:rPr>
              <w:t>3</w:t>
            </w:r>
            <w:r>
              <w:rPr>
                <w:rFonts w:hint="eastAsia"/>
                <w:color w:val="0000FF"/>
                <w:sz w:val="24"/>
                <w:highlight w:val="none"/>
                <w:lang w:eastAsia="zh-CN"/>
              </w:rPr>
              <w:t>月22日，引用的监测点位为</w:t>
            </w:r>
            <w:r>
              <w:rPr>
                <w:rFonts w:hint="eastAsia"/>
                <w:color w:val="0000FF"/>
                <w:sz w:val="24"/>
                <w:highlight w:val="none"/>
                <w:lang w:val="en-US" w:eastAsia="zh-CN"/>
              </w:rPr>
              <w:t>D1</w:t>
            </w:r>
            <w:r>
              <w:rPr>
                <w:rFonts w:hint="eastAsia"/>
                <w:color w:val="0000FF"/>
                <w:sz w:val="24"/>
                <w:highlight w:val="none"/>
                <w:lang w:eastAsia="zh-CN"/>
              </w:rPr>
              <w:t>（项目区仓库）、</w:t>
            </w:r>
            <w:r>
              <w:rPr>
                <w:rFonts w:hint="eastAsia"/>
                <w:color w:val="0000FF"/>
                <w:sz w:val="24"/>
                <w:highlight w:val="none"/>
                <w:lang w:val="en-US" w:eastAsia="zh-CN"/>
              </w:rPr>
              <w:t>D2</w:t>
            </w:r>
            <w:r>
              <w:rPr>
                <w:rFonts w:hint="eastAsia"/>
                <w:color w:val="0000FF"/>
                <w:sz w:val="24"/>
                <w:highlight w:val="none"/>
                <w:lang w:eastAsia="zh-CN"/>
              </w:rPr>
              <w:t>（高村）以及</w:t>
            </w:r>
            <w:r>
              <w:rPr>
                <w:rFonts w:hint="eastAsia"/>
                <w:color w:val="0000FF"/>
                <w:sz w:val="24"/>
                <w:highlight w:val="none"/>
                <w:lang w:val="en-US" w:eastAsia="zh-CN"/>
              </w:rPr>
              <w:t>D3</w:t>
            </w:r>
            <w:r>
              <w:rPr>
                <w:rFonts w:hint="eastAsia"/>
                <w:color w:val="0000FF"/>
                <w:sz w:val="24"/>
                <w:highlight w:val="none"/>
                <w:lang w:eastAsia="zh-CN"/>
              </w:rPr>
              <w:t>（安置小区），分别位于本项目厂区内、西南侧</w:t>
            </w:r>
            <w:r>
              <w:rPr>
                <w:rFonts w:hint="eastAsia"/>
                <w:color w:val="0000FF"/>
                <w:sz w:val="24"/>
                <w:highlight w:val="none"/>
                <w:lang w:val="en-US" w:eastAsia="zh-CN"/>
              </w:rPr>
              <w:t>950</w:t>
            </w:r>
            <w:r>
              <w:rPr>
                <w:rFonts w:hint="eastAsia"/>
                <w:color w:val="0000FF"/>
                <w:sz w:val="24"/>
                <w:highlight w:val="none"/>
                <w:lang w:eastAsia="zh-CN"/>
              </w:rPr>
              <w:t>米处以及东侧</w:t>
            </w:r>
            <w:r>
              <w:rPr>
                <w:rFonts w:hint="eastAsia"/>
                <w:color w:val="0000FF"/>
                <w:sz w:val="24"/>
                <w:highlight w:val="none"/>
                <w:lang w:val="en-US" w:eastAsia="zh-CN"/>
              </w:rPr>
              <w:t>630</w:t>
            </w:r>
            <w:r>
              <w:rPr>
                <w:rFonts w:hint="eastAsia"/>
                <w:color w:val="0000FF"/>
                <w:sz w:val="24"/>
                <w:highlight w:val="none"/>
                <w:lang w:eastAsia="zh-CN"/>
              </w:rPr>
              <w:t>米处，引用数据有效，能够满足引用要求。</w:t>
            </w:r>
          </w:p>
          <w:p w14:paraId="07E8207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color w:val="0000FF"/>
                <w:sz w:val="24"/>
                <w:highlight w:val="none"/>
                <w:lang w:eastAsia="zh-CN"/>
              </w:rPr>
            </w:pPr>
            <w:r>
              <w:drawing>
                <wp:inline distT="0" distB="0" distL="114300" distR="114300">
                  <wp:extent cx="4982210" cy="3383280"/>
                  <wp:effectExtent l="0" t="0" r="8890" b="762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4"/>
                          <a:srcRect t="7226" b="6856"/>
                          <a:stretch>
                            <a:fillRect/>
                          </a:stretch>
                        </pic:blipFill>
                        <pic:spPr>
                          <a:xfrm>
                            <a:off x="0" y="0"/>
                            <a:ext cx="4982210" cy="3383280"/>
                          </a:xfrm>
                          <a:prstGeom prst="rect">
                            <a:avLst/>
                          </a:prstGeom>
                          <a:noFill/>
                          <a:ln>
                            <a:noFill/>
                          </a:ln>
                        </pic:spPr>
                      </pic:pic>
                    </a:graphicData>
                  </a:graphic>
                </wp:inline>
              </w:drawing>
            </w:r>
          </w:p>
          <w:p w14:paraId="27342D6C">
            <w:pPr>
              <w:pStyle w:val="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eastAsia="zh-CN"/>
              </w:rPr>
              <w:t>图</w:t>
            </w:r>
            <w:r>
              <w:rPr>
                <w:rFonts w:hint="eastAsia" w:ascii="Times New Roman" w:hAnsi="Times New Roman" w:eastAsia="宋体" w:cs="Times New Roman"/>
                <w:color w:val="0000FF"/>
                <w:sz w:val="21"/>
                <w:szCs w:val="21"/>
                <w:lang w:val="en-US" w:eastAsia="zh-CN"/>
              </w:rPr>
              <w:t>3-</w:t>
            </w:r>
            <w:r>
              <w:rPr>
                <w:rFonts w:hint="eastAsia" w:ascii="Times New Roman" w:hAnsi="Times New Roman" w:cs="Times New Roman"/>
                <w:color w:val="0000FF"/>
                <w:sz w:val="21"/>
                <w:szCs w:val="21"/>
                <w:lang w:val="en-US" w:eastAsia="zh-CN"/>
              </w:rPr>
              <w:t>2</w:t>
            </w:r>
            <w:r>
              <w:rPr>
                <w:rFonts w:hint="eastAsia" w:ascii="Times New Roman" w:hAnsi="Times New Roman" w:eastAsia="宋体" w:cs="Times New Roman"/>
                <w:color w:val="0000FF"/>
                <w:sz w:val="21"/>
                <w:szCs w:val="21"/>
                <w:lang w:val="en-US" w:eastAsia="zh-CN"/>
              </w:rPr>
              <w:t xml:space="preserve"> </w:t>
            </w:r>
            <w:r>
              <w:rPr>
                <w:rFonts w:hint="eastAsia" w:ascii="Times New Roman" w:hAnsi="Times New Roman" w:cs="Times New Roman"/>
                <w:color w:val="0000FF"/>
                <w:sz w:val="21"/>
                <w:szCs w:val="21"/>
                <w:lang w:val="en-US" w:eastAsia="zh-CN"/>
              </w:rPr>
              <w:t>地下水</w:t>
            </w:r>
            <w:r>
              <w:rPr>
                <w:rFonts w:hint="eastAsia" w:ascii="Times New Roman" w:hAnsi="Times New Roman" w:eastAsia="宋体" w:cs="Times New Roman"/>
                <w:color w:val="0000FF"/>
                <w:sz w:val="21"/>
                <w:szCs w:val="21"/>
                <w:lang w:val="en-US" w:eastAsia="zh-CN"/>
              </w:rPr>
              <w:t>环境质量现状监测点位图</w:t>
            </w:r>
          </w:p>
          <w:p w14:paraId="5273C763">
            <w:pPr>
              <w:pStyle w:val="3"/>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表</w:t>
            </w:r>
            <w:r>
              <w:rPr>
                <w:rFonts w:hint="eastAsia" w:ascii="Times New Roman" w:hAnsi="Times New Roman" w:cs="Times New Roman"/>
                <w:color w:val="0000FF"/>
                <w:sz w:val="21"/>
                <w:szCs w:val="21"/>
                <w:lang w:val="en-US" w:eastAsia="zh-CN"/>
              </w:rPr>
              <w:t xml:space="preserve">3-6 </w:t>
            </w:r>
            <w:r>
              <w:rPr>
                <w:rFonts w:hint="default" w:ascii="Times New Roman" w:hAnsi="Times New Roman" w:eastAsia="宋体" w:cs="Times New Roman"/>
                <w:color w:val="0000FF"/>
                <w:sz w:val="21"/>
                <w:szCs w:val="21"/>
                <w:lang w:val="en-US" w:eastAsia="zh-CN"/>
              </w:rPr>
              <w:t>地下水水位、环境质量现场监测布点及监测因子</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485"/>
              <w:gridCol w:w="840"/>
              <w:gridCol w:w="1215"/>
              <w:gridCol w:w="4430"/>
            </w:tblGrid>
            <w:tr w14:paraId="02327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 w:hRule="atLeast"/>
                <w:jc w:val="center"/>
              </w:trPr>
              <w:tc>
                <w:tcPr>
                  <w:tcW w:w="462" w:type="pct"/>
                  <w:tcBorders>
                    <w:tl2br w:val="nil"/>
                    <w:tr2bl w:val="nil"/>
                  </w:tcBorders>
                  <w:vAlign w:val="center"/>
                </w:tcPr>
                <w:p w14:paraId="3EB50A04">
                  <w:pPr>
                    <w:jc w:val="center"/>
                    <w:rPr>
                      <w:rFonts w:hint="eastAsia" w:cs="宋体"/>
                      <w:color w:val="0000FF"/>
                      <w:sz w:val="21"/>
                      <w:szCs w:val="21"/>
                      <w:lang w:val="en-US" w:eastAsia="zh-CN"/>
                    </w:rPr>
                  </w:pPr>
                  <w:r>
                    <w:rPr>
                      <w:rFonts w:hint="eastAsia" w:cs="宋体"/>
                      <w:color w:val="0000FF"/>
                      <w:sz w:val="21"/>
                      <w:szCs w:val="21"/>
                      <w:lang w:val="en-US" w:eastAsia="zh-CN"/>
                    </w:rPr>
                    <w:t>编号</w:t>
                  </w:r>
                </w:p>
              </w:tc>
              <w:tc>
                <w:tcPr>
                  <w:tcW w:w="845" w:type="pct"/>
                  <w:tcBorders>
                    <w:tl2br w:val="nil"/>
                    <w:tr2bl w:val="nil"/>
                  </w:tcBorders>
                  <w:vAlign w:val="center"/>
                </w:tcPr>
                <w:p w14:paraId="424E0841">
                  <w:pPr>
                    <w:jc w:val="center"/>
                    <w:rPr>
                      <w:rFonts w:hint="eastAsia" w:cs="宋体"/>
                      <w:color w:val="0000FF"/>
                      <w:sz w:val="21"/>
                      <w:szCs w:val="21"/>
                      <w:lang w:val="en-US" w:eastAsia="zh-CN"/>
                    </w:rPr>
                  </w:pPr>
                  <w:r>
                    <w:rPr>
                      <w:rFonts w:hint="eastAsia" w:cs="宋体"/>
                      <w:color w:val="0000FF"/>
                      <w:sz w:val="21"/>
                      <w:szCs w:val="21"/>
                      <w:lang w:val="en-US" w:eastAsia="zh-CN"/>
                    </w:rPr>
                    <w:t>监测点位</w:t>
                  </w:r>
                </w:p>
              </w:tc>
              <w:tc>
                <w:tcPr>
                  <w:tcW w:w="478" w:type="pct"/>
                  <w:tcBorders>
                    <w:tl2br w:val="nil"/>
                    <w:tr2bl w:val="nil"/>
                  </w:tcBorders>
                  <w:vAlign w:val="center"/>
                </w:tcPr>
                <w:p w14:paraId="469F866C">
                  <w:pPr>
                    <w:jc w:val="center"/>
                    <w:rPr>
                      <w:rFonts w:hint="eastAsia" w:cs="宋体"/>
                      <w:color w:val="0000FF"/>
                      <w:sz w:val="21"/>
                      <w:szCs w:val="21"/>
                      <w:lang w:val="en-US" w:eastAsia="zh-CN"/>
                    </w:rPr>
                  </w:pPr>
                  <w:r>
                    <w:rPr>
                      <w:rFonts w:hint="eastAsia" w:cs="宋体"/>
                      <w:color w:val="0000FF"/>
                      <w:sz w:val="21"/>
                      <w:szCs w:val="21"/>
                      <w:lang w:val="en-US" w:eastAsia="zh-CN"/>
                    </w:rPr>
                    <w:t>方位</w:t>
                  </w:r>
                </w:p>
              </w:tc>
              <w:tc>
                <w:tcPr>
                  <w:tcW w:w="691" w:type="pct"/>
                  <w:tcBorders>
                    <w:tl2br w:val="nil"/>
                    <w:tr2bl w:val="nil"/>
                  </w:tcBorders>
                  <w:vAlign w:val="center"/>
                </w:tcPr>
                <w:p w14:paraId="70F4AAC8">
                  <w:pPr>
                    <w:jc w:val="center"/>
                    <w:rPr>
                      <w:rFonts w:hint="eastAsia" w:cs="宋体"/>
                      <w:color w:val="0000FF"/>
                      <w:sz w:val="21"/>
                      <w:szCs w:val="21"/>
                      <w:lang w:val="en-US" w:eastAsia="zh-CN"/>
                    </w:rPr>
                  </w:pPr>
                  <w:r>
                    <w:rPr>
                      <w:rFonts w:hint="eastAsia" w:cs="宋体"/>
                      <w:color w:val="0000FF"/>
                      <w:sz w:val="21"/>
                      <w:szCs w:val="21"/>
                      <w:lang w:val="en-US" w:eastAsia="zh-CN"/>
                    </w:rPr>
                    <w:t>距离（m）</w:t>
                  </w:r>
                </w:p>
              </w:tc>
              <w:tc>
                <w:tcPr>
                  <w:tcW w:w="2522" w:type="pct"/>
                  <w:tcBorders>
                    <w:tl2br w:val="nil"/>
                    <w:tr2bl w:val="nil"/>
                  </w:tcBorders>
                  <w:vAlign w:val="center"/>
                </w:tcPr>
                <w:p w14:paraId="7548BAC8">
                  <w:pPr>
                    <w:jc w:val="center"/>
                    <w:rPr>
                      <w:rFonts w:hint="eastAsia" w:cs="宋体"/>
                      <w:color w:val="0000FF"/>
                      <w:sz w:val="21"/>
                      <w:szCs w:val="21"/>
                      <w:lang w:val="en-US" w:eastAsia="zh-CN"/>
                    </w:rPr>
                  </w:pPr>
                  <w:r>
                    <w:rPr>
                      <w:rFonts w:hint="eastAsia" w:cs="宋体"/>
                      <w:color w:val="0000FF"/>
                      <w:sz w:val="21"/>
                      <w:szCs w:val="21"/>
                      <w:lang w:val="en-US" w:eastAsia="zh-CN"/>
                    </w:rPr>
                    <w:t>监测因子</w:t>
                  </w:r>
                </w:p>
              </w:tc>
            </w:tr>
            <w:tr w14:paraId="7C988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 w:hRule="atLeast"/>
                <w:jc w:val="center"/>
              </w:trPr>
              <w:tc>
                <w:tcPr>
                  <w:tcW w:w="462" w:type="pct"/>
                  <w:tcBorders>
                    <w:tl2br w:val="nil"/>
                    <w:tr2bl w:val="nil"/>
                  </w:tcBorders>
                  <w:vAlign w:val="center"/>
                </w:tcPr>
                <w:p w14:paraId="65C70588">
                  <w:pPr>
                    <w:jc w:val="center"/>
                    <w:rPr>
                      <w:rFonts w:hint="eastAsia" w:cs="宋体"/>
                      <w:color w:val="0000FF"/>
                      <w:sz w:val="21"/>
                      <w:szCs w:val="21"/>
                      <w:lang w:val="en-US" w:eastAsia="zh-CN"/>
                    </w:rPr>
                  </w:pPr>
                  <w:r>
                    <w:rPr>
                      <w:rFonts w:hint="eastAsia" w:cs="宋体"/>
                      <w:color w:val="0000FF"/>
                      <w:sz w:val="21"/>
                      <w:szCs w:val="21"/>
                      <w:lang w:val="en-US" w:eastAsia="zh-CN"/>
                    </w:rPr>
                    <w:t>D1</w:t>
                  </w:r>
                </w:p>
              </w:tc>
              <w:tc>
                <w:tcPr>
                  <w:tcW w:w="845" w:type="pct"/>
                  <w:tcBorders>
                    <w:tl2br w:val="nil"/>
                    <w:tr2bl w:val="nil"/>
                  </w:tcBorders>
                  <w:vAlign w:val="center"/>
                </w:tcPr>
                <w:p w14:paraId="1F2C255A">
                  <w:pPr>
                    <w:jc w:val="center"/>
                    <w:rPr>
                      <w:rFonts w:hint="eastAsia" w:cs="宋体"/>
                      <w:color w:val="0000FF"/>
                      <w:sz w:val="21"/>
                      <w:szCs w:val="21"/>
                      <w:lang w:val="en-US" w:eastAsia="zh-CN"/>
                    </w:rPr>
                  </w:pPr>
                  <w:r>
                    <w:rPr>
                      <w:rFonts w:hint="eastAsia" w:cs="宋体"/>
                      <w:color w:val="0000FF"/>
                      <w:sz w:val="21"/>
                      <w:szCs w:val="21"/>
                      <w:lang w:val="en-US" w:eastAsia="zh-CN"/>
                    </w:rPr>
                    <w:t>项目区仓库</w:t>
                  </w:r>
                </w:p>
              </w:tc>
              <w:tc>
                <w:tcPr>
                  <w:tcW w:w="478" w:type="pct"/>
                  <w:tcBorders>
                    <w:tl2br w:val="nil"/>
                    <w:tr2bl w:val="nil"/>
                  </w:tcBorders>
                  <w:vAlign w:val="center"/>
                </w:tcPr>
                <w:p w14:paraId="7BA1AA3C">
                  <w:pPr>
                    <w:jc w:val="center"/>
                    <w:rPr>
                      <w:rFonts w:hint="eastAsia" w:cs="宋体"/>
                      <w:color w:val="0000FF"/>
                      <w:sz w:val="21"/>
                      <w:szCs w:val="21"/>
                      <w:lang w:val="en-US" w:eastAsia="zh-CN"/>
                    </w:rPr>
                  </w:pPr>
                  <w:r>
                    <w:rPr>
                      <w:rFonts w:hint="eastAsia" w:cs="宋体"/>
                      <w:color w:val="0000FF"/>
                      <w:sz w:val="21"/>
                      <w:szCs w:val="21"/>
                      <w:lang w:val="en-US" w:eastAsia="zh-CN"/>
                    </w:rPr>
                    <w:t>/</w:t>
                  </w:r>
                </w:p>
              </w:tc>
              <w:tc>
                <w:tcPr>
                  <w:tcW w:w="691" w:type="pct"/>
                  <w:tcBorders>
                    <w:tl2br w:val="nil"/>
                    <w:tr2bl w:val="nil"/>
                  </w:tcBorders>
                  <w:vAlign w:val="center"/>
                </w:tcPr>
                <w:p w14:paraId="040CB703">
                  <w:pPr>
                    <w:jc w:val="center"/>
                    <w:rPr>
                      <w:rFonts w:hint="eastAsia" w:cs="宋体"/>
                      <w:color w:val="0000FF"/>
                      <w:sz w:val="21"/>
                      <w:szCs w:val="21"/>
                      <w:lang w:val="en-US" w:eastAsia="zh-CN"/>
                    </w:rPr>
                  </w:pPr>
                  <w:r>
                    <w:rPr>
                      <w:rFonts w:hint="eastAsia" w:cs="宋体"/>
                      <w:color w:val="0000FF"/>
                      <w:sz w:val="21"/>
                      <w:szCs w:val="21"/>
                      <w:lang w:val="en-US" w:eastAsia="zh-CN"/>
                    </w:rPr>
                    <w:t>/</w:t>
                  </w:r>
                </w:p>
              </w:tc>
              <w:tc>
                <w:tcPr>
                  <w:tcW w:w="2522" w:type="pct"/>
                  <w:vMerge w:val="restart"/>
                  <w:tcBorders>
                    <w:tl2br w:val="nil"/>
                    <w:tr2bl w:val="nil"/>
                  </w:tcBorders>
                  <w:vAlign w:val="center"/>
                </w:tcPr>
                <w:p w14:paraId="76D5A143">
                  <w:pPr>
                    <w:jc w:val="center"/>
                    <w:rPr>
                      <w:rFonts w:hint="eastAsia" w:cs="宋体"/>
                      <w:color w:val="0000FF"/>
                      <w:sz w:val="21"/>
                      <w:szCs w:val="21"/>
                      <w:lang w:val="en-US" w:eastAsia="zh-CN"/>
                    </w:rPr>
                  </w:pPr>
                  <w:r>
                    <w:rPr>
                      <w:rFonts w:hint="eastAsia" w:cs="Times New Roman"/>
                      <w:color w:val="0000FF"/>
                      <w:sz w:val="21"/>
                      <w:szCs w:val="21"/>
                    </w:rPr>
                    <w:t>K</w:t>
                  </w:r>
                  <w:r>
                    <w:rPr>
                      <w:rFonts w:hint="eastAsia" w:cs="Times New Roman"/>
                      <w:color w:val="0000FF"/>
                      <w:sz w:val="21"/>
                      <w:szCs w:val="21"/>
                      <w:vertAlign w:val="superscript"/>
                    </w:rPr>
                    <w:t>+</w:t>
                  </w:r>
                  <w:r>
                    <w:rPr>
                      <w:rFonts w:hint="eastAsia" w:cs="Times New Roman"/>
                      <w:color w:val="0000FF"/>
                      <w:sz w:val="21"/>
                      <w:szCs w:val="21"/>
                    </w:rPr>
                    <w:t>、Na</w:t>
                  </w:r>
                  <w:r>
                    <w:rPr>
                      <w:rFonts w:hint="eastAsia" w:cs="Times New Roman"/>
                      <w:color w:val="0000FF"/>
                      <w:sz w:val="21"/>
                      <w:szCs w:val="21"/>
                      <w:vertAlign w:val="superscript"/>
                    </w:rPr>
                    <w:t>+</w:t>
                  </w:r>
                  <w:r>
                    <w:rPr>
                      <w:rFonts w:hint="eastAsia" w:cs="Times New Roman"/>
                      <w:color w:val="0000FF"/>
                      <w:sz w:val="21"/>
                      <w:szCs w:val="21"/>
                    </w:rPr>
                    <w:t>、Ca</w:t>
                  </w:r>
                  <w:r>
                    <w:rPr>
                      <w:rFonts w:hint="eastAsia" w:cs="Times New Roman"/>
                      <w:color w:val="0000FF"/>
                      <w:sz w:val="21"/>
                      <w:szCs w:val="21"/>
                      <w:vertAlign w:val="superscript"/>
                    </w:rPr>
                    <w:t>2+</w:t>
                  </w:r>
                  <w:r>
                    <w:rPr>
                      <w:rFonts w:hint="eastAsia" w:cs="Times New Roman"/>
                      <w:color w:val="0000FF"/>
                      <w:sz w:val="21"/>
                      <w:szCs w:val="21"/>
                    </w:rPr>
                    <w:t>、Mg</w:t>
                  </w:r>
                  <w:r>
                    <w:rPr>
                      <w:rFonts w:hint="eastAsia" w:cs="Times New Roman"/>
                      <w:color w:val="0000FF"/>
                      <w:sz w:val="21"/>
                      <w:szCs w:val="21"/>
                      <w:vertAlign w:val="superscript"/>
                    </w:rPr>
                    <w:t>2+</w:t>
                  </w:r>
                  <w:r>
                    <w:rPr>
                      <w:rFonts w:hint="eastAsia" w:cs="Times New Roman"/>
                      <w:color w:val="0000FF"/>
                      <w:sz w:val="21"/>
                      <w:szCs w:val="21"/>
                    </w:rPr>
                    <w:t>、HCO</w:t>
                  </w:r>
                  <w:r>
                    <w:rPr>
                      <w:rFonts w:hint="eastAsia" w:cs="Times New Roman"/>
                      <w:color w:val="0000FF"/>
                      <w:sz w:val="21"/>
                      <w:szCs w:val="21"/>
                      <w:vertAlign w:val="subscript"/>
                    </w:rPr>
                    <w:t>3</w:t>
                  </w:r>
                  <w:r>
                    <w:rPr>
                      <w:rFonts w:hint="eastAsia" w:cs="Times New Roman"/>
                      <w:color w:val="0000FF"/>
                      <w:sz w:val="21"/>
                      <w:szCs w:val="21"/>
                      <w:vertAlign w:val="superscript"/>
                    </w:rPr>
                    <w:t>-</w:t>
                  </w:r>
                  <w:r>
                    <w:rPr>
                      <w:rFonts w:hint="eastAsia" w:cs="Times New Roman"/>
                      <w:color w:val="0000FF"/>
                      <w:sz w:val="21"/>
                      <w:szCs w:val="21"/>
                    </w:rPr>
                    <w:t>、CO</w:t>
                  </w:r>
                  <w:r>
                    <w:rPr>
                      <w:rFonts w:hint="eastAsia" w:cs="Times New Roman"/>
                      <w:color w:val="0000FF"/>
                      <w:sz w:val="21"/>
                      <w:szCs w:val="21"/>
                      <w:vertAlign w:val="subscript"/>
                    </w:rPr>
                    <w:t>3</w:t>
                  </w:r>
                  <w:r>
                    <w:rPr>
                      <w:rFonts w:hint="eastAsia" w:cs="Times New Roman"/>
                      <w:color w:val="0000FF"/>
                      <w:sz w:val="21"/>
                      <w:szCs w:val="21"/>
                      <w:vertAlign w:val="superscript"/>
                    </w:rPr>
                    <w:t>2-</w:t>
                  </w:r>
                  <w:r>
                    <w:rPr>
                      <w:rFonts w:hint="eastAsia" w:cs="Times New Roman"/>
                      <w:color w:val="0000FF"/>
                      <w:sz w:val="21"/>
                      <w:szCs w:val="21"/>
                    </w:rPr>
                    <w:t>、Cl</w:t>
                  </w:r>
                  <w:r>
                    <w:rPr>
                      <w:rFonts w:hint="eastAsia" w:cs="Times New Roman"/>
                      <w:color w:val="0000FF"/>
                      <w:sz w:val="21"/>
                      <w:szCs w:val="21"/>
                      <w:vertAlign w:val="superscript"/>
                    </w:rPr>
                    <w:t>-</w:t>
                  </w:r>
                  <w:r>
                    <w:rPr>
                      <w:rFonts w:hint="eastAsia" w:cs="Times New Roman"/>
                      <w:color w:val="0000FF"/>
                      <w:sz w:val="21"/>
                      <w:szCs w:val="21"/>
                    </w:rPr>
                    <w:t>、SO</w:t>
                  </w:r>
                  <w:r>
                    <w:rPr>
                      <w:rFonts w:hint="eastAsia" w:cs="Times New Roman"/>
                      <w:color w:val="0000FF"/>
                      <w:sz w:val="21"/>
                      <w:szCs w:val="21"/>
                      <w:vertAlign w:val="subscript"/>
                    </w:rPr>
                    <w:t>4</w:t>
                  </w:r>
                  <w:r>
                    <w:rPr>
                      <w:rFonts w:hint="eastAsia" w:cs="Times New Roman"/>
                      <w:color w:val="0000FF"/>
                      <w:sz w:val="21"/>
                      <w:szCs w:val="21"/>
                      <w:vertAlign w:val="superscript"/>
                    </w:rPr>
                    <w:t>2-</w:t>
                  </w:r>
                  <w:r>
                    <w:rPr>
                      <w:rFonts w:hint="eastAsia" w:cs="Times New Roman"/>
                      <w:color w:val="0000FF"/>
                      <w:sz w:val="21"/>
                      <w:szCs w:val="21"/>
                    </w:rPr>
                    <w:t>、NO</w:t>
                  </w:r>
                  <w:r>
                    <w:rPr>
                      <w:rFonts w:hint="eastAsia" w:cs="Times New Roman"/>
                      <w:color w:val="0000FF"/>
                      <w:sz w:val="21"/>
                      <w:szCs w:val="21"/>
                      <w:vertAlign w:val="subscript"/>
                    </w:rPr>
                    <w:t>3</w:t>
                  </w:r>
                  <w:r>
                    <w:rPr>
                      <w:rFonts w:hint="eastAsia" w:cs="Times New Roman"/>
                      <w:color w:val="0000FF"/>
                      <w:sz w:val="21"/>
                      <w:szCs w:val="21"/>
                      <w:vertAlign w:val="superscript"/>
                    </w:rPr>
                    <w:t>-</w:t>
                  </w:r>
                  <w:r>
                    <w:rPr>
                      <w:rFonts w:hint="eastAsia" w:cs="Times New Roman"/>
                      <w:color w:val="0000FF"/>
                      <w:sz w:val="21"/>
                      <w:szCs w:val="21"/>
                    </w:rPr>
                    <w:t>、pH、</w:t>
                  </w:r>
                  <w:r>
                    <w:rPr>
                      <w:rFonts w:hint="eastAsia" w:cs="宋体"/>
                      <w:color w:val="0000FF"/>
                      <w:sz w:val="21"/>
                      <w:szCs w:val="21"/>
                      <w:lang w:val="en-US" w:eastAsia="zh-CN"/>
                    </w:rPr>
                    <w:t>氨氮、硝酸盐、亚硝酸盐、挥发性酚类、氰化物、砷、汞、六价铬、总硬度、铅、氟化物、镉、铁、锰、溶解性总固体、耗氧量、氯化物、总大肠菌群、细菌总数、铜、镍、钴，同时测量水温及地下水水位水层</w:t>
                  </w:r>
                </w:p>
              </w:tc>
            </w:tr>
            <w:tr w14:paraId="1FBB1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462" w:type="pct"/>
                  <w:tcBorders>
                    <w:tl2br w:val="nil"/>
                    <w:tr2bl w:val="nil"/>
                  </w:tcBorders>
                  <w:vAlign w:val="center"/>
                </w:tcPr>
                <w:p w14:paraId="02EDCD50">
                  <w:pPr>
                    <w:jc w:val="center"/>
                    <w:rPr>
                      <w:rFonts w:hint="eastAsia" w:cs="宋体"/>
                      <w:color w:val="0000FF"/>
                      <w:sz w:val="21"/>
                      <w:szCs w:val="21"/>
                      <w:lang w:val="en-US" w:eastAsia="zh-CN"/>
                    </w:rPr>
                  </w:pPr>
                  <w:r>
                    <w:rPr>
                      <w:rFonts w:hint="eastAsia" w:cs="宋体"/>
                      <w:color w:val="0000FF"/>
                      <w:sz w:val="21"/>
                      <w:szCs w:val="21"/>
                      <w:lang w:val="en-US" w:eastAsia="zh-CN"/>
                    </w:rPr>
                    <w:t>D2</w:t>
                  </w:r>
                </w:p>
              </w:tc>
              <w:tc>
                <w:tcPr>
                  <w:tcW w:w="845" w:type="pct"/>
                  <w:tcBorders>
                    <w:tl2br w:val="nil"/>
                    <w:tr2bl w:val="nil"/>
                  </w:tcBorders>
                  <w:vAlign w:val="center"/>
                </w:tcPr>
                <w:p w14:paraId="77EA2A6F">
                  <w:pPr>
                    <w:jc w:val="center"/>
                    <w:rPr>
                      <w:rFonts w:hint="eastAsia" w:cs="宋体"/>
                      <w:color w:val="0000FF"/>
                      <w:sz w:val="21"/>
                      <w:szCs w:val="21"/>
                      <w:lang w:val="en-US" w:eastAsia="zh-CN"/>
                    </w:rPr>
                  </w:pPr>
                  <w:r>
                    <w:rPr>
                      <w:rFonts w:hint="eastAsia" w:cs="宋体"/>
                      <w:color w:val="0000FF"/>
                      <w:sz w:val="21"/>
                      <w:szCs w:val="21"/>
                      <w:lang w:val="en-US" w:eastAsia="zh-CN"/>
                    </w:rPr>
                    <w:t>高村</w:t>
                  </w:r>
                </w:p>
              </w:tc>
              <w:tc>
                <w:tcPr>
                  <w:tcW w:w="478" w:type="pct"/>
                  <w:tcBorders>
                    <w:tl2br w:val="nil"/>
                    <w:tr2bl w:val="nil"/>
                  </w:tcBorders>
                  <w:vAlign w:val="center"/>
                </w:tcPr>
                <w:p w14:paraId="6D6AE341">
                  <w:pPr>
                    <w:jc w:val="center"/>
                    <w:rPr>
                      <w:rFonts w:hint="eastAsia" w:cs="宋体"/>
                      <w:color w:val="0000FF"/>
                      <w:sz w:val="21"/>
                      <w:szCs w:val="21"/>
                      <w:lang w:val="en-US" w:eastAsia="zh-CN"/>
                    </w:rPr>
                  </w:pPr>
                  <w:r>
                    <w:rPr>
                      <w:rFonts w:hint="eastAsia" w:cs="宋体"/>
                      <w:color w:val="0000FF"/>
                      <w:sz w:val="21"/>
                      <w:szCs w:val="21"/>
                      <w:lang w:val="en-US" w:eastAsia="zh-CN"/>
                    </w:rPr>
                    <w:t>SW</w:t>
                  </w:r>
                </w:p>
              </w:tc>
              <w:tc>
                <w:tcPr>
                  <w:tcW w:w="691" w:type="pct"/>
                  <w:tcBorders>
                    <w:tl2br w:val="nil"/>
                    <w:tr2bl w:val="nil"/>
                  </w:tcBorders>
                  <w:vAlign w:val="center"/>
                </w:tcPr>
                <w:p w14:paraId="389D19FE">
                  <w:pPr>
                    <w:jc w:val="center"/>
                    <w:rPr>
                      <w:rFonts w:hint="eastAsia" w:cs="宋体"/>
                      <w:color w:val="0000FF"/>
                      <w:sz w:val="21"/>
                      <w:szCs w:val="21"/>
                      <w:lang w:val="en-US" w:eastAsia="zh-CN"/>
                    </w:rPr>
                  </w:pPr>
                  <w:r>
                    <w:rPr>
                      <w:rFonts w:hint="eastAsia" w:cs="宋体"/>
                      <w:color w:val="0000FF"/>
                      <w:sz w:val="21"/>
                      <w:szCs w:val="21"/>
                      <w:lang w:val="en-US" w:eastAsia="zh-CN"/>
                    </w:rPr>
                    <w:t>950</w:t>
                  </w:r>
                </w:p>
              </w:tc>
              <w:tc>
                <w:tcPr>
                  <w:tcW w:w="2522" w:type="pct"/>
                  <w:vMerge w:val="continue"/>
                  <w:tcBorders>
                    <w:tl2br w:val="nil"/>
                    <w:tr2bl w:val="nil"/>
                  </w:tcBorders>
                  <w:vAlign w:val="center"/>
                </w:tcPr>
                <w:p w14:paraId="7DFAF5F8">
                  <w:pPr>
                    <w:jc w:val="center"/>
                    <w:rPr>
                      <w:rFonts w:hint="eastAsia" w:cs="宋体"/>
                      <w:color w:val="0000FF"/>
                      <w:sz w:val="21"/>
                      <w:szCs w:val="21"/>
                      <w:lang w:val="en-US" w:eastAsia="zh-CN"/>
                    </w:rPr>
                  </w:pPr>
                </w:p>
              </w:tc>
            </w:tr>
            <w:tr w14:paraId="0091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462" w:type="pct"/>
                  <w:tcBorders>
                    <w:tl2br w:val="nil"/>
                    <w:tr2bl w:val="nil"/>
                  </w:tcBorders>
                  <w:vAlign w:val="center"/>
                </w:tcPr>
                <w:p w14:paraId="6853CCFB">
                  <w:pPr>
                    <w:jc w:val="center"/>
                    <w:rPr>
                      <w:rFonts w:hint="eastAsia" w:cs="宋体"/>
                      <w:color w:val="0000FF"/>
                      <w:sz w:val="21"/>
                      <w:szCs w:val="21"/>
                      <w:lang w:val="en-US" w:eastAsia="zh-CN"/>
                    </w:rPr>
                  </w:pPr>
                  <w:r>
                    <w:rPr>
                      <w:rFonts w:hint="eastAsia" w:cs="宋体"/>
                      <w:color w:val="0000FF"/>
                      <w:sz w:val="21"/>
                      <w:szCs w:val="21"/>
                      <w:lang w:val="en-US" w:eastAsia="zh-CN"/>
                    </w:rPr>
                    <w:t>D3</w:t>
                  </w:r>
                </w:p>
              </w:tc>
              <w:tc>
                <w:tcPr>
                  <w:tcW w:w="845" w:type="pct"/>
                  <w:tcBorders>
                    <w:tl2br w:val="nil"/>
                    <w:tr2bl w:val="nil"/>
                  </w:tcBorders>
                  <w:vAlign w:val="center"/>
                </w:tcPr>
                <w:p w14:paraId="71EBA66D">
                  <w:pPr>
                    <w:jc w:val="center"/>
                    <w:rPr>
                      <w:rFonts w:hint="eastAsia" w:cs="宋体"/>
                      <w:color w:val="0000FF"/>
                      <w:sz w:val="21"/>
                      <w:szCs w:val="21"/>
                      <w:lang w:val="en-US" w:eastAsia="zh-CN"/>
                    </w:rPr>
                  </w:pPr>
                  <w:r>
                    <w:rPr>
                      <w:rFonts w:hint="eastAsia" w:cs="宋体"/>
                      <w:color w:val="0000FF"/>
                      <w:sz w:val="21"/>
                      <w:szCs w:val="21"/>
                      <w:lang w:val="en-US" w:eastAsia="zh-CN"/>
                    </w:rPr>
                    <w:t>安置小区</w:t>
                  </w:r>
                </w:p>
              </w:tc>
              <w:tc>
                <w:tcPr>
                  <w:tcW w:w="478" w:type="pct"/>
                  <w:tcBorders>
                    <w:tl2br w:val="nil"/>
                    <w:tr2bl w:val="nil"/>
                  </w:tcBorders>
                  <w:vAlign w:val="center"/>
                </w:tcPr>
                <w:p w14:paraId="785C9D5A">
                  <w:pPr>
                    <w:jc w:val="center"/>
                    <w:rPr>
                      <w:rFonts w:hint="eastAsia" w:cs="宋体"/>
                      <w:color w:val="0000FF"/>
                      <w:sz w:val="21"/>
                      <w:szCs w:val="21"/>
                      <w:lang w:val="en-US" w:eastAsia="zh-CN"/>
                    </w:rPr>
                  </w:pPr>
                  <w:r>
                    <w:rPr>
                      <w:rFonts w:hint="eastAsia" w:cs="宋体"/>
                      <w:color w:val="0000FF"/>
                      <w:sz w:val="21"/>
                      <w:szCs w:val="21"/>
                      <w:lang w:val="en-US" w:eastAsia="zh-CN"/>
                    </w:rPr>
                    <w:t>E</w:t>
                  </w:r>
                </w:p>
              </w:tc>
              <w:tc>
                <w:tcPr>
                  <w:tcW w:w="691" w:type="pct"/>
                  <w:tcBorders>
                    <w:tl2br w:val="nil"/>
                    <w:tr2bl w:val="nil"/>
                  </w:tcBorders>
                  <w:vAlign w:val="center"/>
                </w:tcPr>
                <w:p w14:paraId="140D8C58">
                  <w:pPr>
                    <w:jc w:val="center"/>
                    <w:rPr>
                      <w:rFonts w:hint="eastAsia" w:cs="宋体"/>
                      <w:color w:val="0000FF"/>
                      <w:sz w:val="21"/>
                      <w:szCs w:val="21"/>
                      <w:lang w:val="en-US" w:eastAsia="zh-CN"/>
                    </w:rPr>
                  </w:pPr>
                  <w:r>
                    <w:rPr>
                      <w:rFonts w:hint="eastAsia" w:cs="宋体"/>
                      <w:color w:val="0000FF"/>
                      <w:sz w:val="21"/>
                      <w:szCs w:val="21"/>
                      <w:lang w:val="en-US" w:eastAsia="zh-CN"/>
                    </w:rPr>
                    <w:t>630</w:t>
                  </w:r>
                </w:p>
              </w:tc>
              <w:tc>
                <w:tcPr>
                  <w:tcW w:w="2522" w:type="pct"/>
                  <w:vMerge w:val="continue"/>
                  <w:tcBorders>
                    <w:tl2br w:val="nil"/>
                    <w:tr2bl w:val="nil"/>
                  </w:tcBorders>
                  <w:vAlign w:val="center"/>
                </w:tcPr>
                <w:p w14:paraId="66CDCF2D">
                  <w:pPr>
                    <w:jc w:val="center"/>
                    <w:rPr>
                      <w:rFonts w:hint="eastAsia" w:cs="宋体"/>
                      <w:color w:val="0000FF"/>
                      <w:sz w:val="21"/>
                      <w:szCs w:val="21"/>
                      <w:lang w:val="en-US" w:eastAsia="zh-CN"/>
                    </w:rPr>
                  </w:pPr>
                </w:p>
              </w:tc>
            </w:tr>
            <w:tr w14:paraId="3EEF9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462" w:type="pct"/>
                  <w:tcBorders>
                    <w:tl2br w:val="nil"/>
                    <w:tr2bl w:val="nil"/>
                  </w:tcBorders>
                  <w:vAlign w:val="center"/>
                </w:tcPr>
                <w:p w14:paraId="7987E46B">
                  <w:pPr>
                    <w:jc w:val="center"/>
                    <w:rPr>
                      <w:rFonts w:hint="eastAsia" w:cs="宋体"/>
                      <w:color w:val="0000FF"/>
                      <w:sz w:val="21"/>
                      <w:szCs w:val="21"/>
                      <w:lang w:val="en-US" w:eastAsia="zh-CN"/>
                    </w:rPr>
                  </w:pPr>
                  <w:r>
                    <w:rPr>
                      <w:rFonts w:hint="eastAsia" w:cs="宋体"/>
                      <w:color w:val="0000FF"/>
                      <w:sz w:val="21"/>
                      <w:szCs w:val="21"/>
                      <w:lang w:val="en-US" w:eastAsia="zh-CN"/>
                    </w:rPr>
                    <w:t>D4</w:t>
                  </w:r>
                </w:p>
              </w:tc>
              <w:tc>
                <w:tcPr>
                  <w:tcW w:w="845" w:type="pct"/>
                  <w:tcBorders>
                    <w:tl2br w:val="nil"/>
                    <w:tr2bl w:val="nil"/>
                  </w:tcBorders>
                  <w:vAlign w:val="center"/>
                </w:tcPr>
                <w:p w14:paraId="6D52D368">
                  <w:pPr>
                    <w:jc w:val="center"/>
                    <w:rPr>
                      <w:rFonts w:hint="eastAsia" w:cs="宋体"/>
                      <w:color w:val="0000FF"/>
                      <w:sz w:val="21"/>
                      <w:szCs w:val="21"/>
                      <w:lang w:val="en-US" w:eastAsia="zh-CN"/>
                    </w:rPr>
                  </w:pPr>
                  <w:r>
                    <w:rPr>
                      <w:rFonts w:hint="eastAsia" w:cs="宋体"/>
                      <w:color w:val="0000FF"/>
                      <w:sz w:val="21"/>
                      <w:szCs w:val="21"/>
                      <w:lang w:val="en-US" w:eastAsia="zh-CN"/>
                    </w:rPr>
                    <w:t>滂汪村</w:t>
                  </w:r>
                </w:p>
              </w:tc>
              <w:tc>
                <w:tcPr>
                  <w:tcW w:w="478" w:type="pct"/>
                  <w:tcBorders>
                    <w:tl2br w:val="nil"/>
                    <w:tr2bl w:val="nil"/>
                  </w:tcBorders>
                  <w:vAlign w:val="center"/>
                </w:tcPr>
                <w:p w14:paraId="1D852FCC">
                  <w:pPr>
                    <w:jc w:val="center"/>
                    <w:rPr>
                      <w:rFonts w:hint="eastAsia" w:cs="宋体"/>
                      <w:color w:val="0000FF"/>
                      <w:sz w:val="21"/>
                      <w:szCs w:val="21"/>
                      <w:lang w:val="en-US" w:eastAsia="zh-CN"/>
                    </w:rPr>
                  </w:pPr>
                  <w:r>
                    <w:rPr>
                      <w:rFonts w:hint="eastAsia" w:cs="宋体"/>
                      <w:color w:val="0000FF"/>
                      <w:sz w:val="21"/>
                      <w:szCs w:val="21"/>
                      <w:lang w:val="en-US" w:eastAsia="zh-CN"/>
                    </w:rPr>
                    <w:t>SE</w:t>
                  </w:r>
                </w:p>
              </w:tc>
              <w:tc>
                <w:tcPr>
                  <w:tcW w:w="691" w:type="pct"/>
                  <w:tcBorders>
                    <w:tl2br w:val="nil"/>
                    <w:tr2bl w:val="nil"/>
                  </w:tcBorders>
                  <w:vAlign w:val="center"/>
                </w:tcPr>
                <w:p w14:paraId="1987780F">
                  <w:pPr>
                    <w:jc w:val="center"/>
                    <w:rPr>
                      <w:rFonts w:hint="eastAsia" w:cs="宋体"/>
                      <w:color w:val="0000FF"/>
                      <w:sz w:val="21"/>
                      <w:szCs w:val="21"/>
                      <w:lang w:val="en-US" w:eastAsia="zh-CN"/>
                    </w:rPr>
                  </w:pPr>
                  <w:r>
                    <w:rPr>
                      <w:rFonts w:hint="eastAsia" w:cs="宋体"/>
                      <w:color w:val="0000FF"/>
                      <w:sz w:val="21"/>
                      <w:szCs w:val="21"/>
                      <w:lang w:val="en-US" w:eastAsia="zh-CN"/>
                    </w:rPr>
                    <w:t>410</w:t>
                  </w:r>
                </w:p>
              </w:tc>
              <w:tc>
                <w:tcPr>
                  <w:tcW w:w="2522" w:type="pct"/>
                  <w:vMerge w:val="restart"/>
                  <w:tcBorders>
                    <w:tl2br w:val="nil"/>
                    <w:tr2bl w:val="nil"/>
                  </w:tcBorders>
                  <w:vAlign w:val="center"/>
                </w:tcPr>
                <w:p w14:paraId="7D158DD8">
                  <w:pPr>
                    <w:jc w:val="center"/>
                    <w:rPr>
                      <w:rFonts w:hint="eastAsia" w:cs="宋体"/>
                      <w:color w:val="0000FF"/>
                      <w:sz w:val="21"/>
                      <w:szCs w:val="21"/>
                      <w:lang w:val="en-US" w:eastAsia="zh-CN"/>
                    </w:rPr>
                  </w:pPr>
                  <w:r>
                    <w:rPr>
                      <w:rFonts w:hint="eastAsia" w:cs="宋体"/>
                      <w:color w:val="0000FF"/>
                      <w:sz w:val="21"/>
                      <w:szCs w:val="21"/>
                      <w:lang w:val="en-US" w:eastAsia="zh-CN"/>
                    </w:rPr>
                    <w:t>水位</w:t>
                  </w:r>
                </w:p>
              </w:tc>
            </w:tr>
            <w:tr w14:paraId="65DD5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462" w:type="pct"/>
                  <w:tcBorders>
                    <w:tl2br w:val="nil"/>
                    <w:tr2bl w:val="nil"/>
                  </w:tcBorders>
                  <w:vAlign w:val="center"/>
                </w:tcPr>
                <w:p w14:paraId="07DCBBC5">
                  <w:pPr>
                    <w:jc w:val="center"/>
                    <w:rPr>
                      <w:rFonts w:hint="eastAsia" w:cs="宋体"/>
                      <w:color w:val="0000FF"/>
                      <w:sz w:val="21"/>
                      <w:szCs w:val="21"/>
                      <w:lang w:val="en-US" w:eastAsia="zh-CN"/>
                    </w:rPr>
                  </w:pPr>
                  <w:r>
                    <w:rPr>
                      <w:rFonts w:hint="eastAsia" w:cs="宋体"/>
                      <w:color w:val="0000FF"/>
                      <w:sz w:val="21"/>
                      <w:szCs w:val="21"/>
                      <w:lang w:val="en-US" w:eastAsia="zh-CN"/>
                    </w:rPr>
                    <w:t>D5</w:t>
                  </w:r>
                </w:p>
              </w:tc>
              <w:tc>
                <w:tcPr>
                  <w:tcW w:w="845" w:type="pct"/>
                  <w:tcBorders>
                    <w:tl2br w:val="nil"/>
                    <w:tr2bl w:val="nil"/>
                  </w:tcBorders>
                  <w:vAlign w:val="center"/>
                </w:tcPr>
                <w:p w14:paraId="3A1C3202">
                  <w:pPr>
                    <w:jc w:val="center"/>
                    <w:rPr>
                      <w:rFonts w:hint="eastAsia" w:cs="宋体"/>
                      <w:color w:val="0000FF"/>
                      <w:sz w:val="21"/>
                      <w:szCs w:val="21"/>
                      <w:lang w:val="en-US" w:eastAsia="zh-CN"/>
                    </w:rPr>
                  </w:pPr>
                  <w:r>
                    <w:rPr>
                      <w:rFonts w:hint="eastAsia" w:cs="宋体"/>
                      <w:color w:val="0000FF"/>
                      <w:sz w:val="21"/>
                      <w:szCs w:val="21"/>
                      <w:lang w:val="en-US" w:eastAsia="zh-CN"/>
                    </w:rPr>
                    <w:t>簸箕洼</w:t>
                  </w:r>
                </w:p>
              </w:tc>
              <w:tc>
                <w:tcPr>
                  <w:tcW w:w="478" w:type="pct"/>
                  <w:tcBorders>
                    <w:tl2br w:val="nil"/>
                    <w:tr2bl w:val="nil"/>
                  </w:tcBorders>
                  <w:vAlign w:val="center"/>
                </w:tcPr>
                <w:p w14:paraId="66B74E77">
                  <w:pPr>
                    <w:jc w:val="center"/>
                    <w:rPr>
                      <w:rFonts w:hint="eastAsia" w:cs="宋体"/>
                      <w:color w:val="0000FF"/>
                      <w:sz w:val="21"/>
                      <w:szCs w:val="21"/>
                      <w:lang w:val="en-US" w:eastAsia="zh-CN"/>
                    </w:rPr>
                  </w:pPr>
                  <w:r>
                    <w:rPr>
                      <w:rFonts w:hint="eastAsia" w:cs="宋体"/>
                      <w:color w:val="0000FF"/>
                      <w:sz w:val="21"/>
                      <w:szCs w:val="21"/>
                      <w:lang w:val="en-US" w:eastAsia="zh-CN"/>
                    </w:rPr>
                    <w:t>N</w:t>
                  </w:r>
                </w:p>
              </w:tc>
              <w:tc>
                <w:tcPr>
                  <w:tcW w:w="691" w:type="pct"/>
                  <w:tcBorders>
                    <w:tl2br w:val="nil"/>
                    <w:tr2bl w:val="nil"/>
                  </w:tcBorders>
                  <w:vAlign w:val="center"/>
                </w:tcPr>
                <w:p w14:paraId="214A1FF9">
                  <w:pPr>
                    <w:jc w:val="center"/>
                    <w:rPr>
                      <w:rFonts w:hint="eastAsia" w:cs="宋体"/>
                      <w:color w:val="0000FF"/>
                      <w:sz w:val="21"/>
                      <w:szCs w:val="21"/>
                      <w:lang w:val="en-US" w:eastAsia="zh-CN"/>
                    </w:rPr>
                  </w:pPr>
                  <w:r>
                    <w:rPr>
                      <w:rFonts w:hint="eastAsia" w:cs="宋体"/>
                      <w:color w:val="0000FF"/>
                      <w:sz w:val="21"/>
                      <w:szCs w:val="21"/>
                      <w:lang w:val="en-US" w:eastAsia="zh-CN"/>
                    </w:rPr>
                    <w:t>460</w:t>
                  </w:r>
                </w:p>
              </w:tc>
              <w:tc>
                <w:tcPr>
                  <w:tcW w:w="2522" w:type="pct"/>
                  <w:vMerge w:val="continue"/>
                  <w:tcBorders>
                    <w:tl2br w:val="nil"/>
                    <w:tr2bl w:val="nil"/>
                  </w:tcBorders>
                  <w:vAlign w:val="center"/>
                </w:tcPr>
                <w:p w14:paraId="33B946C9">
                  <w:pPr>
                    <w:jc w:val="center"/>
                    <w:rPr>
                      <w:rFonts w:hint="eastAsia" w:cs="宋体"/>
                      <w:color w:val="0000FF"/>
                      <w:sz w:val="21"/>
                      <w:szCs w:val="21"/>
                      <w:lang w:val="en-US" w:eastAsia="zh-CN"/>
                    </w:rPr>
                  </w:pPr>
                </w:p>
              </w:tc>
            </w:tr>
            <w:tr w14:paraId="11AD3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462" w:type="pct"/>
                  <w:tcBorders>
                    <w:tl2br w:val="nil"/>
                    <w:tr2bl w:val="nil"/>
                  </w:tcBorders>
                  <w:vAlign w:val="center"/>
                </w:tcPr>
                <w:p w14:paraId="69C3CD6A">
                  <w:pPr>
                    <w:jc w:val="center"/>
                    <w:rPr>
                      <w:rFonts w:hint="eastAsia" w:cs="宋体"/>
                      <w:color w:val="0000FF"/>
                      <w:sz w:val="21"/>
                      <w:szCs w:val="21"/>
                      <w:lang w:val="en-US" w:eastAsia="zh-CN"/>
                    </w:rPr>
                  </w:pPr>
                  <w:r>
                    <w:rPr>
                      <w:rFonts w:hint="eastAsia" w:cs="宋体"/>
                      <w:color w:val="0000FF"/>
                      <w:sz w:val="21"/>
                      <w:szCs w:val="21"/>
                      <w:lang w:val="en-US" w:eastAsia="zh-CN"/>
                    </w:rPr>
                    <w:t>D6</w:t>
                  </w:r>
                </w:p>
              </w:tc>
              <w:tc>
                <w:tcPr>
                  <w:tcW w:w="845" w:type="pct"/>
                  <w:tcBorders>
                    <w:tl2br w:val="nil"/>
                    <w:tr2bl w:val="nil"/>
                  </w:tcBorders>
                  <w:vAlign w:val="center"/>
                </w:tcPr>
                <w:p w14:paraId="17AC587E">
                  <w:pPr>
                    <w:jc w:val="center"/>
                    <w:rPr>
                      <w:rFonts w:hint="eastAsia" w:cs="宋体"/>
                      <w:color w:val="0000FF"/>
                      <w:sz w:val="21"/>
                      <w:szCs w:val="21"/>
                      <w:lang w:val="en-US" w:eastAsia="zh-CN"/>
                    </w:rPr>
                  </w:pPr>
                  <w:r>
                    <w:rPr>
                      <w:rFonts w:hint="eastAsia" w:cs="宋体"/>
                      <w:color w:val="0000FF"/>
                      <w:sz w:val="21"/>
                      <w:szCs w:val="21"/>
                      <w:lang w:val="en-US" w:eastAsia="zh-CN"/>
                    </w:rPr>
                    <w:t>谢庄</w:t>
                  </w:r>
                </w:p>
              </w:tc>
              <w:tc>
                <w:tcPr>
                  <w:tcW w:w="478" w:type="pct"/>
                  <w:tcBorders>
                    <w:tl2br w:val="nil"/>
                    <w:tr2bl w:val="nil"/>
                  </w:tcBorders>
                  <w:vAlign w:val="center"/>
                </w:tcPr>
                <w:p w14:paraId="49CB8C5A">
                  <w:pPr>
                    <w:jc w:val="center"/>
                    <w:rPr>
                      <w:rFonts w:hint="eastAsia" w:cs="宋体"/>
                      <w:color w:val="0000FF"/>
                      <w:sz w:val="21"/>
                      <w:szCs w:val="21"/>
                      <w:lang w:val="en-US" w:eastAsia="zh-CN"/>
                    </w:rPr>
                  </w:pPr>
                  <w:r>
                    <w:rPr>
                      <w:rFonts w:hint="eastAsia" w:cs="宋体"/>
                      <w:color w:val="0000FF"/>
                      <w:sz w:val="21"/>
                      <w:szCs w:val="21"/>
                      <w:lang w:val="en-US" w:eastAsia="zh-CN"/>
                    </w:rPr>
                    <w:t>NE</w:t>
                  </w:r>
                </w:p>
              </w:tc>
              <w:tc>
                <w:tcPr>
                  <w:tcW w:w="691" w:type="pct"/>
                  <w:tcBorders>
                    <w:tl2br w:val="nil"/>
                    <w:tr2bl w:val="nil"/>
                  </w:tcBorders>
                  <w:vAlign w:val="center"/>
                </w:tcPr>
                <w:p w14:paraId="20D4237A">
                  <w:pPr>
                    <w:jc w:val="center"/>
                    <w:rPr>
                      <w:rFonts w:hint="eastAsia" w:cs="宋体"/>
                      <w:color w:val="0000FF"/>
                      <w:sz w:val="21"/>
                      <w:szCs w:val="21"/>
                      <w:lang w:val="en-US" w:eastAsia="zh-CN"/>
                    </w:rPr>
                  </w:pPr>
                  <w:r>
                    <w:rPr>
                      <w:rFonts w:hint="eastAsia" w:cs="宋体"/>
                      <w:color w:val="0000FF"/>
                      <w:sz w:val="21"/>
                      <w:szCs w:val="21"/>
                      <w:lang w:val="en-US" w:eastAsia="zh-CN"/>
                    </w:rPr>
                    <w:t>410</w:t>
                  </w:r>
                </w:p>
              </w:tc>
              <w:tc>
                <w:tcPr>
                  <w:tcW w:w="2522" w:type="pct"/>
                  <w:vMerge w:val="continue"/>
                  <w:tcBorders>
                    <w:tl2br w:val="nil"/>
                    <w:tr2bl w:val="nil"/>
                  </w:tcBorders>
                  <w:vAlign w:val="center"/>
                </w:tcPr>
                <w:p w14:paraId="0561BD71">
                  <w:pPr>
                    <w:jc w:val="center"/>
                    <w:rPr>
                      <w:rFonts w:hint="eastAsia" w:cs="宋体"/>
                      <w:color w:val="0000FF"/>
                      <w:sz w:val="21"/>
                      <w:szCs w:val="21"/>
                      <w:lang w:val="en-US" w:eastAsia="zh-CN"/>
                    </w:rPr>
                  </w:pPr>
                </w:p>
              </w:tc>
            </w:tr>
          </w:tbl>
          <w:p w14:paraId="21AB8364">
            <w:pPr>
              <w:pStyle w:val="3"/>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表</w:t>
            </w:r>
            <w:r>
              <w:rPr>
                <w:rFonts w:hint="eastAsia" w:ascii="Times New Roman" w:hAnsi="Times New Roman" w:cs="Times New Roman"/>
                <w:color w:val="0000FF"/>
                <w:sz w:val="21"/>
                <w:szCs w:val="21"/>
                <w:lang w:val="en-US" w:eastAsia="zh-CN"/>
              </w:rPr>
              <w:t xml:space="preserve">3-7 </w:t>
            </w:r>
            <w:r>
              <w:rPr>
                <w:rFonts w:hint="default" w:ascii="Times New Roman" w:hAnsi="Times New Roman" w:eastAsia="宋体" w:cs="Times New Roman"/>
                <w:color w:val="0000FF"/>
                <w:sz w:val="21"/>
                <w:szCs w:val="21"/>
                <w:lang w:val="en-US" w:eastAsia="zh-CN"/>
              </w:rPr>
              <w:t>地下水环境质量现状监测结果</w:t>
            </w:r>
          </w:p>
          <w:tbl>
            <w:tblPr>
              <w:tblStyle w:val="2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4"/>
              <w:gridCol w:w="1393"/>
              <w:gridCol w:w="971"/>
              <w:gridCol w:w="1306"/>
              <w:gridCol w:w="1289"/>
              <w:gridCol w:w="1328"/>
            </w:tblGrid>
            <w:tr w14:paraId="14797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420" w:type="pct"/>
                  <w:tcBorders>
                    <w:tl2br w:val="nil"/>
                    <w:tr2bl w:val="nil"/>
                  </w:tcBorders>
                  <w:vAlign w:val="center"/>
                </w:tcPr>
                <w:p w14:paraId="4BDC6261">
                  <w:pPr>
                    <w:jc w:val="center"/>
                    <w:rPr>
                      <w:rFonts w:hint="eastAsia" w:cs="宋体"/>
                      <w:color w:val="0000FF"/>
                      <w:sz w:val="21"/>
                      <w:szCs w:val="21"/>
                      <w:lang w:val="en-US" w:eastAsia="zh-CN"/>
                    </w:rPr>
                  </w:pPr>
                  <w:r>
                    <w:rPr>
                      <w:rFonts w:hint="eastAsia" w:cs="宋体"/>
                      <w:color w:val="0000FF"/>
                      <w:sz w:val="21"/>
                      <w:szCs w:val="21"/>
                      <w:lang w:val="en-US" w:eastAsia="zh-CN"/>
                    </w:rPr>
                    <w:t>检测项目</w:t>
                  </w:r>
                </w:p>
              </w:tc>
              <w:tc>
                <w:tcPr>
                  <w:tcW w:w="793" w:type="pct"/>
                  <w:tcBorders>
                    <w:tl2br w:val="nil"/>
                    <w:tr2bl w:val="nil"/>
                  </w:tcBorders>
                  <w:vAlign w:val="center"/>
                </w:tcPr>
                <w:p w14:paraId="60B6EEEA">
                  <w:pPr>
                    <w:jc w:val="center"/>
                    <w:rPr>
                      <w:rFonts w:hint="eastAsia" w:cs="宋体"/>
                      <w:color w:val="0000FF"/>
                      <w:sz w:val="21"/>
                      <w:szCs w:val="21"/>
                      <w:lang w:val="en-US" w:eastAsia="zh-CN"/>
                    </w:rPr>
                  </w:pPr>
                  <w:r>
                    <w:rPr>
                      <w:rFonts w:hint="eastAsia" w:cs="宋体"/>
                      <w:color w:val="0000FF"/>
                      <w:sz w:val="21"/>
                      <w:szCs w:val="21"/>
                      <w:lang w:val="en-US" w:eastAsia="zh-CN"/>
                    </w:rPr>
                    <w:t>单位</w:t>
                  </w:r>
                </w:p>
              </w:tc>
              <w:tc>
                <w:tcPr>
                  <w:tcW w:w="552" w:type="pct"/>
                  <w:tcBorders>
                    <w:tl2br w:val="nil"/>
                    <w:tr2bl w:val="nil"/>
                  </w:tcBorders>
                  <w:vAlign w:val="center"/>
                </w:tcPr>
                <w:p w14:paraId="64F87261">
                  <w:pPr>
                    <w:jc w:val="center"/>
                    <w:rPr>
                      <w:rFonts w:hint="eastAsia" w:cs="宋体"/>
                      <w:color w:val="0000FF"/>
                      <w:sz w:val="21"/>
                      <w:szCs w:val="21"/>
                      <w:lang w:val="en-US" w:eastAsia="zh-CN"/>
                    </w:rPr>
                  </w:pPr>
                  <w:r>
                    <w:rPr>
                      <w:rFonts w:hint="eastAsia" w:cs="宋体"/>
                      <w:color w:val="0000FF"/>
                      <w:sz w:val="21"/>
                      <w:szCs w:val="21"/>
                      <w:lang w:val="en-US" w:eastAsia="zh-CN"/>
                    </w:rPr>
                    <w:t>D1</w:t>
                  </w:r>
                </w:p>
              </w:tc>
              <w:tc>
                <w:tcPr>
                  <w:tcW w:w="743" w:type="pct"/>
                  <w:tcBorders>
                    <w:tl2br w:val="nil"/>
                    <w:tr2bl w:val="nil"/>
                  </w:tcBorders>
                  <w:vAlign w:val="center"/>
                </w:tcPr>
                <w:p w14:paraId="2A48D83E">
                  <w:pPr>
                    <w:jc w:val="center"/>
                    <w:rPr>
                      <w:rFonts w:hint="eastAsia" w:cs="宋体"/>
                      <w:color w:val="0000FF"/>
                      <w:sz w:val="21"/>
                      <w:szCs w:val="21"/>
                      <w:lang w:val="en-US" w:eastAsia="zh-CN"/>
                    </w:rPr>
                  </w:pPr>
                  <w:r>
                    <w:rPr>
                      <w:rFonts w:hint="eastAsia" w:cs="宋体"/>
                      <w:color w:val="0000FF"/>
                      <w:sz w:val="21"/>
                      <w:szCs w:val="21"/>
                      <w:lang w:val="en-US" w:eastAsia="zh-CN"/>
                    </w:rPr>
                    <w:t>D2</w:t>
                  </w:r>
                </w:p>
              </w:tc>
              <w:tc>
                <w:tcPr>
                  <w:tcW w:w="733" w:type="pct"/>
                  <w:tcBorders>
                    <w:tl2br w:val="nil"/>
                    <w:tr2bl w:val="nil"/>
                  </w:tcBorders>
                  <w:vAlign w:val="center"/>
                </w:tcPr>
                <w:p w14:paraId="479C96AB">
                  <w:pPr>
                    <w:jc w:val="center"/>
                    <w:rPr>
                      <w:rFonts w:hint="eastAsia" w:cs="宋体"/>
                      <w:color w:val="0000FF"/>
                      <w:sz w:val="21"/>
                      <w:szCs w:val="21"/>
                      <w:lang w:val="en-US" w:eastAsia="zh-CN"/>
                    </w:rPr>
                  </w:pPr>
                  <w:r>
                    <w:rPr>
                      <w:rFonts w:hint="eastAsia" w:cs="宋体"/>
                      <w:color w:val="0000FF"/>
                      <w:sz w:val="21"/>
                      <w:szCs w:val="21"/>
                      <w:lang w:val="en-US" w:eastAsia="zh-CN"/>
                    </w:rPr>
                    <w:t>D3</w:t>
                  </w:r>
                </w:p>
              </w:tc>
              <w:tc>
                <w:tcPr>
                  <w:tcW w:w="756" w:type="pct"/>
                  <w:tcBorders>
                    <w:tl2br w:val="nil"/>
                    <w:tr2bl w:val="nil"/>
                  </w:tcBorders>
                  <w:vAlign w:val="center"/>
                </w:tcPr>
                <w:p w14:paraId="58642201">
                  <w:pPr>
                    <w:jc w:val="center"/>
                    <w:rPr>
                      <w:rFonts w:hint="eastAsia" w:cs="宋体"/>
                      <w:color w:val="0000FF"/>
                      <w:sz w:val="21"/>
                      <w:szCs w:val="21"/>
                      <w:lang w:val="en-US" w:eastAsia="zh-CN"/>
                    </w:rPr>
                  </w:pPr>
                  <w:r>
                    <w:rPr>
                      <w:rFonts w:hint="eastAsia" w:cs="宋体"/>
                      <w:color w:val="0000FF"/>
                      <w:sz w:val="21"/>
                      <w:szCs w:val="21"/>
                      <w:lang w:val="en-US" w:eastAsia="zh-CN"/>
                    </w:rPr>
                    <w:t>标准值</w:t>
                  </w:r>
                </w:p>
              </w:tc>
            </w:tr>
            <w:tr w14:paraId="10A41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20" w:type="pct"/>
                  <w:tcBorders>
                    <w:tl2br w:val="nil"/>
                    <w:tr2bl w:val="nil"/>
                  </w:tcBorders>
                  <w:vAlign w:val="center"/>
                </w:tcPr>
                <w:p w14:paraId="12072637">
                  <w:pPr>
                    <w:jc w:val="center"/>
                    <w:rPr>
                      <w:rFonts w:hint="eastAsia" w:cs="宋体"/>
                      <w:color w:val="0000FF"/>
                      <w:sz w:val="21"/>
                      <w:szCs w:val="21"/>
                      <w:lang w:val="en-US" w:eastAsia="zh-CN"/>
                    </w:rPr>
                  </w:pPr>
                  <w:r>
                    <w:rPr>
                      <w:rFonts w:hint="eastAsia" w:cs="宋体"/>
                      <w:color w:val="0000FF"/>
                      <w:sz w:val="21"/>
                      <w:szCs w:val="21"/>
                      <w:lang w:val="en-US" w:eastAsia="zh-CN"/>
                    </w:rPr>
                    <w:t>pH</w:t>
                  </w:r>
                </w:p>
              </w:tc>
              <w:tc>
                <w:tcPr>
                  <w:tcW w:w="793" w:type="pct"/>
                  <w:tcBorders>
                    <w:tl2br w:val="nil"/>
                    <w:tr2bl w:val="nil"/>
                  </w:tcBorders>
                  <w:vAlign w:val="center"/>
                </w:tcPr>
                <w:p w14:paraId="3751D197">
                  <w:pPr>
                    <w:jc w:val="center"/>
                    <w:rPr>
                      <w:rFonts w:hint="eastAsia" w:cs="宋体"/>
                      <w:color w:val="0000FF"/>
                      <w:sz w:val="21"/>
                      <w:szCs w:val="21"/>
                      <w:lang w:val="en-US" w:eastAsia="zh-CN"/>
                    </w:rPr>
                  </w:pPr>
                  <w:r>
                    <w:rPr>
                      <w:rFonts w:hint="eastAsia" w:cs="宋体"/>
                      <w:color w:val="0000FF"/>
                      <w:sz w:val="21"/>
                      <w:szCs w:val="21"/>
                      <w:lang w:val="en-US" w:eastAsia="zh-CN"/>
                    </w:rPr>
                    <w:t>无量纲</w:t>
                  </w:r>
                </w:p>
              </w:tc>
              <w:tc>
                <w:tcPr>
                  <w:tcW w:w="552" w:type="pct"/>
                  <w:tcBorders>
                    <w:tl2br w:val="nil"/>
                    <w:tr2bl w:val="nil"/>
                  </w:tcBorders>
                  <w:vAlign w:val="center"/>
                </w:tcPr>
                <w:p w14:paraId="58E25DE1">
                  <w:pPr>
                    <w:jc w:val="center"/>
                    <w:rPr>
                      <w:rFonts w:hint="eastAsia" w:cs="宋体"/>
                      <w:color w:val="0000FF"/>
                      <w:sz w:val="21"/>
                      <w:szCs w:val="21"/>
                      <w:lang w:val="en-US" w:eastAsia="zh-CN"/>
                    </w:rPr>
                  </w:pPr>
                  <w:r>
                    <w:rPr>
                      <w:rFonts w:hint="eastAsia" w:cs="宋体"/>
                      <w:color w:val="0000FF"/>
                      <w:sz w:val="21"/>
                      <w:szCs w:val="21"/>
                      <w:lang w:val="en-US" w:eastAsia="zh-CN"/>
                    </w:rPr>
                    <w:t>7.1</w:t>
                  </w:r>
                </w:p>
              </w:tc>
              <w:tc>
                <w:tcPr>
                  <w:tcW w:w="743" w:type="pct"/>
                  <w:tcBorders>
                    <w:tl2br w:val="nil"/>
                    <w:tr2bl w:val="nil"/>
                  </w:tcBorders>
                  <w:vAlign w:val="center"/>
                </w:tcPr>
                <w:p w14:paraId="7F385A46">
                  <w:pPr>
                    <w:jc w:val="center"/>
                    <w:rPr>
                      <w:rFonts w:hint="eastAsia" w:cs="宋体"/>
                      <w:color w:val="0000FF"/>
                      <w:sz w:val="21"/>
                      <w:szCs w:val="21"/>
                      <w:lang w:val="en-US" w:eastAsia="zh-CN"/>
                    </w:rPr>
                  </w:pPr>
                  <w:r>
                    <w:rPr>
                      <w:rFonts w:hint="eastAsia" w:cs="宋体"/>
                      <w:color w:val="0000FF"/>
                      <w:sz w:val="21"/>
                      <w:szCs w:val="21"/>
                      <w:lang w:val="en-US" w:eastAsia="zh-CN"/>
                    </w:rPr>
                    <w:t>7.3</w:t>
                  </w:r>
                </w:p>
              </w:tc>
              <w:tc>
                <w:tcPr>
                  <w:tcW w:w="733" w:type="pct"/>
                  <w:tcBorders>
                    <w:tl2br w:val="nil"/>
                    <w:tr2bl w:val="nil"/>
                  </w:tcBorders>
                  <w:vAlign w:val="center"/>
                </w:tcPr>
                <w:p w14:paraId="2FEC31F5">
                  <w:pPr>
                    <w:jc w:val="center"/>
                    <w:rPr>
                      <w:rFonts w:hint="eastAsia" w:cs="宋体"/>
                      <w:color w:val="0000FF"/>
                      <w:sz w:val="21"/>
                      <w:szCs w:val="21"/>
                      <w:lang w:val="en-US" w:eastAsia="zh-CN"/>
                    </w:rPr>
                  </w:pPr>
                  <w:r>
                    <w:rPr>
                      <w:rFonts w:hint="eastAsia" w:cs="宋体"/>
                      <w:color w:val="0000FF"/>
                      <w:sz w:val="21"/>
                      <w:szCs w:val="21"/>
                      <w:lang w:val="en-US" w:eastAsia="zh-CN"/>
                    </w:rPr>
                    <w:t>7.0</w:t>
                  </w:r>
                </w:p>
              </w:tc>
              <w:tc>
                <w:tcPr>
                  <w:tcW w:w="756" w:type="pct"/>
                  <w:tcBorders>
                    <w:tl2br w:val="nil"/>
                    <w:tr2bl w:val="nil"/>
                  </w:tcBorders>
                  <w:vAlign w:val="center"/>
                </w:tcPr>
                <w:p w14:paraId="685143D4">
                  <w:pPr>
                    <w:jc w:val="center"/>
                    <w:rPr>
                      <w:rFonts w:hint="eastAsia" w:cs="宋体"/>
                      <w:color w:val="0000FF"/>
                      <w:sz w:val="21"/>
                      <w:szCs w:val="21"/>
                      <w:lang w:val="en-US" w:eastAsia="zh-CN"/>
                    </w:rPr>
                  </w:pPr>
                  <w:r>
                    <w:rPr>
                      <w:rFonts w:hint="eastAsia" w:cs="宋体"/>
                      <w:color w:val="0000FF"/>
                      <w:sz w:val="21"/>
                      <w:szCs w:val="21"/>
                      <w:lang w:val="en-US" w:eastAsia="zh-CN"/>
                    </w:rPr>
                    <w:t>6.5~8.5</w:t>
                  </w:r>
                </w:p>
              </w:tc>
            </w:tr>
            <w:tr w14:paraId="12AC5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20" w:type="pct"/>
                  <w:tcBorders>
                    <w:tl2br w:val="nil"/>
                    <w:tr2bl w:val="nil"/>
                  </w:tcBorders>
                  <w:vAlign w:val="center"/>
                </w:tcPr>
                <w:p w14:paraId="01BECED3">
                  <w:pPr>
                    <w:jc w:val="center"/>
                    <w:rPr>
                      <w:rFonts w:hint="eastAsia" w:cs="宋体"/>
                      <w:color w:val="0000FF"/>
                      <w:sz w:val="21"/>
                      <w:szCs w:val="21"/>
                      <w:lang w:val="en-US" w:eastAsia="zh-CN"/>
                    </w:rPr>
                  </w:pPr>
                  <w:r>
                    <w:rPr>
                      <w:rFonts w:hint="eastAsia" w:cs="宋体"/>
                      <w:color w:val="0000FF"/>
                      <w:sz w:val="21"/>
                      <w:szCs w:val="21"/>
                      <w:lang w:val="en-US" w:eastAsia="zh-CN"/>
                    </w:rPr>
                    <w:t>氨氮</w:t>
                  </w:r>
                </w:p>
              </w:tc>
              <w:tc>
                <w:tcPr>
                  <w:tcW w:w="793" w:type="pct"/>
                  <w:tcBorders>
                    <w:tl2br w:val="nil"/>
                    <w:tr2bl w:val="nil"/>
                  </w:tcBorders>
                  <w:vAlign w:val="center"/>
                </w:tcPr>
                <w:p w14:paraId="101119AC">
                  <w:pPr>
                    <w:jc w:val="center"/>
                    <w:rPr>
                      <w:rFonts w:hint="eastAsia" w:cs="宋体"/>
                      <w:color w:val="0000FF"/>
                      <w:sz w:val="21"/>
                      <w:szCs w:val="21"/>
                      <w:lang w:val="en-US" w:eastAsia="zh-CN"/>
                    </w:rPr>
                  </w:pPr>
                  <w:r>
                    <w:rPr>
                      <w:rFonts w:hint="eastAsia" w:cs="宋体"/>
                      <w:color w:val="0000FF"/>
                      <w:sz w:val="21"/>
                      <w:szCs w:val="21"/>
                      <w:lang w:val="en-US" w:eastAsia="zh-CN"/>
                    </w:rPr>
                    <w:t>mg/L</w:t>
                  </w:r>
                </w:p>
              </w:tc>
              <w:tc>
                <w:tcPr>
                  <w:tcW w:w="552" w:type="pct"/>
                  <w:tcBorders>
                    <w:tl2br w:val="nil"/>
                    <w:tr2bl w:val="nil"/>
                  </w:tcBorders>
                  <w:vAlign w:val="center"/>
                </w:tcPr>
                <w:p w14:paraId="7B12849E">
                  <w:pPr>
                    <w:jc w:val="center"/>
                    <w:rPr>
                      <w:rFonts w:hint="eastAsia" w:cs="宋体"/>
                      <w:color w:val="0000FF"/>
                      <w:sz w:val="21"/>
                      <w:szCs w:val="21"/>
                      <w:lang w:val="en-US" w:eastAsia="zh-CN"/>
                    </w:rPr>
                  </w:pPr>
                  <w:r>
                    <w:rPr>
                      <w:rFonts w:hint="eastAsia" w:cs="宋体"/>
                      <w:color w:val="0000FF"/>
                      <w:sz w:val="21"/>
                      <w:szCs w:val="21"/>
                      <w:lang w:val="en-US" w:eastAsia="zh-CN"/>
                    </w:rPr>
                    <w:t>0.143</w:t>
                  </w:r>
                </w:p>
              </w:tc>
              <w:tc>
                <w:tcPr>
                  <w:tcW w:w="743" w:type="pct"/>
                  <w:tcBorders>
                    <w:tl2br w:val="nil"/>
                    <w:tr2bl w:val="nil"/>
                  </w:tcBorders>
                  <w:vAlign w:val="center"/>
                </w:tcPr>
                <w:p w14:paraId="1076ADE4">
                  <w:pPr>
                    <w:jc w:val="center"/>
                    <w:rPr>
                      <w:rFonts w:hint="eastAsia" w:cs="宋体"/>
                      <w:color w:val="0000FF"/>
                      <w:sz w:val="21"/>
                      <w:szCs w:val="21"/>
                      <w:lang w:val="en-US" w:eastAsia="zh-CN"/>
                    </w:rPr>
                  </w:pPr>
                  <w:r>
                    <w:rPr>
                      <w:rFonts w:hint="eastAsia" w:cs="宋体"/>
                      <w:color w:val="0000FF"/>
                      <w:sz w:val="21"/>
                      <w:szCs w:val="21"/>
                      <w:lang w:val="en-US" w:eastAsia="zh-CN"/>
                    </w:rPr>
                    <w:t>0.122</w:t>
                  </w:r>
                </w:p>
              </w:tc>
              <w:tc>
                <w:tcPr>
                  <w:tcW w:w="733" w:type="pct"/>
                  <w:tcBorders>
                    <w:tl2br w:val="nil"/>
                    <w:tr2bl w:val="nil"/>
                  </w:tcBorders>
                  <w:vAlign w:val="center"/>
                </w:tcPr>
                <w:p w14:paraId="33F9CD7C">
                  <w:pPr>
                    <w:jc w:val="center"/>
                    <w:rPr>
                      <w:rFonts w:hint="eastAsia" w:cs="宋体"/>
                      <w:color w:val="0000FF"/>
                      <w:sz w:val="21"/>
                      <w:szCs w:val="21"/>
                      <w:lang w:val="en-US" w:eastAsia="zh-CN"/>
                    </w:rPr>
                  </w:pPr>
                  <w:r>
                    <w:rPr>
                      <w:rFonts w:hint="eastAsia" w:cs="宋体"/>
                      <w:color w:val="0000FF"/>
                      <w:sz w:val="21"/>
                      <w:szCs w:val="21"/>
                      <w:lang w:val="en-US" w:eastAsia="zh-CN"/>
                    </w:rPr>
                    <w:t>0.105</w:t>
                  </w:r>
                </w:p>
              </w:tc>
              <w:tc>
                <w:tcPr>
                  <w:tcW w:w="756" w:type="pct"/>
                  <w:tcBorders>
                    <w:tl2br w:val="nil"/>
                    <w:tr2bl w:val="nil"/>
                  </w:tcBorders>
                  <w:vAlign w:val="center"/>
                </w:tcPr>
                <w:p w14:paraId="7EC97C24">
                  <w:pPr>
                    <w:jc w:val="center"/>
                    <w:rPr>
                      <w:rFonts w:hint="eastAsia" w:cs="宋体"/>
                      <w:color w:val="0000FF"/>
                      <w:sz w:val="21"/>
                      <w:szCs w:val="21"/>
                      <w:lang w:val="en-US" w:eastAsia="zh-CN"/>
                    </w:rPr>
                  </w:pPr>
                  <w:r>
                    <w:rPr>
                      <w:rFonts w:hint="eastAsia" w:cs="宋体"/>
                      <w:color w:val="0000FF"/>
                      <w:sz w:val="21"/>
                      <w:szCs w:val="21"/>
                      <w:lang w:val="en-US" w:eastAsia="zh-CN"/>
                    </w:rPr>
                    <w:t>≤0.50</w:t>
                  </w:r>
                </w:p>
              </w:tc>
            </w:tr>
            <w:tr w14:paraId="713D3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420" w:type="pct"/>
                  <w:tcBorders>
                    <w:tl2br w:val="nil"/>
                    <w:tr2bl w:val="nil"/>
                  </w:tcBorders>
                  <w:vAlign w:val="center"/>
                </w:tcPr>
                <w:p w14:paraId="79694C98">
                  <w:pPr>
                    <w:jc w:val="center"/>
                    <w:rPr>
                      <w:rFonts w:hint="eastAsia" w:cs="宋体"/>
                      <w:color w:val="0000FF"/>
                      <w:sz w:val="21"/>
                      <w:szCs w:val="21"/>
                      <w:lang w:val="en-US" w:eastAsia="zh-CN"/>
                    </w:rPr>
                  </w:pPr>
                  <w:r>
                    <w:rPr>
                      <w:rFonts w:hint="eastAsia" w:cs="宋体"/>
                      <w:color w:val="0000FF"/>
                      <w:sz w:val="21"/>
                      <w:szCs w:val="21"/>
                      <w:lang w:val="en-US" w:eastAsia="zh-CN"/>
                    </w:rPr>
                    <w:t>硝酸盐（以N计）</w:t>
                  </w:r>
                </w:p>
              </w:tc>
              <w:tc>
                <w:tcPr>
                  <w:tcW w:w="793" w:type="pct"/>
                  <w:tcBorders>
                    <w:tl2br w:val="nil"/>
                    <w:tr2bl w:val="nil"/>
                  </w:tcBorders>
                  <w:vAlign w:val="center"/>
                </w:tcPr>
                <w:p w14:paraId="57AC5C74">
                  <w:pPr>
                    <w:jc w:val="center"/>
                    <w:rPr>
                      <w:rFonts w:hint="eastAsia" w:cs="宋体"/>
                      <w:color w:val="0000FF"/>
                      <w:sz w:val="21"/>
                      <w:szCs w:val="21"/>
                      <w:lang w:val="en-US" w:eastAsia="zh-CN"/>
                    </w:rPr>
                  </w:pPr>
                  <w:r>
                    <w:rPr>
                      <w:rFonts w:hint="eastAsia" w:cs="宋体"/>
                      <w:color w:val="0000FF"/>
                      <w:sz w:val="21"/>
                      <w:szCs w:val="21"/>
                      <w:lang w:val="en-US" w:eastAsia="zh-CN"/>
                    </w:rPr>
                    <w:t>mg/L</w:t>
                  </w:r>
                </w:p>
              </w:tc>
              <w:tc>
                <w:tcPr>
                  <w:tcW w:w="552" w:type="pct"/>
                  <w:tcBorders>
                    <w:tl2br w:val="nil"/>
                    <w:tr2bl w:val="nil"/>
                  </w:tcBorders>
                  <w:vAlign w:val="center"/>
                </w:tcPr>
                <w:p w14:paraId="0A63A416">
                  <w:pPr>
                    <w:jc w:val="center"/>
                    <w:rPr>
                      <w:rFonts w:hint="eastAsia" w:cs="宋体"/>
                      <w:color w:val="0000FF"/>
                      <w:sz w:val="21"/>
                      <w:szCs w:val="21"/>
                      <w:lang w:val="en-US" w:eastAsia="zh-CN"/>
                    </w:rPr>
                  </w:pPr>
                  <w:r>
                    <w:rPr>
                      <w:rFonts w:hint="eastAsia" w:cs="宋体"/>
                      <w:color w:val="0000FF"/>
                      <w:sz w:val="21"/>
                      <w:szCs w:val="21"/>
                      <w:lang w:val="en-US" w:eastAsia="zh-CN"/>
                    </w:rPr>
                    <w:t>1.23</w:t>
                  </w:r>
                </w:p>
              </w:tc>
              <w:tc>
                <w:tcPr>
                  <w:tcW w:w="743" w:type="pct"/>
                  <w:tcBorders>
                    <w:tl2br w:val="nil"/>
                    <w:tr2bl w:val="nil"/>
                  </w:tcBorders>
                  <w:vAlign w:val="center"/>
                </w:tcPr>
                <w:p w14:paraId="2B9AA095">
                  <w:pPr>
                    <w:jc w:val="center"/>
                    <w:rPr>
                      <w:rFonts w:hint="eastAsia" w:cs="宋体"/>
                      <w:color w:val="0000FF"/>
                      <w:sz w:val="21"/>
                      <w:szCs w:val="21"/>
                      <w:lang w:val="en-US" w:eastAsia="zh-CN"/>
                    </w:rPr>
                  </w:pPr>
                  <w:r>
                    <w:rPr>
                      <w:rFonts w:hint="eastAsia" w:cs="宋体"/>
                      <w:color w:val="0000FF"/>
                      <w:sz w:val="21"/>
                      <w:szCs w:val="21"/>
                      <w:lang w:val="en-US" w:eastAsia="zh-CN"/>
                    </w:rPr>
                    <w:t>1.48</w:t>
                  </w:r>
                </w:p>
              </w:tc>
              <w:tc>
                <w:tcPr>
                  <w:tcW w:w="733" w:type="pct"/>
                  <w:tcBorders>
                    <w:tl2br w:val="nil"/>
                    <w:tr2bl w:val="nil"/>
                  </w:tcBorders>
                  <w:vAlign w:val="center"/>
                </w:tcPr>
                <w:p w14:paraId="660F3DA2">
                  <w:pPr>
                    <w:jc w:val="center"/>
                    <w:rPr>
                      <w:rFonts w:hint="eastAsia" w:cs="宋体"/>
                      <w:color w:val="0000FF"/>
                      <w:sz w:val="21"/>
                      <w:szCs w:val="21"/>
                      <w:lang w:val="en-US" w:eastAsia="zh-CN"/>
                    </w:rPr>
                  </w:pPr>
                  <w:r>
                    <w:rPr>
                      <w:rFonts w:hint="eastAsia" w:cs="宋体"/>
                      <w:color w:val="0000FF"/>
                      <w:sz w:val="21"/>
                      <w:szCs w:val="21"/>
                      <w:lang w:val="en-US" w:eastAsia="zh-CN"/>
                    </w:rPr>
                    <w:t>0.896</w:t>
                  </w:r>
                </w:p>
              </w:tc>
              <w:tc>
                <w:tcPr>
                  <w:tcW w:w="756" w:type="pct"/>
                  <w:tcBorders>
                    <w:tl2br w:val="nil"/>
                    <w:tr2bl w:val="nil"/>
                  </w:tcBorders>
                  <w:vAlign w:val="center"/>
                </w:tcPr>
                <w:p w14:paraId="5DCF3550">
                  <w:pPr>
                    <w:jc w:val="center"/>
                    <w:rPr>
                      <w:rFonts w:hint="eastAsia" w:cs="宋体"/>
                      <w:color w:val="0000FF"/>
                      <w:sz w:val="21"/>
                      <w:szCs w:val="21"/>
                      <w:lang w:val="en-US" w:eastAsia="zh-CN"/>
                    </w:rPr>
                  </w:pPr>
                  <w:r>
                    <w:rPr>
                      <w:rFonts w:hint="eastAsia" w:cs="宋体"/>
                      <w:color w:val="0000FF"/>
                      <w:sz w:val="21"/>
                      <w:szCs w:val="21"/>
                      <w:lang w:val="en-US" w:eastAsia="zh-CN"/>
                    </w:rPr>
                    <w:t>≤20</w:t>
                  </w:r>
                </w:p>
              </w:tc>
            </w:tr>
            <w:tr w14:paraId="2D8FB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420" w:type="pct"/>
                  <w:tcBorders>
                    <w:tl2br w:val="nil"/>
                    <w:tr2bl w:val="nil"/>
                  </w:tcBorders>
                  <w:vAlign w:val="center"/>
                </w:tcPr>
                <w:p w14:paraId="548AB3E2">
                  <w:pPr>
                    <w:jc w:val="center"/>
                    <w:rPr>
                      <w:rFonts w:hint="eastAsia" w:cs="宋体"/>
                      <w:color w:val="0000FF"/>
                      <w:sz w:val="21"/>
                      <w:szCs w:val="21"/>
                      <w:lang w:val="en-US" w:eastAsia="zh-CN"/>
                    </w:rPr>
                  </w:pPr>
                  <w:r>
                    <w:rPr>
                      <w:rFonts w:hint="eastAsia" w:cs="宋体"/>
                      <w:color w:val="0000FF"/>
                      <w:sz w:val="21"/>
                      <w:szCs w:val="21"/>
                      <w:lang w:val="en-US" w:eastAsia="zh-CN"/>
                    </w:rPr>
                    <w:t>亚硝酸盐（以N计）</w:t>
                  </w:r>
                </w:p>
              </w:tc>
              <w:tc>
                <w:tcPr>
                  <w:tcW w:w="793" w:type="pct"/>
                  <w:tcBorders>
                    <w:tl2br w:val="nil"/>
                    <w:tr2bl w:val="nil"/>
                  </w:tcBorders>
                  <w:vAlign w:val="center"/>
                </w:tcPr>
                <w:p w14:paraId="6823D411">
                  <w:pPr>
                    <w:jc w:val="center"/>
                    <w:rPr>
                      <w:rFonts w:hint="eastAsia" w:cs="宋体"/>
                      <w:color w:val="0000FF"/>
                      <w:sz w:val="21"/>
                      <w:szCs w:val="21"/>
                      <w:lang w:val="en-US" w:eastAsia="zh-CN"/>
                    </w:rPr>
                  </w:pPr>
                  <w:r>
                    <w:rPr>
                      <w:rFonts w:hint="eastAsia" w:cs="宋体"/>
                      <w:color w:val="0000FF"/>
                      <w:sz w:val="21"/>
                      <w:szCs w:val="21"/>
                      <w:lang w:val="en-US" w:eastAsia="zh-CN"/>
                    </w:rPr>
                    <w:t>mg/L</w:t>
                  </w:r>
                </w:p>
              </w:tc>
              <w:tc>
                <w:tcPr>
                  <w:tcW w:w="552" w:type="pct"/>
                  <w:tcBorders>
                    <w:tl2br w:val="nil"/>
                    <w:tr2bl w:val="nil"/>
                  </w:tcBorders>
                  <w:vAlign w:val="center"/>
                </w:tcPr>
                <w:p w14:paraId="418B90C1">
                  <w:pPr>
                    <w:jc w:val="center"/>
                    <w:rPr>
                      <w:rFonts w:hint="eastAsia" w:cs="宋体"/>
                      <w:color w:val="0000FF"/>
                      <w:sz w:val="21"/>
                      <w:szCs w:val="21"/>
                      <w:lang w:val="en-US" w:eastAsia="zh-CN"/>
                    </w:rPr>
                  </w:pPr>
                  <w:r>
                    <w:rPr>
                      <w:rFonts w:hint="eastAsia" w:cs="宋体"/>
                      <w:color w:val="0000FF"/>
                      <w:sz w:val="21"/>
                      <w:szCs w:val="21"/>
                      <w:lang w:val="en-US" w:eastAsia="zh-CN"/>
                    </w:rPr>
                    <w:t>0.005 L</w:t>
                  </w:r>
                </w:p>
              </w:tc>
              <w:tc>
                <w:tcPr>
                  <w:tcW w:w="743" w:type="pct"/>
                  <w:tcBorders>
                    <w:tl2br w:val="nil"/>
                    <w:tr2bl w:val="nil"/>
                  </w:tcBorders>
                  <w:vAlign w:val="center"/>
                </w:tcPr>
                <w:p w14:paraId="223D0A44">
                  <w:pPr>
                    <w:jc w:val="center"/>
                    <w:rPr>
                      <w:rFonts w:hint="eastAsia" w:cs="宋体"/>
                      <w:color w:val="0000FF"/>
                      <w:sz w:val="21"/>
                      <w:szCs w:val="21"/>
                      <w:lang w:val="en-US" w:eastAsia="zh-CN"/>
                    </w:rPr>
                  </w:pPr>
                  <w:r>
                    <w:rPr>
                      <w:rFonts w:hint="eastAsia" w:cs="宋体"/>
                      <w:color w:val="0000FF"/>
                      <w:sz w:val="21"/>
                      <w:szCs w:val="21"/>
                      <w:lang w:val="en-US" w:eastAsia="zh-CN"/>
                    </w:rPr>
                    <w:t>0.005 L</w:t>
                  </w:r>
                </w:p>
              </w:tc>
              <w:tc>
                <w:tcPr>
                  <w:tcW w:w="733" w:type="pct"/>
                  <w:tcBorders>
                    <w:tl2br w:val="nil"/>
                    <w:tr2bl w:val="nil"/>
                  </w:tcBorders>
                  <w:vAlign w:val="center"/>
                </w:tcPr>
                <w:p w14:paraId="1ABF977D">
                  <w:pPr>
                    <w:jc w:val="center"/>
                    <w:rPr>
                      <w:rFonts w:hint="eastAsia" w:cs="宋体"/>
                      <w:color w:val="0000FF"/>
                      <w:sz w:val="21"/>
                      <w:szCs w:val="21"/>
                      <w:lang w:val="en-US" w:eastAsia="zh-CN"/>
                    </w:rPr>
                  </w:pPr>
                  <w:r>
                    <w:rPr>
                      <w:rFonts w:hint="eastAsia" w:cs="宋体"/>
                      <w:color w:val="0000FF"/>
                      <w:sz w:val="21"/>
                      <w:szCs w:val="21"/>
                      <w:lang w:val="en-US" w:eastAsia="zh-CN"/>
                    </w:rPr>
                    <w:t>0.005 L</w:t>
                  </w:r>
                </w:p>
              </w:tc>
              <w:tc>
                <w:tcPr>
                  <w:tcW w:w="756" w:type="pct"/>
                  <w:tcBorders>
                    <w:tl2br w:val="nil"/>
                    <w:tr2bl w:val="nil"/>
                  </w:tcBorders>
                  <w:vAlign w:val="center"/>
                </w:tcPr>
                <w:p w14:paraId="36852957">
                  <w:pPr>
                    <w:jc w:val="center"/>
                    <w:rPr>
                      <w:rFonts w:hint="eastAsia" w:cs="宋体"/>
                      <w:color w:val="0000FF"/>
                      <w:sz w:val="21"/>
                      <w:szCs w:val="21"/>
                      <w:lang w:val="en-US" w:eastAsia="zh-CN"/>
                    </w:rPr>
                  </w:pPr>
                  <w:r>
                    <w:rPr>
                      <w:rFonts w:hint="eastAsia" w:cs="宋体"/>
                      <w:color w:val="0000FF"/>
                      <w:sz w:val="21"/>
                      <w:szCs w:val="21"/>
                      <w:lang w:val="en-US" w:eastAsia="zh-CN"/>
                    </w:rPr>
                    <w:t>≤1.00</w:t>
                  </w:r>
                </w:p>
              </w:tc>
            </w:tr>
            <w:tr w14:paraId="162BD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20" w:type="pct"/>
                  <w:tcBorders>
                    <w:tl2br w:val="nil"/>
                    <w:tr2bl w:val="nil"/>
                  </w:tcBorders>
                  <w:vAlign w:val="center"/>
                </w:tcPr>
                <w:p w14:paraId="7CBF54FA">
                  <w:pPr>
                    <w:jc w:val="center"/>
                    <w:rPr>
                      <w:rFonts w:hint="eastAsia" w:cs="宋体"/>
                      <w:color w:val="0000FF"/>
                      <w:sz w:val="21"/>
                      <w:szCs w:val="21"/>
                      <w:lang w:val="en-US" w:eastAsia="zh-CN"/>
                    </w:rPr>
                  </w:pPr>
                  <w:r>
                    <w:rPr>
                      <w:rFonts w:hint="eastAsia" w:cs="宋体"/>
                      <w:color w:val="0000FF"/>
                      <w:sz w:val="21"/>
                      <w:szCs w:val="21"/>
                      <w:lang w:val="en-US" w:eastAsia="zh-CN"/>
                    </w:rPr>
                    <w:t>挥发酚类</w:t>
                  </w:r>
                </w:p>
              </w:tc>
              <w:tc>
                <w:tcPr>
                  <w:tcW w:w="793" w:type="pct"/>
                  <w:tcBorders>
                    <w:tl2br w:val="nil"/>
                    <w:tr2bl w:val="nil"/>
                  </w:tcBorders>
                  <w:vAlign w:val="center"/>
                </w:tcPr>
                <w:p w14:paraId="532BE66B">
                  <w:pPr>
                    <w:jc w:val="center"/>
                    <w:rPr>
                      <w:rFonts w:hint="eastAsia" w:cs="宋体"/>
                      <w:color w:val="0000FF"/>
                      <w:sz w:val="21"/>
                      <w:szCs w:val="21"/>
                      <w:lang w:val="en-US" w:eastAsia="zh-CN"/>
                    </w:rPr>
                  </w:pPr>
                  <w:r>
                    <w:rPr>
                      <w:rFonts w:hint="eastAsia" w:cs="宋体"/>
                      <w:color w:val="0000FF"/>
                      <w:sz w:val="21"/>
                      <w:szCs w:val="21"/>
                      <w:lang w:val="en-US" w:eastAsia="zh-CN"/>
                    </w:rPr>
                    <w:t>mg/L</w:t>
                  </w:r>
                </w:p>
              </w:tc>
              <w:tc>
                <w:tcPr>
                  <w:tcW w:w="552" w:type="pct"/>
                  <w:tcBorders>
                    <w:tl2br w:val="nil"/>
                    <w:tr2bl w:val="nil"/>
                  </w:tcBorders>
                  <w:vAlign w:val="center"/>
                </w:tcPr>
                <w:p w14:paraId="56336A6A">
                  <w:pPr>
                    <w:jc w:val="center"/>
                    <w:rPr>
                      <w:rFonts w:hint="eastAsia" w:cs="宋体"/>
                      <w:color w:val="0000FF"/>
                      <w:sz w:val="21"/>
                      <w:szCs w:val="21"/>
                      <w:lang w:val="en-US" w:eastAsia="zh-CN"/>
                    </w:rPr>
                  </w:pPr>
                  <w:r>
                    <w:rPr>
                      <w:rFonts w:hint="eastAsia" w:cs="宋体"/>
                      <w:color w:val="0000FF"/>
                      <w:sz w:val="21"/>
                      <w:szCs w:val="21"/>
                      <w:lang w:val="en-US" w:eastAsia="zh-CN"/>
                    </w:rPr>
                    <w:t>0.0003 L</w:t>
                  </w:r>
                </w:p>
              </w:tc>
              <w:tc>
                <w:tcPr>
                  <w:tcW w:w="743" w:type="pct"/>
                  <w:tcBorders>
                    <w:tl2br w:val="nil"/>
                    <w:tr2bl w:val="nil"/>
                  </w:tcBorders>
                  <w:vAlign w:val="center"/>
                </w:tcPr>
                <w:p w14:paraId="0D8652A8">
                  <w:pPr>
                    <w:jc w:val="center"/>
                    <w:rPr>
                      <w:rFonts w:hint="eastAsia" w:cs="宋体"/>
                      <w:color w:val="0000FF"/>
                      <w:sz w:val="21"/>
                      <w:szCs w:val="21"/>
                      <w:lang w:val="en-US" w:eastAsia="zh-CN"/>
                    </w:rPr>
                  </w:pPr>
                  <w:r>
                    <w:rPr>
                      <w:rFonts w:hint="eastAsia" w:cs="宋体"/>
                      <w:color w:val="0000FF"/>
                      <w:sz w:val="21"/>
                      <w:szCs w:val="21"/>
                      <w:lang w:val="en-US" w:eastAsia="zh-CN"/>
                    </w:rPr>
                    <w:t>0.0003 L</w:t>
                  </w:r>
                </w:p>
              </w:tc>
              <w:tc>
                <w:tcPr>
                  <w:tcW w:w="733" w:type="pct"/>
                  <w:tcBorders>
                    <w:tl2br w:val="nil"/>
                    <w:tr2bl w:val="nil"/>
                  </w:tcBorders>
                  <w:vAlign w:val="center"/>
                </w:tcPr>
                <w:p w14:paraId="751DAAF4">
                  <w:pPr>
                    <w:jc w:val="center"/>
                    <w:rPr>
                      <w:rFonts w:hint="eastAsia" w:cs="宋体"/>
                      <w:color w:val="0000FF"/>
                      <w:sz w:val="21"/>
                      <w:szCs w:val="21"/>
                      <w:lang w:val="en-US" w:eastAsia="zh-CN"/>
                    </w:rPr>
                  </w:pPr>
                  <w:r>
                    <w:rPr>
                      <w:rFonts w:hint="eastAsia" w:cs="宋体"/>
                      <w:color w:val="0000FF"/>
                      <w:sz w:val="21"/>
                      <w:szCs w:val="21"/>
                      <w:lang w:val="en-US" w:eastAsia="zh-CN"/>
                    </w:rPr>
                    <w:t>0.0003 L</w:t>
                  </w:r>
                </w:p>
              </w:tc>
              <w:tc>
                <w:tcPr>
                  <w:tcW w:w="756" w:type="pct"/>
                  <w:tcBorders>
                    <w:tl2br w:val="nil"/>
                    <w:tr2bl w:val="nil"/>
                  </w:tcBorders>
                  <w:vAlign w:val="center"/>
                </w:tcPr>
                <w:p w14:paraId="01E7015C">
                  <w:pPr>
                    <w:jc w:val="center"/>
                    <w:rPr>
                      <w:rFonts w:hint="eastAsia" w:cs="宋体"/>
                      <w:color w:val="0000FF"/>
                      <w:sz w:val="21"/>
                      <w:szCs w:val="21"/>
                      <w:lang w:val="en-US" w:eastAsia="zh-CN"/>
                    </w:rPr>
                  </w:pPr>
                  <w:r>
                    <w:rPr>
                      <w:rFonts w:hint="eastAsia" w:cs="宋体"/>
                      <w:color w:val="0000FF"/>
                      <w:sz w:val="21"/>
                      <w:szCs w:val="21"/>
                      <w:lang w:val="en-US" w:eastAsia="zh-CN"/>
                    </w:rPr>
                    <w:t>≤0.002</w:t>
                  </w:r>
                </w:p>
              </w:tc>
            </w:tr>
            <w:tr w14:paraId="61B8E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20" w:type="pct"/>
                  <w:tcBorders>
                    <w:tl2br w:val="nil"/>
                    <w:tr2bl w:val="nil"/>
                  </w:tcBorders>
                  <w:vAlign w:val="center"/>
                </w:tcPr>
                <w:p w14:paraId="2BCBD8CC">
                  <w:pPr>
                    <w:jc w:val="center"/>
                    <w:rPr>
                      <w:rFonts w:hint="eastAsia" w:cs="宋体"/>
                      <w:color w:val="0000FF"/>
                      <w:sz w:val="21"/>
                      <w:szCs w:val="21"/>
                      <w:lang w:val="en-US" w:eastAsia="zh-CN"/>
                    </w:rPr>
                  </w:pPr>
                  <w:r>
                    <w:rPr>
                      <w:rFonts w:hint="eastAsia" w:cs="宋体"/>
                      <w:color w:val="0000FF"/>
                      <w:sz w:val="21"/>
                      <w:szCs w:val="21"/>
                      <w:lang w:val="en-US" w:eastAsia="zh-CN"/>
                    </w:rPr>
                    <w:t>氰化物</w:t>
                  </w:r>
                </w:p>
              </w:tc>
              <w:tc>
                <w:tcPr>
                  <w:tcW w:w="793" w:type="pct"/>
                  <w:tcBorders>
                    <w:tl2br w:val="nil"/>
                    <w:tr2bl w:val="nil"/>
                  </w:tcBorders>
                  <w:vAlign w:val="center"/>
                </w:tcPr>
                <w:p w14:paraId="4648E6DF">
                  <w:pPr>
                    <w:jc w:val="center"/>
                    <w:rPr>
                      <w:rFonts w:hint="eastAsia" w:cs="宋体"/>
                      <w:color w:val="0000FF"/>
                      <w:sz w:val="21"/>
                      <w:szCs w:val="21"/>
                      <w:lang w:val="en-US" w:eastAsia="zh-CN"/>
                    </w:rPr>
                  </w:pPr>
                  <w:r>
                    <w:rPr>
                      <w:rFonts w:hint="eastAsia" w:cs="宋体"/>
                      <w:color w:val="0000FF"/>
                      <w:sz w:val="21"/>
                      <w:szCs w:val="21"/>
                      <w:lang w:val="en-US" w:eastAsia="zh-CN"/>
                    </w:rPr>
                    <w:t>mg/L</w:t>
                  </w:r>
                </w:p>
              </w:tc>
              <w:tc>
                <w:tcPr>
                  <w:tcW w:w="552" w:type="pct"/>
                  <w:tcBorders>
                    <w:tl2br w:val="nil"/>
                    <w:tr2bl w:val="nil"/>
                  </w:tcBorders>
                  <w:vAlign w:val="center"/>
                </w:tcPr>
                <w:p w14:paraId="75CDCDE7">
                  <w:pPr>
                    <w:jc w:val="center"/>
                    <w:rPr>
                      <w:rFonts w:hint="eastAsia" w:cs="宋体"/>
                      <w:color w:val="0000FF"/>
                      <w:sz w:val="21"/>
                      <w:szCs w:val="21"/>
                      <w:lang w:val="en-US" w:eastAsia="zh-CN"/>
                    </w:rPr>
                  </w:pPr>
                  <w:r>
                    <w:rPr>
                      <w:rFonts w:hint="eastAsia" w:cs="宋体"/>
                      <w:color w:val="0000FF"/>
                      <w:sz w:val="21"/>
                      <w:szCs w:val="21"/>
                      <w:lang w:val="en-US" w:eastAsia="zh-CN"/>
                    </w:rPr>
                    <w:t>0.004 L</w:t>
                  </w:r>
                </w:p>
              </w:tc>
              <w:tc>
                <w:tcPr>
                  <w:tcW w:w="743" w:type="pct"/>
                  <w:tcBorders>
                    <w:tl2br w:val="nil"/>
                    <w:tr2bl w:val="nil"/>
                  </w:tcBorders>
                  <w:vAlign w:val="center"/>
                </w:tcPr>
                <w:p w14:paraId="73610F66">
                  <w:pPr>
                    <w:jc w:val="center"/>
                    <w:rPr>
                      <w:rFonts w:hint="eastAsia" w:cs="宋体"/>
                      <w:color w:val="0000FF"/>
                      <w:sz w:val="21"/>
                      <w:szCs w:val="21"/>
                      <w:lang w:val="en-US" w:eastAsia="zh-CN"/>
                    </w:rPr>
                  </w:pPr>
                  <w:r>
                    <w:rPr>
                      <w:rFonts w:hint="eastAsia" w:cs="宋体"/>
                      <w:color w:val="0000FF"/>
                      <w:sz w:val="21"/>
                      <w:szCs w:val="21"/>
                      <w:lang w:val="en-US" w:eastAsia="zh-CN"/>
                    </w:rPr>
                    <w:t>0.004 L</w:t>
                  </w:r>
                </w:p>
              </w:tc>
              <w:tc>
                <w:tcPr>
                  <w:tcW w:w="733" w:type="pct"/>
                  <w:tcBorders>
                    <w:tl2br w:val="nil"/>
                    <w:tr2bl w:val="nil"/>
                  </w:tcBorders>
                  <w:vAlign w:val="center"/>
                </w:tcPr>
                <w:p w14:paraId="6D98BF40">
                  <w:pPr>
                    <w:jc w:val="center"/>
                    <w:rPr>
                      <w:rFonts w:hint="eastAsia" w:cs="宋体"/>
                      <w:color w:val="0000FF"/>
                      <w:sz w:val="21"/>
                      <w:szCs w:val="21"/>
                      <w:lang w:val="en-US" w:eastAsia="zh-CN"/>
                    </w:rPr>
                  </w:pPr>
                  <w:r>
                    <w:rPr>
                      <w:rFonts w:hint="eastAsia" w:cs="宋体"/>
                      <w:color w:val="0000FF"/>
                      <w:sz w:val="21"/>
                      <w:szCs w:val="21"/>
                      <w:lang w:val="en-US" w:eastAsia="zh-CN"/>
                    </w:rPr>
                    <w:t>0.004 L</w:t>
                  </w:r>
                </w:p>
              </w:tc>
              <w:tc>
                <w:tcPr>
                  <w:tcW w:w="756" w:type="pct"/>
                  <w:tcBorders>
                    <w:tl2br w:val="nil"/>
                    <w:tr2bl w:val="nil"/>
                  </w:tcBorders>
                  <w:vAlign w:val="center"/>
                </w:tcPr>
                <w:p w14:paraId="01D84AC4">
                  <w:pPr>
                    <w:jc w:val="center"/>
                    <w:rPr>
                      <w:rFonts w:hint="eastAsia" w:cs="宋体"/>
                      <w:color w:val="0000FF"/>
                      <w:sz w:val="21"/>
                      <w:szCs w:val="21"/>
                      <w:lang w:val="en-US" w:eastAsia="zh-CN"/>
                    </w:rPr>
                  </w:pPr>
                  <w:r>
                    <w:rPr>
                      <w:rFonts w:hint="eastAsia" w:cs="宋体"/>
                      <w:color w:val="0000FF"/>
                      <w:sz w:val="21"/>
                      <w:szCs w:val="21"/>
                      <w:lang w:val="en-US" w:eastAsia="zh-CN"/>
                    </w:rPr>
                    <w:t>≤0.05</w:t>
                  </w:r>
                </w:p>
              </w:tc>
            </w:tr>
            <w:tr w14:paraId="658EC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20" w:type="pct"/>
                  <w:tcBorders>
                    <w:tl2br w:val="nil"/>
                    <w:tr2bl w:val="nil"/>
                  </w:tcBorders>
                  <w:vAlign w:val="center"/>
                </w:tcPr>
                <w:p w14:paraId="4951D125">
                  <w:pPr>
                    <w:jc w:val="center"/>
                    <w:rPr>
                      <w:rFonts w:hint="eastAsia" w:cs="宋体"/>
                      <w:color w:val="0000FF"/>
                      <w:sz w:val="21"/>
                      <w:szCs w:val="21"/>
                      <w:lang w:val="en-US" w:eastAsia="zh-CN"/>
                    </w:rPr>
                  </w:pPr>
                  <w:r>
                    <w:rPr>
                      <w:rFonts w:hint="eastAsia" w:cs="宋体"/>
                      <w:color w:val="0000FF"/>
                      <w:sz w:val="21"/>
                      <w:szCs w:val="21"/>
                      <w:lang w:val="en-US" w:eastAsia="zh-CN"/>
                    </w:rPr>
                    <w:t>氟化物</w:t>
                  </w:r>
                </w:p>
              </w:tc>
              <w:tc>
                <w:tcPr>
                  <w:tcW w:w="793" w:type="pct"/>
                  <w:tcBorders>
                    <w:tl2br w:val="nil"/>
                    <w:tr2bl w:val="nil"/>
                  </w:tcBorders>
                  <w:vAlign w:val="center"/>
                </w:tcPr>
                <w:p w14:paraId="62D1671C">
                  <w:pPr>
                    <w:jc w:val="center"/>
                    <w:rPr>
                      <w:rFonts w:hint="eastAsia" w:cs="宋体"/>
                      <w:color w:val="0000FF"/>
                      <w:sz w:val="21"/>
                      <w:szCs w:val="21"/>
                      <w:lang w:val="en-US" w:eastAsia="zh-CN"/>
                    </w:rPr>
                  </w:pPr>
                  <w:r>
                    <w:rPr>
                      <w:rFonts w:hint="eastAsia" w:cs="宋体"/>
                      <w:color w:val="0000FF"/>
                      <w:sz w:val="21"/>
                      <w:szCs w:val="21"/>
                      <w:lang w:val="en-US" w:eastAsia="zh-CN"/>
                    </w:rPr>
                    <w:t>mg/L</w:t>
                  </w:r>
                </w:p>
              </w:tc>
              <w:tc>
                <w:tcPr>
                  <w:tcW w:w="552" w:type="pct"/>
                  <w:tcBorders>
                    <w:tl2br w:val="nil"/>
                    <w:tr2bl w:val="nil"/>
                  </w:tcBorders>
                  <w:vAlign w:val="center"/>
                </w:tcPr>
                <w:p w14:paraId="166D81E1">
                  <w:pPr>
                    <w:jc w:val="center"/>
                    <w:rPr>
                      <w:rFonts w:hint="eastAsia" w:cs="宋体"/>
                      <w:color w:val="0000FF"/>
                      <w:sz w:val="21"/>
                      <w:szCs w:val="21"/>
                      <w:lang w:val="en-US" w:eastAsia="zh-CN"/>
                    </w:rPr>
                  </w:pPr>
                  <w:r>
                    <w:rPr>
                      <w:rFonts w:hint="eastAsia" w:cs="宋体"/>
                      <w:color w:val="0000FF"/>
                      <w:sz w:val="21"/>
                      <w:szCs w:val="21"/>
                      <w:lang w:val="en-US" w:eastAsia="zh-CN"/>
                    </w:rPr>
                    <w:t>0.93</w:t>
                  </w:r>
                </w:p>
              </w:tc>
              <w:tc>
                <w:tcPr>
                  <w:tcW w:w="743" w:type="pct"/>
                  <w:tcBorders>
                    <w:tl2br w:val="nil"/>
                    <w:tr2bl w:val="nil"/>
                  </w:tcBorders>
                  <w:vAlign w:val="center"/>
                </w:tcPr>
                <w:p w14:paraId="021C4D03">
                  <w:pPr>
                    <w:jc w:val="center"/>
                    <w:rPr>
                      <w:rFonts w:hint="eastAsia" w:cs="宋体"/>
                      <w:color w:val="0000FF"/>
                      <w:sz w:val="21"/>
                      <w:szCs w:val="21"/>
                      <w:lang w:val="en-US" w:eastAsia="zh-CN"/>
                    </w:rPr>
                  </w:pPr>
                  <w:r>
                    <w:rPr>
                      <w:rFonts w:hint="eastAsia" w:cs="宋体"/>
                      <w:color w:val="0000FF"/>
                      <w:sz w:val="21"/>
                      <w:szCs w:val="21"/>
                      <w:lang w:val="en-US" w:eastAsia="zh-CN"/>
                    </w:rPr>
                    <w:t>0.85</w:t>
                  </w:r>
                </w:p>
              </w:tc>
              <w:tc>
                <w:tcPr>
                  <w:tcW w:w="733" w:type="pct"/>
                  <w:tcBorders>
                    <w:tl2br w:val="nil"/>
                    <w:tr2bl w:val="nil"/>
                  </w:tcBorders>
                  <w:vAlign w:val="center"/>
                </w:tcPr>
                <w:p w14:paraId="12C32F61">
                  <w:pPr>
                    <w:jc w:val="center"/>
                    <w:rPr>
                      <w:rFonts w:hint="eastAsia" w:cs="宋体"/>
                      <w:color w:val="0000FF"/>
                      <w:sz w:val="21"/>
                      <w:szCs w:val="21"/>
                      <w:lang w:val="en-US" w:eastAsia="zh-CN"/>
                    </w:rPr>
                  </w:pPr>
                  <w:r>
                    <w:rPr>
                      <w:rFonts w:hint="eastAsia" w:cs="宋体"/>
                      <w:color w:val="0000FF"/>
                      <w:sz w:val="21"/>
                      <w:szCs w:val="21"/>
                      <w:lang w:val="en-US" w:eastAsia="zh-CN"/>
                    </w:rPr>
                    <w:t>0.82</w:t>
                  </w:r>
                </w:p>
              </w:tc>
              <w:tc>
                <w:tcPr>
                  <w:tcW w:w="756" w:type="pct"/>
                  <w:tcBorders>
                    <w:tl2br w:val="nil"/>
                    <w:tr2bl w:val="nil"/>
                  </w:tcBorders>
                  <w:vAlign w:val="center"/>
                </w:tcPr>
                <w:p w14:paraId="64FD540F">
                  <w:pPr>
                    <w:jc w:val="center"/>
                    <w:rPr>
                      <w:rFonts w:hint="eastAsia" w:cs="宋体"/>
                      <w:color w:val="0000FF"/>
                      <w:sz w:val="21"/>
                      <w:szCs w:val="21"/>
                      <w:lang w:val="en-US" w:eastAsia="zh-CN"/>
                    </w:rPr>
                  </w:pPr>
                  <w:r>
                    <w:rPr>
                      <w:rFonts w:hint="eastAsia" w:cs="宋体"/>
                      <w:color w:val="0000FF"/>
                      <w:sz w:val="21"/>
                      <w:szCs w:val="21"/>
                      <w:lang w:val="en-US" w:eastAsia="zh-CN"/>
                    </w:rPr>
                    <w:t>≤1.0</w:t>
                  </w:r>
                </w:p>
              </w:tc>
            </w:tr>
            <w:tr w14:paraId="33ADE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20" w:type="pct"/>
                  <w:tcBorders>
                    <w:tl2br w:val="nil"/>
                    <w:tr2bl w:val="nil"/>
                  </w:tcBorders>
                  <w:vAlign w:val="center"/>
                </w:tcPr>
                <w:p w14:paraId="0EC651F1">
                  <w:pPr>
                    <w:jc w:val="center"/>
                    <w:rPr>
                      <w:rFonts w:hint="eastAsia" w:cs="宋体"/>
                      <w:color w:val="0000FF"/>
                      <w:sz w:val="21"/>
                      <w:szCs w:val="21"/>
                      <w:lang w:val="en-US" w:eastAsia="zh-CN"/>
                    </w:rPr>
                  </w:pPr>
                  <w:r>
                    <w:rPr>
                      <w:rFonts w:hint="eastAsia" w:cs="宋体"/>
                      <w:color w:val="0000FF"/>
                      <w:sz w:val="21"/>
                      <w:szCs w:val="21"/>
                      <w:lang w:val="en-US" w:eastAsia="zh-CN"/>
                    </w:rPr>
                    <w:t>六价铬</w:t>
                  </w:r>
                </w:p>
              </w:tc>
              <w:tc>
                <w:tcPr>
                  <w:tcW w:w="793" w:type="pct"/>
                  <w:tcBorders>
                    <w:tl2br w:val="nil"/>
                    <w:tr2bl w:val="nil"/>
                  </w:tcBorders>
                  <w:vAlign w:val="center"/>
                </w:tcPr>
                <w:p w14:paraId="69424225">
                  <w:pPr>
                    <w:jc w:val="center"/>
                    <w:rPr>
                      <w:rFonts w:hint="eastAsia" w:cs="宋体"/>
                      <w:color w:val="0000FF"/>
                      <w:sz w:val="21"/>
                      <w:szCs w:val="21"/>
                      <w:lang w:val="en-US" w:eastAsia="zh-CN"/>
                    </w:rPr>
                  </w:pPr>
                  <w:r>
                    <w:rPr>
                      <w:rFonts w:hint="eastAsia" w:cs="宋体"/>
                      <w:color w:val="0000FF"/>
                      <w:sz w:val="21"/>
                      <w:szCs w:val="21"/>
                      <w:lang w:val="en-US" w:eastAsia="zh-CN"/>
                    </w:rPr>
                    <w:t>mg/L</w:t>
                  </w:r>
                </w:p>
              </w:tc>
              <w:tc>
                <w:tcPr>
                  <w:tcW w:w="552" w:type="pct"/>
                  <w:tcBorders>
                    <w:tl2br w:val="nil"/>
                    <w:tr2bl w:val="nil"/>
                  </w:tcBorders>
                  <w:vAlign w:val="center"/>
                </w:tcPr>
                <w:p w14:paraId="2DF07D1A">
                  <w:pPr>
                    <w:jc w:val="center"/>
                    <w:rPr>
                      <w:rFonts w:hint="eastAsia" w:cs="宋体"/>
                      <w:color w:val="0000FF"/>
                      <w:sz w:val="21"/>
                      <w:szCs w:val="21"/>
                      <w:lang w:val="en-US" w:eastAsia="zh-CN"/>
                    </w:rPr>
                  </w:pPr>
                  <w:r>
                    <w:rPr>
                      <w:rFonts w:hint="eastAsia" w:cs="宋体"/>
                      <w:color w:val="0000FF"/>
                      <w:sz w:val="21"/>
                      <w:szCs w:val="21"/>
                      <w:lang w:val="en-US" w:eastAsia="zh-CN"/>
                    </w:rPr>
                    <w:t>0.004 L</w:t>
                  </w:r>
                </w:p>
              </w:tc>
              <w:tc>
                <w:tcPr>
                  <w:tcW w:w="743" w:type="pct"/>
                  <w:tcBorders>
                    <w:tl2br w:val="nil"/>
                    <w:tr2bl w:val="nil"/>
                  </w:tcBorders>
                  <w:vAlign w:val="center"/>
                </w:tcPr>
                <w:p w14:paraId="7DFC2B5A">
                  <w:pPr>
                    <w:jc w:val="center"/>
                    <w:rPr>
                      <w:rFonts w:hint="eastAsia" w:cs="宋体"/>
                      <w:color w:val="0000FF"/>
                      <w:sz w:val="21"/>
                      <w:szCs w:val="21"/>
                      <w:lang w:val="en-US" w:eastAsia="zh-CN"/>
                    </w:rPr>
                  </w:pPr>
                  <w:r>
                    <w:rPr>
                      <w:rFonts w:hint="eastAsia" w:cs="宋体"/>
                      <w:color w:val="0000FF"/>
                      <w:sz w:val="21"/>
                      <w:szCs w:val="21"/>
                      <w:lang w:val="en-US" w:eastAsia="zh-CN"/>
                    </w:rPr>
                    <w:t>0.004 L</w:t>
                  </w:r>
                </w:p>
              </w:tc>
              <w:tc>
                <w:tcPr>
                  <w:tcW w:w="733" w:type="pct"/>
                  <w:tcBorders>
                    <w:tl2br w:val="nil"/>
                    <w:tr2bl w:val="nil"/>
                  </w:tcBorders>
                  <w:vAlign w:val="center"/>
                </w:tcPr>
                <w:p w14:paraId="4E1824E3">
                  <w:pPr>
                    <w:jc w:val="center"/>
                    <w:rPr>
                      <w:rFonts w:hint="eastAsia" w:cs="宋体"/>
                      <w:color w:val="0000FF"/>
                      <w:sz w:val="21"/>
                      <w:szCs w:val="21"/>
                      <w:lang w:val="en-US" w:eastAsia="zh-CN"/>
                    </w:rPr>
                  </w:pPr>
                  <w:r>
                    <w:rPr>
                      <w:rFonts w:hint="eastAsia" w:cs="宋体"/>
                      <w:color w:val="0000FF"/>
                      <w:sz w:val="21"/>
                      <w:szCs w:val="21"/>
                      <w:lang w:val="en-US" w:eastAsia="zh-CN"/>
                    </w:rPr>
                    <w:t>0.004 L</w:t>
                  </w:r>
                </w:p>
              </w:tc>
              <w:tc>
                <w:tcPr>
                  <w:tcW w:w="756" w:type="pct"/>
                  <w:tcBorders>
                    <w:tl2br w:val="nil"/>
                    <w:tr2bl w:val="nil"/>
                  </w:tcBorders>
                  <w:vAlign w:val="center"/>
                </w:tcPr>
                <w:p w14:paraId="730F7950">
                  <w:pPr>
                    <w:jc w:val="center"/>
                    <w:rPr>
                      <w:rFonts w:hint="eastAsia" w:cs="宋体"/>
                      <w:color w:val="0000FF"/>
                      <w:sz w:val="21"/>
                      <w:szCs w:val="21"/>
                      <w:lang w:val="en-US" w:eastAsia="zh-CN"/>
                    </w:rPr>
                  </w:pPr>
                  <w:r>
                    <w:rPr>
                      <w:rFonts w:hint="eastAsia" w:cs="宋体"/>
                      <w:color w:val="0000FF"/>
                      <w:sz w:val="21"/>
                      <w:szCs w:val="21"/>
                      <w:lang w:val="en-US" w:eastAsia="zh-CN"/>
                    </w:rPr>
                    <w:t>≤0.05</w:t>
                  </w:r>
                </w:p>
              </w:tc>
            </w:tr>
            <w:tr w14:paraId="6D0D2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20" w:type="pct"/>
                  <w:tcBorders>
                    <w:tl2br w:val="nil"/>
                    <w:tr2bl w:val="nil"/>
                  </w:tcBorders>
                  <w:vAlign w:val="center"/>
                </w:tcPr>
                <w:p w14:paraId="3111C506">
                  <w:pPr>
                    <w:jc w:val="center"/>
                    <w:rPr>
                      <w:rFonts w:hint="eastAsia" w:cs="宋体"/>
                      <w:color w:val="0000FF"/>
                      <w:sz w:val="21"/>
                      <w:szCs w:val="21"/>
                      <w:lang w:val="en-US" w:eastAsia="zh-CN"/>
                    </w:rPr>
                  </w:pPr>
                  <w:r>
                    <w:rPr>
                      <w:rFonts w:hint="eastAsia" w:cs="宋体"/>
                      <w:color w:val="0000FF"/>
                      <w:sz w:val="21"/>
                      <w:szCs w:val="21"/>
                      <w:lang w:val="en-US" w:eastAsia="zh-CN"/>
                    </w:rPr>
                    <w:t>总硬度</w:t>
                  </w:r>
                </w:p>
              </w:tc>
              <w:tc>
                <w:tcPr>
                  <w:tcW w:w="793" w:type="pct"/>
                  <w:tcBorders>
                    <w:tl2br w:val="nil"/>
                    <w:tr2bl w:val="nil"/>
                  </w:tcBorders>
                  <w:vAlign w:val="center"/>
                </w:tcPr>
                <w:p w14:paraId="11C040EA">
                  <w:pPr>
                    <w:jc w:val="center"/>
                    <w:rPr>
                      <w:rFonts w:hint="eastAsia" w:cs="宋体"/>
                      <w:color w:val="0000FF"/>
                      <w:sz w:val="21"/>
                      <w:szCs w:val="21"/>
                      <w:lang w:val="en-US" w:eastAsia="zh-CN"/>
                    </w:rPr>
                  </w:pPr>
                  <w:r>
                    <w:rPr>
                      <w:rFonts w:hint="eastAsia" w:cs="宋体"/>
                      <w:color w:val="0000FF"/>
                      <w:sz w:val="21"/>
                      <w:szCs w:val="21"/>
                      <w:lang w:val="en-US" w:eastAsia="zh-CN"/>
                    </w:rPr>
                    <w:t>mg/L</w:t>
                  </w:r>
                </w:p>
              </w:tc>
              <w:tc>
                <w:tcPr>
                  <w:tcW w:w="552" w:type="pct"/>
                  <w:tcBorders>
                    <w:tl2br w:val="nil"/>
                    <w:tr2bl w:val="nil"/>
                  </w:tcBorders>
                  <w:vAlign w:val="center"/>
                </w:tcPr>
                <w:p w14:paraId="1786FA4C">
                  <w:pPr>
                    <w:jc w:val="center"/>
                    <w:rPr>
                      <w:rFonts w:hint="eastAsia" w:cs="宋体"/>
                      <w:color w:val="0000FF"/>
                      <w:sz w:val="21"/>
                      <w:szCs w:val="21"/>
                      <w:lang w:val="en-US" w:eastAsia="zh-CN"/>
                    </w:rPr>
                  </w:pPr>
                  <w:r>
                    <w:rPr>
                      <w:rFonts w:hint="eastAsia" w:cs="宋体"/>
                      <w:color w:val="0000FF"/>
                      <w:sz w:val="21"/>
                      <w:szCs w:val="21"/>
                      <w:lang w:val="en-US" w:eastAsia="zh-CN"/>
                    </w:rPr>
                    <w:t>298</w:t>
                  </w:r>
                </w:p>
              </w:tc>
              <w:tc>
                <w:tcPr>
                  <w:tcW w:w="743" w:type="pct"/>
                  <w:tcBorders>
                    <w:tl2br w:val="nil"/>
                    <w:tr2bl w:val="nil"/>
                  </w:tcBorders>
                  <w:vAlign w:val="center"/>
                </w:tcPr>
                <w:p w14:paraId="303CEC4F">
                  <w:pPr>
                    <w:jc w:val="center"/>
                    <w:rPr>
                      <w:rFonts w:hint="eastAsia" w:cs="宋体"/>
                      <w:color w:val="0000FF"/>
                      <w:sz w:val="21"/>
                      <w:szCs w:val="21"/>
                      <w:lang w:val="en-US" w:eastAsia="zh-CN"/>
                    </w:rPr>
                  </w:pPr>
                  <w:r>
                    <w:rPr>
                      <w:rFonts w:hint="eastAsia" w:cs="宋体"/>
                      <w:color w:val="0000FF"/>
                      <w:sz w:val="21"/>
                      <w:szCs w:val="21"/>
                      <w:lang w:val="en-US" w:eastAsia="zh-CN"/>
                    </w:rPr>
                    <w:t>244</w:t>
                  </w:r>
                </w:p>
              </w:tc>
              <w:tc>
                <w:tcPr>
                  <w:tcW w:w="733" w:type="pct"/>
                  <w:tcBorders>
                    <w:tl2br w:val="nil"/>
                    <w:tr2bl w:val="nil"/>
                  </w:tcBorders>
                  <w:vAlign w:val="center"/>
                </w:tcPr>
                <w:p w14:paraId="2C425D1B">
                  <w:pPr>
                    <w:jc w:val="center"/>
                    <w:rPr>
                      <w:rFonts w:hint="eastAsia" w:cs="宋体"/>
                      <w:color w:val="0000FF"/>
                      <w:sz w:val="21"/>
                      <w:szCs w:val="21"/>
                      <w:lang w:val="en-US" w:eastAsia="zh-CN"/>
                    </w:rPr>
                  </w:pPr>
                  <w:r>
                    <w:rPr>
                      <w:rFonts w:hint="eastAsia" w:cs="宋体"/>
                      <w:color w:val="0000FF"/>
                      <w:sz w:val="21"/>
                      <w:szCs w:val="21"/>
                      <w:lang w:val="en-US" w:eastAsia="zh-CN"/>
                    </w:rPr>
                    <w:t>316</w:t>
                  </w:r>
                </w:p>
              </w:tc>
              <w:tc>
                <w:tcPr>
                  <w:tcW w:w="756" w:type="pct"/>
                  <w:tcBorders>
                    <w:tl2br w:val="nil"/>
                    <w:tr2bl w:val="nil"/>
                  </w:tcBorders>
                  <w:vAlign w:val="center"/>
                </w:tcPr>
                <w:p w14:paraId="5E9AA086">
                  <w:pPr>
                    <w:jc w:val="center"/>
                    <w:rPr>
                      <w:rFonts w:hint="eastAsia" w:cs="宋体"/>
                      <w:color w:val="0000FF"/>
                      <w:sz w:val="21"/>
                      <w:szCs w:val="21"/>
                      <w:lang w:val="en-US" w:eastAsia="zh-CN"/>
                    </w:rPr>
                  </w:pPr>
                  <w:r>
                    <w:rPr>
                      <w:rFonts w:hint="eastAsia" w:cs="宋体"/>
                      <w:color w:val="0000FF"/>
                      <w:sz w:val="21"/>
                      <w:szCs w:val="21"/>
                      <w:lang w:val="en-US" w:eastAsia="zh-CN"/>
                    </w:rPr>
                    <w:t>≤450</w:t>
                  </w:r>
                </w:p>
              </w:tc>
            </w:tr>
            <w:tr w14:paraId="45E54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20" w:type="pct"/>
                  <w:tcBorders>
                    <w:tl2br w:val="nil"/>
                    <w:tr2bl w:val="nil"/>
                  </w:tcBorders>
                  <w:vAlign w:val="center"/>
                </w:tcPr>
                <w:p w14:paraId="2C11F20A">
                  <w:pPr>
                    <w:jc w:val="center"/>
                    <w:rPr>
                      <w:rFonts w:hint="eastAsia" w:cs="宋体"/>
                      <w:color w:val="0000FF"/>
                      <w:sz w:val="21"/>
                      <w:szCs w:val="21"/>
                      <w:lang w:val="en-US" w:eastAsia="zh-CN"/>
                    </w:rPr>
                  </w:pPr>
                  <w:r>
                    <w:rPr>
                      <w:rFonts w:hint="eastAsia" w:cs="宋体"/>
                      <w:color w:val="0000FF"/>
                      <w:sz w:val="21"/>
                      <w:szCs w:val="21"/>
                      <w:lang w:val="en-US" w:eastAsia="zh-CN"/>
                    </w:rPr>
                    <w:t>溶解性总固体</w:t>
                  </w:r>
                </w:p>
              </w:tc>
              <w:tc>
                <w:tcPr>
                  <w:tcW w:w="793" w:type="pct"/>
                  <w:tcBorders>
                    <w:tl2br w:val="nil"/>
                    <w:tr2bl w:val="nil"/>
                  </w:tcBorders>
                  <w:vAlign w:val="center"/>
                </w:tcPr>
                <w:p w14:paraId="477F21E7">
                  <w:pPr>
                    <w:jc w:val="center"/>
                    <w:rPr>
                      <w:rFonts w:hint="eastAsia" w:cs="宋体"/>
                      <w:color w:val="0000FF"/>
                      <w:sz w:val="21"/>
                      <w:szCs w:val="21"/>
                      <w:lang w:val="en-US" w:eastAsia="zh-CN"/>
                    </w:rPr>
                  </w:pPr>
                  <w:r>
                    <w:rPr>
                      <w:rFonts w:hint="eastAsia" w:cs="宋体"/>
                      <w:color w:val="0000FF"/>
                      <w:sz w:val="21"/>
                      <w:szCs w:val="21"/>
                      <w:lang w:val="en-US" w:eastAsia="zh-CN"/>
                    </w:rPr>
                    <w:t>mg/L</w:t>
                  </w:r>
                </w:p>
              </w:tc>
              <w:tc>
                <w:tcPr>
                  <w:tcW w:w="552" w:type="pct"/>
                  <w:tcBorders>
                    <w:tl2br w:val="nil"/>
                    <w:tr2bl w:val="nil"/>
                  </w:tcBorders>
                  <w:vAlign w:val="center"/>
                </w:tcPr>
                <w:p w14:paraId="73448490">
                  <w:pPr>
                    <w:jc w:val="center"/>
                    <w:rPr>
                      <w:rFonts w:hint="eastAsia" w:cs="宋体"/>
                      <w:color w:val="0000FF"/>
                      <w:sz w:val="21"/>
                      <w:szCs w:val="21"/>
                      <w:lang w:val="en-US" w:eastAsia="zh-CN"/>
                    </w:rPr>
                  </w:pPr>
                  <w:r>
                    <w:rPr>
                      <w:rFonts w:hint="eastAsia" w:cs="宋体"/>
                      <w:color w:val="0000FF"/>
                      <w:sz w:val="21"/>
                      <w:szCs w:val="21"/>
                      <w:lang w:val="en-US" w:eastAsia="zh-CN"/>
                    </w:rPr>
                    <w:t>434</w:t>
                  </w:r>
                </w:p>
              </w:tc>
              <w:tc>
                <w:tcPr>
                  <w:tcW w:w="743" w:type="pct"/>
                  <w:tcBorders>
                    <w:tl2br w:val="nil"/>
                    <w:tr2bl w:val="nil"/>
                  </w:tcBorders>
                  <w:vAlign w:val="center"/>
                </w:tcPr>
                <w:p w14:paraId="269E8CDD">
                  <w:pPr>
                    <w:jc w:val="center"/>
                    <w:rPr>
                      <w:rFonts w:hint="eastAsia" w:cs="宋体"/>
                      <w:color w:val="0000FF"/>
                      <w:sz w:val="21"/>
                      <w:szCs w:val="21"/>
                      <w:lang w:val="en-US" w:eastAsia="zh-CN"/>
                    </w:rPr>
                  </w:pPr>
                  <w:r>
                    <w:rPr>
                      <w:rFonts w:hint="eastAsia" w:cs="宋体"/>
                      <w:color w:val="0000FF"/>
                      <w:sz w:val="21"/>
                      <w:szCs w:val="21"/>
                      <w:lang w:val="en-US" w:eastAsia="zh-CN"/>
                    </w:rPr>
                    <w:t>404</w:t>
                  </w:r>
                </w:p>
              </w:tc>
              <w:tc>
                <w:tcPr>
                  <w:tcW w:w="733" w:type="pct"/>
                  <w:tcBorders>
                    <w:tl2br w:val="nil"/>
                    <w:tr2bl w:val="nil"/>
                  </w:tcBorders>
                  <w:vAlign w:val="center"/>
                </w:tcPr>
                <w:p w14:paraId="2B8EBA33">
                  <w:pPr>
                    <w:jc w:val="center"/>
                    <w:rPr>
                      <w:rFonts w:hint="eastAsia" w:cs="宋体"/>
                      <w:color w:val="0000FF"/>
                      <w:sz w:val="21"/>
                      <w:szCs w:val="21"/>
                      <w:lang w:val="en-US" w:eastAsia="zh-CN"/>
                    </w:rPr>
                  </w:pPr>
                  <w:r>
                    <w:rPr>
                      <w:rFonts w:hint="eastAsia" w:cs="宋体"/>
                      <w:color w:val="0000FF"/>
                      <w:sz w:val="21"/>
                      <w:szCs w:val="21"/>
                      <w:lang w:val="en-US" w:eastAsia="zh-CN"/>
                    </w:rPr>
                    <w:t>498</w:t>
                  </w:r>
                </w:p>
              </w:tc>
              <w:tc>
                <w:tcPr>
                  <w:tcW w:w="756" w:type="pct"/>
                  <w:tcBorders>
                    <w:tl2br w:val="nil"/>
                    <w:tr2bl w:val="nil"/>
                  </w:tcBorders>
                  <w:vAlign w:val="center"/>
                </w:tcPr>
                <w:p w14:paraId="26EBFA12">
                  <w:pPr>
                    <w:jc w:val="center"/>
                    <w:rPr>
                      <w:rFonts w:hint="eastAsia" w:cs="宋体"/>
                      <w:color w:val="0000FF"/>
                      <w:sz w:val="21"/>
                      <w:szCs w:val="21"/>
                      <w:lang w:val="en-US" w:eastAsia="zh-CN"/>
                    </w:rPr>
                  </w:pPr>
                  <w:r>
                    <w:rPr>
                      <w:rFonts w:hint="eastAsia" w:cs="宋体"/>
                      <w:color w:val="0000FF"/>
                      <w:sz w:val="21"/>
                      <w:szCs w:val="21"/>
                      <w:lang w:val="en-US" w:eastAsia="zh-CN"/>
                    </w:rPr>
                    <w:t>≤1000</w:t>
                  </w:r>
                </w:p>
              </w:tc>
            </w:tr>
            <w:tr w14:paraId="02E86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20" w:type="pct"/>
                  <w:tcBorders>
                    <w:tl2br w:val="nil"/>
                    <w:tr2bl w:val="nil"/>
                  </w:tcBorders>
                  <w:vAlign w:val="center"/>
                </w:tcPr>
                <w:p w14:paraId="07E76901">
                  <w:pPr>
                    <w:jc w:val="center"/>
                    <w:rPr>
                      <w:rFonts w:hint="eastAsia" w:cs="宋体"/>
                      <w:color w:val="0000FF"/>
                      <w:sz w:val="21"/>
                      <w:szCs w:val="21"/>
                      <w:lang w:val="en-US" w:eastAsia="zh-CN"/>
                    </w:rPr>
                  </w:pPr>
                  <w:r>
                    <w:rPr>
                      <w:rFonts w:hint="eastAsia" w:cs="宋体"/>
                      <w:color w:val="0000FF"/>
                      <w:sz w:val="21"/>
                      <w:szCs w:val="21"/>
                      <w:lang w:val="en-US" w:eastAsia="zh-CN"/>
                    </w:rPr>
                    <w:t>耗氧量</w:t>
                  </w:r>
                </w:p>
              </w:tc>
              <w:tc>
                <w:tcPr>
                  <w:tcW w:w="793" w:type="pct"/>
                  <w:tcBorders>
                    <w:tl2br w:val="nil"/>
                    <w:tr2bl w:val="nil"/>
                  </w:tcBorders>
                  <w:vAlign w:val="center"/>
                </w:tcPr>
                <w:p w14:paraId="53B409ED">
                  <w:pPr>
                    <w:jc w:val="center"/>
                    <w:rPr>
                      <w:rFonts w:hint="eastAsia" w:cs="宋体"/>
                      <w:color w:val="0000FF"/>
                      <w:sz w:val="21"/>
                      <w:szCs w:val="21"/>
                      <w:lang w:val="en-US" w:eastAsia="zh-CN"/>
                    </w:rPr>
                  </w:pPr>
                  <w:r>
                    <w:rPr>
                      <w:rFonts w:hint="eastAsia" w:cs="宋体"/>
                      <w:color w:val="0000FF"/>
                      <w:sz w:val="21"/>
                      <w:szCs w:val="21"/>
                      <w:lang w:val="en-US" w:eastAsia="zh-CN"/>
                    </w:rPr>
                    <w:t>mg/L</w:t>
                  </w:r>
                </w:p>
              </w:tc>
              <w:tc>
                <w:tcPr>
                  <w:tcW w:w="552" w:type="pct"/>
                  <w:tcBorders>
                    <w:tl2br w:val="nil"/>
                    <w:tr2bl w:val="nil"/>
                  </w:tcBorders>
                  <w:vAlign w:val="center"/>
                </w:tcPr>
                <w:p w14:paraId="3CEDBCA3">
                  <w:pPr>
                    <w:jc w:val="center"/>
                    <w:rPr>
                      <w:rFonts w:hint="eastAsia" w:cs="宋体"/>
                      <w:color w:val="0000FF"/>
                      <w:sz w:val="21"/>
                      <w:szCs w:val="21"/>
                      <w:lang w:val="en-US" w:eastAsia="zh-CN"/>
                    </w:rPr>
                  </w:pPr>
                  <w:r>
                    <w:rPr>
                      <w:rFonts w:hint="eastAsia" w:cs="宋体"/>
                      <w:color w:val="0000FF"/>
                      <w:sz w:val="21"/>
                      <w:szCs w:val="21"/>
                      <w:lang w:val="en-US" w:eastAsia="zh-CN"/>
                    </w:rPr>
                    <w:t>1.33</w:t>
                  </w:r>
                </w:p>
              </w:tc>
              <w:tc>
                <w:tcPr>
                  <w:tcW w:w="743" w:type="pct"/>
                  <w:tcBorders>
                    <w:tl2br w:val="nil"/>
                    <w:tr2bl w:val="nil"/>
                  </w:tcBorders>
                  <w:vAlign w:val="center"/>
                </w:tcPr>
                <w:p w14:paraId="076A9681">
                  <w:pPr>
                    <w:jc w:val="center"/>
                    <w:rPr>
                      <w:rFonts w:hint="eastAsia" w:cs="宋体"/>
                      <w:color w:val="0000FF"/>
                      <w:sz w:val="21"/>
                      <w:szCs w:val="21"/>
                      <w:lang w:val="en-US" w:eastAsia="zh-CN"/>
                    </w:rPr>
                  </w:pPr>
                  <w:r>
                    <w:rPr>
                      <w:rFonts w:hint="eastAsia" w:cs="宋体"/>
                      <w:color w:val="0000FF"/>
                      <w:sz w:val="21"/>
                      <w:szCs w:val="21"/>
                      <w:lang w:val="en-US" w:eastAsia="zh-CN"/>
                    </w:rPr>
                    <w:t>1.47</w:t>
                  </w:r>
                </w:p>
              </w:tc>
              <w:tc>
                <w:tcPr>
                  <w:tcW w:w="733" w:type="pct"/>
                  <w:tcBorders>
                    <w:tl2br w:val="nil"/>
                    <w:tr2bl w:val="nil"/>
                  </w:tcBorders>
                  <w:vAlign w:val="center"/>
                </w:tcPr>
                <w:p w14:paraId="1F1C8BD0">
                  <w:pPr>
                    <w:jc w:val="center"/>
                    <w:rPr>
                      <w:rFonts w:hint="eastAsia" w:cs="宋体"/>
                      <w:color w:val="0000FF"/>
                      <w:sz w:val="21"/>
                      <w:szCs w:val="21"/>
                      <w:lang w:val="en-US" w:eastAsia="zh-CN"/>
                    </w:rPr>
                  </w:pPr>
                  <w:r>
                    <w:rPr>
                      <w:rFonts w:hint="eastAsia" w:cs="宋体"/>
                      <w:color w:val="0000FF"/>
                      <w:sz w:val="21"/>
                      <w:szCs w:val="21"/>
                      <w:lang w:val="en-US" w:eastAsia="zh-CN"/>
                    </w:rPr>
                    <w:t>1.09</w:t>
                  </w:r>
                </w:p>
              </w:tc>
              <w:tc>
                <w:tcPr>
                  <w:tcW w:w="756" w:type="pct"/>
                  <w:tcBorders>
                    <w:tl2br w:val="nil"/>
                    <w:tr2bl w:val="nil"/>
                  </w:tcBorders>
                  <w:vAlign w:val="center"/>
                </w:tcPr>
                <w:p w14:paraId="7927B219">
                  <w:pPr>
                    <w:jc w:val="center"/>
                    <w:rPr>
                      <w:rFonts w:hint="eastAsia" w:cs="宋体"/>
                      <w:color w:val="0000FF"/>
                      <w:sz w:val="21"/>
                      <w:szCs w:val="21"/>
                      <w:lang w:val="en-US" w:eastAsia="zh-CN"/>
                    </w:rPr>
                  </w:pPr>
                  <w:r>
                    <w:rPr>
                      <w:rFonts w:hint="eastAsia" w:cs="宋体"/>
                      <w:color w:val="0000FF"/>
                      <w:sz w:val="21"/>
                      <w:szCs w:val="21"/>
                      <w:lang w:val="en-US" w:eastAsia="zh-CN"/>
                    </w:rPr>
                    <w:t>≤3.0</w:t>
                  </w:r>
                </w:p>
              </w:tc>
            </w:tr>
            <w:tr w14:paraId="607EC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20" w:type="pct"/>
                  <w:tcBorders>
                    <w:tl2br w:val="nil"/>
                    <w:tr2bl w:val="nil"/>
                  </w:tcBorders>
                  <w:vAlign w:val="center"/>
                </w:tcPr>
                <w:p w14:paraId="00F5C050">
                  <w:pPr>
                    <w:jc w:val="center"/>
                    <w:rPr>
                      <w:rFonts w:hint="eastAsia" w:cs="宋体"/>
                      <w:color w:val="0000FF"/>
                      <w:sz w:val="21"/>
                      <w:szCs w:val="21"/>
                      <w:lang w:val="en-US" w:eastAsia="zh-CN"/>
                    </w:rPr>
                  </w:pPr>
                  <w:r>
                    <w:rPr>
                      <w:rFonts w:hint="eastAsia" w:cs="宋体"/>
                      <w:color w:val="0000FF"/>
                      <w:sz w:val="21"/>
                      <w:szCs w:val="21"/>
                      <w:lang w:val="en-US" w:eastAsia="zh-CN"/>
                    </w:rPr>
                    <w:t>铁</w:t>
                  </w:r>
                </w:p>
              </w:tc>
              <w:tc>
                <w:tcPr>
                  <w:tcW w:w="793" w:type="pct"/>
                  <w:tcBorders>
                    <w:tl2br w:val="nil"/>
                    <w:tr2bl w:val="nil"/>
                  </w:tcBorders>
                  <w:vAlign w:val="center"/>
                </w:tcPr>
                <w:p w14:paraId="6EDF7A47">
                  <w:pPr>
                    <w:jc w:val="center"/>
                    <w:rPr>
                      <w:rFonts w:hint="eastAsia" w:cs="宋体"/>
                      <w:color w:val="0000FF"/>
                      <w:sz w:val="21"/>
                      <w:szCs w:val="21"/>
                      <w:lang w:val="en-US" w:eastAsia="zh-CN"/>
                    </w:rPr>
                  </w:pPr>
                  <w:r>
                    <w:rPr>
                      <w:rFonts w:hint="eastAsia" w:cs="宋体"/>
                      <w:color w:val="0000FF"/>
                      <w:sz w:val="21"/>
                      <w:szCs w:val="21"/>
                      <w:lang w:val="en-US" w:eastAsia="zh-CN"/>
                    </w:rPr>
                    <w:t>mg/L</w:t>
                  </w:r>
                </w:p>
              </w:tc>
              <w:tc>
                <w:tcPr>
                  <w:tcW w:w="552" w:type="pct"/>
                  <w:tcBorders>
                    <w:tl2br w:val="nil"/>
                    <w:tr2bl w:val="nil"/>
                  </w:tcBorders>
                  <w:vAlign w:val="center"/>
                </w:tcPr>
                <w:p w14:paraId="0E62DEFF">
                  <w:pPr>
                    <w:jc w:val="center"/>
                    <w:rPr>
                      <w:rFonts w:hint="eastAsia" w:cs="宋体"/>
                      <w:color w:val="0000FF"/>
                      <w:sz w:val="21"/>
                      <w:szCs w:val="21"/>
                      <w:lang w:val="en-US" w:eastAsia="zh-CN"/>
                    </w:rPr>
                  </w:pPr>
                  <w:r>
                    <w:rPr>
                      <w:rFonts w:hint="eastAsia" w:cs="宋体"/>
                      <w:color w:val="0000FF"/>
                      <w:sz w:val="21"/>
                      <w:szCs w:val="21"/>
                      <w:lang w:val="en-US" w:eastAsia="zh-CN"/>
                    </w:rPr>
                    <w:t>0.03 L</w:t>
                  </w:r>
                </w:p>
              </w:tc>
              <w:tc>
                <w:tcPr>
                  <w:tcW w:w="743" w:type="pct"/>
                  <w:tcBorders>
                    <w:tl2br w:val="nil"/>
                    <w:tr2bl w:val="nil"/>
                  </w:tcBorders>
                  <w:vAlign w:val="center"/>
                </w:tcPr>
                <w:p w14:paraId="02119C8E">
                  <w:pPr>
                    <w:jc w:val="center"/>
                    <w:rPr>
                      <w:rFonts w:hint="eastAsia" w:cs="宋体"/>
                      <w:color w:val="0000FF"/>
                      <w:sz w:val="21"/>
                      <w:szCs w:val="21"/>
                      <w:lang w:val="en-US" w:eastAsia="zh-CN"/>
                    </w:rPr>
                  </w:pPr>
                  <w:r>
                    <w:rPr>
                      <w:rFonts w:hint="eastAsia" w:cs="宋体"/>
                      <w:color w:val="0000FF"/>
                      <w:sz w:val="21"/>
                      <w:szCs w:val="21"/>
                      <w:lang w:val="en-US" w:eastAsia="zh-CN"/>
                    </w:rPr>
                    <w:t>0.03 L</w:t>
                  </w:r>
                </w:p>
              </w:tc>
              <w:tc>
                <w:tcPr>
                  <w:tcW w:w="733" w:type="pct"/>
                  <w:tcBorders>
                    <w:tl2br w:val="nil"/>
                    <w:tr2bl w:val="nil"/>
                  </w:tcBorders>
                  <w:vAlign w:val="center"/>
                </w:tcPr>
                <w:p w14:paraId="78AFA4BC">
                  <w:pPr>
                    <w:jc w:val="center"/>
                    <w:rPr>
                      <w:rFonts w:hint="eastAsia" w:cs="宋体"/>
                      <w:color w:val="0000FF"/>
                      <w:sz w:val="21"/>
                      <w:szCs w:val="21"/>
                      <w:lang w:val="en-US" w:eastAsia="zh-CN"/>
                    </w:rPr>
                  </w:pPr>
                  <w:r>
                    <w:rPr>
                      <w:rFonts w:hint="eastAsia" w:cs="宋体"/>
                      <w:color w:val="0000FF"/>
                      <w:sz w:val="21"/>
                      <w:szCs w:val="21"/>
                      <w:lang w:val="en-US" w:eastAsia="zh-CN"/>
                    </w:rPr>
                    <w:t>0.03 L</w:t>
                  </w:r>
                </w:p>
              </w:tc>
              <w:tc>
                <w:tcPr>
                  <w:tcW w:w="756" w:type="pct"/>
                  <w:tcBorders>
                    <w:tl2br w:val="nil"/>
                    <w:tr2bl w:val="nil"/>
                  </w:tcBorders>
                  <w:vAlign w:val="center"/>
                </w:tcPr>
                <w:p w14:paraId="054FC680">
                  <w:pPr>
                    <w:jc w:val="center"/>
                    <w:rPr>
                      <w:rFonts w:hint="eastAsia" w:cs="宋体"/>
                      <w:color w:val="0000FF"/>
                      <w:sz w:val="21"/>
                      <w:szCs w:val="21"/>
                      <w:lang w:val="en-US" w:eastAsia="zh-CN"/>
                    </w:rPr>
                  </w:pPr>
                  <w:r>
                    <w:rPr>
                      <w:rFonts w:hint="eastAsia" w:cs="宋体"/>
                      <w:color w:val="0000FF"/>
                      <w:sz w:val="21"/>
                      <w:szCs w:val="21"/>
                      <w:lang w:val="en-US" w:eastAsia="zh-CN"/>
                    </w:rPr>
                    <w:t>≤0.3</w:t>
                  </w:r>
                </w:p>
              </w:tc>
            </w:tr>
            <w:tr w14:paraId="1CB93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20" w:type="pct"/>
                  <w:tcBorders>
                    <w:tl2br w:val="nil"/>
                    <w:tr2bl w:val="nil"/>
                  </w:tcBorders>
                  <w:vAlign w:val="center"/>
                </w:tcPr>
                <w:p w14:paraId="568F8CAB">
                  <w:pPr>
                    <w:jc w:val="center"/>
                    <w:rPr>
                      <w:rFonts w:hint="eastAsia" w:cs="宋体"/>
                      <w:color w:val="0000FF"/>
                      <w:sz w:val="21"/>
                      <w:szCs w:val="21"/>
                      <w:lang w:val="en-US" w:eastAsia="zh-CN"/>
                    </w:rPr>
                  </w:pPr>
                  <w:r>
                    <w:rPr>
                      <w:rFonts w:hint="eastAsia" w:cs="宋体"/>
                      <w:color w:val="0000FF"/>
                      <w:sz w:val="21"/>
                      <w:szCs w:val="21"/>
                      <w:lang w:val="en-US" w:eastAsia="zh-CN"/>
                    </w:rPr>
                    <w:t>锰</w:t>
                  </w:r>
                </w:p>
              </w:tc>
              <w:tc>
                <w:tcPr>
                  <w:tcW w:w="793" w:type="pct"/>
                  <w:tcBorders>
                    <w:tl2br w:val="nil"/>
                    <w:tr2bl w:val="nil"/>
                  </w:tcBorders>
                  <w:vAlign w:val="center"/>
                </w:tcPr>
                <w:p w14:paraId="5C1470A2">
                  <w:pPr>
                    <w:jc w:val="center"/>
                    <w:rPr>
                      <w:rFonts w:hint="eastAsia" w:cs="宋体"/>
                      <w:color w:val="0000FF"/>
                      <w:sz w:val="21"/>
                      <w:szCs w:val="21"/>
                      <w:lang w:val="en-US" w:eastAsia="zh-CN"/>
                    </w:rPr>
                  </w:pPr>
                  <w:r>
                    <w:rPr>
                      <w:rFonts w:hint="eastAsia" w:cs="宋体"/>
                      <w:color w:val="0000FF"/>
                      <w:sz w:val="21"/>
                      <w:szCs w:val="21"/>
                      <w:lang w:val="en-US" w:eastAsia="zh-CN"/>
                    </w:rPr>
                    <w:t>mg/L</w:t>
                  </w:r>
                </w:p>
              </w:tc>
              <w:tc>
                <w:tcPr>
                  <w:tcW w:w="552" w:type="pct"/>
                  <w:tcBorders>
                    <w:tl2br w:val="nil"/>
                    <w:tr2bl w:val="nil"/>
                  </w:tcBorders>
                  <w:vAlign w:val="center"/>
                </w:tcPr>
                <w:p w14:paraId="1731E200">
                  <w:pPr>
                    <w:jc w:val="center"/>
                    <w:rPr>
                      <w:rFonts w:hint="eastAsia" w:cs="宋体"/>
                      <w:color w:val="0000FF"/>
                      <w:sz w:val="21"/>
                      <w:szCs w:val="21"/>
                      <w:lang w:val="en-US" w:eastAsia="zh-CN"/>
                    </w:rPr>
                  </w:pPr>
                  <w:r>
                    <w:rPr>
                      <w:rFonts w:hint="eastAsia" w:cs="宋体"/>
                      <w:color w:val="0000FF"/>
                      <w:sz w:val="21"/>
                      <w:szCs w:val="21"/>
                      <w:lang w:val="en-US" w:eastAsia="zh-CN"/>
                    </w:rPr>
                    <w:t>0.01 L</w:t>
                  </w:r>
                </w:p>
              </w:tc>
              <w:tc>
                <w:tcPr>
                  <w:tcW w:w="743" w:type="pct"/>
                  <w:tcBorders>
                    <w:tl2br w:val="nil"/>
                    <w:tr2bl w:val="nil"/>
                  </w:tcBorders>
                  <w:vAlign w:val="center"/>
                </w:tcPr>
                <w:p w14:paraId="6FB7EA19">
                  <w:pPr>
                    <w:jc w:val="center"/>
                    <w:rPr>
                      <w:rFonts w:hint="eastAsia" w:cs="宋体"/>
                      <w:color w:val="0000FF"/>
                      <w:sz w:val="21"/>
                      <w:szCs w:val="21"/>
                      <w:lang w:val="en-US" w:eastAsia="zh-CN"/>
                    </w:rPr>
                  </w:pPr>
                  <w:r>
                    <w:rPr>
                      <w:rFonts w:hint="eastAsia" w:cs="宋体"/>
                      <w:color w:val="0000FF"/>
                      <w:sz w:val="21"/>
                      <w:szCs w:val="21"/>
                      <w:lang w:val="en-US" w:eastAsia="zh-CN"/>
                    </w:rPr>
                    <w:t>0.01 L</w:t>
                  </w:r>
                </w:p>
              </w:tc>
              <w:tc>
                <w:tcPr>
                  <w:tcW w:w="733" w:type="pct"/>
                  <w:tcBorders>
                    <w:tl2br w:val="nil"/>
                    <w:tr2bl w:val="nil"/>
                  </w:tcBorders>
                  <w:vAlign w:val="center"/>
                </w:tcPr>
                <w:p w14:paraId="7D9CA196">
                  <w:pPr>
                    <w:jc w:val="center"/>
                    <w:rPr>
                      <w:rFonts w:hint="eastAsia" w:cs="宋体"/>
                      <w:color w:val="0000FF"/>
                      <w:sz w:val="21"/>
                      <w:szCs w:val="21"/>
                      <w:lang w:val="en-US" w:eastAsia="zh-CN"/>
                    </w:rPr>
                  </w:pPr>
                  <w:r>
                    <w:rPr>
                      <w:rFonts w:hint="eastAsia" w:cs="宋体"/>
                      <w:color w:val="0000FF"/>
                      <w:sz w:val="21"/>
                      <w:szCs w:val="21"/>
                      <w:lang w:val="en-US" w:eastAsia="zh-CN"/>
                    </w:rPr>
                    <w:t>0.01 L</w:t>
                  </w:r>
                </w:p>
              </w:tc>
              <w:tc>
                <w:tcPr>
                  <w:tcW w:w="756" w:type="pct"/>
                  <w:tcBorders>
                    <w:tl2br w:val="nil"/>
                    <w:tr2bl w:val="nil"/>
                  </w:tcBorders>
                  <w:vAlign w:val="center"/>
                </w:tcPr>
                <w:p w14:paraId="7CEFF5E5">
                  <w:pPr>
                    <w:jc w:val="center"/>
                    <w:rPr>
                      <w:rFonts w:hint="eastAsia" w:cs="宋体"/>
                      <w:color w:val="0000FF"/>
                      <w:sz w:val="21"/>
                      <w:szCs w:val="21"/>
                      <w:lang w:val="en-US" w:eastAsia="zh-CN"/>
                    </w:rPr>
                  </w:pPr>
                  <w:r>
                    <w:rPr>
                      <w:rFonts w:hint="eastAsia" w:cs="宋体"/>
                      <w:color w:val="0000FF"/>
                      <w:sz w:val="21"/>
                      <w:szCs w:val="21"/>
                      <w:lang w:val="en-US" w:eastAsia="zh-CN"/>
                    </w:rPr>
                    <w:t>≤0.10</w:t>
                  </w:r>
                </w:p>
              </w:tc>
            </w:tr>
            <w:tr w14:paraId="4B2A6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420" w:type="pct"/>
                  <w:tcBorders>
                    <w:tl2br w:val="nil"/>
                    <w:tr2bl w:val="nil"/>
                  </w:tcBorders>
                  <w:vAlign w:val="center"/>
                </w:tcPr>
                <w:p w14:paraId="2FA6353D">
                  <w:pPr>
                    <w:jc w:val="center"/>
                    <w:rPr>
                      <w:rFonts w:hint="eastAsia" w:cs="宋体"/>
                      <w:color w:val="0000FF"/>
                      <w:sz w:val="21"/>
                      <w:szCs w:val="21"/>
                      <w:lang w:val="en-US" w:eastAsia="zh-CN"/>
                    </w:rPr>
                  </w:pPr>
                  <w:r>
                    <w:rPr>
                      <w:rFonts w:hint="eastAsia" w:cs="宋体"/>
                      <w:color w:val="0000FF"/>
                      <w:sz w:val="21"/>
                      <w:szCs w:val="21"/>
                      <w:lang w:val="en-US" w:eastAsia="zh-CN"/>
                    </w:rPr>
                    <w:t>铅</w:t>
                  </w:r>
                </w:p>
              </w:tc>
              <w:tc>
                <w:tcPr>
                  <w:tcW w:w="793" w:type="pct"/>
                  <w:tcBorders>
                    <w:tl2br w:val="nil"/>
                    <w:tr2bl w:val="nil"/>
                  </w:tcBorders>
                  <w:vAlign w:val="center"/>
                </w:tcPr>
                <w:p w14:paraId="1655205B">
                  <w:pPr>
                    <w:jc w:val="center"/>
                    <w:rPr>
                      <w:rFonts w:hint="eastAsia" w:cs="宋体"/>
                      <w:color w:val="0000FF"/>
                      <w:sz w:val="21"/>
                      <w:szCs w:val="21"/>
                      <w:lang w:val="en-US" w:eastAsia="zh-CN"/>
                    </w:rPr>
                  </w:pPr>
                  <w:r>
                    <w:rPr>
                      <w:rFonts w:hint="eastAsia" w:cs="宋体"/>
                      <w:color w:val="0000FF"/>
                      <w:sz w:val="21"/>
                      <w:szCs w:val="21"/>
                      <w:lang w:val="en-US" w:eastAsia="zh-CN"/>
                    </w:rPr>
                    <w:t>μg/L</w:t>
                  </w:r>
                </w:p>
              </w:tc>
              <w:tc>
                <w:tcPr>
                  <w:tcW w:w="552" w:type="pct"/>
                  <w:tcBorders>
                    <w:tl2br w:val="nil"/>
                    <w:tr2bl w:val="nil"/>
                  </w:tcBorders>
                  <w:vAlign w:val="center"/>
                </w:tcPr>
                <w:p w14:paraId="5AC70991">
                  <w:pPr>
                    <w:jc w:val="center"/>
                    <w:rPr>
                      <w:rFonts w:hint="eastAsia" w:cs="宋体"/>
                      <w:color w:val="0000FF"/>
                      <w:sz w:val="21"/>
                      <w:szCs w:val="21"/>
                      <w:lang w:val="en-US" w:eastAsia="zh-CN"/>
                    </w:rPr>
                  </w:pPr>
                  <w:r>
                    <w:rPr>
                      <w:rFonts w:hint="eastAsia" w:cs="宋体"/>
                      <w:color w:val="0000FF"/>
                      <w:sz w:val="21"/>
                      <w:szCs w:val="21"/>
                      <w:lang w:val="en-US" w:eastAsia="zh-CN"/>
                    </w:rPr>
                    <w:t>3</w:t>
                  </w:r>
                </w:p>
              </w:tc>
              <w:tc>
                <w:tcPr>
                  <w:tcW w:w="743" w:type="pct"/>
                  <w:tcBorders>
                    <w:tl2br w:val="nil"/>
                    <w:tr2bl w:val="nil"/>
                  </w:tcBorders>
                  <w:vAlign w:val="center"/>
                </w:tcPr>
                <w:p w14:paraId="20C6D698">
                  <w:pPr>
                    <w:jc w:val="center"/>
                    <w:rPr>
                      <w:rFonts w:hint="eastAsia" w:cs="宋体"/>
                      <w:color w:val="0000FF"/>
                      <w:sz w:val="21"/>
                      <w:szCs w:val="21"/>
                      <w:lang w:val="en-US" w:eastAsia="zh-CN"/>
                    </w:rPr>
                  </w:pPr>
                  <w:r>
                    <w:rPr>
                      <w:rFonts w:hint="eastAsia" w:cs="宋体"/>
                      <w:color w:val="0000FF"/>
                      <w:sz w:val="21"/>
                      <w:szCs w:val="21"/>
                      <w:lang w:val="en-US" w:eastAsia="zh-CN"/>
                    </w:rPr>
                    <w:t>5</w:t>
                  </w:r>
                </w:p>
              </w:tc>
              <w:tc>
                <w:tcPr>
                  <w:tcW w:w="733" w:type="pct"/>
                  <w:tcBorders>
                    <w:tl2br w:val="nil"/>
                    <w:tr2bl w:val="nil"/>
                  </w:tcBorders>
                  <w:vAlign w:val="center"/>
                </w:tcPr>
                <w:p w14:paraId="072353AC">
                  <w:pPr>
                    <w:jc w:val="center"/>
                    <w:rPr>
                      <w:rFonts w:hint="eastAsia" w:cs="宋体"/>
                      <w:color w:val="0000FF"/>
                      <w:sz w:val="21"/>
                      <w:szCs w:val="21"/>
                      <w:lang w:val="en-US" w:eastAsia="zh-CN"/>
                    </w:rPr>
                  </w:pPr>
                  <w:r>
                    <w:rPr>
                      <w:rFonts w:hint="eastAsia" w:cs="宋体"/>
                      <w:color w:val="0000FF"/>
                      <w:sz w:val="21"/>
                      <w:szCs w:val="21"/>
                      <w:lang w:val="en-US" w:eastAsia="zh-CN"/>
                    </w:rPr>
                    <w:t>2</w:t>
                  </w:r>
                </w:p>
              </w:tc>
              <w:tc>
                <w:tcPr>
                  <w:tcW w:w="756" w:type="pct"/>
                  <w:tcBorders>
                    <w:tl2br w:val="nil"/>
                    <w:tr2bl w:val="nil"/>
                  </w:tcBorders>
                  <w:vAlign w:val="center"/>
                </w:tcPr>
                <w:p w14:paraId="714DA7C7">
                  <w:pPr>
                    <w:jc w:val="center"/>
                    <w:rPr>
                      <w:rFonts w:hint="eastAsia" w:cs="宋体"/>
                      <w:color w:val="0000FF"/>
                      <w:sz w:val="21"/>
                      <w:szCs w:val="21"/>
                      <w:lang w:val="en-US" w:eastAsia="zh-CN"/>
                    </w:rPr>
                  </w:pPr>
                  <w:r>
                    <w:rPr>
                      <w:rFonts w:hint="eastAsia" w:cs="宋体"/>
                      <w:color w:val="0000FF"/>
                      <w:sz w:val="21"/>
                      <w:szCs w:val="21"/>
                      <w:lang w:val="en-US" w:eastAsia="zh-CN"/>
                    </w:rPr>
                    <w:t>≤10</w:t>
                  </w:r>
                </w:p>
              </w:tc>
            </w:tr>
            <w:tr w14:paraId="134CF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420" w:type="pct"/>
                  <w:tcBorders>
                    <w:tl2br w:val="nil"/>
                    <w:tr2bl w:val="nil"/>
                  </w:tcBorders>
                  <w:vAlign w:val="center"/>
                </w:tcPr>
                <w:p w14:paraId="342F3026">
                  <w:pPr>
                    <w:jc w:val="center"/>
                    <w:rPr>
                      <w:rFonts w:hint="eastAsia" w:cs="宋体"/>
                      <w:color w:val="0000FF"/>
                      <w:sz w:val="21"/>
                      <w:szCs w:val="21"/>
                      <w:lang w:val="en-US" w:eastAsia="zh-CN"/>
                    </w:rPr>
                  </w:pPr>
                  <w:r>
                    <w:rPr>
                      <w:rFonts w:hint="eastAsia" w:cs="宋体"/>
                      <w:color w:val="0000FF"/>
                      <w:sz w:val="21"/>
                      <w:szCs w:val="21"/>
                      <w:lang w:val="en-US" w:eastAsia="zh-CN"/>
                    </w:rPr>
                    <w:t>镉</w:t>
                  </w:r>
                </w:p>
              </w:tc>
              <w:tc>
                <w:tcPr>
                  <w:tcW w:w="793" w:type="pct"/>
                  <w:tcBorders>
                    <w:tl2br w:val="nil"/>
                    <w:tr2bl w:val="nil"/>
                  </w:tcBorders>
                  <w:vAlign w:val="center"/>
                </w:tcPr>
                <w:p w14:paraId="1156F2BB">
                  <w:pPr>
                    <w:jc w:val="center"/>
                    <w:rPr>
                      <w:rFonts w:hint="eastAsia" w:cs="宋体"/>
                      <w:color w:val="0000FF"/>
                      <w:sz w:val="21"/>
                      <w:szCs w:val="21"/>
                      <w:lang w:val="en-US" w:eastAsia="zh-CN"/>
                    </w:rPr>
                  </w:pPr>
                  <w:r>
                    <w:rPr>
                      <w:rFonts w:hint="eastAsia" w:cs="宋体"/>
                      <w:color w:val="0000FF"/>
                      <w:sz w:val="21"/>
                      <w:szCs w:val="21"/>
                      <w:lang w:val="en-US" w:eastAsia="zh-CN"/>
                    </w:rPr>
                    <w:t>μg/L</w:t>
                  </w:r>
                </w:p>
              </w:tc>
              <w:tc>
                <w:tcPr>
                  <w:tcW w:w="552" w:type="pct"/>
                  <w:tcBorders>
                    <w:tl2br w:val="nil"/>
                    <w:tr2bl w:val="nil"/>
                  </w:tcBorders>
                  <w:vAlign w:val="center"/>
                </w:tcPr>
                <w:p w14:paraId="4FAAAA01">
                  <w:pPr>
                    <w:jc w:val="center"/>
                    <w:rPr>
                      <w:rFonts w:hint="eastAsia" w:cs="宋体"/>
                      <w:color w:val="0000FF"/>
                      <w:sz w:val="21"/>
                      <w:szCs w:val="21"/>
                      <w:lang w:val="en-US" w:eastAsia="zh-CN"/>
                    </w:rPr>
                  </w:pPr>
                  <w:r>
                    <w:rPr>
                      <w:rFonts w:hint="eastAsia" w:cs="宋体"/>
                      <w:color w:val="0000FF"/>
                      <w:sz w:val="21"/>
                      <w:szCs w:val="21"/>
                      <w:lang w:val="en-US" w:eastAsia="zh-CN"/>
                    </w:rPr>
                    <w:t>0.4</w:t>
                  </w:r>
                </w:p>
              </w:tc>
              <w:tc>
                <w:tcPr>
                  <w:tcW w:w="743" w:type="pct"/>
                  <w:tcBorders>
                    <w:tl2br w:val="nil"/>
                    <w:tr2bl w:val="nil"/>
                  </w:tcBorders>
                  <w:vAlign w:val="center"/>
                </w:tcPr>
                <w:p w14:paraId="6148B96F">
                  <w:pPr>
                    <w:jc w:val="center"/>
                    <w:rPr>
                      <w:rFonts w:hint="eastAsia" w:cs="宋体"/>
                      <w:color w:val="0000FF"/>
                      <w:sz w:val="21"/>
                      <w:szCs w:val="21"/>
                      <w:lang w:val="en-US" w:eastAsia="zh-CN"/>
                    </w:rPr>
                  </w:pPr>
                  <w:r>
                    <w:rPr>
                      <w:rFonts w:hint="eastAsia" w:cs="宋体"/>
                      <w:color w:val="0000FF"/>
                      <w:sz w:val="21"/>
                      <w:szCs w:val="21"/>
                      <w:lang w:val="en-US" w:eastAsia="zh-CN"/>
                    </w:rPr>
                    <w:t>0.2</w:t>
                  </w:r>
                </w:p>
              </w:tc>
              <w:tc>
                <w:tcPr>
                  <w:tcW w:w="733" w:type="pct"/>
                  <w:tcBorders>
                    <w:tl2br w:val="nil"/>
                    <w:tr2bl w:val="nil"/>
                  </w:tcBorders>
                  <w:vAlign w:val="center"/>
                </w:tcPr>
                <w:p w14:paraId="3DFEC5B2">
                  <w:pPr>
                    <w:jc w:val="center"/>
                    <w:rPr>
                      <w:rFonts w:hint="eastAsia" w:cs="宋体"/>
                      <w:color w:val="0000FF"/>
                      <w:sz w:val="21"/>
                      <w:szCs w:val="21"/>
                      <w:lang w:val="en-US" w:eastAsia="zh-CN"/>
                    </w:rPr>
                  </w:pPr>
                  <w:r>
                    <w:rPr>
                      <w:rFonts w:hint="eastAsia" w:cs="宋体"/>
                      <w:color w:val="0000FF"/>
                      <w:sz w:val="21"/>
                      <w:szCs w:val="21"/>
                      <w:lang w:val="en-US" w:eastAsia="zh-CN"/>
                    </w:rPr>
                    <w:t>0.2</w:t>
                  </w:r>
                </w:p>
              </w:tc>
              <w:tc>
                <w:tcPr>
                  <w:tcW w:w="756" w:type="pct"/>
                  <w:tcBorders>
                    <w:tl2br w:val="nil"/>
                    <w:tr2bl w:val="nil"/>
                  </w:tcBorders>
                  <w:vAlign w:val="center"/>
                </w:tcPr>
                <w:p w14:paraId="71F3067E">
                  <w:pPr>
                    <w:jc w:val="center"/>
                    <w:rPr>
                      <w:rFonts w:hint="eastAsia" w:cs="宋体"/>
                      <w:color w:val="0000FF"/>
                      <w:sz w:val="21"/>
                      <w:szCs w:val="21"/>
                      <w:lang w:val="en-US" w:eastAsia="zh-CN"/>
                    </w:rPr>
                  </w:pPr>
                  <w:r>
                    <w:rPr>
                      <w:rFonts w:hint="eastAsia" w:cs="宋体"/>
                      <w:color w:val="0000FF"/>
                      <w:sz w:val="21"/>
                      <w:szCs w:val="21"/>
                      <w:lang w:val="en-US" w:eastAsia="zh-CN"/>
                    </w:rPr>
                    <w:t>≤5</w:t>
                  </w:r>
                </w:p>
              </w:tc>
            </w:tr>
            <w:tr w14:paraId="629BB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420" w:type="pct"/>
                  <w:tcBorders>
                    <w:tl2br w:val="nil"/>
                    <w:tr2bl w:val="nil"/>
                  </w:tcBorders>
                  <w:vAlign w:val="center"/>
                </w:tcPr>
                <w:p w14:paraId="0BDB590F">
                  <w:pPr>
                    <w:jc w:val="center"/>
                    <w:rPr>
                      <w:rFonts w:hint="eastAsia" w:cs="宋体"/>
                      <w:color w:val="0000FF"/>
                      <w:sz w:val="21"/>
                      <w:szCs w:val="21"/>
                      <w:lang w:val="en-US" w:eastAsia="zh-CN"/>
                    </w:rPr>
                  </w:pPr>
                  <w:r>
                    <w:rPr>
                      <w:rFonts w:hint="eastAsia" w:cs="宋体"/>
                      <w:color w:val="0000FF"/>
                      <w:sz w:val="21"/>
                      <w:szCs w:val="21"/>
                      <w:lang w:val="en-US" w:eastAsia="zh-CN"/>
                    </w:rPr>
                    <w:t>砷</w:t>
                  </w:r>
                </w:p>
              </w:tc>
              <w:tc>
                <w:tcPr>
                  <w:tcW w:w="793" w:type="pct"/>
                  <w:tcBorders>
                    <w:tl2br w:val="nil"/>
                    <w:tr2bl w:val="nil"/>
                  </w:tcBorders>
                  <w:vAlign w:val="center"/>
                </w:tcPr>
                <w:p w14:paraId="78F43AF6">
                  <w:pPr>
                    <w:jc w:val="center"/>
                    <w:rPr>
                      <w:rFonts w:hint="eastAsia" w:cs="宋体"/>
                      <w:color w:val="0000FF"/>
                      <w:sz w:val="21"/>
                      <w:szCs w:val="21"/>
                      <w:lang w:val="en-US" w:eastAsia="zh-CN"/>
                    </w:rPr>
                  </w:pPr>
                  <w:r>
                    <w:rPr>
                      <w:rFonts w:hint="eastAsia" w:cs="宋体"/>
                      <w:color w:val="0000FF"/>
                      <w:sz w:val="21"/>
                      <w:szCs w:val="21"/>
                      <w:lang w:val="en-US" w:eastAsia="zh-CN"/>
                    </w:rPr>
                    <w:t>μg/L</w:t>
                  </w:r>
                </w:p>
              </w:tc>
              <w:tc>
                <w:tcPr>
                  <w:tcW w:w="552" w:type="pct"/>
                  <w:tcBorders>
                    <w:tl2br w:val="nil"/>
                    <w:tr2bl w:val="nil"/>
                  </w:tcBorders>
                  <w:vAlign w:val="center"/>
                </w:tcPr>
                <w:p w14:paraId="4C86D724">
                  <w:pPr>
                    <w:jc w:val="center"/>
                    <w:rPr>
                      <w:rFonts w:hint="eastAsia" w:cs="宋体"/>
                      <w:color w:val="0000FF"/>
                      <w:sz w:val="21"/>
                      <w:szCs w:val="21"/>
                      <w:lang w:val="en-US" w:eastAsia="zh-CN"/>
                    </w:rPr>
                  </w:pPr>
                  <w:r>
                    <w:rPr>
                      <w:rFonts w:hint="eastAsia" w:cs="宋体"/>
                      <w:color w:val="0000FF"/>
                      <w:sz w:val="21"/>
                      <w:szCs w:val="21"/>
                      <w:lang w:val="en-US" w:eastAsia="zh-CN"/>
                    </w:rPr>
                    <w:t>0.6</w:t>
                  </w:r>
                </w:p>
              </w:tc>
              <w:tc>
                <w:tcPr>
                  <w:tcW w:w="743" w:type="pct"/>
                  <w:tcBorders>
                    <w:tl2br w:val="nil"/>
                    <w:tr2bl w:val="nil"/>
                  </w:tcBorders>
                  <w:vAlign w:val="center"/>
                </w:tcPr>
                <w:p w14:paraId="6BF86FF2">
                  <w:pPr>
                    <w:jc w:val="center"/>
                    <w:rPr>
                      <w:rFonts w:hint="eastAsia" w:cs="宋体"/>
                      <w:color w:val="0000FF"/>
                      <w:sz w:val="21"/>
                      <w:szCs w:val="21"/>
                      <w:lang w:val="en-US" w:eastAsia="zh-CN"/>
                    </w:rPr>
                  </w:pPr>
                  <w:r>
                    <w:rPr>
                      <w:rFonts w:hint="eastAsia" w:cs="宋体"/>
                      <w:color w:val="0000FF"/>
                      <w:sz w:val="21"/>
                      <w:szCs w:val="21"/>
                      <w:lang w:val="en-US" w:eastAsia="zh-CN"/>
                    </w:rPr>
                    <w:t>0.3</w:t>
                  </w:r>
                </w:p>
              </w:tc>
              <w:tc>
                <w:tcPr>
                  <w:tcW w:w="733" w:type="pct"/>
                  <w:tcBorders>
                    <w:tl2br w:val="nil"/>
                    <w:tr2bl w:val="nil"/>
                  </w:tcBorders>
                  <w:vAlign w:val="center"/>
                </w:tcPr>
                <w:p w14:paraId="34EB7806">
                  <w:pPr>
                    <w:jc w:val="center"/>
                    <w:rPr>
                      <w:rFonts w:hint="eastAsia" w:cs="宋体"/>
                      <w:color w:val="0000FF"/>
                      <w:sz w:val="21"/>
                      <w:szCs w:val="21"/>
                      <w:lang w:val="en-US" w:eastAsia="zh-CN"/>
                    </w:rPr>
                  </w:pPr>
                  <w:r>
                    <w:rPr>
                      <w:rFonts w:hint="eastAsia" w:cs="宋体"/>
                      <w:color w:val="0000FF"/>
                      <w:sz w:val="21"/>
                      <w:szCs w:val="21"/>
                      <w:lang w:val="en-US" w:eastAsia="zh-CN"/>
                    </w:rPr>
                    <w:t>0.5</w:t>
                  </w:r>
                </w:p>
              </w:tc>
              <w:tc>
                <w:tcPr>
                  <w:tcW w:w="756" w:type="pct"/>
                  <w:tcBorders>
                    <w:tl2br w:val="nil"/>
                    <w:tr2bl w:val="nil"/>
                  </w:tcBorders>
                  <w:vAlign w:val="center"/>
                </w:tcPr>
                <w:p w14:paraId="4868413E">
                  <w:pPr>
                    <w:jc w:val="center"/>
                    <w:rPr>
                      <w:rFonts w:hint="eastAsia" w:cs="宋体"/>
                      <w:color w:val="0000FF"/>
                      <w:sz w:val="21"/>
                      <w:szCs w:val="21"/>
                      <w:lang w:val="en-US" w:eastAsia="zh-CN"/>
                    </w:rPr>
                  </w:pPr>
                  <w:r>
                    <w:rPr>
                      <w:rFonts w:hint="eastAsia" w:cs="宋体"/>
                      <w:color w:val="0000FF"/>
                      <w:sz w:val="21"/>
                      <w:szCs w:val="21"/>
                      <w:lang w:val="en-US" w:eastAsia="zh-CN"/>
                    </w:rPr>
                    <w:t>≤10</w:t>
                  </w:r>
                </w:p>
              </w:tc>
            </w:tr>
            <w:tr w14:paraId="59CF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420" w:type="pct"/>
                  <w:tcBorders>
                    <w:tl2br w:val="nil"/>
                    <w:tr2bl w:val="nil"/>
                  </w:tcBorders>
                  <w:vAlign w:val="center"/>
                </w:tcPr>
                <w:p w14:paraId="0BD5BB0F">
                  <w:pPr>
                    <w:jc w:val="center"/>
                    <w:rPr>
                      <w:rFonts w:hint="eastAsia" w:cs="宋体"/>
                      <w:color w:val="0000FF"/>
                      <w:sz w:val="21"/>
                      <w:szCs w:val="21"/>
                      <w:lang w:val="en-US" w:eastAsia="zh-CN"/>
                    </w:rPr>
                  </w:pPr>
                  <w:r>
                    <w:rPr>
                      <w:rFonts w:hint="eastAsia" w:cs="宋体"/>
                      <w:color w:val="0000FF"/>
                      <w:sz w:val="21"/>
                      <w:szCs w:val="21"/>
                      <w:lang w:val="en-US" w:eastAsia="zh-CN"/>
                    </w:rPr>
                    <w:t>汞</w:t>
                  </w:r>
                </w:p>
              </w:tc>
              <w:tc>
                <w:tcPr>
                  <w:tcW w:w="793" w:type="pct"/>
                  <w:tcBorders>
                    <w:tl2br w:val="nil"/>
                    <w:tr2bl w:val="nil"/>
                  </w:tcBorders>
                  <w:vAlign w:val="center"/>
                </w:tcPr>
                <w:p w14:paraId="2175ED3E">
                  <w:pPr>
                    <w:jc w:val="center"/>
                    <w:rPr>
                      <w:rFonts w:hint="eastAsia" w:cs="宋体"/>
                      <w:color w:val="0000FF"/>
                      <w:sz w:val="21"/>
                      <w:szCs w:val="21"/>
                      <w:lang w:val="en-US" w:eastAsia="zh-CN"/>
                    </w:rPr>
                  </w:pPr>
                  <w:r>
                    <w:rPr>
                      <w:rFonts w:hint="eastAsia" w:cs="宋体"/>
                      <w:color w:val="0000FF"/>
                      <w:sz w:val="21"/>
                      <w:szCs w:val="21"/>
                      <w:lang w:val="en-US" w:eastAsia="zh-CN"/>
                    </w:rPr>
                    <w:t>μg/L</w:t>
                  </w:r>
                </w:p>
              </w:tc>
              <w:tc>
                <w:tcPr>
                  <w:tcW w:w="552" w:type="pct"/>
                  <w:tcBorders>
                    <w:tl2br w:val="nil"/>
                    <w:tr2bl w:val="nil"/>
                  </w:tcBorders>
                  <w:vAlign w:val="center"/>
                </w:tcPr>
                <w:p w14:paraId="441B1F3E">
                  <w:pPr>
                    <w:jc w:val="center"/>
                    <w:rPr>
                      <w:rFonts w:hint="eastAsia" w:cs="宋体"/>
                      <w:color w:val="0000FF"/>
                      <w:sz w:val="21"/>
                      <w:szCs w:val="21"/>
                      <w:lang w:val="en-US" w:eastAsia="zh-CN"/>
                    </w:rPr>
                  </w:pPr>
                  <w:r>
                    <w:rPr>
                      <w:rFonts w:hint="eastAsia" w:cs="宋体"/>
                      <w:color w:val="0000FF"/>
                      <w:sz w:val="21"/>
                      <w:szCs w:val="21"/>
                      <w:lang w:val="en-US" w:eastAsia="zh-CN"/>
                    </w:rPr>
                    <w:t>0.04 L</w:t>
                  </w:r>
                </w:p>
              </w:tc>
              <w:tc>
                <w:tcPr>
                  <w:tcW w:w="743" w:type="pct"/>
                  <w:tcBorders>
                    <w:tl2br w:val="nil"/>
                    <w:tr2bl w:val="nil"/>
                  </w:tcBorders>
                  <w:vAlign w:val="center"/>
                </w:tcPr>
                <w:p w14:paraId="5F8A5E72">
                  <w:pPr>
                    <w:jc w:val="center"/>
                    <w:rPr>
                      <w:rFonts w:hint="eastAsia" w:cs="宋体"/>
                      <w:color w:val="0000FF"/>
                      <w:sz w:val="21"/>
                      <w:szCs w:val="21"/>
                      <w:lang w:val="en-US" w:eastAsia="zh-CN"/>
                    </w:rPr>
                  </w:pPr>
                  <w:r>
                    <w:rPr>
                      <w:rFonts w:hint="eastAsia" w:cs="宋体"/>
                      <w:color w:val="0000FF"/>
                      <w:sz w:val="21"/>
                      <w:szCs w:val="21"/>
                      <w:lang w:val="en-US" w:eastAsia="zh-CN"/>
                    </w:rPr>
                    <w:t>0.04 L</w:t>
                  </w:r>
                </w:p>
              </w:tc>
              <w:tc>
                <w:tcPr>
                  <w:tcW w:w="733" w:type="pct"/>
                  <w:tcBorders>
                    <w:tl2br w:val="nil"/>
                    <w:tr2bl w:val="nil"/>
                  </w:tcBorders>
                  <w:vAlign w:val="center"/>
                </w:tcPr>
                <w:p w14:paraId="5A561BD8">
                  <w:pPr>
                    <w:jc w:val="center"/>
                    <w:rPr>
                      <w:rFonts w:hint="eastAsia" w:cs="宋体"/>
                      <w:color w:val="0000FF"/>
                      <w:sz w:val="21"/>
                      <w:szCs w:val="21"/>
                      <w:lang w:val="en-US" w:eastAsia="zh-CN"/>
                    </w:rPr>
                  </w:pPr>
                  <w:r>
                    <w:rPr>
                      <w:rFonts w:hint="eastAsia" w:cs="宋体"/>
                      <w:color w:val="0000FF"/>
                      <w:sz w:val="21"/>
                      <w:szCs w:val="21"/>
                      <w:lang w:val="en-US" w:eastAsia="zh-CN"/>
                    </w:rPr>
                    <w:t>0.04 L</w:t>
                  </w:r>
                </w:p>
              </w:tc>
              <w:tc>
                <w:tcPr>
                  <w:tcW w:w="756" w:type="pct"/>
                  <w:tcBorders>
                    <w:tl2br w:val="nil"/>
                    <w:tr2bl w:val="nil"/>
                  </w:tcBorders>
                  <w:vAlign w:val="center"/>
                </w:tcPr>
                <w:p w14:paraId="347724E8">
                  <w:pPr>
                    <w:jc w:val="center"/>
                    <w:rPr>
                      <w:rFonts w:hint="eastAsia" w:cs="宋体"/>
                      <w:color w:val="0000FF"/>
                      <w:sz w:val="21"/>
                      <w:szCs w:val="21"/>
                      <w:lang w:val="en-US" w:eastAsia="zh-CN"/>
                    </w:rPr>
                  </w:pPr>
                  <w:r>
                    <w:rPr>
                      <w:rFonts w:hint="eastAsia" w:cs="宋体"/>
                      <w:color w:val="0000FF"/>
                      <w:sz w:val="21"/>
                      <w:szCs w:val="21"/>
                      <w:lang w:val="en-US" w:eastAsia="zh-CN"/>
                    </w:rPr>
                    <w:t>≤1</w:t>
                  </w:r>
                </w:p>
              </w:tc>
            </w:tr>
            <w:tr w14:paraId="485A7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420" w:type="pct"/>
                  <w:tcBorders>
                    <w:tl2br w:val="nil"/>
                    <w:tr2bl w:val="nil"/>
                  </w:tcBorders>
                  <w:vAlign w:val="center"/>
                </w:tcPr>
                <w:p w14:paraId="09DA9B0B">
                  <w:pPr>
                    <w:jc w:val="center"/>
                    <w:rPr>
                      <w:rFonts w:hint="eastAsia" w:cs="宋体"/>
                      <w:color w:val="0000FF"/>
                      <w:sz w:val="21"/>
                      <w:szCs w:val="21"/>
                      <w:lang w:val="en-US" w:eastAsia="zh-CN"/>
                    </w:rPr>
                  </w:pPr>
                  <w:r>
                    <w:rPr>
                      <w:rFonts w:hint="eastAsia" w:cs="宋体"/>
                      <w:color w:val="0000FF"/>
                      <w:sz w:val="21"/>
                      <w:szCs w:val="21"/>
                      <w:lang w:val="en-US" w:eastAsia="zh-CN"/>
                    </w:rPr>
                    <w:t>总大肠菌群</w:t>
                  </w:r>
                </w:p>
              </w:tc>
              <w:tc>
                <w:tcPr>
                  <w:tcW w:w="793" w:type="pct"/>
                  <w:tcBorders>
                    <w:tl2br w:val="nil"/>
                    <w:tr2bl w:val="nil"/>
                  </w:tcBorders>
                  <w:vAlign w:val="center"/>
                </w:tcPr>
                <w:p w14:paraId="227A9E0F">
                  <w:pPr>
                    <w:jc w:val="center"/>
                    <w:rPr>
                      <w:rFonts w:hint="eastAsia" w:cs="宋体"/>
                      <w:color w:val="0000FF"/>
                      <w:sz w:val="21"/>
                      <w:szCs w:val="21"/>
                      <w:lang w:val="en-US" w:eastAsia="zh-CN"/>
                    </w:rPr>
                  </w:pPr>
                  <w:r>
                    <w:rPr>
                      <w:rFonts w:hint="eastAsia" w:cs="宋体"/>
                      <w:color w:val="0000FF"/>
                      <w:sz w:val="21"/>
                      <w:szCs w:val="21"/>
                      <w:lang w:val="en-US" w:eastAsia="zh-CN"/>
                    </w:rPr>
                    <w:t>MPN/100mL</w:t>
                  </w:r>
                </w:p>
              </w:tc>
              <w:tc>
                <w:tcPr>
                  <w:tcW w:w="552" w:type="pct"/>
                  <w:tcBorders>
                    <w:tl2br w:val="nil"/>
                    <w:tr2bl w:val="nil"/>
                  </w:tcBorders>
                  <w:vAlign w:val="center"/>
                </w:tcPr>
                <w:p w14:paraId="550E6D9B">
                  <w:pPr>
                    <w:jc w:val="center"/>
                    <w:rPr>
                      <w:rFonts w:hint="eastAsia" w:cs="宋体"/>
                      <w:color w:val="0000FF"/>
                      <w:sz w:val="21"/>
                      <w:szCs w:val="21"/>
                      <w:lang w:val="en-US" w:eastAsia="zh-CN"/>
                    </w:rPr>
                  </w:pPr>
                  <w:r>
                    <w:rPr>
                      <w:rFonts w:hint="eastAsia" w:cs="宋体"/>
                      <w:color w:val="0000FF"/>
                      <w:sz w:val="21"/>
                      <w:szCs w:val="21"/>
                      <w:lang w:val="en-US" w:eastAsia="zh-CN"/>
                    </w:rPr>
                    <w:t>2 L</w:t>
                  </w:r>
                </w:p>
              </w:tc>
              <w:tc>
                <w:tcPr>
                  <w:tcW w:w="743" w:type="pct"/>
                  <w:tcBorders>
                    <w:tl2br w:val="nil"/>
                    <w:tr2bl w:val="nil"/>
                  </w:tcBorders>
                  <w:vAlign w:val="center"/>
                </w:tcPr>
                <w:p w14:paraId="258FAA14">
                  <w:pPr>
                    <w:jc w:val="center"/>
                    <w:rPr>
                      <w:rFonts w:hint="eastAsia" w:cs="宋体"/>
                      <w:color w:val="0000FF"/>
                      <w:sz w:val="21"/>
                      <w:szCs w:val="21"/>
                      <w:lang w:val="en-US" w:eastAsia="zh-CN"/>
                    </w:rPr>
                  </w:pPr>
                  <w:r>
                    <w:rPr>
                      <w:rFonts w:hint="eastAsia" w:cs="宋体"/>
                      <w:color w:val="0000FF"/>
                      <w:sz w:val="21"/>
                      <w:szCs w:val="21"/>
                      <w:lang w:val="en-US" w:eastAsia="zh-CN"/>
                    </w:rPr>
                    <w:t>2 L</w:t>
                  </w:r>
                </w:p>
              </w:tc>
              <w:tc>
                <w:tcPr>
                  <w:tcW w:w="733" w:type="pct"/>
                  <w:tcBorders>
                    <w:tl2br w:val="nil"/>
                    <w:tr2bl w:val="nil"/>
                  </w:tcBorders>
                  <w:vAlign w:val="center"/>
                </w:tcPr>
                <w:p w14:paraId="137C81C8">
                  <w:pPr>
                    <w:jc w:val="center"/>
                    <w:rPr>
                      <w:rFonts w:hint="eastAsia" w:cs="宋体"/>
                      <w:color w:val="0000FF"/>
                      <w:sz w:val="21"/>
                      <w:szCs w:val="21"/>
                      <w:lang w:val="en-US" w:eastAsia="zh-CN"/>
                    </w:rPr>
                  </w:pPr>
                  <w:r>
                    <w:rPr>
                      <w:rFonts w:hint="eastAsia" w:cs="宋体"/>
                      <w:color w:val="0000FF"/>
                      <w:sz w:val="21"/>
                      <w:szCs w:val="21"/>
                      <w:lang w:val="en-US" w:eastAsia="zh-CN"/>
                    </w:rPr>
                    <w:t>2 L</w:t>
                  </w:r>
                </w:p>
              </w:tc>
              <w:tc>
                <w:tcPr>
                  <w:tcW w:w="756" w:type="pct"/>
                  <w:tcBorders>
                    <w:tl2br w:val="nil"/>
                    <w:tr2bl w:val="nil"/>
                  </w:tcBorders>
                  <w:vAlign w:val="center"/>
                </w:tcPr>
                <w:p w14:paraId="2A8B9832">
                  <w:pPr>
                    <w:jc w:val="center"/>
                    <w:rPr>
                      <w:rFonts w:hint="eastAsia" w:cs="宋体"/>
                      <w:color w:val="0000FF"/>
                      <w:sz w:val="21"/>
                      <w:szCs w:val="21"/>
                      <w:lang w:val="en-US" w:eastAsia="zh-CN"/>
                    </w:rPr>
                  </w:pPr>
                  <w:r>
                    <w:rPr>
                      <w:rFonts w:hint="eastAsia" w:cs="宋体"/>
                      <w:color w:val="0000FF"/>
                      <w:sz w:val="21"/>
                      <w:szCs w:val="21"/>
                      <w:lang w:val="en-US" w:eastAsia="zh-CN"/>
                    </w:rPr>
                    <w:t>≤3</w:t>
                  </w:r>
                </w:p>
              </w:tc>
            </w:tr>
            <w:tr w14:paraId="6F201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420" w:type="pct"/>
                  <w:tcBorders>
                    <w:tl2br w:val="nil"/>
                    <w:tr2bl w:val="nil"/>
                  </w:tcBorders>
                  <w:vAlign w:val="center"/>
                </w:tcPr>
                <w:p w14:paraId="4757D767">
                  <w:pPr>
                    <w:jc w:val="center"/>
                    <w:rPr>
                      <w:rFonts w:hint="eastAsia" w:cs="宋体"/>
                      <w:color w:val="0000FF"/>
                      <w:sz w:val="21"/>
                      <w:szCs w:val="21"/>
                      <w:lang w:val="en-US" w:eastAsia="zh-CN"/>
                    </w:rPr>
                  </w:pPr>
                  <w:r>
                    <w:rPr>
                      <w:rFonts w:hint="eastAsia" w:cs="宋体"/>
                      <w:color w:val="0000FF"/>
                      <w:sz w:val="21"/>
                      <w:szCs w:val="21"/>
                      <w:lang w:val="en-US" w:eastAsia="zh-CN"/>
                    </w:rPr>
                    <w:t>细菌总数</w:t>
                  </w:r>
                </w:p>
              </w:tc>
              <w:tc>
                <w:tcPr>
                  <w:tcW w:w="793" w:type="pct"/>
                  <w:tcBorders>
                    <w:tl2br w:val="nil"/>
                    <w:tr2bl w:val="nil"/>
                  </w:tcBorders>
                  <w:vAlign w:val="center"/>
                </w:tcPr>
                <w:p w14:paraId="0FEF66F5">
                  <w:pPr>
                    <w:jc w:val="center"/>
                    <w:rPr>
                      <w:rFonts w:hint="eastAsia" w:cs="宋体"/>
                      <w:color w:val="0000FF"/>
                      <w:sz w:val="21"/>
                      <w:szCs w:val="21"/>
                      <w:lang w:val="en-US" w:eastAsia="zh-CN"/>
                    </w:rPr>
                  </w:pPr>
                  <w:r>
                    <w:rPr>
                      <w:rFonts w:hint="eastAsia" w:cs="宋体"/>
                      <w:color w:val="0000FF"/>
                      <w:sz w:val="21"/>
                      <w:szCs w:val="21"/>
                      <w:lang w:val="en-US" w:eastAsia="zh-CN"/>
                    </w:rPr>
                    <w:t>CFU/mL</w:t>
                  </w:r>
                </w:p>
              </w:tc>
              <w:tc>
                <w:tcPr>
                  <w:tcW w:w="552" w:type="pct"/>
                  <w:tcBorders>
                    <w:tl2br w:val="nil"/>
                    <w:tr2bl w:val="nil"/>
                  </w:tcBorders>
                  <w:vAlign w:val="center"/>
                </w:tcPr>
                <w:p w14:paraId="6E4D84FD">
                  <w:pPr>
                    <w:jc w:val="center"/>
                    <w:rPr>
                      <w:rFonts w:hint="eastAsia" w:cs="宋体"/>
                      <w:color w:val="0000FF"/>
                      <w:sz w:val="21"/>
                      <w:szCs w:val="21"/>
                      <w:lang w:val="en-US" w:eastAsia="zh-CN"/>
                    </w:rPr>
                  </w:pPr>
                  <w:r>
                    <w:rPr>
                      <w:rFonts w:hint="eastAsia" w:cs="宋体"/>
                      <w:color w:val="0000FF"/>
                      <w:sz w:val="21"/>
                      <w:szCs w:val="21"/>
                      <w:lang w:val="en-US" w:eastAsia="zh-CN"/>
                    </w:rPr>
                    <w:t>61</w:t>
                  </w:r>
                </w:p>
              </w:tc>
              <w:tc>
                <w:tcPr>
                  <w:tcW w:w="743" w:type="pct"/>
                  <w:tcBorders>
                    <w:tl2br w:val="nil"/>
                    <w:tr2bl w:val="nil"/>
                  </w:tcBorders>
                  <w:vAlign w:val="center"/>
                </w:tcPr>
                <w:p w14:paraId="2EF3E2C2">
                  <w:pPr>
                    <w:jc w:val="center"/>
                    <w:rPr>
                      <w:rFonts w:hint="eastAsia" w:cs="宋体"/>
                      <w:color w:val="0000FF"/>
                      <w:sz w:val="21"/>
                      <w:szCs w:val="21"/>
                      <w:lang w:val="en-US" w:eastAsia="zh-CN"/>
                    </w:rPr>
                  </w:pPr>
                  <w:r>
                    <w:rPr>
                      <w:rFonts w:hint="eastAsia" w:cs="宋体"/>
                      <w:color w:val="0000FF"/>
                      <w:sz w:val="21"/>
                      <w:szCs w:val="21"/>
                      <w:lang w:val="en-US" w:eastAsia="zh-CN"/>
                    </w:rPr>
                    <w:t>45</w:t>
                  </w:r>
                </w:p>
              </w:tc>
              <w:tc>
                <w:tcPr>
                  <w:tcW w:w="733" w:type="pct"/>
                  <w:tcBorders>
                    <w:tl2br w:val="nil"/>
                    <w:tr2bl w:val="nil"/>
                  </w:tcBorders>
                  <w:vAlign w:val="center"/>
                </w:tcPr>
                <w:p w14:paraId="5D4F0843">
                  <w:pPr>
                    <w:jc w:val="center"/>
                    <w:rPr>
                      <w:rFonts w:hint="eastAsia" w:cs="宋体"/>
                      <w:color w:val="0000FF"/>
                      <w:sz w:val="21"/>
                      <w:szCs w:val="21"/>
                      <w:lang w:val="en-US" w:eastAsia="zh-CN"/>
                    </w:rPr>
                  </w:pPr>
                  <w:r>
                    <w:rPr>
                      <w:rFonts w:hint="eastAsia" w:cs="宋体"/>
                      <w:color w:val="0000FF"/>
                      <w:sz w:val="21"/>
                      <w:szCs w:val="21"/>
                      <w:lang w:val="en-US" w:eastAsia="zh-CN"/>
                    </w:rPr>
                    <w:t>48</w:t>
                  </w:r>
                </w:p>
              </w:tc>
              <w:tc>
                <w:tcPr>
                  <w:tcW w:w="756" w:type="pct"/>
                  <w:tcBorders>
                    <w:tl2br w:val="nil"/>
                    <w:tr2bl w:val="nil"/>
                  </w:tcBorders>
                  <w:vAlign w:val="center"/>
                </w:tcPr>
                <w:p w14:paraId="3BFCDFBC">
                  <w:pPr>
                    <w:jc w:val="center"/>
                    <w:rPr>
                      <w:rFonts w:hint="eastAsia" w:cs="宋体"/>
                      <w:color w:val="0000FF"/>
                      <w:sz w:val="21"/>
                      <w:szCs w:val="21"/>
                      <w:lang w:val="en-US" w:eastAsia="zh-CN"/>
                    </w:rPr>
                  </w:pPr>
                  <w:r>
                    <w:rPr>
                      <w:rFonts w:hint="eastAsia" w:cs="宋体"/>
                      <w:color w:val="0000FF"/>
                      <w:sz w:val="21"/>
                      <w:szCs w:val="21"/>
                      <w:lang w:val="en-US" w:eastAsia="zh-CN"/>
                    </w:rPr>
                    <w:t>≤100</w:t>
                  </w:r>
                </w:p>
              </w:tc>
            </w:tr>
            <w:tr w14:paraId="58153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420" w:type="pct"/>
                  <w:tcBorders>
                    <w:tl2br w:val="nil"/>
                    <w:tr2bl w:val="nil"/>
                  </w:tcBorders>
                  <w:vAlign w:val="center"/>
                </w:tcPr>
                <w:p w14:paraId="3C2AC874">
                  <w:pPr>
                    <w:jc w:val="center"/>
                    <w:rPr>
                      <w:rFonts w:hint="eastAsia" w:cs="宋体"/>
                      <w:color w:val="0000FF"/>
                      <w:sz w:val="21"/>
                      <w:szCs w:val="21"/>
                      <w:lang w:val="en-US" w:eastAsia="zh-CN"/>
                    </w:rPr>
                  </w:pPr>
                  <w:r>
                    <w:rPr>
                      <w:rFonts w:hint="eastAsia" w:cs="宋体"/>
                      <w:color w:val="0000FF"/>
                      <w:sz w:val="21"/>
                      <w:szCs w:val="21"/>
                      <w:lang w:val="en-US" w:eastAsia="zh-CN"/>
                    </w:rPr>
                    <w:t>钾</w:t>
                  </w:r>
                </w:p>
              </w:tc>
              <w:tc>
                <w:tcPr>
                  <w:tcW w:w="793" w:type="pct"/>
                  <w:tcBorders>
                    <w:tl2br w:val="nil"/>
                    <w:tr2bl w:val="nil"/>
                  </w:tcBorders>
                  <w:vAlign w:val="center"/>
                </w:tcPr>
                <w:p w14:paraId="5058ED92">
                  <w:pPr>
                    <w:jc w:val="center"/>
                    <w:rPr>
                      <w:rFonts w:hint="eastAsia" w:cs="宋体"/>
                      <w:color w:val="0000FF"/>
                      <w:sz w:val="21"/>
                      <w:szCs w:val="21"/>
                      <w:lang w:val="en-US" w:eastAsia="zh-CN"/>
                    </w:rPr>
                  </w:pPr>
                  <w:r>
                    <w:rPr>
                      <w:rFonts w:hint="eastAsia" w:cs="宋体"/>
                      <w:color w:val="0000FF"/>
                      <w:sz w:val="21"/>
                      <w:szCs w:val="21"/>
                      <w:lang w:val="en-US" w:eastAsia="zh-CN"/>
                    </w:rPr>
                    <w:t>mg/L</w:t>
                  </w:r>
                </w:p>
              </w:tc>
              <w:tc>
                <w:tcPr>
                  <w:tcW w:w="552" w:type="pct"/>
                  <w:tcBorders>
                    <w:tl2br w:val="nil"/>
                    <w:tr2bl w:val="nil"/>
                  </w:tcBorders>
                  <w:vAlign w:val="center"/>
                </w:tcPr>
                <w:p w14:paraId="7E9ED54C">
                  <w:pPr>
                    <w:jc w:val="center"/>
                    <w:rPr>
                      <w:rFonts w:hint="eastAsia" w:cs="宋体"/>
                      <w:color w:val="0000FF"/>
                      <w:sz w:val="21"/>
                      <w:szCs w:val="21"/>
                      <w:lang w:val="en-US" w:eastAsia="zh-CN"/>
                    </w:rPr>
                  </w:pPr>
                  <w:r>
                    <w:rPr>
                      <w:rFonts w:hint="eastAsia" w:cs="宋体"/>
                      <w:color w:val="0000FF"/>
                      <w:sz w:val="21"/>
                      <w:szCs w:val="21"/>
                      <w:lang w:val="en-US" w:eastAsia="zh-CN"/>
                    </w:rPr>
                    <w:t>2.21</w:t>
                  </w:r>
                </w:p>
              </w:tc>
              <w:tc>
                <w:tcPr>
                  <w:tcW w:w="743" w:type="pct"/>
                  <w:tcBorders>
                    <w:tl2br w:val="nil"/>
                    <w:tr2bl w:val="nil"/>
                  </w:tcBorders>
                  <w:vAlign w:val="center"/>
                </w:tcPr>
                <w:p w14:paraId="2E69CDF4">
                  <w:pPr>
                    <w:jc w:val="center"/>
                    <w:rPr>
                      <w:rFonts w:hint="eastAsia" w:cs="宋体"/>
                      <w:color w:val="0000FF"/>
                      <w:sz w:val="21"/>
                      <w:szCs w:val="21"/>
                      <w:lang w:val="en-US" w:eastAsia="zh-CN"/>
                    </w:rPr>
                  </w:pPr>
                  <w:r>
                    <w:rPr>
                      <w:rFonts w:hint="eastAsia" w:cs="宋体"/>
                      <w:color w:val="0000FF"/>
                      <w:sz w:val="21"/>
                      <w:szCs w:val="21"/>
                      <w:lang w:val="en-US" w:eastAsia="zh-CN"/>
                    </w:rPr>
                    <w:t>1.86</w:t>
                  </w:r>
                </w:p>
              </w:tc>
              <w:tc>
                <w:tcPr>
                  <w:tcW w:w="733" w:type="pct"/>
                  <w:tcBorders>
                    <w:tl2br w:val="nil"/>
                    <w:tr2bl w:val="nil"/>
                  </w:tcBorders>
                  <w:vAlign w:val="center"/>
                </w:tcPr>
                <w:p w14:paraId="2C0EE188">
                  <w:pPr>
                    <w:jc w:val="center"/>
                    <w:rPr>
                      <w:rFonts w:hint="eastAsia" w:cs="宋体"/>
                      <w:color w:val="0000FF"/>
                      <w:sz w:val="21"/>
                      <w:szCs w:val="21"/>
                      <w:lang w:val="en-US" w:eastAsia="zh-CN"/>
                    </w:rPr>
                  </w:pPr>
                  <w:r>
                    <w:rPr>
                      <w:rFonts w:hint="eastAsia" w:cs="宋体"/>
                      <w:color w:val="0000FF"/>
                      <w:sz w:val="21"/>
                      <w:szCs w:val="21"/>
                      <w:lang w:val="en-US" w:eastAsia="zh-CN"/>
                    </w:rPr>
                    <w:t>2.34</w:t>
                  </w:r>
                </w:p>
              </w:tc>
              <w:tc>
                <w:tcPr>
                  <w:tcW w:w="756" w:type="pct"/>
                  <w:tcBorders>
                    <w:tl2br w:val="nil"/>
                    <w:tr2bl w:val="nil"/>
                  </w:tcBorders>
                  <w:vAlign w:val="center"/>
                </w:tcPr>
                <w:p w14:paraId="51EEFAB8">
                  <w:pPr>
                    <w:jc w:val="center"/>
                    <w:rPr>
                      <w:rFonts w:hint="eastAsia" w:cs="宋体"/>
                      <w:color w:val="0000FF"/>
                      <w:sz w:val="21"/>
                      <w:szCs w:val="21"/>
                      <w:lang w:val="en-US" w:eastAsia="zh-CN"/>
                    </w:rPr>
                  </w:pPr>
                  <w:r>
                    <w:rPr>
                      <w:rFonts w:hint="eastAsia" w:cs="宋体"/>
                      <w:color w:val="0000FF"/>
                      <w:sz w:val="21"/>
                      <w:szCs w:val="21"/>
                      <w:lang w:val="en-US" w:eastAsia="zh-CN"/>
                    </w:rPr>
                    <w:t>/</w:t>
                  </w:r>
                </w:p>
              </w:tc>
            </w:tr>
            <w:tr w14:paraId="29AAA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420" w:type="pct"/>
                  <w:tcBorders>
                    <w:tl2br w:val="nil"/>
                    <w:tr2bl w:val="nil"/>
                  </w:tcBorders>
                  <w:vAlign w:val="center"/>
                </w:tcPr>
                <w:p w14:paraId="40D09FBB">
                  <w:pPr>
                    <w:jc w:val="center"/>
                    <w:rPr>
                      <w:rFonts w:hint="eastAsia" w:cs="宋体"/>
                      <w:color w:val="0000FF"/>
                      <w:sz w:val="21"/>
                      <w:szCs w:val="21"/>
                      <w:lang w:val="en-US" w:eastAsia="zh-CN"/>
                    </w:rPr>
                  </w:pPr>
                  <w:r>
                    <w:rPr>
                      <w:rFonts w:hint="eastAsia" w:cs="宋体"/>
                      <w:color w:val="0000FF"/>
                      <w:sz w:val="21"/>
                      <w:szCs w:val="21"/>
                      <w:lang w:val="en-US" w:eastAsia="zh-CN"/>
                    </w:rPr>
                    <w:t>钠</w:t>
                  </w:r>
                </w:p>
              </w:tc>
              <w:tc>
                <w:tcPr>
                  <w:tcW w:w="793" w:type="pct"/>
                  <w:tcBorders>
                    <w:tl2br w:val="nil"/>
                    <w:tr2bl w:val="nil"/>
                  </w:tcBorders>
                  <w:vAlign w:val="center"/>
                </w:tcPr>
                <w:p w14:paraId="1E8CA386">
                  <w:pPr>
                    <w:jc w:val="center"/>
                    <w:rPr>
                      <w:rFonts w:hint="eastAsia" w:cs="宋体"/>
                      <w:color w:val="0000FF"/>
                      <w:sz w:val="21"/>
                      <w:szCs w:val="21"/>
                      <w:lang w:val="en-US" w:eastAsia="zh-CN"/>
                    </w:rPr>
                  </w:pPr>
                  <w:r>
                    <w:rPr>
                      <w:rFonts w:hint="eastAsia" w:cs="宋体"/>
                      <w:color w:val="0000FF"/>
                      <w:sz w:val="21"/>
                      <w:szCs w:val="21"/>
                      <w:lang w:val="en-US" w:eastAsia="zh-CN"/>
                    </w:rPr>
                    <w:t>mg/L</w:t>
                  </w:r>
                </w:p>
              </w:tc>
              <w:tc>
                <w:tcPr>
                  <w:tcW w:w="552" w:type="pct"/>
                  <w:tcBorders>
                    <w:tl2br w:val="nil"/>
                    <w:tr2bl w:val="nil"/>
                  </w:tcBorders>
                  <w:vAlign w:val="center"/>
                </w:tcPr>
                <w:p w14:paraId="146A1650">
                  <w:pPr>
                    <w:jc w:val="center"/>
                    <w:rPr>
                      <w:rFonts w:hint="eastAsia" w:cs="宋体"/>
                      <w:color w:val="0000FF"/>
                      <w:sz w:val="21"/>
                      <w:szCs w:val="21"/>
                      <w:lang w:val="en-US" w:eastAsia="zh-CN"/>
                    </w:rPr>
                  </w:pPr>
                  <w:r>
                    <w:rPr>
                      <w:rFonts w:hint="eastAsia" w:cs="宋体"/>
                      <w:color w:val="0000FF"/>
                      <w:sz w:val="21"/>
                      <w:szCs w:val="21"/>
                      <w:lang w:val="en-US" w:eastAsia="zh-CN"/>
                    </w:rPr>
                    <w:t>59.8</w:t>
                  </w:r>
                </w:p>
              </w:tc>
              <w:tc>
                <w:tcPr>
                  <w:tcW w:w="743" w:type="pct"/>
                  <w:tcBorders>
                    <w:tl2br w:val="nil"/>
                    <w:tr2bl w:val="nil"/>
                  </w:tcBorders>
                  <w:vAlign w:val="center"/>
                </w:tcPr>
                <w:p w14:paraId="44E6AB3E">
                  <w:pPr>
                    <w:jc w:val="center"/>
                    <w:rPr>
                      <w:rFonts w:hint="eastAsia" w:cs="宋体"/>
                      <w:color w:val="0000FF"/>
                      <w:sz w:val="21"/>
                      <w:szCs w:val="21"/>
                      <w:lang w:val="en-US" w:eastAsia="zh-CN"/>
                    </w:rPr>
                  </w:pPr>
                  <w:r>
                    <w:rPr>
                      <w:rFonts w:hint="eastAsia" w:cs="宋体"/>
                      <w:color w:val="0000FF"/>
                      <w:sz w:val="21"/>
                      <w:szCs w:val="21"/>
                      <w:lang w:val="en-US" w:eastAsia="zh-CN"/>
                    </w:rPr>
                    <w:t>66.4</w:t>
                  </w:r>
                </w:p>
              </w:tc>
              <w:tc>
                <w:tcPr>
                  <w:tcW w:w="733" w:type="pct"/>
                  <w:tcBorders>
                    <w:tl2br w:val="nil"/>
                    <w:tr2bl w:val="nil"/>
                  </w:tcBorders>
                  <w:vAlign w:val="center"/>
                </w:tcPr>
                <w:p w14:paraId="60443B7E">
                  <w:pPr>
                    <w:jc w:val="center"/>
                    <w:rPr>
                      <w:rFonts w:hint="eastAsia" w:cs="宋体"/>
                      <w:color w:val="0000FF"/>
                      <w:sz w:val="21"/>
                      <w:szCs w:val="21"/>
                      <w:lang w:val="en-US" w:eastAsia="zh-CN"/>
                    </w:rPr>
                  </w:pPr>
                  <w:r>
                    <w:rPr>
                      <w:rFonts w:hint="eastAsia" w:cs="宋体"/>
                      <w:color w:val="0000FF"/>
                      <w:sz w:val="21"/>
                      <w:szCs w:val="21"/>
                      <w:lang w:val="en-US" w:eastAsia="zh-CN"/>
                    </w:rPr>
                    <w:t>81.1</w:t>
                  </w:r>
                </w:p>
              </w:tc>
              <w:tc>
                <w:tcPr>
                  <w:tcW w:w="756" w:type="pct"/>
                  <w:tcBorders>
                    <w:tl2br w:val="nil"/>
                    <w:tr2bl w:val="nil"/>
                  </w:tcBorders>
                  <w:vAlign w:val="center"/>
                </w:tcPr>
                <w:p w14:paraId="34AB460A">
                  <w:pPr>
                    <w:jc w:val="center"/>
                    <w:rPr>
                      <w:rFonts w:hint="eastAsia" w:cs="宋体"/>
                      <w:color w:val="0000FF"/>
                      <w:sz w:val="21"/>
                      <w:szCs w:val="21"/>
                      <w:lang w:val="en-US" w:eastAsia="zh-CN"/>
                    </w:rPr>
                  </w:pPr>
                  <w:r>
                    <w:rPr>
                      <w:rFonts w:hint="eastAsia" w:cs="宋体"/>
                      <w:color w:val="0000FF"/>
                      <w:sz w:val="21"/>
                      <w:szCs w:val="21"/>
                      <w:lang w:val="en-US" w:eastAsia="zh-CN"/>
                    </w:rPr>
                    <w:t>/</w:t>
                  </w:r>
                </w:p>
              </w:tc>
            </w:tr>
            <w:tr w14:paraId="220A9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420" w:type="pct"/>
                  <w:tcBorders>
                    <w:tl2br w:val="nil"/>
                    <w:tr2bl w:val="nil"/>
                  </w:tcBorders>
                  <w:vAlign w:val="center"/>
                </w:tcPr>
                <w:p w14:paraId="137D4F21">
                  <w:pPr>
                    <w:jc w:val="center"/>
                    <w:rPr>
                      <w:rFonts w:hint="eastAsia" w:cs="宋体"/>
                      <w:color w:val="0000FF"/>
                      <w:sz w:val="21"/>
                      <w:szCs w:val="21"/>
                      <w:lang w:val="en-US" w:eastAsia="zh-CN"/>
                    </w:rPr>
                  </w:pPr>
                  <w:r>
                    <w:rPr>
                      <w:rFonts w:hint="eastAsia" w:cs="宋体"/>
                      <w:color w:val="0000FF"/>
                      <w:sz w:val="21"/>
                      <w:szCs w:val="21"/>
                      <w:lang w:val="en-US" w:eastAsia="zh-CN"/>
                    </w:rPr>
                    <w:t>钙</w:t>
                  </w:r>
                </w:p>
              </w:tc>
              <w:tc>
                <w:tcPr>
                  <w:tcW w:w="793" w:type="pct"/>
                  <w:tcBorders>
                    <w:tl2br w:val="nil"/>
                    <w:tr2bl w:val="nil"/>
                  </w:tcBorders>
                  <w:vAlign w:val="center"/>
                </w:tcPr>
                <w:p w14:paraId="495162E1">
                  <w:pPr>
                    <w:jc w:val="center"/>
                    <w:rPr>
                      <w:rFonts w:hint="eastAsia" w:cs="宋体"/>
                      <w:color w:val="0000FF"/>
                      <w:sz w:val="21"/>
                      <w:szCs w:val="21"/>
                      <w:lang w:val="en-US" w:eastAsia="zh-CN"/>
                    </w:rPr>
                  </w:pPr>
                  <w:r>
                    <w:rPr>
                      <w:rFonts w:hint="eastAsia" w:cs="宋体"/>
                      <w:color w:val="0000FF"/>
                      <w:sz w:val="21"/>
                      <w:szCs w:val="21"/>
                      <w:lang w:val="en-US" w:eastAsia="zh-CN"/>
                    </w:rPr>
                    <w:t>mg/L</w:t>
                  </w:r>
                </w:p>
              </w:tc>
              <w:tc>
                <w:tcPr>
                  <w:tcW w:w="552" w:type="pct"/>
                  <w:tcBorders>
                    <w:tl2br w:val="nil"/>
                    <w:tr2bl w:val="nil"/>
                  </w:tcBorders>
                  <w:vAlign w:val="center"/>
                </w:tcPr>
                <w:p w14:paraId="524B2CED">
                  <w:pPr>
                    <w:jc w:val="center"/>
                    <w:rPr>
                      <w:rFonts w:hint="eastAsia" w:cs="宋体"/>
                      <w:color w:val="0000FF"/>
                      <w:sz w:val="21"/>
                      <w:szCs w:val="21"/>
                      <w:lang w:val="en-US" w:eastAsia="zh-CN"/>
                    </w:rPr>
                  </w:pPr>
                  <w:r>
                    <w:rPr>
                      <w:rFonts w:hint="eastAsia" w:cs="宋体"/>
                      <w:color w:val="0000FF"/>
                      <w:sz w:val="21"/>
                      <w:szCs w:val="21"/>
                      <w:lang w:val="en-US" w:eastAsia="zh-CN"/>
                    </w:rPr>
                    <w:t>79.6</w:t>
                  </w:r>
                </w:p>
              </w:tc>
              <w:tc>
                <w:tcPr>
                  <w:tcW w:w="743" w:type="pct"/>
                  <w:tcBorders>
                    <w:tl2br w:val="nil"/>
                    <w:tr2bl w:val="nil"/>
                  </w:tcBorders>
                  <w:vAlign w:val="center"/>
                </w:tcPr>
                <w:p w14:paraId="29075C1C">
                  <w:pPr>
                    <w:jc w:val="center"/>
                    <w:rPr>
                      <w:rFonts w:hint="eastAsia" w:cs="宋体"/>
                      <w:color w:val="0000FF"/>
                      <w:sz w:val="21"/>
                      <w:szCs w:val="21"/>
                      <w:lang w:val="en-US" w:eastAsia="zh-CN"/>
                    </w:rPr>
                  </w:pPr>
                  <w:r>
                    <w:rPr>
                      <w:rFonts w:hint="eastAsia" w:cs="宋体"/>
                      <w:color w:val="0000FF"/>
                      <w:sz w:val="21"/>
                      <w:szCs w:val="21"/>
                      <w:lang w:val="en-US" w:eastAsia="zh-CN"/>
                    </w:rPr>
                    <w:t>64.5</w:t>
                  </w:r>
                </w:p>
              </w:tc>
              <w:tc>
                <w:tcPr>
                  <w:tcW w:w="733" w:type="pct"/>
                  <w:tcBorders>
                    <w:tl2br w:val="nil"/>
                    <w:tr2bl w:val="nil"/>
                  </w:tcBorders>
                  <w:vAlign w:val="center"/>
                </w:tcPr>
                <w:p w14:paraId="1A657A1D">
                  <w:pPr>
                    <w:jc w:val="center"/>
                    <w:rPr>
                      <w:rFonts w:hint="eastAsia" w:cs="宋体"/>
                      <w:color w:val="0000FF"/>
                      <w:sz w:val="21"/>
                      <w:szCs w:val="21"/>
                      <w:lang w:val="en-US" w:eastAsia="zh-CN"/>
                    </w:rPr>
                  </w:pPr>
                  <w:r>
                    <w:rPr>
                      <w:rFonts w:hint="eastAsia" w:cs="宋体"/>
                      <w:color w:val="0000FF"/>
                      <w:sz w:val="21"/>
                      <w:szCs w:val="21"/>
                      <w:lang w:val="en-US" w:eastAsia="zh-CN"/>
                    </w:rPr>
                    <w:t>78.3</w:t>
                  </w:r>
                </w:p>
              </w:tc>
              <w:tc>
                <w:tcPr>
                  <w:tcW w:w="756" w:type="pct"/>
                  <w:tcBorders>
                    <w:tl2br w:val="nil"/>
                    <w:tr2bl w:val="nil"/>
                  </w:tcBorders>
                  <w:vAlign w:val="center"/>
                </w:tcPr>
                <w:p w14:paraId="420A5924">
                  <w:pPr>
                    <w:jc w:val="center"/>
                    <w:rPr>
                      <w:rFonts w:hint="eastAsia" w:cs="宋体"/>
                      <w:color w:val="0000FF"/>
                      <w:sz w:val="21"/>
                      <w:szCs w:val="21"/>
                      <w:lang w:val="en-US" w:eastAsia="zh-CN"/>
                    </w:rPr>
                  </w:pPr>
                  <w:r>
                    <w:rPr>
                      <w:rFonts w:hint="eastAsia" w:cs="宋体"/>
                      <w:color w:val="0000FF"/>
                      <w:sz w:val="21"/>
                      <w:szCs w:val="21"/>
                      <w:lang w:val="en-US" w:eastAsia="zh-CN"/>
                    </w:rPr>
                    <w:t>/</w:t>
                  </w:r>
                </w:p>
              </w:tc>
            </w:tr>
            <w:tr w14:paraId="12571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420" w:type="pct"/>
                  <w:tcBorders>
                    <w:tl2br w:val="nil"/>
                    <w:tr2bl w:val="nil"/>
                  </w:tcBorders>
                  <w:vAlign w:val="center"/>
                </w:tcPr>
                <w:p w14:paraId="0ABCB157">
                  <w:pPr>
                    <w:jc w:val="center"/>
                    <w:rPr>
                      <w:rFonts w:hint="eastAsia" w:cs="宋体"/>
                      <w:color w:val="0000FF"/>
                      <w:sz w:val="21"/>
                      <w:szCs w:val="21"/>
                      <w:lang w:val="en-US" w:eastAsia="zh-CN"/>
                    </w:rPr>
                  </w:pPr>
                  <w:r>
                    <w:rPr>
                      <w:rFonts w:hint="eastAsia" w:cs="宋体"/>
                      <w:color w:val="0000FF"/>
                      <w:sz w:val="21"/>
                      <w:szCs w:val="21"/>
                      <w:lang w:val="en-US" w:eastAsia="zh-CN"/>
                    </w:rPr>
                    <w:t>镁</w:t>
                  </w:r>
                </w:p>
              </w:tc>
              <w:tc>
                <w:tcPr>
                  <w:tcW w:w="793" w:type="pct"/>
                  <w:tcBorders>
                    <w:tl2br w:val="nil"/>
                    <w:tr2bl w:val="nil"/>
                  </w:tcBorders>
                  <w:vAlign w:val="center"/>
                </w:tcPr>
                <w:p w14:paraId="03EC0C7C">
                  <w:pPr>
                    <w:jc w:val="center"/>
                    <w:rPr>
                      <w:rFonts w:hint="eastAsia" w:cs="宋体"/>
                      <w:color w:val="0000FF"/>
                      <w:sz w:val="21"/>
                      <w:szCs w:val="21"/>
                      <w:lang w:val="en-US" w:eastAsia="zh-CN"/>
                    </w:rPr>
                  </w:pPr>
                  <w:r>
                    <w:rPr>
                      <w:rFonts w:hint="eastAsia" w:cs="宋体"/>
                      <w:color w:val="0000FF"/>
                      <w:sz w:val="21"/>
                      <w:szCs w:val="21"/>
                      <w:lang w:val="en-US" w:eastAsia="zh-CN"/>
                    </w:rPr>
                    <w:t>mg/L</w:t>
                  </w:r>
                </w:p>
              </w:tc>
              <w:tc>
                <w:tcPr>
                  <w:tcW w:w="552" w:type="pct"/>
                  <w:tcBorders>
                    <w:tl2br w:val="nil"/>
                    <w:tr2bl w:val="nil"/>
                  </w:tcBorders>
                  <w:vAlign w:val="center"/>
                </w:tcPr>
                <w:p w14:paraId="11A7952A">
                  <w:pPr>
                    <w:jc w:val="center"/>
                    <w:rPr>
                      <w:rFonts w:hint="eastAsia" w:cs="宋体"/>
                      <w:color w:val="0000FF"/>
                      <w:sz w:val="21"/>
                      <w:szCs w:val="21"/>
                      <w:lang w:val="en-US" w:eastAsia="zh-CN"/>
                    </w:rPr>
                  </w:pPr>
                  <w:r>
                    <w:rPr>
                      <w:rFonts w:hint="eastAsia" w:cs="宋体"/>
                      <w:color w:val="0000FF"/>
                      <w:sz w:val="21"/>
                      <w:szCs w:val="21"/>
                      <w:lang w:val="en-US" w:eastAsia="zh-CN"/>
                    </w:rPr>
                    <w:t>24.8</w:t>
                  </w:r>
                </w:p>
              </w:tc>
              <w:tc>
                <w:tcPr>
                  <w:tcW w:w="743" w:type="pct"/>
                  <w:tcBorders>
                    <w:tl2br w:val="nil"/>
                    <w:tr2bl w:val="nil"/>
                  </w:tcBorders>
                  <w:vAlign w:val="center"/>
                </w:tcPr>
                <w:p w14:paraId="651234DD">
                  <w:pPr>
                    <w:jc w:val="center"/>
                    <w:rPr>
                      <w:rFonts w:hint="eastAsia" w:cs="宋体"/>
                      <w:color w:val="0000FF"/>
                      <w:sz w:val="21"/>
                      <w:szCs w:val="21"/>
                      <w:lang w:val="en-US" w:eastAsia="zh-CN"/>
                    </w:rPr>
                  </w:pPr>
                  <w:r>
                    <w:rPr>
                      <w:rFonts w:hint="eastAsia" w:cs="宋体"/>
                      <w:color w:val="0000FF"/>
                      <w:sz w:val="21"/>
                      <w:szCs w:val="21"/>
                      <w:lang w:val="en-US" w:eastAsia="zh-CN"/>
                    </w:rPr>
                    <w:t>20.1</w:t>
                  </w:r>
                </w:p>
              </w:tc>
              <w:tc>
                <w:tcPr>
                  <w:tcW w:w="733" w:type="pct"/>
                  <w:tcBorders>
                    <w:tl2br w:val="nil"/>
                    <w:tr2bl w:val="nil"/>
                  </w:tcBorders>
                  <w:vAlign w:val="center"/>
                </w:tcPr>
                <w:p w14:paraId="0682DC81">
                  <w:pPr>
                    <w:jc w:val="center"/>
                    <w:rPr>
                      <w:rFonts w:hint="eastAsia" w:cs="宋体"/>
                      <w:color w:val="0000FF"/>
                      <w:sz w:val="21"/>
                      <w:szCs w:val="21"/>
                      <w:lang w:val="en-US" w:eastAsia="zh-CN"/>
                    </w:rPr>
                  </w:pPr>
                  <w:r>
                    <w:rPr>
                      <w:rFonts w:hint="eastAsia" w:cs="宋体"/>
                      <w:color w:val="0000FF"/>
                      <w:sz w:val="21"/>
                      <w:szCs w:val="21"/>
                      <w:lang w:val="en-US" w:eastAsia="zh-CN"/>
                    </w:rPr>
                    <w:t>29.2</w:t>
                  </w:r>
                </w:p>
              </w:tc>
              <w:tc>
                <w:tcPr>
                  <w:tcW w:w="756" w:type="pct"/>
                  <w:tcBorders>
                    <w:tl2br w:val="nil"/>
                    <w:tr2bl w:val="nil"/>
                  </w:tcBorders>
                  <w:vAlign w:val="center"/>
                </w:tcPr>
                <w:p w14:paraId="6551E8A6">
                  <w:pPr>
                    <w:jc w:val="center"/>
                    <w:rPr>
                      <w:rFonts w:hint="eastAsia" w:cs="宋体"/>
                      <w:color w:val="0000FF"/>
                      <w:sz w:val="21"/>
                      <w:szCs w:val="21"/>
                      <w:lang w:val="en-US" w:eastAsia="zh-CN"/>
                    </w:rPr>
                  </w:pPr>
                  <w:r>
                    <w:rPr>
                      <w:rFonts w:hint="eastAsia" w:cs="宋体"/>
                      <w:color w:val="0000FF"/>
                      <w:sz w:val="21"/>
                      <w:szCs w:val="21"/>
                      <w:lang w:val="en-US" w:eastAsia="zh-CN"/>
                    </w:rPr>
                    <w:t>/</w:t>
                  </w:r>
                </w:p>
              </w:tc>
            </w:tr>
            <w:tr w14:paraId="6F61C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420" w:type="pct"/>
                  <w:tcBorders>
                    <w:tl2br w:val="nil"/>
                    <w:tr2bl w:val="nil"/>
                  </w:tcBorders>
                  <w:vAlign w:val="center"/>
                </w:tcPr>
                <w:p w14:paraId="3192193D">
                  <w:pPr>
                    <w:jc w:val="center"/>
                    <w:rPr>
                      <w:rFonts w:hint="eastAsia" w:cs="宋体"/>
                      <w:color w:val="0000FF"/>
                      <w:sz w:val="21"/>
                      <w:szCs w:val="21"/>
                      <w:lang w:val="en-US" w:eastAsia="zh-CN"/>
                    </w:rPr>
                  </w:pPr>
                  <w:r>
                    <w:rPr>
                      <w:rFonts w:hint="eastAsia" w:cs="宋体"/>
                      <w:color w:val="0000FF"/>
                      <w:sz w:val="21"/>
                      <w:szCs w:val="21"/>
                      <w:lang w:val="en-US" w:eastAsia="zh-CN"/>
                    </w:rPr>
                    <w:t>碳酸氢根</w:t>
                  </w:r>
                </w:p>
              </w:tc>
              <w:tc>
                <w:tcPr>
                  <w:tcW w:w="793" w:type="pct"/>
                  <w:tcBorders>
                    <w:tl2br w:val="nil"/>
                    <w:tr2bl w:val="nil"/>
                  </w:tcBorders>
                  <w:vAlign w:val="center"/>
                </w:tcPr>
                <w:p w14:paraId="4CDF19AB">
                  <w:pPr>
                    <w:jc w:val="center"/>
                    <w:rPr>
                      <w:rFonts w:hint="eastAsia" w:cs="宋体"/>
                      <w:color w:val="0000FF"/>
                      <w:sz w:val="21"/>
                      <w:szCs w:val="21"/>
                      <w:lang w:val="en-US" w:eastAsia="zh-CN"/>
                    </w:rPr>
                  </w:pPr>
                  <w:r>
                    <w:rPr>
                      <w:rFonts w:hint="eastAsia" w:cs="宋体"/>
                      <w:color w:val="0000FF"/>
                      <w:sz w:val="21"/>
                      <w:szCs w:val="21"/>
                      <w:lang w:val="en-US" w:eastAsia="zh-CN"/>
                    </w:rPr>
                    <w:t>mg/L</w:t>
                  </w:r>
                </w:p>
              </w:tc>
              <w:tc>
                <w:tcPr>
                  <w:tcW w:w="552" w:type="pct"/>
                  <w:tcBorders>
                    <w:tl2br w:val="nil"/>
                    <w:tr2bl w:val="nil"/>
                  </w:tcBorders>
                  <w:vAlign w:val="center"/>
                </w:tcPr>
                <w:p w14:paraId="25E88D2A">
                  <w:pPr>
                    <w:jc w:val="center"/>
                    <w:rPr>
                      <w:rFonts w:hint="eastAsia" w:cs="宋体"/>
                      <w:color w:val="0000FF"/>
                      <w:sz w:val="21"/>
                      <w:szCs w:val="21"/>
                      <w:lang w:val="en-US" w:eastAsia="zh-CN"/>
                    </w:rPr>
                  </w:pPr>
                  <w:r>
                    <w:rPr>
                      <w:rFonts w:hint="eastAsia" w:cs="宋体"/>
                      <w:color w:val="0000FF"/>
                      <w:sz w:val="21"/>
                      <w:szCs w:val="21"/>
                      <w:lang w:val="en-US" w:eastAsia="zh-CN"/>
                    </w:rPr>
                    <w:t>31.2</w:t>
                  </w:r>
                </w:p>
              </w:tc>
              <w:tc>
                <w:tcPr>
                  <w:tcW w:w="743" w:type="pct"/>
                  <w:tcBorders>
                    <w:tl2br w:val="nil"/>
                    <w:tr2bl w:val="nil"/>
                  </w:tcBorders>
                  <w:vAlign w:val="center"/>
                </w:tcPr>
                <w:p w14:paraId="657C4824">
                  <w:pPr>
                    <w:jc w:val="center"/>
                    <w:rPr>
                      <w:rFonts w:hint="eastAsia" w:cs="宋体"/>
                      <w:color w:val="0000FF"/>
                      <w:sz w:val="21"/>
                      <w:szCs w:val="21"/>
                      <w:lang w:val="en-US" w:eastAsia="zh-CN"/>
                    </w:rPr>
                  </w:pPr>
                  <w:r>
                    <w:rPr>
                      <w:rFonts w:hint="eastAsia" w:cs="宋体"/>
                      <w:color w:val="0000FF"/>
                      <w:sz w:val="21"/>
                      <w:szCs w:val="21"/>
                      <w:lang w:val="en-US" w:eastAsia="zh-CN"/>
                    </w:rPr>
                    <w:t>19.8</w:t>
                  </w:r>
                </w:p>
              </w:tc>
              <w:tc>
                <w:tcPr>
                  <w:tcW w:w="733" w:type="pct"/>
                  <w:tcBorders>
                    <w:tl2br w:val="nil"/>
                    <w:tr2bl w:val="nil"/>
                  </w:tcBorders>
                  <w:vAlign w:val="center"/>
                </w:tcPr>
                <w:p w14:paraId="6BE87CA5">
                  <w:pPr>
                    <w:jc w:val="center"/>
                    <w:rPr>
                      <w:rFonts w:hint="eastAsia" w:cs="宋体"/>
                      <w:color w:val="0000FF"/>
                      <w:sz w:val="21"/>
                      <w:szCs w:val="21"/>
                      <w:lang w:val="en-US" w:eastAsia="zh-CN"/>
                    </w:rPr>
                  </w:pPr>
                  <w:r>
                    <w:rPr>
                      <w:rFonts w:hint="eastAsia" w:cs="宋体"/>
                      <w:color w:val="0000FF"/>
                      <w:sz w:val="21"/>
                      <w:szCs w:val="21"/>
                      <w:lang w:val="en-US" w:eastAsia="zh-CN"/>
                    </w:rPr>
                    <w:t>38.4</w:t>
                  </w:r>
                </w:p>
              </w:tc>
              <w:tc>
                <w:tcPr>
                  <w:tcW w:w="756" w:type="pct"/>
                  <w:tcBorders>
                    <w:tl2br w:val="nil"/>
                    <w:tr2bl w:val="nil"/>
                  </w:tcBorders>
                  <w:vAlign w:val="center"/>
                </w:tcPr>
                <w:p w14:paraId="5102B18A">
                  <w:pPr>
                    <w:jc w:val="center"/>
                    <w:rPr>
                      <w:rFonts w:hint="eastAsia" w:cs="宋体"/>
                      <w:color w:val="0000FF"/>
                      <w:sz w:val="21"/>
                      <w:szCs w:val="21"/>
                      <w:lang w:val="en-US" w:eastAsia="zh-CN"/>
                    </w:rPr>
                  </w:pPr>
                  <w:r>
                    <w:rPr>
                      <w:rFonts w:hint="eastAsia" w:cs="宋体"/>
                      <w:color w:val="0000FF"/>
                      <w:sz w:val="21"/>
                      <w:szCs w:val="21"/>
                      <w:lang w:val="en-US" w:eastAsia="zh-CN"/>
                    </w:rPr>
                    <w:t>/</w:t>
                  </w:r>
                </w:p>
              </w:tc>
            </w:tr>
            <w:tr w14:paraId="08D59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420" w:type="pct"/>
                  <w:tcBorders>
                    <w:tl2br w:val="nil"/>
                    <w:tr2bl w:val="nil"/>
                  </w:tcBorders>
                  <w:vAlign w:val="center"/>
                </w:tcPr>
                <w:p w14:paraId="28B74BB8">
                  <w:pPr>
                    <w:jc w:val="center"/>
                    <w:rPr>
                      <w:rFonts w:hint="eastAsia" w:cs="宋体"/>
                      <w:color w:val="0000FF"/>
                      <w:sz w:val="21"/>
                      <w:szCs w:val="21"/>
                      <w:lang w:val="en-US" w:eastAsia="zh-CN"/>
                    </w:rPr>
                  </w:pPr>
                  <w:r>
                    <w:rPr>
                      <w:rFonts w:hint="eastAsia" w:cs="宋体"/>
                      <w:color w:val="0000FF"/>
                      <w:sz w:val="21"/>
                      <w:szCs w:val="21"/>
                      <w:lang w:val="en-US" w:eastAsia="zh-CN"/>
                    </w:rPr>
                    <w:t>碳酸根</w:t>
                  </w:r>
                </w:p>
              </w:tc>
              <w:tc>
                <w:tcPr>
                  <w:tcW w:w="793" w:type="pct"/>
                  <w:tcBorders>
                    <w:tl2br w:val="nil"/>
                    <w:tr2bl w:val="nil"/>
                  </w:tcBorders>
                  <w:vAlign w:val="center"/>
                </w:tcPr>
                <w:p w14:paraId="1AE0A206">
                  <w:pPr>
                    <w:jc w:val="center"/>
                    <w:rPr>
                      <w:rFonts w:hint="eastAsia" w:cs="宋体"/>
                      <w:color w:val="0000FF"/>
                      <w:sz w:val="21"/>
                      <w:szCs w:val="21"/>
                      <w:lang w:val="en-US" w:eastAsia="zh-CN"/>
                    </w:rPr>
                  </w:pPr>
                  <w:r>
                    <w:rPr>
                      <w:rFonts w:hint="eastAsia" w:cs="宋体"/>
                      <w:color w:val="0000FF"/>
                      <w:sz w:val="21"/>
                      <w:szCs w:val="21"/>
                      <w:lang w:val="en-US" w:eastAsia="zh-CN"/>
                    </w:rPr>
                    <w:t>mg/L</w:t>
                  </w:r>
                </w:p>
              </w:tc>
              <w:tc>
                <w:tcPr>
                  <w:tcW w:w="552" w:type="pct"/>
                  <w:tcBorders>
                    <w:tl2br w:val="nil"/>
                    <w:tr2bl w:val="nil"/>
                  </w:tcBorders>
                  <w:vAlign w:val="center"/>
                </w:tcPr>
                <w:p w14:paraId="36B471EF">
                  <w:pPr>
                    <w:jc w:val="center"/>
                    <w:rPr>
                      <w:rFonts w:hint="eastAsia" w:cs="宋体"/>
                      <w:color w:val="0000FF"/>
                      <w:sz w:val="21"/>
                      <w:szCs w:val="21"/>
                      <w:lang w:val="en-US" w:eastAsia="zh-CN"/>
                    </w:rPr>
                  </w:pPr>
                  <w:r>
                    <w:rPr>
                      <w:rFonts w:hint="eastAsia" w:cs="宋体"/>
                      <w:color w:val="0000FF"/>
                      <w:sz w:val="21"/>
                      <w:szCs w:val="21"/>
                      <w:lang w:val="en-US" w:eastAsia="zh-CN"/>
                    </w:rPr>
                    <w:t>29.2</w:t>
                  </w:r>
                </w:p>
              </w:tc>
              <w:tc>
                <w:tcPr>
                  <w:tcW w:w="743" w:type="pct"/>
                  <w:tcBorders>
                    <w:tl2br w:val="nil"/>
                    <w:tr2bl w:val="nil"/>
                  </w:tcBorders>
                  <w:vAlign w:val="center"/>
                </w:tcPr>
                <w:p w14:paraId="4383A8AD">
                  <w:pPr>
                    <w:jc w:val="center"/>
                    <w:rPr>
                      <w:rFonts w:hint="eastAsia" w:cs="宋体"/>
                      <w:color w:val="0000FF"/>
                      <w:sz w:val="21"/>
                      <w:szCs w:val="21"/>
                      <w:lang w:val="en-US" w:eastAsia="zh-CN"/>
                    </w:rPr>
                  </w:pPr>
                  <w:r>
                    <w:rPr>
                      <w:rFonts w:hint="eastAsia" w:cs="宋体"/>
                      <w:color w:val="0000FF"/>
                      <w:sz w:val="21"/>
                      <w:szCs w:val="21"/>
                      <w:lang w:val="en-US" w:eastAsia="zh-CN"/>
                    </w:rPr>
                    <w:t>53.5</w:t>
                  </w:r>
                </w:p>
              </w:tc>
              <w:tc>
                <w:tcPr>
                  <w:tcW w:w="733" w:type="pct"/>
                  <w:tcBorders>
                    <w:tl2br w:val="nil"/>
                    <w:tr2bl w:val="nil"/>
                  </w:tcBorders>
                  <w:vAlign w:val="center"/>
                </w:tcPr>
                <w:p w14:paraId="2CEAE04C">
                  <w:pPr>
                    <w:jc w:val="center"/>
                    <w:rPr>
                      <w:rFonts w:hint="eastAsia" w:cs="宋体"/>
                      <w:color w:val="0000FF"/>
                      <w:sz w:val="21"/>
                      <w:szCs w:val="21"/>
                      <w:lang w:val="en-US" w:eastAsia="zh-CN"/>
                    </w:rPr>
                  </w:pPr>
                  <w:r>
                    <w:rPr>
                      <w:rFonts w:hint="eastAsia" w:cs="宋体"/>
                      <w:color w:val="0000FF"/>
                      <w:sz w:val="21"/>
                      <w:szCs w:val="21"/>
                      <w:lang w:val="en-US" w:eastAsia="zh-CN"/>
                    </w:rPr>
                    <w:t>49.8</w:t>
                  </w:r>
                </w:p>
              </w:tc>
              <w:tc>
                <w:tcPr>
                  <w:tcW w:w="756" w:type="pct"/>
                  <w:tcBorders>
                    <w:tl2br w:val="nil"/>
                    <w:tr2bl w:val="nil"/>
                  </w:tcBorders>
                  <w:vAlign w:val="center"/>
                </w:tcPr>
                <w:p w14:paraId="4A5A64B0">
                  <w:pPr>
                    <w:jc w:val="center"/>
                    <w:rPr>
                      <w:rFonts w:hint="eastAsia" w:cs="宋体"/>
                      <w:color w:val="0000FF"/>
                      <w:sz w:val="21"/>
                      <w:szCs w:val="21"/>
                      <w:lang w:val="en-US" w:eastAsia="zh-CN"/>
                    </w:rPr>
                  </w:pPr>
                  <w:r>
                    <w:rPr>
                      <w:rFonts w:hint="eastAsia" w:cs="宋体"/>
                      <w:color w:val="0000FF"/>
                      <w:sz w:val="21"/>
                      <w:szCs w:val="21"/>
                      <w:lang w:val="en-US" w:eastAsia="zh-CN"/>
                    </w:rPr>
                    <w:t>/</w:t>
                  </w:r>
                </w:p>
              </w:tc>
            </w:tr>
            <w:tr w14:paraId="2D04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20" w:type="pct"/>
                  <w:tcBorders>
                    <w:tl2br w:val="nil"/>
                    <w:tr2bl w:val="nil"/>
                  </w:tcBorders>
                  <w:vAlign w:val="center"/>
                </w:tcPr>
                <w:p w14:paraId="0405F8F6">
                  <w:pPr>
                    <w:jc w:val="center"/>
                    <w:rPr>
                      <w:rFonts w:hint="eastAsia" w:cs="宋体"/>
                      <w:color w:val="0000FF"/>
                      <w:sz w:val="21"/>
                      <w:szCs w:val="21"/>
                      <w:lang w:val="en-US" w:eastAsia="zh-CN"/>
                    </w:rPr>
                  </w:pPr>
                  <w:r>
                    <w:rPr>
                      <w:rFonts w:hint="eastAsia" w:cs="宋体"/>
                      <w:color w:val="0000FF"/>
                      <w:sz w:val="21"/>
                      <w:szCs w:val="21"/>
                      <w:lang w:val="en-US" w:eastAsia="zh-CN"/>
                    </w:rPr>
                    <w:t>Cl</w:t>
                  </w:r>
                  <w:r>
                    <w:rPr>
                      <w:rFonts w:hint="eastAsia" w:cs="宋体"/>
                      <w:color w:val="0000FF"/>
                      <w:sz w:val="21"/>
                      <w:szCs w:val="21"/>
                      <w:vertAlign w:val="superscript"/>
                      <w:lang w:val="en-US" w:eastAsia="zh-CN"/>
                    </w:rPr>
                    <w:t>-</w:t>
                  </w:r>
                </w:p>
              </w:tc>
              <w:tc>
                <w:tcPr>
                  <w:tcW w:w="793" w:type="pct"/>
                  <w:tcBorders>
                    <w:tl2br w:val="nil"/>
                    <w:tr2bl w:val="nil"/>
                  </w:tcBorders>
                  <w:vAlign w:val="center"/>
                </w:tcPr>
                <w:p w14:paraId="742C9BBA">
                  <w:pPr>
                    <w:jc w:val="center"/>
                    <w:rPr>
                      <w:rFonts w:hint="eastAsia" w:cs="宋体"/>
                      <w:color w:val="0000FF"/>
                      <w:sz w:val="21"/>
                      <w:szCs w:val="21"/>
                      <w:lang w:val="en-US" w:eastAsia="zh-CN"/>
                    </w:rPr>
                  </w:pPr>
                  <w:r>
                    <w:rPr>
                      <w:rFonts w:hint="eastAsia" w:cs="宋体"/>
                      <w:color w:val="0000FF"/>
                      <w:sz w:val="21"/>
                      <w:szCs w:val="21"/>
                      <w:lang w:val="en-US" w:eastAsia="zh-CN"/>
                    </w:rPr>
                    <w:t>mg/L</w:t>
                  </w:r>
                </w:p>
              </w:tc>
              <w:tc>
                <w:tcPr>
                  <w:tcW w:w="552" w:type="pct"/>
                  <w:tcBorders>
                    <w:tl2br w:val="nil"/>
                    <w:tr2bl w:val="nil"/>
                  </w:tcBorders>
                  <w:vAlign w:val="center"/>
                </w:tcPr>
                <w:p w14:paraId="6E5F2EC5">
                  <w:pPr>
                    <w:jc w:val="center"/>
                    <w:rPr>
                      <w:rFonts w:hint="eastAsia" w:cs="宋体"/>
                      <w:color w:val="0000FF"/>
                      <w:sz w:val="21"/>
                      <w:szCs w:val="21"/>
                      <w:lang w:val="en-US" w:eastAsia="zh-CN"/>
                    </w:rPr>
                  </w:pPr>
                  <w:r>
                    <w:rPr>
                      <w:rFonts w:hint="eastAsia" w:cs="宋体"/>
                      <w:color w:val="0000FF"/>
                      <w:sz w:val="21"/>
                      <w:szCs w:val="21"/>
                      <w:lang w:val="en-US" w:eastAsia="zh-CN"/>
                    </w:rPr>
                    <w:t>5 L</w:t>
                  </w:r>
                </w:p>
              </w:tc>
              <w:tc>
                <w:tcPr>
                  <w:tcW w:w="743" w:type="pct"/>
                  <w:tcBorders>
                    <w:tl2br w:val="nil"/>
                    <w:tr2bl w:val="nil"/>
                  </w:tcBorders>
                  <w:vAlign w:val="center"/>
                </w:tcPr>
                <w:p w14:paraId="549233AD">
                  <w:pPr>
                    <w:jc w:val="center"/>
                    <w:rPr>
                      <w:rFonts w:hint="eastAsia" w:cs="宋体"/>
                      <w:color w:val="0000FF"/>
                      <w:sz w:val="21"/>
                      <w:szCs w:val="21"/>
                      <w:lang w:val="en-US" w:eastAsia="zh-CN"/>
                    </w:rPr>
                  </w:pPr>
                  <w:r>
                    <w:rPr>
                      <w:rFonts w:hint="eastAsia" w:cs="宋体"/>
                      <w:color w:val="0000FF"/>
                      <w:sz w:val="21"/>
                      <w:szCs w:val="21"/>
                      <w:lang w:val="en-US" w:eastAsia="zh-CN"/>
                    </w:rPr>
                    <w:t>5 L</w:t>
                  </w:r>
                </w:p>
              </w:tc>
              <w:tc>
                <w:tcPr>
                  <w:tcW w:w="733" w:type="pct"/>
                  <w:tcBorders>
                    <w:tl2br w:val="nil"/>
                    <w:tr2bl w:val="nil"/>
                  </w:tcBorders>
                  <w:vAlign w:val="center"/>
                </w:tcPr>
                <w:p w14:paraId="07D55449">
                  <w:pPr>
                    <w:jc w:val="center"/>
                    <w:rPr>
                      <w:rFonts w:hint="eastAsia" w:cs="宋体"/>
                      <w:color w:val="0000FF"/>
                      <w:sz w:val="21"/>
                      <w:szCs w:val="21"/>
                      <w:lang w:val="en-US" w:eastAsia="zh-CN"/>
                    </w:rPr>
                  </w:pPr>
                  <w:r>
                    <w:rPr>
                      <w:rFonts w:hint="eastAsia" w:cs="宋体"/>
                      <w:color w:val="0000FF"/>
                      <w:sz w:val="21"/>
                      <w:szCs w:val="21"/>
                      <w:lang w:val="en-US" w:eastAsia="zh-CN"/>
                    </w:rPr>
                    <w:t>5 L</w:t>
                  </w:r>
                </w:p>
              </w:tc>
              <w:tc>
                <w:tcPr>
                  <w:tcW w:w="756" w:type="pct"/>
                  <w:tcBorders>
                    <w:tl2br w:val="nil"/>
                    <w:tr2bl w:val="nil"/>
                  </w:tcBorders>
                  <w:vAlign w:val="center"/>
                </w:tcPr>
                <w:p w14:paraId="0C54D1E2">
                  <w:pPr>
                    <w:jc w:val="center"/>
                    <w:rPr>
                      <w:rFonts w:hint="eastAsia" w:cs="宋体"/>
                      <w:color w:val="0000FF"/>
                      <w:sz w:val="21"/>
                      <w:szCs w:val="21"/>
                      <w:lang w:val="en-US" w:eastAsia="zh-CN"/>
                    </w:rPr>
                  </w:pPr>
                  <w:r>
                    <w:rPr>
                      <w:rFonts w:hint="eastAsia" w:cs="宋体"/>
                      <w:color w:val="0000FF"/>
                      <w:sz w:val="21"/>
                      <w:szCs w:val="21"/>
                      <w:lang w:val="en-US" w:eastAsia="zh-CN"/>
                    </w:rPr>
                    <w:t>/</w:t>
                  </w:r>
                </w:p>
              </w:tc>
            </w:tr>
            <w:tr w14:paraId="6FAAD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420" w:type="pct"/>
                  <w:tcBorders>
                    <w:tl2br w:val="nil"/>
                    <w:tr2bl w:val="nil"/>
                  </w:tcBorders>
                  <w:vAlign w:val="center"/>
                </w:tcPr>
                <w:p w14:paraId="23A920B6">
                  <w:pPr>
                    <w:jc w:val="center"/>
                    <w:rPr>
                      <w:rFonts w:hint="eastAsia" w:cs="宋体"/>
                      <w:color w:val="0000FF"/>
                      <w:sz w:val="21"/>
                      <w:szCs w:val="21"/>
                      <w:lang w:val="en-US" w:eastAsia="zh-CN"/>
                    </w:rPr>
                  </w:pPr>
                  <w:r>
                    <w:rPr>
                      <w:rFonts w:hint="eastAsia" w:cs="宋体"/>
                      <w:color w:val="0000FF"/>
                      <w:sz w:val="21"/>
                      <w:szCs w:val="21"/>
                      <w:lang w:val="en-US" w:eastAsia="zh-CN"/>
                    </w:rPr>
                    <w:t>SO</w:t>
                  </w:r>
                  <w:r>
                    <w:rPr>
                      <w:rFonts w:hint="eastAsia" w:cs="宋体"/>
                      <w:color w:val="0000FF"/>
                      <w:sz w:val="21"/>
                      <w:szCs w:val="21"/>
                      <w:vertAlign w:val="subscript"/>
                      <w:lang w:val="en-US" w:eastAsia="zh-CN"/>
                    </w:rPr>
                    <w:t>4</w:t>
                  </w:r>
                  <w:r>
                    <w:rPr>
                      <w:rFonts w:hint="eastAsia" w:cs="宋体"/>
                      <w:color w:val="0000FF"/>
                      <w:sz w:val="21"/>
                      <w:szCs w:val="21"/>
                      <w:vertAlign w:val="superscript"/>
                      <w:lang w:val="en-US" w:eastAsia="zh-CN"/>
                    </w:rPr>
                    <w:t>2-</w:t>
                  </w:r>
                </w:p>
              </w:tc>
              <w:tc>
                <w:tcPr>
                  <w:tcW w:w="793" w:type="pct"/>
                  <w:tcBorders>
                    <w:tl2br w:val="nil"/>
                    <w:tr2bl w:val="nil"/>
                  </w:tcBorders>
                  <w:vAlign w:val="center"/>
                </w:tcPr>
                <w:p w14:paraId="2A58AC07">
                  <w:pPr>
                    <w:jc w:val="center"/>
                    <w:rPr>
                      <w:rFonts w:hint="eastAsia" w:cs="宋体"/>
                      <w:color w:val="0000FF"/>
                      <w:sz w:val="21"/>
                      <w:szCs w:val="21"/>
                      <w:lang w:val="en-US" w:eastAsia="zh-CN"/>
                    </w:rPr>
                  </w:pPr>
                  <w:r>
                    <w:rPr>
                      <w:rFonts w:hint="eastAsia" w:cs="宋体"/>
                      <w:color w:val="0000FF"/>
                      <w:sz w:val="21"/>
                      <w:szCs w:val="21"/>
                      <w:lang w:val="en-US" w:eastAsia="zh-CN"/>
                    </w:rPr>
                    <w:t>mg/L</w:t>
                  </w:r>
                </w:p>
              </w:tc>
              <w:tc>
                <w:tcPr>
                  <w:tcW w:w="552" w:type="pct"/>
                  <w:tcBorders>
                    <w:tl2br w:val="nil"/>
                    <w:tr2bl w:val="nil"/>
                  </w:tcBorders>
                  <w:vAlign w:val="center"/>
                </w:tcPr>
                <w:p w14:paraId="26CC4E14">
                  <w:pPr>
                    <w:jc w:val="center"/>
                    <w:rPr>
                      <w:rFonts w:hint="eastAsia" w:cs="宋体"/>
                      <w:color w:val="0000FF"/>
                      <w:sz w:val="21"/>
                      <w:szCs w:val="21"/>
                      <w:lang w:val="en-US" w:eastAsia="zh-CN"/>
                    </w:rPr>
                  </w:pPr>
                  <w:r>
                    <w:rPr>
                      <w:rFonts w:hint="eastAsia" w:cs="宋体"/>
                      <w:color w:val="0000FF"/>
                      <w:sz w:val="21"/>
                      <w:szCs w:val="21"/>
                      <w:lang w:val="en-US" w:eastAsia="zh-CN"/>
                    </w:rPr>
                    <w:t>415</w:t>
                  </w:r>
                </w:p>
              </w:tc>
              <w:tc>
                <w:tcPr>
                  <w:tcW w:w="743" w:type="pct"/>
                  <w:tcBorders>
                    <w:tl2br w:val="nil"/>
                    <w:tr2bl w:val="nil"/>
                  </w:tcBorders>
                  <w:vAlign w:val="center"/>
                </w:tcPr>
                <w:p w14:paraId="06DC1E53">
                  <w:pPr>
                    <w:jc w:val="center"/>
                    <w:rPr>
                      <w:rFonts w:hint="eastAsia" w:cs="宋体"/>
                      <w:color w:val="0000FF"/>
                      <w:sz w:val="21"/>
                      <w:szCs w:val="21"/>
                      <w:lang w:val="en-US" w:eastAsia="zh-CN"/>
                    </w:rPr>
                  </w:pPr>
                  <w:r>
                    <w:rPr>
                      <w:rFonts w:hint="eastAsia" w:cs="宋体"/>
                      <w:color w:val="0000FF"/>
                      <w:sz w:val="21"/>
                      <w:szCs w:val="21"/>
                      <w:lang w:val="en-US" w:eastAsia="zh-CN"/>
                    </w:rPr>
                    <w:t>355</w:t>
                  </w:r>
                </w:p>
              </w:tc>
              <w:tc>
                <w:tcPr>
                  <w:tcW w:w="733" w:type="pct"/>
                  <w:tcBorders>
                    <w:tl2br w:val="nil"/>
                    <w:tr2bl w:val="nil"/>
                  </w:tcBorders>
                  <w:vAlign w:val="center"/>
                </w:tcPr>
                <w:p w14:paraId="45840D73">
                  <w:pPr>
                    <w:jc w:val="center"/>
                    <w:rPr>
                      <w:rFonts w:hint="eastAsia" w:cs="宋体"/>
                      <w:color w:val="0000FF"/>
                      <w:sz w:val="21"/>
                      <w:szCs w:val="21"/>
                      <w:lang w:val="en-US" w:eastAsia="zh-CN"/>
                    </w:rPr>
                  </w:pPr>
                  <w:r>
                    <w:rPr>
                      <w:rFonts w:hint="eastAsia" w:cs="宋体"/>
                      <w:color w:val="0000FF"/>
                      <w:sz w:val="21"/>
                      <w:szCs w:val="21"/>
                      <w:lang w:val="en-US" w:eastAsia="zh-CN"/>
                    </w:rPr>
                    <w:t>438</w:t>
                  </w:r>
                </w:p>
              </w:tc>
              <w:tc>
                <w:tcPr>
                  <w:tcW w:w="756" w:type="pct"/>
                  <w:tcBorders>
                    <w:tl2br w:val="nil"/>
                    <w:tr2bl w:val="nil"/>
                  </w:tcBorders>
                  <w:vAlign w:val="center"/>
                </w:tcPr>
                <w:p w14:paraId="7D2E2E15">
                  <w:pPr>
                    <w:jc w:val="center"/>
                    <w:rPr>
                      <w:rFonts w:hint="eastAsia" w:cs="宋体"/>
                      <w:color w:val="0000FF"/>
                      <w:sz w:val="21"/>
                      <w:szCs w:val="21"/>
                      <w:lang w:val="en-US" w:eastAsia="zh-CN"/>
                    </w:rPr>
                  </w:pPr>
                  <w:r>
                    <w:rPr>
                      <w:rFonts w:hint="eastAsia" w:cs="宋体"/>
                      <w:color w:val="0000FF"/>
                      <w:sz w:val="21"/>
                      <w:szCs w:val="21"/>
                      <w:lang w:val="en-US" w:eastAsia="zh-CN"/>
                    </w:rPr>
                    <w:t>/</w:t>
                  </w:r>
                </w:p>
              </w:tc>
            </w:tr>
            <w:tr w14:paraId="614BA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20" w:type="pct"/>
                  <w:tcBorders>
                    <w:tl2br w:val="nil"/>
                    <w:tr2bl w:val="nil"/>
                  </w:tcBorders>
                  <w:vAlign w:val="center"/>
                </w:tcPr>
                <w:p w14:paraId="08786F70">
                  <w:pPr>
                    <w:jc w:val="center"/>
                    <w:rPr>
                      <w:rFonts w:hint="eastAsia" w:cs="宋体"/>
                      <w:color w:val="0000FF"/>
                      <w:sz w:val="21"/>
                      <w:szCs w:val="21"/>
                      <w:lang w:val="en-US" w:eastAsia="zh-CN"/>
                    </w:rPr>
                  </w:pPr>
                  <w:r>
                    <w:rPr>
                      <w:rFonts w:hint="eastAsia" w:cs="宋体"/>
                      <w:color w:val="0000FF"/>
                      <w:sz w:val="21"/>
                      <w:szCs w:val="21"/>
                      <w:lang w:val="en-US" w:eastAsia="zh-CN"/>
                    </w:rPr>
                    <w:t>铜</w:t>
                  </w:r>
                </w:p>
              </w:tc>
              <w:tc>
                <w:tcPr>
                  <w:tcW w:w="793" w:type="pct"/>
                  <w:tcBorders>
                    <w:tl2br w:val="nil"/>
                    <w:tr2bl w:val="nil"/>
                  </w:tcBorders>
                  <w:vAlign w:val="center"/>
                </w:tcPr>
                <w:p w14:paraId="0F57D0AA">
                  <w:pPr>
                    <w:jc w:val="center"/>
                    <w:rPr>
                      <w:rFonts w:hint="eastAsia" w:cs="宋体"/>
                      <w:color w:val="0000FF"/>
                      <w:sz w:val="21"/>
                      <w:szCs w:val="21"/>
                      <w:lang w:val="en-US" w:eastAsia="zh-CN"/>
                    </w:rPr>
                  </w:pPr>
                  <w:r>
                    <w:rPr>
                      <w:rFonts w:hint="eastAsia" w:cs="宋体"/>
                      <w:color w:val="0000FF"/>
                      <w:sz w:val="21"/>
                      <w:szCs w:val="21"/>
                      <w:lang w:val="en-US" w:eastAsia="zh-CN"/>
                    </w:rPr>
                    <w:t>mg/L</w:t>
                  </w:r>
                </w:p>
              </w:tc>
              <w:tc>
                <w:tcPr>
                  <w:tcW w:w="552" w:type="pct"/>
                  <w:tcBorders>
                    <w:tl2br w:val="nil"/>
                    <w:tr2bl w:val="nil"/>
                  </w:tcBorders>
                  <w:vAlign w:val="center"/>
                </w:tcPr>
                <w:p w14:paraId="36ECCD58">
                  <w:pPr>
                    <w:jc w:val="center"/>
                    <w:rPr>
                      <w:rFonts w:hint="eastAsia" w:cs="宋体"/>
                      <w:color w:val="0000FF"/>
                      <w:sz w:val="21"/>
                      <w:szCs w:val="21"/>
                      <w:lang w:val="en-US" w:eastAsia="zh-CN"/>
                    </w:rPr>
                  </w:pPr>
                  <w:r>
                    <w:rPr>
                      <w:rFonts w:hint="eastAsia" w:cs="宋体"/>
                      <w:color w:val="0000FF"/>
                      <w:sz w:val="21"/>
                      <w:szCs w:val="21"/>
                      <w:lang w:val="en-US" w:eastAsia="zh-CN"/>
                    </w:rPr>
                    <w:t>1 L</w:t>
                  </w:r>
                </w:p>
              </w:tc>
              <w:tc>
                <w:tcPr>
                  <w:tcW w:w="743" w:type="pct"/>
                  <w:tcBorders>
                    <w:tl2br w:val="nil"/>
                    <w:tr2bl w:val="nil"/>
                  </w:tcBorders>
                  <w:vAlign w:val="center"/>
                </w:tcPr>
                <w:p w14:paraId="358E7CAA">
                  <w:pPr>
                    <w:jc w:val="center"/>
                    <w:rPr>
                      <w:rFonts w:hint="eastAsia" w:cs="宋体"/>
                      <w:color w:val="0000FF"/>
                      <w:sz w:val="21"/>
                      <w:szCs w:val="21"/>
                      <w:lang w:val="en-US" w:eastAsia="zh-CN"/>
                    </w:rPr>
                  </w:pPr>
                  <w:r>
                    <w:rPr>
                      <w:rFonts w:hint="eastAsia" w:cs="宋体"/>
                      <w:color w:val="0000FF"/>
                      <w:sz w:val="21"/>
                      <w:szCs w:val="21"/>
                      <w:lang w:val="en-US" w:eastAsia="zh-CN"/>
                    </w:rPr>
                    <w:t>1 L</w:t>
                  </w:r>
                </w:p>
              </w:tc>
              <w:tc>
                <w:tcPr>
                  <w:tcW w:w="733" w:type="pct"/>
                  <w:tcBorders>
                    <w:tl2br w:val="nil"/>
                    <w:tr2bl w:val="nil"/>
                  </w:tcBorders>
                  <w:vAlign w:val="center"/>
                </w:tcPr>
                <w:p w14:paraId="36515B7A">
                  <w:pPr>
                    <w:jc w:val="center"/>
                    <w:rPr>
                      <w:rFonts w:hint="eastAsia" w:cs="宋体"/>
                      <w:color w:val="0000FF"/>
                      <w:sz w:val="21"/>
                      <w:szCs w:val="21"/>
                      <w:lang w:val="en-US" w:eastAsia="zh-CN"/>
                    </w:rPr>
                  </w:pPr>
                  <w:r>
                    <w:rPr>
                      <w:rFonts w:hint="eastAsia" w:cs="宋体"/>
                      <w:color w:val="0000FF"/>
                      <w:sz w:val="21"/>
                      <w:szCs w:val="21"/>
                      <w:lang w:val="en-US" w:eastAsia="zh-CN"/>
                    </w:rPr>
                    <w:t>1 L</w:t>
                  </w:r>
                </w:p>
              </w:tc>
              <w:tc>
                <w:tcPr>
                  <w:tcW w:w="756" w:type="pct"/>
                  <w:tcBorders>
                    <w:tl2br w:val="nil"/>
                    <w:tr2bl w:val="nil"/>
                  </w:tcBorders>
                  <w:vAlign w:val="center"/>
                </w:tcPr>
                <w:p w14:paraId="3A296670">
                  <w:pPr>
                    <w:jc w:val="center"/>
                    <w:rPr>
                      <w:rFonts w:hint="eastAsia" w:cs="宋体"/>
                      <w:color w:val="0000FF"/>
                      <w:sz w:val="21"/>
                      <w:szCs w:val="21"/>
                      <w:lang w:val="en-US" w:eastAsia="zh-CN"/>
                    </w:rPr>
                  </w:pPr>
                  <w:r>
                    <w:rPr>
                      <w:rFonts w:hint="eastAsia" w:cs="宋体"/>
                      <w:color w:val="0000FF"/>
                      <w:sz w:val="21"/>
                      <w:szCs w:val="21"/>
                      <w:lang w:val="en-US" w:eastAsia="zh-CN"/>
                    </w:rPr>
                    <w:t>≤1000</w:t>
                  </w:r>
                </w:p>
              </w:tc>
            </w:tr>
            <w:tr w14:paraId="55FD7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20" w:type="pct"/>
                  <w:tcBorders>
                    <w:tl2br w:val="nil"/>
                    <w:tr2bl w:val="nil"/>
                  </w:tcBorders>
                  <w:vAlign w:val="center"/>
                </w:tcPr>
                <w:p w14:paraId="2DEB71CC">
                  <w:pPr>
                    <w:jc w:val="center"/>
                    <w:rPr>
                      <w:rFonts w:hint="eastAsia" w:cs="宋体"/>
                      <w:color w:val="0000FF"/>
                      <w:sz w:val="21"/>
                      <w:szCs w:val="21"/>
                      <w:lang w:val="en-US" w:eastAsia="zh-CN"/>
                    </w:rPr>
                  </w:pPr>
                  <w:r>
                    <w:rPr>
                      <w:rFonts w:hint="eastAsia" w:cs="宋体"/>
                      <w:color w:val="0000FF"/>
                      <w:sz w:val="21"/>
                      <w:szCs w:val="21"/>
                      <w:lang w:val="en-US" w:eastAsia="zh-CN"/>
                    </w:rPr>
                    <w:t>镍</w:t>
                  </w:r>
                </w:p>
              </w:tc>
              <w:tc>
                <w:tcPr>
                  <w:tcW w:w="793" w:type="pct"/>
                  <w:tcBorders>
                    <w:tl2br w:val="nil"/>
                    <w:tr2bl w:val="nil"/>
                  </w:tcBorders>
                  <w:vAlign w:val="center"/>
                </w:tcPr>
                <w:p w14:paraId="3C7965B1">
                  <w:pPr>
                    <w:jc w:val="center"/>
                    <w:rPr>
                      <w:rFonts w:hint="eastAsia" w:cs="宋体"/>
                      <w:color w:val="0000FF"/>
                      <w:sz w:val="21"/>
                      <w:szCs w:val="21"/>
                      <w:lang w:val="en-US" w:eastAsia="zh-CN"/>
                    </w:rPr>
                  </w:pPr>
                  <w:r>
                    <w:rPr>
                      <w:rFonts w:hint="default" w:ascii="Times New Roman" w:hAnsi="Times New Roman" w:cs="Times New Roman"/>
                      <w:color w:val="0000FF"/>
                      <w:sz w:val="21"/>
                      <w:szCs w:val="21"/>
                      <w:lang w:val="en-US" w:eastAsia="zh-CN"/>
                    </w:rPr>
                    <w:t>μ</w:t>
                  </w:r>
                  <w:r>
                    <w:rPr>
                      <w:rFonts w:hint="eastAsia" w:cs="宋体"/>
                      <w:color w:val="0000FF"/>
                      <w:sz w:val="21"/>
                      <w:szCs w:val="21"/>
                      <w:lang w:val="en-US" w:eastAsia="zh-CN"/>
                    </w:rPr>
                    <w:t>g/L</w:t>
                  </w:r>
                </w:p>
              </w:tc>
              <w:tc>
                <w:tcPr>
                  <w:tcW w:w="552" w:type="pct"/>
                  <w:tcBorders>
                    <w:tl2br w:val="nil"/>
                    <w:tr2bl w:val="nil"/>
                  </w:tcBorders>
                  <w:vAlign w:val="center"/>
                </w:tcPr>
                <w:p w14:paraId="183F1530">
                  <w:pPr>
                    <w:jc w:val="center"/>
                    <w:rPr>
                      <w:rFonts w:hint="eastAsia" w:cs="宋体"/>
                      <w:color w:val="0000FF"/>
                      <w:sz w:val="21"/>
                      <w:szCs w:val="21"/>
                      <w:lang w:val="en-US" w:eastAsia="zh-CN"/>
                    </w:rPr>
                  </w:pPr>
                  <w:r>
                    <w:rPr>
                      <w:rFonts w:hint="eastAsia" w:cs="宋体"/>
                      <w:color w:val="0000FF"/>
                      <w:sz w:val="21"/>
                      <w:szCs w:val="21"/>
                      <w:lang w:val="en-US" w:eastAsia="zh-CN"/>
                    </w:rPr>
                    <w:t>5 L</w:t>
                  </w:r>
                </w:p>
              </w:tc>
              <w:tc>
                <w:tcPr>
                  <w:tcW w:w="743" w:type="pct"/>
                  <w:tcBorders>
                    <w:tl2br w:val="nil"/>
                    <w:tr2bl w:val="nil"/>
                  </w:tcBorders>
                  <w:vAlign w:val="center"/>
                </w:tcPr>
                <w:p w14:paraId="471C9CC4">
                  <w:pPr>
                    <w:jc w:val="center"/>
                    <w:rPr>
                      <w:rFonts w:hint="eastAsia" w:cs="宋体"/>
                      <w:color w:val="0000FF"/>
                      <w:sz w:val="21"/>
                      <w:szCs w:val="21"/>
                      <w:lang w:val="en-US" w:eastAsia="zh-CN"/>
                    </w:rPr>
                  </w:pPr>
                  <w:r>
                    <w:rPr>
                      <w:rFonts w:hint="eastAsia" w:cs="宋体"/>
                      <w:color w:val="0000FF"/>
                      <w:sz w:val="21"/>
                      <w:szCs w:val="21"/>
                      <w:lang w:val="en-US" w:eastAsia="zh-CN"/>
                    </w:rPr>
                    <w:t>5 L</w:t>
                  </w:r>
                </w:p>
              </w:tc>
              <w:tc>
                <w:tcPr>
                  <w:tcW w:w="733" w:type="pct"/>
                  <w:tcBorders>
                    <w:tl2br w:val="nil"/>
                    <w:tr2bl w:val="nil"/>
                  </w:tcBorders>
                  <w:vAlign w:val="center"/>
                </w:tcPr>
                <w:p w14:paraId="2FB6EC3D">
                  <w:pPr>
                    <w:jc w:val="center"/>
                    <w:rPr>
                      <w:rFonts w:hint="eastAsia" w:cs="宋体"/>
                      <w:color w:val="0000FF"/>
                      <w:sz w:val="21"/>
                      <w:szCs w:val="21"/>
                      <w:lang w:val="en-US" w:eastAsia="zh-CN"/>
                    </w:rPr>
                  </w:pPr>
                  <w:r>
                    <w:rPr>
                      <w:rFonts w:hint="eastAsia" w:cs="宋体"/>
                      <w:color w:val="0000FF"/>
                      <w:sz w:val="21"/>
                      <w:szCs w:val="21"/>
                      <w:lang w:val="en-US" w:eastAsia="zh-CN"/>
                    </w:rPr>
                    <w:t>5 L</w:t>
                  </w:r>
                </w:p>
              </w:tc>
              <w:tc>
                <w:tcPr>
                  <w:tcW w:w="756" w:type="pct"/>
                  <w:tcBorders>
                    <w:tl2br w:val="nil"/>
                    <w:tr2bl w:val="nil"/>
                  </w:tcBorders>
                  <w:vAlign w:val="center"/>
                </w:tcPr>
                <w:p w14:paraId="305F6048">
                  <w:pPr>
                    <w:jc w:val="center"/>
                    <w:rPr>
                      <w:rFonts w:hint="eastAsia" w:cs="宋体"/>
                      <w:color w:val="0000FF"/>
                      <w:sz w:val="21"/>
                      <w:szCs w:val="21"/>
                      <w:lang w:val="en-US" w:eastAsia="zh-CN"/>
                    </w:rPr>
                  </w:pPr>
                  <w:r>
                    <w:rPr>
                      <w:rFonts w:hint="eastAsia" w:cs="宋体"/>
                      <w:color w:val="0000FF"/>
                      <w:sz w:val="21"/>
                      <w:szCs w:val="21"/>
                      <w:lang w:val="en-US" w:eastAsia="zh-CN"/>
                    </w:rPr>
                    <w:t>≤0.02</w:t>
                  </w:r>
                </w:p>
              </w:tc>
            </w:tr>
            <w:tr w14:paraId="3B937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20" w:type="pct"/>
                  <w:tcBorders>
                    <w:tl2br w:val="nil"/>
                    <w:tr2bl w:val="nil"/>
                  </w:tcBorders>
                  <w:vAlign w:val="center"/>
                </w:tcPr>
                <w:p w14:paraId="78B52B34">
                  <w:pPr>
                    <w:jc w:val="center"/>
                    <w:rPr>
                      <w:rFonts w:hint="eastAsia" w:cs="宋体"/>
                      <w:color w:val="0000FF"/>
                      <w:sz w:val="21"/>
                      <w:szCs w:val="21"/>
                      <w:lang w:val="en-US" w:eastAsia="zh-CN"/>
                    </w:rPr>
                  </w:pPr>
                  <w:r>
                    <w:rPr>
                      <w:rFonts w:hint="eastAsia" w:cs="宋体"/>
                      <w:color w:val="0000FF"/>
                      <w:sz w:val="21"/>
                      <w:szCs w:val="21"/>
                      <w:lang w:val="en-US" w:eastAsia="zh-CN"/>
                    </w:rPr>
                    <w:t>钴</w:t>
                  </w:r>
                </w:p>
              </w:tc>
              <w:tc>
                <w:tcPr>
                  <w:tcW w:w="793" w:type="pct"/>
                  <w:tcBorders>
                    <w:tl2br w:val="nil"/>
                    <w:tr2bl w:val="nil"/>
                  </w:tcBorders>
                  <w:vAlign w:val="center"/>
                </w:tcPr>
                <w:p w14:paraId="59476525">
                  <w:pPr>
                    <w:jc w:val="center"/>
                    <w:rPr>
                      <w:rFonts w:hint="eastAsia" w:cs="宋体"/>
                      <w:color w:val="0000FF"/>
                      <w:sz w:val="21"/>
                      <w:szCs w:val="21"/>
                      <w:lang w:val="en-US" w:eastAsia="zh-CN"/>
                    </w:rPr>
                  </w:pPr>
                  <w:r>
                    <w:rPr>
                      <w:rFonts w:hint="default" w:ascii="Times New Roman" w:hAnsi="Times New Roman" w:cs="Times New Roman"/>
                      <w:color w:val="0000FF"/>
                      <w:sz w:val="21"/>
                      <w:szCs w:val="21"/>
                      <w:lang w:val="en-US" w:eastAsia="zh-CN"/>
                    </w:rPr>
                    <w:t>μ</w:t>
                  </w:r>
                  <w:r>
                    <w:rPr>
                      <w:rFonts w:hint="eastAsia" w:cs="宋体"/>
                      <w:color w:val="0000FF"/>
                      <w:sz w:val="21"/>
                      <w:szCs w:val="21"/>
                      <w:lang w:val="en-US" w:eastAsia="zh-CN"/>
                    </w:rPr>
                    <w:t>g/L</w:t>
                  </w:r>
                </w:p>
              </w:tc>
              <w:tc>
                <w:tcPr>
                  <w:tcW w:w="552" w:type="pct"/>
                  <w:tcBorders>
                    <w:tl2br w:val="nil"/>
                    <w:tr2bl w:val="nil"/>
                  </w:tcBorders>
                  <w:vAlign w:val="center"/>
                </w:tcPr>
                <w:p w14:paraId="23003501">
                  <w:pPr>
                    <w:jc w:val="center"/>
                    <w:rPr>
                      <w:rFonts w:hint="eastAsia" w:cs="宋体"/>
                      <w:color w:val="0000FF"/>
                      <w:sz w:val="21"/>
                      <w:szCs w:val="21"/>
                      <w:lang w:val="en-US" w:eastAsia="zh-CN"/>
                    </w:rPr>
                  </w:pPr>
                  <w:r>
                    <w:rPr>
                      <w:rFonts w:hint="eastAsia" w:cs="宋体"/>
                      <w:color w:val="0000FF"/>
                      <w:sz w:val="21"/>
                      <w:szCs w:val="21"/>
                      <w:lang w:val="en-US" w:eastAsia="zh-CN"/>
                    </w:rPr>
                    <w:t>0.03 L</w:t>
                  </w:r>
                </w:p>
              </w:tc>
              <w:tc>
                <w:tcPr>
                  <w:tcW w:w="743" w:type="pct"/>
                  <w:tcBorders>
                    <w:tl2br w:val="nil"/>
                    <w:tr2bl w:val="nil"/>
                  </w:tcBorders>
                  <w:vAlign w:val="center"/>
                </w:tcPr>
                <w:p w14:paraId="59FE24CE">
                  <w:pPr>
                    <w:jc w:val="center"/>
                    <w:rPr>
                      <w:rFonts w:hint="eastAsia" w:cs="宋体"/>
                      <w:color w:val="0000FF"/>
                      <w:sz w:val="21"/>
                      <w:szCs w:val="21"/>
                      <w:lang w:val="en-US" w:eastAsia="zh-CN"/>
                    </w:rPr>
                  </w:pPr>
                  <w:r>
                    <w:rPr>
                      <w:rFonts w:hint="eastAsia" w:cs="宋体"/>
                      <w:color w:val="0000FF"/>
                      <w:sz w:val="21"/>
                      <w:szCs w:val="21"/>
                      <w:lang w:val="en-US" w:eastAsia="zh-CN"/>
                    </w:rPr>
                    <w:t>0.03 L</w:t>
                  </w:r>
                </w:p>
              </w:tc>
              <w:tc>
                <w:tcPr>
                  <w:tcW w:w="733" w:type="pct"/>
                  <w:tcBorders>
                    <w:tl2br w:val="nil"/>
                    <w:tr2bl w:val="nil"/>
                  </w:tcBorders>
                  <w:vAlign w:val="center"/>
                </w:tcPr>
                <w:p w14:paraId="05D6CA95">
                  <w:pPr>
                    <w:jc w:val="center"/>
                    <w:rPr>
                      <w:rFonts w:hint="eastAsia" w:cs="宋体"/>
                      <w:color w:val="0000FF"/>
                      <w:sz w:val="21"/>
                      <w:szCs w:val="21"/>
                      <w:lang w:val="en-US" w:eastAsia="zh-CN"/>
                    </w:rPr>
                  </w:pPr>
                  <w:r>
                    <w:rPr>
                      <w:rFonts w:hint="eastAsia" w:cs="宋体"/>
                      <w:color w:val="0000FF"/>
                      <w:sz w:val="21"/>
                      <w:szCs w:val="21"/>
                      <w:lang w:val="en-US" w:eastAsia="zh-CN"/>
                    </w:rPr>
                    <w:t>0.03 L</w:t>
                  </w:r>
                </w:p>
              </w:tc>
              <w:tc>
                <w:tcPr>
                  <w:tcW w:w="756" w:type="pct"/>
                  <w:tcBorders>
                    <w:tl2br w:val="nil"/>
                    <w:tr2bl w:val="nil"/>
                  </w:tcBorders>
                  <w:vAlign w:val="center"/>
                </w:tcPr>
                <w:p w14:paraId="35849D4D">
                  <w:pPr>
                    <w:jc w:val="center"/>
                    <w:rPr>
                      <w:rFonts w:hint="eastAsia" w:cs="宋体"/>
                      <w:color w:val="0000FF"/>
                      <w:sz w:val="21"/>
                      <w:szCs w:val="21"/>
                      <w:lang w:val="en-US" w:eastAsia="zh-CN"/>
                    </w:rPr>
                  </w:pPr>
                  <w:r>
                    <w:rPr>
                      <w:rFonts w:hint="eastAsia" w:cs="宋体"/>
                      <w:color w:val="0000FF"/>
                      <w:sz w:val="21"/>
                      <w:szCs w:val="21"/>
                      <w:lang w:val="en-US" w:eastAsia="zh-CN"/>
                    </w:rPr>
                    <w:t>≤0.05</w:t>
                  </w:r>
                </w:p>
              </w:tc>
            </w:tr>
          </w:tbl>
          <w:p w14:paraId="7AFB8655">
            <w:pPr>
              <w:pStyle w:val="3"/>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表</w:t>
            </w:r>
            <w:r>
              <w:rPr>
                <w:rFonts w:hint="eastAsia" w:ascii="Times New Roman" w:hAnsi="Times New Roman" w:cs="Times New Roman"/>
                <w:color w:val="0000FF"/>
                <w:sz w:val="21"/>
                <w:szCs w:val="21"/>
                <w:lang w:val="en-US" w:eastAsia="zh-CN"/>
              </w:rPr>
              <w:t xml:space="preserve">3-8 </w:t>
            </w:r>
            <w:r>
              <w:rPr>
                <w:rFonts w:hint="default" w:ascii="Times New Roman" w:hAnsi="Times New Roman" w:eastAsia="宋体" w:cs="Times New Roman"/>
                <w:color w:val="0000FF"/>
                <w:sz w:val="21"/>
                <w:szCs w:val="21"/>
                <w:lang w:val="en-US" w:eastAsia="zh-CN"/>
              </w:rPr>
              <w:t>地下水信息表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2856"/>
              <w:gridCol w:w="1957"/>
              <w:gridCol w:w="2278"/>
            </w:tblGrid>
            <w:tr w14:paraId="7EB8E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3" w:type="pct"/>
                  <w:tcBorders>
                    <w:tl2br w:val="nil"/>
                    <w:tr2bl w:val="nil"/>
                  </w:tcBorders>
                  <w:vAlign w:val="center"/>
                </w:tcPr>
                <w:p w14:paraId="1E5D6C35">
                  <w:pPr>
                    <w:jc w:val="center"/>
                    <w:rPr>
                      <w:rFonts w:hint="eastAsia" w:cs="宋体"/>
                      <w:color w:val="0000FF"/>
                      <w:sz w:val="21"/>
                      <w:szCs w:val="21"/>
                      <w:lang w:val="en-US" w:eastAsia="zh-CN"/>
                    </w:rPr>
                  </w:pPr>
                  <w:r>
                    <w:rPr>
                      <w:rFonts w:hint="eastAsia" w:cs="宋体"/>
                      <w:color w:val="0000FF"/>
                      <w:sz w:val="21"/>
                      <w:szCs w:val="21"/>
                      <w:lang w:val="en-US" w:eastAsia="zh-CN"/>
                    </w:rPr>
                    <w:t>点位编号</w:t>
                  </w:r>
                </w:p>
              </w:tc>
              <w:tc>
                <w:tcPr>
                  <w:tcW w:w="1626" w:type="pct"/>
                  <w:tcBorders>
                    <w:tl2br w:val="nil"/>
                    <w:tr2bl w:val="nil"/>
                  </w:tcBorders>
                  <w:vAlign w:val="center"/>
                </w:tcPr>
                <w:p w14:paraId="010CF484">
                  <w:pPr>
                    <w:jc w:val="center"/>
                    <w:rPr>
                      <w:rFonts w:hint="eastAsia" w:cs="宋体"/>
                      <w:color w:val="0000FF"/>
                      <w:sz w:val="21"/>
                      <w:szCs w:val="21"/>
                      <w:lang w:val="en-US" w:eastAsia="zh-CN"/>
                    </w:rPr>
                  </w:pPr>
                  <w:r>
                    <w:rPr>
                      <w:rFonts w:hint="eastAsia" w:cs="宋体"/>
                      <w:color w:val="0000FF"/>
                      <w:sz w:val="21"/>
                      <w:szCs w:val="21"/>
                      <w:lang w:val="en-US" w:eastAsia="zh-CN"/>
                    </w:rPr>
                    <w:t>点位名称</w:t>
                  </w:r>
                </w:p>
              </w:tc>
              <w:tc>
                <w:tcPr>
                  <w:tcW w:w="1114" w:type="pct"/>
                  <w:tcBorders>
                    <w:tl2br w:val="nil"/>
                    <w:tr2bl w:val="nil"/>
                  </w:tcBorders>
                  <w:vAlign w:val="center"/>
                </w:tcPr>
                <w:p w14:paraId="35FD41D6">
                  <w:pPr>
                    <w:jc w:val="center"/>
                    <w:rPr>
                      <w:rFonts w:hint="eastAsia" w:cs="宋体"/>
                      <w:color w:val="0000FF"/>
                      <w:sz w:val="21"/>
                      <w:szCs w:val="21"/>
                      <w:lang w:val="en-US" w:eastAsia="zh-CN"/>
                    </w:rPr>
                  </w:pPr>
                  <w:r>
                    <w:rPr>
                      <w:rFonts w:hint="eastAsia" w:cs="宋体"/>
                      <w:color w:val="0000FF"/>
                      <w:sz w:val="21"/>
                      <w:szCs w:val="21"/>
                      <w:lang w:val="en-US" w:eastAsia="zh-CN"/>
                    </w:rPr>
                    <w:t>水位（m）</w:t>
                  </w:r>
                </w:p>
              </w:tc>
              <w:tc>
                <w:tcPr>
                  <w:tcW w:w="1298" w:type="pct"/>
                  <w:tcBorders>
                    <w:tl2br w:val="nil"/>
                    <w:tr2bl w:val="nil"/>
                  </w:tcBorders>
                  <w:vAlign w:val="center"/>
                </w:tcPr>
                <w:p w14:paraId="4FD3783F">
                  <w:pPr>
                    <w:jc w:val="center"/>
                    <w:rPr>
                      <w:rFonts w:hint="eastAsia" w:cs="宋体"/>
                      <w:color w:val="0000FF"/>
                      <w:sz w:val="21"/>
                      <w:szCs w:val="21"/>
                      <w:lang w:val="en-US" w:eastAsia="zh-CN"/>
                    </w:rPr>
                  </w:pPr>
                  <w:r>
                    <w:rPr>
                      <w:rFonts w:hint="eastAsia" w:cs="宋体"/>
                      <w:color w:val="0000FF"/>
                      <w:sz w:val="21"/>
                      <w:szCs w:val="21"/>
                      <w:lang w:val="en-US" w:eastAsia="zh-CN"/>
                    </w:rPr>
                    <w:t>埋深（m）</w:t>
                  </w:r>
                </w:p>
              </w:tc>
            </w:tr>
            <w:tr w14:paraId="2D68F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3" w:type="pct"/>
                  <w:tcBorders>
                    <w:tl2br w:val="nil"/>
                    <w:tr2bl w:val="nil"/>
                  </w:tcBorders>
                  <w:vAlign w:val="center"/>
                </w:tcPr>
                <w:p w14:paraId="16F59EB3">
                  <w:pPr>
                    <w:jc w:val="center"/>
                    <w:rPr>
                      <w:rFonts w:hint="eastAsia" w:cs="宋体"/>
                      <w:color w:val="0000FF"/>
                      <w:sz w:val="21"/>
                      <w:szCs w:val="21"/>
                      <w:lang w:val="en-US" w:eastAsia="zh-CN"/>
                    </w:rPr>
                  </w:pPr>
                  <w:r>
                    <w:rPr>
                      <w:rFonts w:hint="eastAsia" w:cs="宋体"/>
                      <w:color w:val="0000FF"/>
                      <w:sz w:val="21"/>
                      <w:szCs w:val="21"/>
                      <w:lang w:val="en-US" w:eastAsia="zh-CN"/>
                    </w:rPr>
                    <w:t>D1</w:t>
                  </w:r>
                </w:p>
              </w:tc>
              <w:tc>
                <w:tcPr>
                  <w:tcW w:w="1626" w:type="pct"/>
                  <w:tcBorders>
                    <w:tl2br w:val="nil"/>
                    <w:tr2bl w:val="nil"/>
                  </w:tcBorders>
                  <w:vAlign w:val="center"/>
                </w:tcPr>
                <w:p w14:paraId="67D60261">
                  <w:pPr>
                    <w:jc w:val="center"/>
                    <w:rPr>
                      <w:rFonts w:hint="eastAsia" w:cs="宋体"/>
                      <w:color w:val="0000FF"/>
                      <w:sz w:val="21"/>
                      <w:szCs w:val="21"/>
                      <w:lang w:val="en-US" w:eastAsia="zh-CN"/>
                    </w:rPr>
                  </w:pPr>
                  <w:r>
                    <w:rPr>
                      <w:rFonts w:hint="eastAsia" w:cs="宋体"/>
                      <w:color w:val="0000FF"/>
                      <w:sz w:val="21"/>
                      <w:szCs w:val="21"/>
                      <w:lang w:val="en-US" w:eastAsia="zh-CN"/>
                    </w:rPr>
                    <w:t>项目区仓库</w:t>
                  </w:r>
                </w:p>
              </w:tc>
              <w:tc>
                <w:tcPr>
                  <w:tcW w:w="1114" w:type="pct"/>
                  <w:tcBorders>
                    <w:tl2br w:val="nil"/>
                    <w:tr2bl w:val="nil"/>
                  </w:tcBorders>
                  <w:vAlign w:val="center"/>
                </w:tcPr>
                <w:p w14:paraId="3B7E1D54">
                  <w:pPr>
                    <w:jc w:val="center"/>
                    <w:rPr>
                      <w:rFonts w:hint="eastAsia" w:cs="宋体"/>
                      <w:color w:val="0000FF"/>
                      <w:sz w:val="21"/>
                      <w:szCs w:val="21"/>
                      <w:lang w:val="en-US" w:eastAsia="zh-CN"/>
                    </w:rPr>
                  </w:pPr>
                  <w:r>
                    <w:rPr>
                      <w:rFonts w:hint="eastAsia" w:cs="宋体"/>
                      <w:color w:val="0000FF"/>
                      <w:sz w:val="21"/>
                      <w:szCs w:val="21"/>
                      <w:lang w:val="en-US" w:eastAsia="zh-CN"/>
                    </w:rPr>
                    <w:t>30.8</w:t>
                  </w:r>
                </w:p>
              </w:tc>
              <w:tc>
                <w:tcPr>
                  <w:tcW w:w="1298" w:type="pct"/>
                  <w:tcBorders>
                    <w:tl2br w:val="nil"/>
                    <w:tr2bl w:val="nil"/>
                  </w:tcBorders>
                  <w:vAlign w:val="center"/>
                </w:tcPr>
                <w:p w14:paraId="7037F2C2">
                  <w:pPr>
                    <w:jc w:val="center"/>
                    <w:rPr>
                      <w:rFonts w:hint="eastAsia" w:cs="宋体"/>
                      <w:color w:val="0000FF"/>
                      <w:sz w:val="21"/>
                      <w:szCs w:val="21"/>
                      <w:lang w:val="en-US" w:eastAsia="zh-CN"/>
                    </w:rPr>
                  </w:pPr>
                  <w:r>
                    <w:rPr>
                      <w:rFonts w:hint="eastAsia" w:cs="宋体"/>
                      <w:color w:val="0000FF"/>
                      <w:sz w:val="21"/>
                      <w:szCs w:val="21"/>
                      <w:lang w:val="en-US" w:eastAsia="zh-CN"/>
                    </w:rPr>
                    <w:t>4.5</w:t>
                  </w:r>
                </w:p>
              </w:tc>
            </w:tr>
            <w:tr w14:paraId="0780E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3" w:type="pct"/>
                  <w:tcBorders>
                    <w:tl2br w:val="nil"/>
                    <w:tr2bl w:val="nil"/>
                  </w:tcBorders>
                  <w:vAlign w:val="center"/>
                </w:tcPr>
                <w:p w14:paraId="2E901E19">
                  <w:pPr>
                    <w:jc w:val="center"/>
                    <w:rPr>
                      <w:rFonts w:hint="eastAsia" w:cs="宋体"/>
                      <w:color w:val="0000FF"/>
                      <w:sz w:val="21"/>
                      <w:szCs w:val="21"/>
                      <w:lang w:val="en-US" w:eastAsia="zh-CN"/>
                    </w:rPr>
                  </w:pPr>
                  <w:r>
                    <w:rPr>
                      <w:rFonts w:hint="eastAsia" w:cs="宋体"/>
                      <w:color w:val="0000FF"/>
                      <w:sz w:val="21"/>
                      <w:szCs w:val="21"/>
                      <w:lang w:val="en-US" w:eastAsia="zh-CN"/>
                    </w:rPr>
                    <w:t>D2</w:t>
                  </w:r>
                </w:p>
              </w:tc>
              <w:tc>
                <w:tcPr>
                  <w:tcW w:w="1626" w:type="pct"/>
                  <w:tcBorders>
                    <w:tl2br w:val="nil"/>
                    <w:tr2bl w:val="nil"/>
                  </w:tcBorders>
                  <w:vAlign w:val="center"/>
                </w:tcPr>
                <w:p w14:paraId="69DF6046">
                  <w:pPr>
                    <w:jc w:val="center"/>
                    <w:rPr>
                      <w:rFonts w:hint="eastAsia" w:cs="宋体"/>
                      <w:color w:val="0000FF"/>
                      <w:sz w:val="21"/>
                      <w:szCs w:val="21"/>
                      <w:lang w:val="en-US" w:eastAsia="zh-CN"/>
                    </w:rPr>
                  </w:pPr>
                  <w:r>
                    <w:rPr>
                      <w:rFonts w:hint="eastAsia" w:cs="宋体"/>
                      <w:color w:val="0000FF"/>
                      <w:sz w:val="21"/>
                      <w:szCs w:val="21"/>
                      <w:lang w:val="en-US" w:eastAsia="zh-CN"/>
                    </w:rPr>
                    <w:t>高村</w:t>
                  </w:r>
                </w:p>
              </w:tc>
              <w:tc>
                <w:tcPr>
                  <w:tcW w:w="1114" w:type="pct"/>
                  <w:tcBorders>
                    <w:tl2br w:val="nil"/>
                    <w:tr2bl w:val="nil"/>
                  </w:tcBorders>
                  <w:vAlign w:val="center"/>
                </w:tcPr>
                <w:p w14:paraId="6A4AF347">
                  <w:pPr>
                    <w:jc w:val="center"/>
                    <w:rPr>
                      <w:rFonts w:hint="eastAsia" w:cs="宋体"/>
                      <w:color w:val="0000FF"/>
                      <w:sz w:val="21"/>
                      <w:szCs w:val="21"/>
                      <w:lang w:val="en-US" w:eastAsia="zh-CN"/>
                    </w:rPr>
                  </w:pPr>
                  <w:r>
                    <w:rPr>
                      <w:rFonts w:hint="eastAsia" w:cs="宋体"/>
                      <w:color w:val="0000FF"/>
                      <w:sz w:val="21"/>
                      <w:szCs w:val="21"/>
                      <w:lang w:val="en-US" w:eastAsia="zh-CN"/>
                    </w:rPr>
                    <w:t>33.5</w:t>
                  </w:r>
                </w:p>
              </w:tc>
              <w:tc>
                <w:tcPr>
                  <w:tcW w:w="1298" w:type="pct"/>
                  <w:tcBorders>
                    <w:tl2br w:val="nil"/>
                    <w:tr2bl w:val="nil"/>
                  </w:tcBorders>
                  <w:vAlign w:val="center"/>
                </w:tcPr>
                <w:p w14:paraId="5863CB73">
                  <w:pPr>
                    <w:jc w:val="center"/>
                    <w:rPr>
                      <w:rFonts w:hint="eastAsia" w:cs="宋体"/>
                      <w:color w:val="0000FF"/>
                      <w:sz w:val="21"/>
                      <w:szCs w:val="21"/>
                      <w:lang w:val="en-US" w:eastAsia="zh-CN"/>
                    </w:rPr>
                  </w:pPr>
                  <w:r>
                    <w:rPr>
                      <w:rFonts w:hint="eastAsia" w:cs="宋体"/>
                      <w:color w:val="0000FF"/>
                      <w:sz w:val="21"/>
                      <w:szCs w:val="21"/>
                      <w:lang w:val="en-US" w:eastAsia="zh-CN"/>
                    </w:rPr>
                    <w:t>4.3</w:t>
                  </w:r>
                </w:p>
              </w:tc>
            </w:tr>
            <w:tr w14:paraId="5CAD8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3" w:type="pct"/>
                  <w:tcBorders>
                    <w:tl2br w:val="nil"/>
                    <w:tr2bl w:val="nil"/>
                  </w:tcBorders>
                  <w:vAlign w:val="center"/>
                </w:tcPr>
                <w:p w14:paraId="763B2E1E">
                  <w:pPr>
                    <w:jc w:val="center"/>
                    <w:rPr>
                      <w:rFonts w:hint="eastAsia" w:cs="宋体"/>
                      <w:color w:val="0000FF"/>
                      <w:sz w:val="21"/>
                      <w:szCs w:val="21"/>
                      <w:lang w:val="en-US" w:eastAsia="zh-CN"/>
                    </w:rPr>
                  </w:pPr>
                  <w:r>
                    <w:rPr>
                      <w:rFonts w:hint="eastAsia" w:cs="宋体"/>
                      <w:color w:val="0000FF"/>
                      <w:sz w:val="21"/>
                      <w:szCs w:val="21"/>
                      <w:lang w:val="en-US" w:eastAsia="zh-CN"/>
                    </w:rPr>
                    <w:t>D3</w:t>
                  </w:r>
                </w:p>
              </w:tc>
              <w:tc>
                <w:tcPr>
                  <w:tcW w:w="1626" w:type="pct"/>
                  <w:tcBorders>
                    <w:tl2br w:val="nil"/>
                    <w:tr2bl w:val="nil"/>
                  </w:tcBorders>
                  <w:vAlign w:val="center"/>
                </w:tcPr>
                <w:p w14:paraId="57652537">
                  <w:pPr>
                    <w:jc w:val="center"/>
                    <w:rPr>
                      <w:rFonts w:hint="eastAsia" w:cs="宋体"/>
                      <w:color w:val="0000FF"/>
                      <w:sz w:val="21"/>
                      <w:szCs w:val="21"/>
                      <w:lang w:val="en-US" w:eastAsia="zh-CN"/>
                    </w:rPr>
                  </w:pPr>
                  <w:r>
                    <w:rPr>
                      <w:rFonts w:hint="eastAsia" w:cs="宋体"/>
                      <w:color w:val="0000FF"/>
                      <w:sz w:val="21"/>
                      <w:szCs w:val="21"/>
                      <w:lang w:val="en-US" w:eastAsia="zh-CN"/>
                    </w:rPr>
                    <w:t>安置小区</w:t>
                  </w:r>
                </w:p>
              </w:tc>
              <w:tc>
                <w:tcPr>
                  <w:tcW w:w="1114" w:type="pct"/>
                  <w:tcBorders>
                    <w:tl2br w:val="nil"/>
                    <w:tr2bl w:val="nil"/>
                  </w:tcBorders>
                  <w:vAlign w:val="center"/>
                </w:tcPr>
                <w:p w14:paraId="4C259403">
                  <w:pPr>
                    <w:jc w:val="center"/>
                    <w:rPr>
                      <w:rFonts w:hint="eastAsia" w:cs="宋体"/>
                      <w:color w:val="0000FF"/>
                      <w:sz w:val="21"/>
                      <w:szCs w:val="21"/>
                      <w:lang w:val="en-US" w:eastAsia="zh-CN"/>
                    </w:rPr>
                  </w:pPr>
                  <w:r>
                    <w:rPr>
                      <w:rFonts w:hint="eastAsia" w:cs="宋体"/>
                      <w:color w:val="0000FF"/>
                      <w:sz w:val="21"/>
                      <w:szCs w:val="21"/>
                      <w:lang w:val="en-US" w:eastAsia="zh-CN"/>
                    </w:rPr>
                    <w:t>30.0</w:t>
                  </w:r>
                </w:p>
              </w:tc>
              <w:tc>
                <w:tcPr>
                  <w:tcW w:w="1298" w:type="pct"/>
                  <w:tcBorders>
                    <w:tl2br w:val="nil"/>
                    <w:tr2bl w:val="nil"/>
                  </w:tcBorders>
                  <w:vAlign w:val="center"/>
                </w:tcPr>
                <w:p w14:paraId="58AC14F9">
                  <w:pPr>
                    <w:jc w:val="center"/>
                    <w:rPr>
                      <w:rFonts w:hint="eastAsia" w:cs="宋体"/>
                      <w:color w:val="0000FF"/>
                      <w:sz w:val="21"/>
                      <w:szCs w:val="21"/>
                      <w:lang w:val="en-US" w:eastAsia="zh-CN"/>
                    </w:rPr>
                  </w:pPr>
                  <w:r>
                    <w:rPr>
                      <w:rFonts w:hint="eastAsia" w:cs="宋体"/>
                      <w:color w:val="0000FF"/>
                      <w:sz w:val="21"/>
                      <w:szCs w:val="21"/>
                      <w:lang w:val="en-US" w:eastAsia="zh-CN"/>
                    </w:rPr>
                    <w:t>4.0</w:t>
                  </w:r>
                </w:p>
              </w:tc>
            </w:tr>
            <w:tr w14:paraId="38E0B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3" w:type="pct"/>
                  <w:tcBorders>
                    <w:tl2br w:val="nil"/>
                    <w:tr2bl w:val="nil"/>
                  </w:tcBorders>
                  <w:vAlign w:val="center"/>
                </w:tcPr>
                <w:p w14:paraId="07D9E3D7">
                  <w:pPr>
                    <w:jc w:val="center"/>
                    <w:rPr>
                      <w:rFonts w:hint="eastAsia" w:cs="宋体"/>
                      <w:color w:val="0000FF"/>
                      <w:sz w:val="21"/>
                      <w:szCs w:val="21"/>
                      <w:lang w:val="en-US" w:eastAsia="zh-CN"/>
                    </w:rPr>
                  </w:pPr>
                  <w:r>
                    <w:rPr>
                      <w:rFonts w:hint="eastAsia" w:cs="宋体"/>
                      <w:color w:val="0000FF"/>
                      <w:sz w:val="21"/>
                      <w:szCs w:val="21"/>
                      <w:lang w:val="en-US" w:eastAsia="zh-CN"/>
                    </w:rPr>
                    <w:t>D4</w:t>
                  </w:r>
                </w:p>
              </w:tc>
              <w:tc>
                <w:tcPr>
                  <w:tcW w:w="1626" w:type="pct"/>
                  <w:tcBorders>
                    <w:tl2br w:val="nil"/>
                    <w:tr2bl w:val="nil"/>
                  </w:tcBorders>
                  <w:vAlign w:val="center"/>
                </w:tcPr>
                <w:p w14:paraId="4D066B33">
                  <w:pPr>
                    <w:jc w:val="center"/>
                    <w:rPr>
                      <w:rFonts w:hint="eastAsia" w:cs="宋体"/>
                      <w:color w:val="0000FF"/>
                      <w:sz w:val="21"/>
                      <w:szCs w:val="21"/>
                      <w:lang w:val="en-US" w:eastAsia="zh-CN"/>
                    </w:rPr>
                  </w:pPr>
                  <w:r>
                    <w:rPr>
                      <w:rFonts w:hint="eastAsia" w:cs="宋体"/>
                      <w:color w:val="0000FF"/>
                      <w:sz w:val="21"/>
                      <w:szCs w:val="21"/>
                      <w:lang w:val="en-US" w:eastAsia="zh-CN"/>
                    </w:rPr>
                    <w:t>滂汪村</w:t>
                  </w:r>
                </w:p>
              </w:tc>
              <w:tc>
                <w:tcPr>
                  <w:tcW w:w="1114" w:type="pct"/>
                  <w:tcBorders>
                    <w:tl2br w:val="nil"/>
                    <w:tr2bl w:val="nil"/>
                  </w:tcBorders>
                  <w:vAlign w:val="center"/>
                </w:tcPr>
                <w:p w14:paraId="0C6897D5">
                  <w:pPr>
                    <w:jc w:val="center"/>
                    <w:rPr>
                      <w:rFonts w:hint="eastAsia" w:cs="宋体"/>
                      <w:color w:val="0000FF"/>
                      <w:sz w:val="21"/>
                      <w:szCs w:val="21"/>
                      <w:lang w:val="en-US" w:eastAsia="zh-CN"/>
                    </w:rPr>
                  </w:pPr>
                  <w:r>
                    <w:rPr>
                      <w:rFonts w:hint="eastAsia" w:cs="宋体"/>
                      <w:color w:val="0000FF"/>
                      <w:sz w:val="21"/>
                      <w:szCs w:val="21"/>
                      <w:lang w:val="en-US" w:eastAsia="zh-CN"/>
                    </w:rPr>
                    <w:t>31.2</w:t>
                  </w:r>
                </w:p>
              </w:tc>
              <w:tc>
                <w:tcPr>
                  <w:tcW w:w="1298" w:type="pct"/>
                  <w:tcBorders>
                    <w:tl2br w:val="nil"/>
                    <w:tr2bl w:val="nil"/>
                  </w:tcBorders>
                  <w:vAlign w:val="center"/>
                </w:tcPr>
                <w:p w14:paraId="23957CC7">
                  <w:pPr>
                    <w:jc w:val="center"/>
                    <w:rPr>
                      <w:rFonts w:hint="eastAsia" w:cs="宋体"/>
                      <w:color w:val="0000FF"/>
                      <w:sz w:val="21"/>
                      <w:szCs w:val="21"/>
                      <w:lang w:val="en-US" w:eastAsia="zh-CN"/>
                    </w:rPr>
                  </w:pPr>
                  <w:r>
                    <w:rPr>
                      <w:rFonts w:hint="eastAsia" w:cs="宋体"/>
                      <w:color w:val="0000FF"/>
                      <w:sz w:val="21"/>
                      <w:szCs w:val="21"/>
                      <w:lang w:val="en-US" w:eastAsia="zh-CN"/>
                    </w:rPr>
                    <w:t>4.6</w:t>
                  </w:r>
                </w:p>
              </w:tc>
            </w:tr>
            <w:tr w14:paraId="06273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3" w:type="pct"/>
                  <w:tcBorders>
                    <w:tl2br w:val="nil"/>
                    <w:tr2bl w:val="nil"/>
                  </w:tcBorders>
                  <w:vAlign w:val="center"/>
                </w:tcPr>
                <w:p w14:paraId="1F470A90">
                  <w:pPr>
                    <w:jc w:val="center"/>
                    <w:rPr>
                      <w:rFonts w:hint="eastAsia" w:cs="宋体"/>
                      <w:color w:val="0000FF"/>
                      <w:sz w:val="21"/>
                      <w:szCs w:val="21"/>
                      <w:lang w:val="en-US" w:eastAsia="zh-CN"/>
                    </w:rPr>
                  </w:pPr>
                  <w:r>
                    <w:rPr>
                      <w:rFonts w:hint="eastAsia" w:cs="宋体"/>
                      <w:color w:val="0000FF"/>
                      <w:sz w:val="21"/>
                      <w:szCs w:val="21"/>
                      <w:lang w:val="en-US" w:eastAsia="zh-CN"/>
                    </w:rPr>
                    <w:t>D5</w:t>
                  </w:r>
                </w:p>
              </w:tc>
              <w:tc>
                <w:tcPr>
                  <w:tcW w:w="1626" w:type="pct"/>
                  <w:tcBorders>
                    <w:tl2br w:val="nil"/>
                    <w:tr2bl w:val="nil"/>
                  </w:tcBorders>
                  <w:vAlign w:val="center"/>
                </w:tcPr>
                <w:p w14:paraId="036CECCA">
                  <w:pPr>
                    <w:jc w:val="center"/>
                    <w:rPr>
                      <w:rFonts w:hint="eastAsia" w:cs="宋体"/>
                      <w:color w:val="0000FF"/>
                      <w:sz w:val="21"/>
                      <w:szCs w:val="21"/>
                      <w:lang w:val="en-US" w:eastAsia="zh-CN"/>
                    </w:rPr>
                  </w:pPr>
                  <w:r>
                    <w:rPr>
                      <w:rFonts w:hint="eastAsia" w:cs="宋体"/>
                      <w:color w:val="0000FF"/>
                      <w:sz w:val="21"/>
                      <w:szCs w:val="21"/>
                      <w:lang w:val="en-US" w:eastAsia="zh-CN"/>
                    </w:rPr>
                    <w:t>簸箕洼</w:t>
                  </w:r>
                </w:p>
              </w:tc>
              <w:tc>
                <w:tcPr>
                  <w:tcW w:w="1114" w:type="pct"/>
                  <w:tcBorders>
                    <w:tl2br w:val="nil"/>
                    <w:tr2bl w:val="nil"/>
                  </w:tcBorders>
                  <w:vAlign w:val="center"/>
                </w:tcPr>
                <w:p w14:paraId="2B5E24A8">
                  <w:pPr>
                    <w:jc w:val="center"/>
                    <w:rPr>
                      <w:rFonts w:hint="eastAsia" w:cs="宋体"/>
                      <w:color w:val="0000FF"/>
                      <w:sz w:val="21"/>
                      <w:szCs w:val="21"/>
                      <w:lang w:val="en-US" w:eastAsia="zh-CN"/>
                    </w:rPr>
                  </w:pPr>
                  <w:r>
                    <w:rPr>
                      <w:rFonts w:hint="eastAsia" w:cs="宋体"/>
                      <w:color w:val="0000FF"/>
                      <w:sz w:val="21"/>
                      <w:szCs w:val="21"/>
                      <w:lang w:val="en-US" w:eastAsia="zh-CN"/>
                    </w:rPr>
                    <w:t>32.5</w:t>
                  </w:r>
                </w:p>
              </w:tc>
              <w:tc>
                <w:tcPr>
                  <w:tcW w:w="1298" w:type="pct"/>
                  <w:tcBorders>
                    <w:tl2br w:val="nil"/>
                    <w:tr2bl w:val="nil"/>
                  </w:tcBorders>
                  <w:vAlign w:val="center"/>
                </w:tcPr>
                <w:p w14:paraId="55B1195F">
                  <w:pPr>
                    <w:jc w:val="center"/>
                    <w:rPr>
                      <w:rFonts w:hint="eastAsia" w:cs="宋体"/>
                      <w:color w:val="0000FF"/>
                      <w:sz w:val="21"/>
                      <w:szCs w:val="21"/>
                      <w:lang w:val="en-US" w:eastAsia="zh-CN"/>
                    </w:rPr>
                  </w:pPr>
                  <w:r>
                    <w:rPr>
                      <w:rFonts w:hint="eastAsia" w:cs="宋体"/>
                      <w:color w:val="0000FF"/>
                      <w:sz w:val="21"/>
                      <w:szCs w:val="21"/>
                      <w:lang w:val="en-US" w:eastAsia="zh-CN"/>
                    </w:rPr>
                    <w:t>4.3</w:t>
                  </w:r>
                </w:p>
              </w:tc>
            </w:tr>
            <w:tr w14:paraId="326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3" w:type="pct"/>
                  <w:tcBorders>
                    <w:tl2br w:val="nil"/>
                    <w:tr2bl w:val="nil"/>
                  </w:tcBorders>
                  <w:vAlign w:val="center"/>
                </w:tcPr>
                <w:p w14:paraId="289A0327">
                  <w:pPr>
                    <w:jc w:val="center"/>
                    <w:rPr>
                      <w:rFonts w:hint="eastAsia" w:cs="宋体"/>
                      <w:color w:val="0000FF"/>
                      <w:sz w:val="21"/>
                      <w:szCs w:val="21"/>
                      <w:lang w:val="en-US" w:eastAsia="zh-CN"/>
                    </w:rPr>
                  </w:pPr>
                  <w:r>
                    <w:rPr>
                      <w:rFonts w:hint="eastAsia" w:cs="宋体"/>
                      <w:color w:val="0000FF"/>
                      <w:sz w:val="21"/>
                      <w:szCs w:val="21"/>
                      <w:lang w:val="en-US" w:eastAsia="zh-CN"/>
                    </w:rPr>
                    <w:t>D6</w:t>
                  </w:r>
                </w:p>
              </w:tc>
              <w:tc>
                <w:tcPr>
                  <w:tcW w:w="1626" w:type="pct"/>
                  <w:tcBorders>
                    <w:tl2br w:val="nil"/>
                    <w:tr2bl w:val="nil"/>
                  </w:tcBorders>
                  <w:vAlign w:val="center"/>
                </w:tcPr>
                <w:p w14:paraId="3777B5E7">
                  <w:pPr>
                    <w:jc w:val="center"/>
                    <w:rPr>
                      <w:rFonts w:hint="eastAsia" w:cs="宋体"/>
                      <w:color w:val="0000FF"/>
                      <w:sz w:val="21"/>
                      <w:szCs w:val="21"/>
                      <w:lang w:val="en-US" w:eastAsia="zh-CN"/>
                    </w:rPr>
                  </w:pPr>
                  <w:r>
                    <w:rPr>
                      <w:rFonts w:hint="eastAsia" w:cs="宋体"/>
                      <w:color w:val="0000FF"/>
                      <w:sz w:val="21"/>
                      <w:szCs w:val="21"/>
                      <w:lang w:val="en-US" w:eastAsia="zh-CN"/>
                    </w:rPr>
                    <w:t>谢庄</w:t>
                  </w:r>
                </w:p>
              </w:tc>
              <w:tc>
                <w:tcPr>
                  <w:tcW w:w="1114" w:type="pct"/>
                  <w:tcBorders>
                    <w:tl2br w:val="nil"/>
                    <w:tr2bl w:val="nil"/>
                  </w:tcBorders>
                  <w:vAlign w:val="center"/>
                </w:tcPr>
                <w:p w14:paraId="7C2FD4EE">
                  <w:pPr>
                    <w:jc w:val="center"/>
                    <w:rPr>
                      <w:rFonts w:hint="eastAsia" w:cs="宋体"/>
                      <w:color w:val="0000FF"/>
                      <w:sz w:val="21"/>
                      <w:szCs w:val="21"/>
                      <w:lang w:val="en-US" w:eastAsia="zh-CN"/>
                    </w:rPr>
                  </w:pPr>
                  <w:r>
                    <w:rPr>
                      <w:rFonts w:hint="eastAsia" w:cs="宋体"/>
                      <w:color w:val="0000FF"/>
                      <w:sz w:val="21"/>
                      <w:szCs w:val="21"/>
                      <w:lang w:val="en-US" w:eastAsia="zh-CN"/>
                    </w:rPr>
                    <w:t>32.3</w:t>
                  </w:r>
                </w:p>
              </w:tc>
              <w:tc>
                <w:tcPr>
                  <w:tcW w:w="1298" w:type="pct"/>
                  <w:tcBorders>
                    <w:tl2br w:val="nil"/>
                    <w:tr2bl w:val="nil"/>
                  </w:tcBorders>
                  <w:vAlign w:val="center"/>
                </w:tcPr>
                <w:p w14:paraId="5208B050">
                  <w:pPr>
                    <w:jc w:val="center"/>
                    <w:rPr>
                      <w:rFonts w:hint="eastAsia" w:cs="宋体"/>
                      <w:color w:val="0000FF"/>
                      <w:sz w:val="21"/>
                      <w:szCs w:val="21"/>
                      <w:lang w:val="en-US" w:eastAsia="zh-CN"/>
                    </w:rPr>
                  </w:pPr>
                  <w:r>
                    <w:rPr>
                      <w:rFonts w:hint="eastAsia" w:cs="宋体"/>
                      <w:color w:val="0000FF"/>
                      <w:sz w:val="21"/>
                      <w:szCs w:val="21"/>
                      <w:lang w:val="en-US" w:eastAsia="zh-CN"/>
                    </w:rPr>
                    <w:t>4.1</w:t>
                  </w:r>
                </w:p>
              </w:tc>
            </w:tr>
          </w:tbl>
          <w:p w14:paraId="31606A41">
            <w:pPr>
              <w:adjustRightInd w:val="0"/>
              <w:spacing w:line="360" w:lineRule="auto"/>
              <w:ind w:firstLine="480" w:firstLineChars="200"/>
              <w:jc w:val="both"/>
              <w:rPr>
                <w:rFonts w:hint="eastAsia"/>
                <w:color w:val="0000FF"/>
                <w:sz w:val="24"/>
                <w:highlight w:val="none"/>
                <w:lang w:val="en-US" w:eastAsia="zh-CN"/>
              </w:rPr>
            </w:pPr>
            <w:r>
              <w:rPr>
                <w:rFonts w:hint="eastAsia"/>
                <w:color w:val="0000FF"/>
                <w:sz w:val="24"/>
                <w:highlight w:val="none"/>
                <w:lang w:val="en-US" w:eastAsia="zh-CN"/>
              </w:rPr>
              <w:t>现状监测结果表明，各监测点位各指标均达到《地下水质量标准》（GB/T 14848-2017）中Ⅲ类标准。</w:t>
            </w:r>
          </w:p>
          <w:p w14:paraId="492221BF">
            <w:pPr>
              <w:adjustRightInd w:val="0"/>
              <w:spacing w:line="360" w:lineRule="auto"/>
              <w:ind w:firstLine="480" w:firstLineChars="200"/>
              <w:jc w:val="both"/>
              <w:rPr>
                <w:rFonts w:hint="default"/>
                <w:color w:val="auto"/>
                <w:sz w:val="24"/>
                <w:highlight w:val="none"/>
                <w:lang w:val="en-US" w:eastAsia="zh-CN"/>
              </w:rPr>
            </w:pPr>
            <w:r>
              <w:rPr>
                <w:rFonts w:hint="eastAsia"/>
                <w:color w:val="auto"/>
                <w:sz w:val="24"/>
                <w:highlight w:val="none"/>
                <w:lang w:val="en-US" w:eastAsia="zh-CN"/>
              </w:rPr>
              <w:t>2、土壤</w:t>
            </w:r>
          </w:p>
          <w:p w14:paraId="2D710F6E">
            <w:pPr>
              <w:adjustRightInd w:val="0"/>
              <w:spacing w:line="360" w:lineRule="auto"/>
              <w:ind w:firstLine="480" w:firstLineChars="200"/>
              <w:jc w:val="both"/>
              <w:rPr>
                <w:rFonts w:hint="eastAsia"/>
                <w:color w:val="auto"/>
                <w:sz w:val="24"/>
                <w:highlight w:val="none"/>
                <w:lang w:val="en-US" w:eastAsia="zh-CN"/>
              </w:rPr>
            </w:pPr>
            <w:r>
              <w:rPr>
                <w:rFonts w:hint="eastAsia"/>
                <w:color w:val="auto"/>
                <w:sz w:val="24"/>
                <w:highlight w:val="none"/>
                <w:lang w:val="en-US" w:eastAsia="zh-CN"/>
              </w:rPr>
              <w:t>排放的废气污染物主要为颗粒物、二氧化硫和氮氧化物等，土壤污染途径为大气沉降。由于本项目废气污染物中涉及重金属，故本项目土壤现状检测值引用《安徽淮北杜集经济开发区总体发展规划（2023-2035年）环境影响报告书》中的检测数据，采样时间为2023年7月22日，引用的监测点位为TR2（</w:t>
            </w:r>
            <w:r>
              <w:rPr>
                <w:rFonts w:hint="eastAsia"/>
                <w:color w:val="auto"/>
                <w:sz w:val="24"/>
                <w:highlight w:val="none"/>
                <w:lang w:eastAsia="zh-CN"/>
              </w:rPr>
              <w:t>淮北市杜集区滂汪工业区</w:t>
            </w:r>
            <w:r>
              <w:rPr>
                <w:rFonts w:hint="eastAsia"/>
                <w:color w:val="auto"/>
                <w:sz w:val="24"/>
                <w:highlight w:val="none"/>
                <w:lang w:val="en-US" w:eastAsia="zh-CN"/>
              </w:rPr>
              <w:t>）、TR9（</w:t>
            </w:r>
            <w:r>
              <w:rPr>
                <w:rFonts w:hint="eastAsia"/>
                <w:color w:val="auto"/>
                <w:sz w:val="24"/>
                <w:highlight w:val="none"/>
                <w:lang w:eastAsia="zh-CN"/>
              </w:rPr>
              <w:t>开发区西侧未利用地</w:t>
            </w:r>
            <w:r>
              <w:rPr>
                <w:rFonts w:hint="eastAsia"/>
                <w:color w:val="auto"/>
                <w:sz w:val="24"/>
                <w:highlight w:val="none"/>
                <w:lang w:val="en-US" w:eastAsia="zh-CN"/>
              </w:rPr>
              <w:t>）以及TR5（滂汪村），分别位于本次技改项目北侧1300米处、东北侧1300米处以及南侧约2000米处，引用数据有效能够满足引用要求。</w:t>
            </w:r>
          </w:p>
          <w:p w14:paraId="5DBB5A96">
            <w:pPr>
              <w:pStyle w:val="27"/>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lang w:val="en-US" w:eastAsia="zh-CN"/>
              </w:rPr>
            </w:pPr>
            <w:r>
              <w:rPr>
                <w:rFonts w:hint="eastAsia"/>
                <w:lang w:val="en-US" w:eastAsia="zh-CN"/>
              </w:rPr>
              <w:drawing>
                <wp:inline distT="0" distB="0" distL="114300" distR="114300">
                  <wp:extent cx="5142865" cy="4335145"/>
                  <wp:effectExtent l="0" t="0" r="635" b="8255"/>
                  <wp:docPr id="17" name="图片 17" descr="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tr"/>
                          <pic:cNvPicPr>
                            <a:picLocks noChangeAspect="1"/>
                          </pic:cNvPicPr>
                        </pic:nvPicPr>
                        <pic:blipFill>
                          <a:blip r:embed="rId15"/>
                          <a:srcRect l="755" r="909" b="885"/>
                          <a:stretch>
                            <a:fillRect/>
                          </a:stretch>
                        </pic:blipFill>
                        <pic:spPr>
                          <a:xfrm>
                            <a:off x="0" y="0"/>
                            <a:ext cx="5142865" cy="4335145"/>
                          </a:xfrm>
                          <a:prstGeom prst="rect">
                            <a:avLst/>
                          </a:prstGeom>
                        </pic:spPr>
                      </pic:pic>
                    </a:graphicData>
                  </a:graphic>
                </wp:inline>
              </w:drawing>
            </w:r>
          </w:p>
          <w:p w14:paraId="5346BE33">
            <w:pPr>
              <w:pStyle w:val="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b/>
                <w:bCs/>
                <w:color w:val="auto"/>
                <w:sz w:val="24"/>
                <w:highlight w:val="none"/>
              </w:rPr>
            </w:pPr>
            <w:r>
              <w:rPr>
                <w:rFonts w:hint="eastAsia" w:ascii="Times New Roman" w:hAnsi="Times New Roman" w:eastAsia="宋体" w:cs="Times New Roman"/>
                <w:color w:val="auto"/>
                <w:sz w:val="21"/>
                <w:szCs w:val="21"/>
                <w:lang w:eastAsia="zh-CN"/>
              </w:rPr>
              <w:t>图</w:t>
            </w:r>
            <w:r>
              <w:rPr>
                <w:rFonts w:hint="eastAsia" w:ascii="Times New Roman" w:hAnsi="Times New Roman" w:eastAsia="宋体" w:cs="Times New Roman"/>
                <w:color w:val="auto"/>
                <w:sz w:val="21"/>
                <w:szCs w:val="21"/>
                <w:lang w:val="en-US" w:eastAsia="zh-CN"/>
              </w:rPr>
              <w:t>3-</w:t>
            </w:r>
            <w:r>
              <w:rPr>
                <w:rFonts w:hint="eastAsia" w:ascii="Times New Roman" w:hAnsi="Times New Roman"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cs="Times New Roman"/>
                <w:color w:val="auto"/>
                <w:sz w:val="21"/>
                <w:szCs w:val="21"/>
                <w:lang w:val="en-US" w:eastAsia="zh-CN"/>
              </w:rPr>
              <w:t>土壤</w:t>
            </w:r>
            <w:r>
              <w:rPr>
                <w:rFonts w:hint="eastAsia" w:ascii="Times New Roman" w:hAnsi="Times New Roman" w:eastAsia="宋体" w:cs="Times New Roman"/>
                <w:color w:val="auto"/>
                <w:sz w:val="21"/>
                <w:szCs w:val="21"/>
                <w:lang w:val="en-US" w:eastAsia="zh-CN"/>
              </w:rPr>
              <w:t>环境质量现状监测点位图</w:t>
            </w:r>
          </w:p>
          <w:p w14:paraId="5A85D156">
            <w:pPr>
              <w:pStyle w:val="3"/>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表</w:t>
            </w:r>
            <w:r>
              <w:rPr>
                <w:rFonts w:hint="eastAsia" w:ascii="Times New Roman" w:hAnsi="Times New Roman" w:cs="Times New Roman"/>
                <w:color w:val="auto"/>
                <w:sz w:val="21"/>
                <w:szCs w:val="21"/>
                <w:lang w:val="en-US" w:eastAsia="zh-CN"/>
              </w:rPr>
              <w:t xml:space="preserve">3-9 </w:t>
            </w:r>
            <w:r>
              <w:rPr>
                <w:rFonts w:hint="eastAsia" w:ascii="Times New Roman" w:hAnsi="Times New Roman" w:eastAsia="宋体" w:cs="Times New Roman"/>
                <w:color w:val="auto"/>
                <w:sz w:val="21"/>
                <w:szCs w:val="21"/>
                <w:lang w:val="en-US" w:eastAsia="zh-CN"/>
              </w:rPr>
              <w:t>开发区周边农用地土壤环境质量分析结果一览表 单位：mg/kg</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6"/>
              <w:gridCol w:w="1368"/>
              <w:gridCol w:w="2666"/>
              <w:gridCol w:w="1718"/>
            </w:tblGrid>
            <w:tr w14:paraId="55F2D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3" w:type="pct"/>
                  <w:vAlign w:val="center"/>
                </w:tcPr>
                <w:p w14:paraId="46C6E62B">
                  <w:pPr>
                    <w:jc w:val="center"/>
                    <w:rPr>
                      <w:rFonts w:hint="eastAsia" w:cs="宋体"/>
                      <w:sz w:val="21"/>
                      <w:szCs w:val="21"/>
                      <w:lang w:val="en-US" w:eastAsia="zh-CN"/>
                    </w:rPr>
                  </w:pPr>
                  <w:r>
                    <w:rPr>
                      <w:rFonts w:hint="eastAsia" w:cs="宋体"/>
                      <w:sz w:val="21"/>
                      <w:szCs w:val="21"/>
                      <w:lang w:val="en-US" w:eastAsia="zh-CN"/>
                    </w:rPr>
                    <w:t>监测项目</w:t>
                  </w:r>
                </w:p>
              </w:tc>
              <w:tc>
                <w:tcPr>
                  <w:tcW w:w="779" w:type="pct"/>
                  <w:vAlign w:val="center"/>
                </w:tcPr>
                <w:p w14:paraId="53A2A55F">
                  <w:pPr>
                    <w:jc w:val="center"/>
                    <w:rPr>
                      <w:rFonts w:hint="eastAsia" w:cs="宋体"/>
                      <w:sz w:val="21"/>
                      <w:szCs w:val="21"/>
                      <w:lang w:val="en-US" w:eastAsia="zh-CN"/>
                    </w:rPr>
                  </w:pPr>
                  <w:r>
                    <w:rPr>
                      <w:rFonts w:hint="eastAsia" w:cs="宋体"/>
                      <w:sz w:val="21"/>
                      <w:szCs w:val="21"/>
                      <w:lang w:val="en-US" w:eastAsia="zh-CN"/>
                    </w:rPr>
                    <w:t>TR5</w:t>
                  </w:r>
                </w:p>
              </w:tc>
              <w:tc>
                <w:tcPr>
                  <w:tcW w:w="2496" w:type="pct"/>
                  <w:gridSpan w:val="2"/>
                  <w:vAlign w:val="center"/>
                </w:tcPr>
                <w:p w14:paraId="21AF1CDB">
                  <w:pPr>
                    <w:jc w:val="center"/>
                    <w:rPr>
                      <w:rFonts w:hint="eastAsia" w:cs="宋体"/>
                      <w:sz w:val="21"/>
                      <w:szCs w:val="21"/>
                      <w:lang w:val="en-US" w:eastAsia="zh-CN"/>
                    </w:rPr>
                  </w:pPr>
                  <w:r>
                    <w:rPr>
                      <w:rFonts w:hint="eastAsia" w:cs="宋体"/>
                      <w:sz w:val="21"/>
                      <w:szCs w:val="21"/>
                      <w:lang w:val="en-US" w:eastAsia="zh-CN"/>
                    </w:rPr>
                    <w:t>GB15618-2018筛选值</w:t>
                  </w:r>
                </w:p>
              </w:tc>
            </w:tr>
            <w:tr w14:paraId="5E238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3" w:type="pct"/>
                  <w:vAlign w:val="center"/>
                </w:tcPr>
                <w:p w14:paraId="5FC57B28">
                  <w:pPr>
                    <w:jc w:val="center"/>
                    <w:rPr>
                      <w:rFonts w:hint="eastAsia" w:cs="宋体"/>
                      <w:sz w:val="21"/>
                      <w:szCs w:val="21"/>
                      <w:lang w:val="en-US" w:eastAsia="zh-CN"/>
                    </w:rPr>
                  </w:pPr>
                  <w:r>
                    <w:rPr>
                      <w:rFonts w:hint="eastAsia" w:cs="宋体"/>
                      <w:sz w:val="21"/>
                      <w:szCs w:val="21"/>
                      <w:lang w:val="en-US" w:eastAsia="zh-CN"/>
                    </w:rPr>
                    <w:t>pH（无量纲）</w:t>
                  </w:r>
                </w:p>
              </w:tc>
              <w:tc>
                <w:tcPr>
                  <w:tcW w:w="779" w:type="pct"/>
                  <w:vAlign w:val="center"/>
                </w:tcPr>
                <w:p w14:paraId="02BFF815">
                  <w:pPr>
                    <w:jc w:val="center"/>
                    <w:rPr>
                      <w:rFonts w:hint="eastAsia" w:cs="宋体"/>
                      <w:sz w:val="21"/>
                      <w:szCs w:val="21"/>
                      <w:lang w:val="en-US" w:eastAsia="zh-CN"/>
                    </w:rPr>
                  </w:pPr>
                  <w:r>
                    <w:rPr>
                      <w:rFonts w:hint="eastAsia" w:cs="宋体"/>
                      <w:sz w:val="21"/>
                      <w:szCs w:val="21"/>
                      <w:lang w:val="en-US" w:eastAsia="zh-CN"/>
                    </w:rPr>
                    <w:t>7.51</w:t>
                  </w:r>
                </w:p>
              </w:tc>
              <w:tc>
                <w:tcPr>
                  <w:tcW w:w="1518" w:type="pct"/>
                  <w:vAlign w:val="center"/>
                </w:tcPr>
                <w:p w14:paraId="199CDD7A">
                  <w:pPr>
                    <w:jc w:val="center"/>
                    <w:rPr>
                      <w:rFonts w:hint="eastAsia" w:cs="宋体"/>
                      <w:sz w:val="21"/>
                      <w:szCs w:val="21"/>
                      <w:lang w:val="en-US" w:eastAsia="zh-CN"/>
                    </w:rPr>
                  </w:pPr>
                  <w:r>
                    <w:rPr>
                      <w:rFonts w:hint="eastAsia" w:cs="宋体"/>
                      <w:sz w:val="21"/>
                      <w:szCs w:val="21"/>
                      <w:lang w:val="en-US" w:eastAsia="zh-CN"/>
                    </w:rPr>
                    <w:t>6.5</w:t>
                  </w:r>
                  <w:r>
                    <w:rPr>
                      <w:rFonts w:hint="eastAsia" w:ascii="宋体" w:hAnsi="宋体" w:eastAsia="宋体" w:cs="宋体"/>
                      <w:sz w:val="21"/>
                      <w:szCs w:val="21"/>
                      <w:lang w:val="en-US" w:eastAsia="zh-CN"/>
                    </w:rPr>
                    <w:t>＜</w:t>
                  </w:r>
                  <w:r>
                    <w:rPr>
                      <w:rFonts w:hint="eastAsia" w:cs="宋体"/>
                      <w:sz w:val="21"/>
                      <w:szCs w:val="21"/>
                      <w:lang w:val="en-US" w:eastAsia="zh-CN"/>
                    </w:rPr>
                    <w:t>pH≤7.5</w:t>
                  </w:r>
                </w:p>
              </w:tc>
              <w:tc>
                <w:tcPr>
                  <w:tcW w:w="977" w:type="pct"/>
                  <w:vAlign w:val="center"/>
                </w:tcPr>
                <w:p w14:paraId="31E94C5E">
                  <w:pPr>
                    <w:jc w:val="center"/>
                    <w:rPr>
                      <w:rFonts w:hint="eastAsia" w:cs="宋体"/>
                      <w:sz w:val="21"/>
                      <w:szCs w:val="21"/>
                      <w:lang w:val="en-US" w:eastAsia="zh-CN"/>
                    </w:rPr>
                  </w:pPr>
                  <w:r>
                    <w:rPr>
                      <w:rFonts w:hint="eastAsia" w:cs="宋体"/>
                      <w:sz w:val="21"/>
                      <w:szCs w:val="21"/>
                      <w:lang w:val="en-US" w:eastAsia="zh-CN"/>
                    </w:rPr>
                    <w:t>pH＞7.5</w:t>
                  </w:r>
                </w:p>
              </w:tc>
            </w:tr>
            <w:tr w14:paraId="37652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3" w:type="pct"/>
                  <w:vAlign w:val="center"/>
                </w:tcPr>
                <w:p w14:paraId="13346C4D">
                  <w:pPr>
                    <w:jc w:val="center"/>
                    <w:rPr>
                      <w:rFonts w:hint="eastAsia" w:cs="宋体"/>
                      <w:sz w:val="21"/>
                      <w:szCs w:val="21"/>
                      <w:lang w:val="en-US" w:eastAsia="zh-CN"/>
                    </w:rPr>
                  </w:pPr>
                  <w:r>
                    <w:rPr>
                      <w:rFonts w:hint="eastAsia" w:cs="宋体"/>
                      <w:sz w:val="21"/>
                      <w:szCs w:val="21"/>
                      <w:lang w:val="en-US" w:eastAsia="zh-CN"/>
                    </w:rPr>
                    <w:t>汞</w:t>
                  </w:r>
                </w:p>
              </w:tc>
              <w:tc>
                <w:tcPr>
                  <w:tcW w:w="779" w:type="pct"/>
                  <w:vAlign w:val="center"/>
                </w:tcPr>
                <w:p w14:paraId="6BECB3C3">
                  <w:pPr>
                    <w:jc w:val="center"/>
                    <w:rPr>
                      <w:rFonts w:hint="eastAsia" w:cs="宋体"/>
                      <w:sz w:val="21"/>
                      <w:szCs w:val="21"/>
                      <w:lang w:val="en-US" w:eastAsia="zh-CN"/>
                    </w:rPr>
                  </w:pPr>
                  <w:r>
                    <w:rPr>
                      <w:rFonts w:hint="eastAsia" w:cs="宋体"/>
                      <w:sz w:val="21"/>
                      <w:szCs w:val="21"/>
                      <w:lang w:val="en-US" w:eastAsia="zh-CN"/>
                    </w:rPr>
                    <w:t>0.366</w:t>
                  </w:r>
                </w:p>
              </w:tc>
              <w:tc>
                <w:tcPr>
                  <w:tcW w:w="1518" w:type="pct"/>
                  <w:vAlign w:val="center"/>
                </w:tcPr>
                <w:p w14:paraId="72B921B2">
                  <w:pPr>
                    <w:jc w:val="center"/>
                    <w:rPr>
                      <w:rFonts w:hint="eastAsia" w:cs="宋体"/>
                      <w:sz w:val="21"/>
                      <w:szCs w:val="21"/>
                      <w:lang w:val="en-US" w:eastAsia="zh-CN"/>
                    </w:rPr>
                  </w:pPr>
                  <w:r>
                    <w:rPr>
                      <w:rFonts w:hint="eastAsia" w:cs="宋体"/>
                      <w:sz w:val="21"/>
                      <w:szCs w:val="21"/>
                      <w:lang w:val="en-US" w:eastAsia="zh-CN"/>
                    </w:rPr>
                    <w:t>2.4</w:t>
                  </w:r>
                </w:p>
              </w:tc>
              <w:tc>
                <w:tcPr>
                  <w:tcW w:w="977" w:type="pct"/>
                  <w:vAlign w:val="center"/>
                </w:tcPr>
                <w:p w14:paraId="434E8C32">
                  <w:pPr>
                    <w:jc w:val="center"/>
                    <w:rPr>
                      <w:rFonts w:hint="eastAsia" w:cs="宋体"/>
                      <w:sz w:val="21"/>
                      <w:szCs w:val="21"/>
                      <w:lang w:val="en-US" w:eastAsia="zh-CN"/>
                    </w:rPr>
                  </w:pPr>
                  <w:r>
                    <w:rPr>
                      <w:rFonts w:hint="eastAsia" w:cs="宋体"/>
                      <w:sz w:val="21"/>
                      <w:szCs w:val="21"/>
                      <w:lang w:val="en-US" w:eastAsia="zh-CN"/>
                    </w:rPr>
                    <w:t>2.4</w:t>
                  </w:r>
                </w:p>
              </w:tc>
            </w:tr>
            <w:tr w14:paraId="01A7C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3" w:type="pct"/>
                  <w:vAlign w:val="center"/>
                </w:tcPr>
                <w:p w14:paraId="3FB9E559">
                  <w:pPr>
                    <w:jc w:val="center"/>
                    <w:rPr>
                      <w:rFonts w:hint="eastAsia" w:cs="宋体"/>
                      <w:sz w:val="21"/>
                      <w:szCs w:val="21"/>
                      <w:lang w:val="en-US" w:eastAsia="zh-CN"/>
                    </w:rPr>
                  </w:pPr>
                  <w:r>
                    <w:rPr>
                      <w:rFonts w:hint="eastAsia" w:cs="宋体"/>
                      <w:sz w:val="21"/>
                      <w:szCs w:val="21"/>
                      <w:lang w:val="en-US" w:eastAsia="zh-CN"/>
                    </w:rPr>
                    <w:t>砷</w:t>
                  </w:r>
                </w:p>
              </w:tc>
              <w:tc>
                <w:tcPr>
                  <w:tcW w:w="779" w:type="pct"/>
                  <w:vAlign w:val="center"/>
                </w:tcPr>
                <w:p w14:paraId="77247904">
                  <w:pPr>
                    <w:jc w:val="center"/>
                    <w:rPr>
                      <w:rFonts w:hint="eastAsia" w:cs="宋体"/>
                      <w:sz w:val="21"/>
                      <w:szCs w:val="21"/>
                      <w:lang w:val="en-US" w:eastAsia="zh-CN"/>
                    </w:rPr>
                  </w:pPr>
                  <w:r>
                    <w:rPr>
                      <w:rFonts w:hint="eastAsia" w:cs="宋体"/>
                      <w:sz w:val="21"/>
                      <w:szCs w:val="21"/>
                      <w:lang w:val="en-US" w:eastAsia="zh-CN"/>
                    </w:rPr>
                    <w:t>9.27</w:t>
                  </w:r>
                </w:p>
              </w:tc>
              <w:tc>
                <w:tcPr>
                  <w:tcW w:w="1518" w:type="pct"/>
                  <w:vAlign w:val="center"/>
                </w:tcPr>
                <w:p w14:paraId="4D4397F2">
                  <w:pPr>
                    <w:jc w:val="center"/>
                    <w:rPr>
                      <w:rFonts w:hint="eastAsia" w:cs="宋体"/>
                      <w:sz w:val="21"/>
                      <w:szCs w:val="21"/>
                      <w:lang w:val="en-US" w:eastAsia="zh-CN"/>
                    </w:rPr>
                  </w:pPr>
                  <w:r>
                    <w:rPr>
                      <w:rFonts w:hint="eastAsia" w:cs="宋体"/>
                      <w:sz w:val="21"/>
                      <w:szCs w:val="21"/>
                      <w:lang w:val="en-US" w:eastAsia="zh-CN"/>
                    </w:rPr>
                    <w:t>25</w:t>
                  </w:r>
                </w:p>
              </w:tc>
              <w:tc>
                <w:tcPr>
                  <w:tcW w:w="977" w:type="pct"/>
                  <w:vAlign w:val="center"/>
                </w:tcPr>
                <w:p w14:paraId="352904BE">
                  <w:pPr>
                    <w:jc w:val="center"/>
                    <w:rPr>
                      <w:rFonts w:hint="eastAsia" w:cs="宋体"/>
                      <w:sz w:val="21"/>
                      <w:szCs w:val="21"/>
                      <w:lang w:val="en-US" w:eastAsia="zh-CN"/>
                    </w:rPr>
                  </w:pPr>
                  <w:r>
                    <w:rPr>
                      <w:rFonts w:hint="eastAsia" w:cs="宋体"/>
                      <w:sz w:val="21"/>
                      <w:szCs w:val="21"/>
                      <w:lang w:val="en-US" w:eastAsia="zh-CN"/>
                    </w:rPr>
                    <w:t>25</w:t>
                  </w:r>
                </w:p>
              </w:tc>
            </w:tr>
            <w:tr w14:paraId="489CD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3" w:type="pct"/>
                  <w:vAlign w:val="center"/>
                </w:tcPr>
                <w:p w14:paraId="1BA787EB">
                  <w:pPr>
                    <w:jc w:val="center"/>
                    <w:rPr>
                      <w:rFonts w:hint="eastAsia" w:cs="宋体"/>
                      <w:sz w:val="21"/>
                      <w:szCs w:val="21"/>
                      <w:lang w:val="en-US" w:eastAsia="zh-CN"/>
                    </w:rPr>
                  </w:pPr>
                  <w:r>
                    <w:rPr>
                      <w:rFonts w:hint="eastAsia" w:cs="宋体"/>
                      <w:sz w:val="21"/>
                      <w:szCs w:val="21"/>
                      <w:lang w:val="en-US" w:eastAsia="zh-CN"/>
                    </w:rPr>
                    <w:t>铜</w:t>
                  </w:r>
                </w:p>
              </w:tc>
              <w:tc>
                <w:tcPr>
                  <w:tcW w:w="779" w:type="pct"/>
                  <w:vAlign w:val="center"/>
                </w:tcPr>
                <w:p w14:paraId="3803B1CE">
                  <w:pPr>
                    <w:jc w:val="center"/>
                    <w:rPr>
                      <w:rFonts w:hint="eastAsia" w:cs="宋体"/>
                      <w:sz w:val="21"/>
                      <w:szCs w:val="21"/>
                      <w:lang w:val="en-US" w:eastAsia="zh-CN"/>
                    </w:rPr>
                  </w:pPr>
                  <w:r>
                    <w:rPr>
                      <w:rFonts w:hint="eastAsia" w:cs="宋体"/>
                      <w:sz w:val="21"/>
                      <w:szCs w:val="21"/>
                      <w:lang w:val="en-US" w:eastAsia="zh-CN"/>
                    </w:rPr>
                    <w:t>16</w:t>
                  </w:r>
                </w:p>
              </w:tc>
              <w:tc>
                <w:tcPr>
                  <w:tcW w:w="1518" w:type="pct"/>
                  <w:vAlign w:val="center"/>
                </w:tcPr>
                <w:p w14:paraId="00C908DD">
                  <w:pPr>
                    <w:jc w:val="center"/>
                    <w:rPr>
                      <w:rFonts w:hint="eastAsia" w:cs="宋体"/>
                      <w:sz w:val="21"/>
                      <w:szCs w:val="21"/>
                      <w:lang w:val="en-US" w:eastAsia="zh-CN"/>
                    </w:rPr>
                  </w:pPr>
                  <w:r>
                    <w:rPr>
                      <w:rFonts w:hint="eastAsia" w:cs="宋体"/>
                      <w:sz w:val="21"/>
                      <w:szCs w:val="21"/>
                      <w:lang w:val="en-US" w:eastAsia="zh-CN"/>
                    </w:rPr>
                    <w:t>100</w:t>
                  </w:r>
                </w:p>
              </w:tc>
              <w:tc>
                <w:tcPr>
                  <w:tcW w:w="977" w:type="pct"/>
                  <w:vAlign w:val="center"/>
                </w:tcPr>
                <w:p w14:paraId="3B65B9FC">
                  <w:pPr>
                    <w:jc w:val="center"/>
                    <w:rPr>
                      <w:rFonts w:hint="eastAsia" w:cs="宋体"/>
                      <w:sz w:val="21"/>
                      <w:szCs w:val="21"/>
                      <w:lang w:val="en-US" w:eastAsia="zh-CN"/>
                    </w:rPr>
                  </w:pPr>
                  <w:r>
                    <w:rPr>
                      <w:rFonts w:hint="eastAsia" w:cs="宋体"/>
                      <w:sz w:val="21"/>
                      <w:szCs w:val="21"/>
                      <w:lang w:val="en-US" w:eastAsia="zh-CN"/>
                    </w:rPr>
                    <w:t>100</w:t>
                  </w:r>
                </w:p>
              </w:tc>
            </w:tr>
            <w:tr w14:paraId="60689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3" w:type="pct"/>
                  <w:vAlign w:val="center"/>
                </w:tcPr>
                <w:p w14:paraId="4528A71E">
                  <w:pPr>
                    <w:jc w:val="center"/>
                    <w:rPr>
                      <w:rFonts w:hint="eastAsia" w:cs="宋体"/>
                      <w:sz w:val="21"/>
                      <w:szCs w:val="21"/>
                      <w:lang w:val="en-US" w:eastAsia="zh-CN"/>
                    </w:rPr>
                  </w:pPr>
                  <w:r>
                    <w:rPr>
                      <w:rFonts w:hint="eastAsia" w:cs="宋体"/>
                      <w:sz w:val="21"/>
                      <w:szCs w:val="21"/>
                      <w:lang w:val="en-US" w:eastAsia="zh-CN"/>
                    </w:rPr>
                    <w:t>铅</w:t>
                  </w:r>
                </w:p>
              </w:tc>
              <w:tc>
                <w:tcPr>
                  <w:tcW w:w="779" w:type="pct"/>
                  <w:vAlign w:val="center"/>
                </w:tcPr>
                <w:p w14:paraId="69F63B46">
                  <w:pPr>
                    <w:jc w:val="center"/>
                    <w:rPr>
                      <w:rFonts w:hint="eastAsia" w:cs="宋体"/>
                      <w:sz w:val="21"/>
                      <w:szCs w:val="21"/>
                      <w:lang w:val="en-US" w:eastAsia="zh-CN"/>
                    </w:rPr>
                  </w:pPr>
                  <w:r>
                    <w:rPr>
                      <w:rFonts w:hint="eastAsia" w:cs="宋体"/>
                      <w:sz w:val="21"/>
                      <w:szCs w:val="21"/>
                      <w:lang w:val="en-US" w:eastAsia="zh-CN"/>
                    </w:rPr>
                    <w:t>8.1</w:t>
                  </w:r>
                </w:p>
              </w:tc>
              <w:tc>
                <w:tcPr>
                  <w:tcW w:w="1518" w:type="pct"/>
                  <w:vAlign w:val="center"/>
                </w:tcPr>
                <w:p w14:paraId="264CDA47">
                  <w:pPr>
                    <w:jc w:val="center"/>
                    <w:rPr>
                      <w:rFonts w:hint="eastAsia" w:cs="宋体"/>
                      <w:sz w:val="21"/>
                      <w:szCs w:val="21"/>
                      <w:lang w:val="en-US" w:eastAsia="zh-CN"/>
                    </w:rPr>
                  </w:pPr>
                  <w:r>
                    <w:rPr>
                      <w:rFonts w:hint="eastAsia" w:cs="宋体"/>
                      <w:sz w:val="21"/>
                      <w:szCs w:val="21"/>
                      <w:lang w:val="en-US" w:eastAsia="zh-CN"/>
                    </w:rPr>
                    <w:t>120</w:t>
                  </w:r>
                </w:p>
              </w:tc>
              <w:tc>
                <w:tcPr>
                  <w:tcW w:w="977" w:type="pct"/>
                  <w:vAlign w:val="center"/>
                </w:tcPr>
                <w:p w14:paraId="6D5E9435">
                  <w:pPr>
                    <w:jc w:val="center"/>
                    <w:rPr>
                      <w:rFonts w:hint="eastAsia" w:cs="宋体"/>
                      <w:sz w:val="21"/>
                      <w:szCs w:val="21"/>
                      <w:lang w:val="en-US" w:eastAsia="zh-CN"/>
                    </w:rPr>
                  </w:pPr>
                  <w:r>
                    <w:rPr>
                      <w:rFonts w:hint="eastAsia" w:cs="宋体"/>
                      <w:sz w:val="21"/>
                      <w:szCs w:val="21"/>
                      <w:lang w:val="en-US" w:eastAsia="zh-CN"/>
                    </w:rPr>
                    <w:t>170</w:t>
                  </w:r>
                </w:p>
              </w:tc>
            </w:tr>
            <w:tr w14:paraId="7D7E5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3" w:type="pct"/>
                  <w:vAlign w:val="center"/>
                </w:tcPr>
                <w:p w14:paraId="2809A917">
                  <w:pPr>
                    <w:jc w:val="center"/>
                    <w:rPr>
                      <w:rFonts w:hint="eastAsia" w:cs="宋体"/>
                      <w:sz w:val="21"/>
                      <w:szCs w:val="21"/>
                      <w:lang w:val="en-US" w:eastAsia="zh-CN"/>
                    </w:rPr>
                  </w:pPr>
                  <w:r>
                    <w:rPr>
                      <w:rFonts w:hint="eastAsia" w:cs="宋体"/>
                      <w:sz w:val="21"/>
                      <w:szCs w:val="21"/>
                      <w:lang w:val="en-US" w:eastAsia="zh-CN"/>
                    </w:rPr>
                    <w:t>镉</w:t>
                  </w:r>
                </w:p>
              </w:tc>
              <w:tc>
                <w:tcPr>
                  <w:tcW w:w="779" w:type="pct"/>
                  <w:vAlign w:val="center"/>
                </w:tcPr>
                <w:p w14:paraId="7E97F6E6">
                  <w:pPr>
                    <w:jc w:val="center"/>
                    <w:rPr>
                      <w:rFonts w:hint="eastAsia" w:cs="宋体"/>
                      <w:sz w:val="21"/>
                      <w:szCs w:val="21"/>
                      <w:lang w:val="en-US" w:eastAsia="zh-CN"/>
                    </w:rPr>
                  </w:pPr>
                  <w:r>
                    <w:rPr>
                      <w:rFonts w:hint="eastAsia" w:cs="宋体"/>
                      <w:sz w:val="21"/>
                      <w:szCs w:val="21"/>
                      <w:lang w:val="en-US" w:eastAsia="zh-CN"/>
                    </w:rPr>
                    <w:t>0.24</w:t>
                  </w:r>
                </w:p>
              </w:tc>
              <w:tc>
                <w:tcPr>
                  <w:tcW w:w="1518" w:type="pct"/>
                  <w:vAlign w:val="center"/>
                </w:tcPr>
                <w:p w14:paraId="26E7DE3A">
                  <w:pPr>
                    <w:jc w:val="center"/>
                    <w:rPr>
                      <w:rFonts w:hint="eastAsia" w:cs="宋体"/>
                      <w:sz w:val="21"/>
                      <w:szCs w:val="21"/>
                      <w:lang w:val="en-US" w:eastAsia="zh-CN"/>
                    </w:rPr>
                  </w:pPr>
                  <w:r>
                    <w:rPr>
                      <w:rFonts w:hint="eastAsia" w:cs="宋体"/>
                      <w:sz w:val="21"/>
                      <w:szCs w:val="21"/>
                      <w:lang w:val="en-US" w:eastAsia="zh-CN"/>
                    </w:rPr>
                    <w:t>0.3</w:t>
                  </w:r>
                </w:p>
              </w:tc>
              <w:tc>
                <w:tcPr>
                  <w:tcW w:w="977" w:type="pct"/>
                  <w:vAlign w:val="center"/>
                </w:tcPr>
                <w:p w14:paraId="28451689">
                  <w:pPr>
                    <w:jc w:val="center"/>
                    <w:rPr>
                      <w:rFonts w:hint="eastAsia" w:cs="宋体"/>
                      <w:sz w:val="21"/>
                      <w:szCs w:val="21"/>
                      <w:lang w:val="en-US" w:eastAsia="zh-CN"/>
                    </w:rPr>
                  </w:pPr>
                  <w:r>
                    <w:rPr>
                      <w:rFonts w:hint="eastAsia" w:cs="宋体"/>
                      <w:sz w:val="21"/>
                      <w:szCs w:val="21"/>
                      <w:lang w:val="en-US" w:eastAsia="zh-CN"/>
                    </w:rPr>
                    <w:t>0.6</w:t>
                  </w:r>
                </w:p>
              </w:tc>
            </w:tr>
            <w:tr w14:paraId="1B947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3" w:type="pct"/>
                  <w:vAlign w:val="center"/>
                </w:tcPr>
                <w:p w14:paraId="73495F4D">
                  <w:pPr>
                    <w:jc w:val="center"/>
                    <w:rPr>
                      <w:rFonts w:hint="eastAsia" w:cs="宋体"/>
                      <w:sz w:val="21"/>
                      <w:szCs w:val="21"/>
                      <w:lang w:val="en-US" w:eastAsia="zh-CN"/>
                    </w:rPr>
                  </w:pPr>
                  <w:r>
                    <w:rPr>
                      <w:rFonts w:hint="eastAsia" w:cs="宋体"/>
                      <w:sz w:val="21"/>
                      <w:szCs w:val="21"/>
                      <w:lang w:val="en-US" w:eastAsia="zh-CN"/>
                    </w:rPr>
                    <w:t>镍</w:t>
                  </w:r>
                </w:p>
              </w:tc>
              <w:tc>
                <w:tcPr>
                  <w:tcW w:w="779" w:type="pct"/>
                  <w:vAlign w:val="center"/>
                </w:tcPr>
                <w:p w14:paraId="23F9B9FB">
                  <w:pPr>
                    <w:jc w:val="center"/>
                    <w:rPr>
                      <w:rFonts w:hint="eastAsia" w:cs="宋体"/>
                      <w:sz w:val="21"/>
                      <w:szCs w:val="21"/>
                      <w:lang w:val="en-US" w:eastAsia="zh-CN"/>
                    </w:rPr>
                  </w:pPr>
                  <w:r>
                    <w:rPr>
                      <w:rFonts w:hint="eastAsia" w:cs="宋体"/>
                      <w:sz w:val="21"/>
                      <w:szCs w:val="21"/>
                      <w:lang w:val="en-US" w:eastAsia="zh-CN"/>
                    </w:rPr>
                    <w:t>39</w:t>
                  </w:r>
                </w:p>
              </w:tc>
              <w:tc>
                <w:tcPr>
                  <w:tcW w:w="1518" w:type="pct"/>
                  <w:vAlign w:val="center"/>
                </w:tcPr>
                <w:p w14:paraId="3E60A368">
                  <w:pPr>
                    <w:jc w:val="center"/>
                    <w:rPr>
                      <w:rFonts w:hint="eastAsia" w:cs="宋体"/>
                      <w:sz w:val="21"/>
                      <w:szCs w:val="21"/>
                      <w:lang w:val="en-US" w:eastAsia="zh-CN"/>
                    </w:rPr>
                  </w:pPr>
                  <w:r>
                    <w:rPr>
                      <w:rFonts w:hint="eastAsia" w:cs="宋体"/>
                      <w:sz w:val="21"/>
                      <w:szCs w:val="21"/>
                      <w:lang w:val="en-US" w:eastAsia="zh-CN"/>
                    </w:rPr>
                    <w:t>100</w:t>
                  </w:r>
                </w:p>
              </w:tc>
              <w:tc>
                <w:tcPr>
                  <w:tcW w:w="977" w:type="pct"/>
                  <w:vAlign w:val="center"/>
                </w:tcPr>
                <w:p w14:paraId="1C69A2BA">
                  <w:pPr>
                    <w:jc w:val="center"/>
                    <w:rPr>
                      <w:rFonts w:hint="eastAsia" w:cs="宋体"/>
                      <w:sz w:val="21"/>
                      <w:szCs w:val="21"/>
                      <w:lang w:val="en-US" w:eastAsia="zh-CN"/>
                    </w:rPr>
                  </w:pPr>
                  <w:r>
                    <w:rPr>
                      <w:rFonts w:hint="eastAsia" w:cs="宋体"/>
                      <w:sz w:val="21"/>
                      <w:szCs w:val="21"/>
                      <w:lang w:val="en-US" w:eastAsia="zh-CN"/>
                    </w:rPr>
                    <w:t>190</w:t>
                  </w:r>
                </w:p>
              </w:tc>
            </w:tr>
            <w:tr w14:paraId="5056C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3" w:type="pct"/>
                  <w:vAlign w:val="center"/>
                </w:tcPr>
                <w:p w14:paraId="2A1F4067">
                  <w:pPr>
                    <w:jc w:val="center"/>
                    <w:rPr>
                      <w:rFonts w:hint="eastAsia" w:cs="宋体"/>
                      <w:sz w:val="21"/>
                      <w:szCs w:val="21"/>
                      <w:lang w:val="en-US" w:eastAsia="zh-CN"/>
                    </w:rPr>
                  </w:pPr>
                  <w:r>
                    <w:rPr>
                      <w:rFonts w:hint="eastAsia" w:cs="宋体"/>
                      <w:sz w:val="21"/>
                      <w:szCs w:val="21"/>
                      <w:lang w:val="en-US" w:eastAsia="zh-CN"/>
                    </w:rPr>
                    <w:t>总铬</w:t>
                  </w:r>
                </w:p>
              </w:tc>
              <w:tc>
                <w:tcPr>
                  <w:tcW w:w="779" w:type="pct"/>
                  <w:vAlign w:val="center"/>
                </w:tcPr>
                <w:p w14:paraId="07539053">
                  <w:pPr>
                    <w:jc w:val="center"/>
                    <w:rPr>
                      <w:rFonts w:hint="eastAsia" w:cs="宋体"/>
                      <w:sz w:val="21"/>
                      <w:szCs w:val="21"/>
                      <w:lang w:val="en-US" w:eastAsia="zh-CN"/>
                    </w:rPr>
                  </w:pPr>
                  <w:r>
                    <w:rPr>
                      <w:rFonts w:hint="eastAsia" w:cs="宋体"/>
                      <w:sz w:val="21"/>
                      <w:szCs w:val="21"/>
                      <w:lang w:val="en-US" w:eastAsia="zh-CN"/>
                    </w:rPr>
                    <w:t>18</w:t>
                  </w:r>
                </w:p>
              </w:tc>
              <w:tc>
                <w:tcPr>
                  <w:tcW w:w="1518" w:type="pct"/>
                  <w:vAlign w:val="center"/>
                </w:tcPr>
                <w:p w14:paraId="2BD46312">
                  <w:pPr>
                    <w:jc w:val="center"/>
                    <w:rPr>
                      <w:rFonts w:hint="eastAsia" w:cs="宋体"/>
                      <w:sz w:val="21"/>
                      <w:szCs w:val="21"/>
                      <w:lang w:val="en-US" w:eastAsia="zh-CN"/>
                    </w:rPr>
                  </w:pPr>
                  <w:r>
                    <w:rPr>
                      <w:rFonts w:hint="eastAsia" w:cs="宋体"/>
                      <w:sz w:val="21"/>
                      <w:szCs w:val="21"/>
                      <w:lang w:val="en-US" w:eastAsia="zh-CN"/>
                    </w:rPr>
                    <w:t>200</w:t>
                  </w:r>
                </w:p>
              </w:tc>
              <w:tc>
                <w:tcPr>
                  <w:tcW w:w="977" w:type="pct"/>
                  <w:vAlign w:val="center"/>
                </w:tcPr>
                <w:p w14:paraId="0DE975BF">
                  <w:pPr>
                    <w:jc w:val="center"/>
                    <w:rPr>
                      <w:rFonts w:hint="eastAsia" w:cs="宋体"/>
                      <w:sz w:val="21"/>
                      <w:szCs w:val="21"/>
                      <w:lang w:val="en-US" w:eastAsia="zh-CN"/>
                    </w:rPr>
                  </w:pPr>
                  <w:r>
                    <w:rPr>
                      <w:rFonts w:hint="eastAsia" w:cs="宋体"/>
                      <w:sz w:val="21"/>
                      <w:szCs w:val="21"/>
                      <w:lang w:val="en-US" w:eastAsia="zh-CN"/>
                    </w:rPr>
                    <w:t>250</w:t>
                  </w:r>
                </w:p>
              </w:tc>
            </w:tr>
            <w:tr w14:paraId="69FDF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3" w:type="pct"/>
                  <w:vAlign w:val="center"/>
                </w:tcPr>
                <w:p w14:paraId="2C7B08EF">
                  <w:pPr>
                    <w:jc w:val="center"/>
                    <w:rPr>
                      <w:rFonts w:hint="eastAsia" w:cs="宋体"/>
                      <w:sz w:val="21"/>
                      <w:szCs w:val="21"/>
                      <w:lang w:val="en-US" w:eastAsia="zh-CN"/>
                    </w:rPr>
                  </w:pPr>
                  <w:r>
                    <w:rPr>
                      <w:rFonts w:hint="eastAsia" w:cs="宋体"/>
                      <w:sz w:val="21"/>
                      <w:szCs w:val="21"/>
                      <w:lang w:val="en-US" w:eastAsia="zh-CN"/>
                    </w:rPr>
                    <w:t>锌</w:t>
                  </w:r>
                </w:p>
              </w:tc>
              <w:tc>
                <w:tcPr>
                  <w:tcW w:w="779" w:type="pct"/>
                  <w:vAlign w:val="center"/>
                </w:tcPr>
                <w:p w14:paraId="6E1B7ABB">
                  <w:pPr>
                    <w:jc w:val="center"/>
                    <w:rPr>
                      <w:rFonts w:hint="eastAsia" w:cs="宋体"/>
                      <w:sz w:val="21"/>
                      <w:szCs w:val="21"/>
                      <w:lang w:val="en-US" w:eastAsia="zh-CN"/>
                    </w:rPr>
                  </w:pPr>
                  <w:r>
                    <w:rPr>
                      <w:rFonts w:hint="eastAsia" w:cs="宋体"/>
                      <w:sz w:val="21"/>
                      <w:szCs w:val="21"/>
                      <w:lang w:val="en-US" w:eastAsia="zh-CN"/>
                    </w:rPr>
                    <w:t>60</w:t>
                  </w:r>
                </w:p>
              </w:tc>
              <w:tc>
                <w:tcPr>
                  <w:tcW w:w="1518" w:type="pct"/>
                  <w:vAlign w:val="center"/>
                </w:tcPr>
                <w:p w14:paraId="2F4040D6">
                  <w:pPr>
                    <w:jc w:val="center"/>
                    <w:rPr>
                      <w:rFonts w:hint="eastAsia" w:cs="宋体"/>
                      <w:sz w:val="21"/>
                      <w:szCs w:val="21"/>
                      <w:lang w:val="en-US" w:eastAsia="zh-CN"/>
                    </w:rPr>
                  </w:pPr>
                  <w:r>
                    <w:rPr>
                      <w:rFonts w:hint="eastAsia" w:cs="宋体"/>
                      <w:sz w:val="21"/>
                      <w:szCs w:val="21"/>
                      <w:lang w:val="en-US" w:eastAsia="zh-CN"/>
                    </w:rPr>
                    <w:t>250</w:t>
                  </w:r>
                </w:p>
              </w:tc>
              <w:tc>
                <w:tcPr>
                  <w:tcW w:w="977" w:type="pct"/>
                  <w:vAlign w:val="center"/>
                </w:tcPr>
                <w:p w14:paraId="4F04109B">
                  <w:pPr>
                    <w:jc w:val="center"/>
                    <w:rPr>
                      <w:rFonts w:hint="eastAsia" w:cs="宋体"/>
                      <w:sz w:val="21"/>
                      <w:szCs w:val="21"/>
                      <w:lang w:val="en-US" w:eastAsia="zh-CN"/>
                    </w:rPr>
                  </w:pPr>
                  <w:r>
                    <w:rPr>
                      <w:rFonts w:hint="eastAsia" w:cs="宋体"/>
                      <w:sz w:val="21"/>
                      <w:szCs w:val="21"/>
                      <w:lang w:val="en-US" w:eastAsia="zh-CN"/>
                    </w:rPr>
                    <w:t>300</w:t>
                  </w:r>
                </w:p>
              </w:tc>
            </w:tr>
          </w:tbl>
          <w:p w14:paraId="42773221">
            <w:pPr>
              <w:pStyle w:val="3"/>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表3</w:t>
            </w:r>
            <w:r>
              <w:rPr>
                <w:rFonts w:hint="eastAsia" w:ascii="Times New Roman" w:hAnsi="Times New Roman" w:cs="Times New Roman"/>
                <w:color w:val="auto"/>
                <w:sz w:val="21"/>
                <w:szCs w:val="21"/>
                <w:lang w:val="en-US" w:eastAsia="zh-CN"/>
              </w:rPr>
              <w:t xml:space="preserve">-10 </w:t>
            </w:r>
            <w:r>
              <w:rPr>
                <w:rFonts w:hint="default" w:ascii="Times New Roman" w:hAnsi="Times New Roman" w:eastAsia="宋体" w:cs="Times New Roman"/>
                <w:color w:val="auto"/>
                <w:sz w:val="21"/>
                <w:szCs w:val="21"/>
                <w:lang w:val="en-US" w:eastAsia="zh-CN"/>
              </w:rPr>
              <w:t>开发区土壤环境质量分析结果一览表</w:t>
            </w:r>
            <w:r>
              <w:rPr>
                <w:rFonts w:hint="eastAsia" w:ascii="Times New Roman" w:hAnsi="Times New Roman"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单位：mg/kg</w:t>
            </w:r>
          </w:p>
          <w:tbl>
            <w:tblPr>
              <w:tblStyle w:val="28"/>
              <w:tblW w:w="8876" w:type="dxa"/>
              <w:jc w:val="center"/>
              <w:tblLayout w:type="fixed"/>
              <w:tblCellMar>
                <w:top w:w="0" w:type="dxa"/>
                <w:left w:w="108" w:type="dxa"/>
                <w:bottom w:w="0" w:type="dxa"/>
                <w:right w:w="108" w:type="dxa"/>
              </w:tblCellMar>
            </w:tblPr>
            <w:tblGrid>
              <w:gridCol w:w="2956"/>
              <w:gridCol w:w="1196"/>
              <w:gridCol w:w="1429"/>
              <w:gridCol w:w="1200"/>
              <w:gridCol w:w="1008"/>
              <w:gridCol w:w="1087"/>
            </w:tblGrid>
            <w:tr w14:paraId="745D070C">
              <w:tblPrEx>
                <w:tblCellMar>
                  <w:top w:w="0" w:type="dxa"/>
                  <w:left w:w="108" w:type="dxa"/>
                  <w:bottom w:w="0" w:type="dxa"/>
                  <w:right w:w="108" w:type="dxa"/>
                </w:tblCellMar>
              </w:tblPrEx>
              <w:trPr>
                <w:trHeight w:val="23" w:hRule="atLeast"/>
                <w:jc w:val="center"/>
              </w:trPr>
              <w:tc>
                <w:tcPr>
                  <w:tcW w:w="1665" w:type="pct"/>
                  <w:vMerge w:val="restart"/>
                  <w:tcBorders>
                    <w:top w:val="single" w:color="000000" w:sz="4" w:space="0"/>
                    <w:left w:val="single" w:color="000000" w:sz="4" w:space="0"/>
                    <w:right w:val="single" w:color="000000" w:sz="4" w:space="0"/>
                  </w:tcBorders>
                  <w:shd w:val="clear" w:color="auto" w:fill="auto"/>
                  <w:vAlign w:val="center"/>
                </w:tcPr>
                <w:p w14:paraId="38B1A3A1">
                  <w:pPr>
                    <w:jc w:val="center"/>
                    <w:rPr>
                      <w:rFonts w:hint="eastAsia" w:cs="宋体"/>
                      <w:sz w:val="21"/>
                      <w:szCs w:val="21"/>
                      <w:lang w:val="en-US" w:eastAsia="zh-CN"/>
                    </w:rPr>
                  </w:pPr>
                  <w:r>
                    <w:rPr>
                      <w:rFonts w:hint="eastAsia" w:cs="宋体"/>
                      <w:sz w:val="21"/>
                      <w:szCs w:val="21"/>
                      <w:lang w:val="en-US" w:eastAsia="zh-CN"/>
                    </w:rPr>
                    <w:t>监测项目</w:t>
                  </w:r>
                </w:p>
              </w:tc>
              <w:tc>
                <w:tcPr>
                  <w:tcW w:w="2155" w:type="pct"/>
                  <w:gridSpan w:val="3"/>
                  <w:tcBorders>
                    <w:top w:val="single" w:color="000000" w:sz="4" w:space="0"/>
                    <w:left w:val="single" w:color="auto" w:sz="4" w:space="0"/>
                    <w:bottom w:val="single" w:color="000000" w:sz="4" w:space="0"/>
                    <w:right w:val="single" w:color="000000" w:sz="4" w:space="0"/>
                  </w:tcBorders>
                  <w:shd w:val="clear" w:color="auto" w:fill="auto"/>
                  <w:vAlign w:val="center"/>
                </w:tcPr>
                <w:p w14:paraId="382F8F50">
                  <w:pPr>
                    <w:jc w:val="center"/>
                    <w:rPr>
                      <w:rFonts w:hint="eastAsia" w:cs="宋体"/>
                      <w:sz w:val="21"/>
                      <w:szCs w:val="21"/>
                      <w:lang w:val="en-US" w:eastAsia="zh-CN"/>
                    </w:rPr>
                  </w:pPr>
                  <w:r>
                    <w:rPr>
                      <w:rFonts w:hint="eastAsia" w:cs="宋体"/>
                      <w:sz w:val="21"/>
                      <w:szCs w:val="21"/>
                      <w:lang w:val="en-US" w:eastAsia="zh-CN"/>
                    </w:rPr>
                    <w:t>TR2</w:t>
                  </w:r>
                </w:p>
              </w:tc>
              <w:tc>
                <w:tcPr>
                  <w:tcW w:w="568" w:type="pct"/>
                  <w:vMerge w:val="restart"/>
                  <w:tcBorders>
                    <w:top w:val="single" w:color="000000" w:sz="4" w:space="0"/>
                    <w:left w:val="single" w:color="000000" w:sz="4" w:space="0"/>
                    <w:right w:val="single" w:color="auto" w:sz="4" w:space="0"/>
                  </w:tcBorders>
                  <w:shd w:val="clear" w:color="auto" w:fill="auto"/>
                  <w:vAlign w:val="center"/>
                </w:tcPr>
                <w:p w14:paraId="34F77A40">
                  <w:pPr>
                    <w:jc w:val="center"/>
                    <w:rPr>
                      <w:rFonts w:hint="eastAsia" w:cs="宋体"/>
                      <w:sz w:val="21"/>
                      <w:szCs w:val="21"/>
                      <w:lang w:val="en-US" w:eastAsia="zh-CN"/>
                    </w:rPr>
                  </w:pPr>
                  <w:r>
                    <w:rPr>
                      <w:rFonts w:hint="eastAsia" w:cs="宋体"/>
                      <w:sz w:val="21"/>
                      <w:szCs w:val="21"/>
                      <w:lang w:val="en-US" w:eastAsia="zh-CN"/>
                    </w:rPr>
                    <w:t>TR9</w:t>
                  </w:r>
                </w:p>
              </w:tc>
              <w:tc>
                <w:tcPr>
                  <w:tcW w:w="611" w:type="pct"/>
                  <w:vMerge w:val="restart"/>
                  <w:tcBorders>
                    <w:top w:val="single" w:color="000000" w:sz="4" w:space="0"/>
                    <w:left w:val="single" w:color="000000" w:sz="4" w:space="0"/>
                    <w:right w:val="single" w:color="000000" w:sz="4" w:space="0"/>
                  </w:tcBorders>
                  <w:shd w:val="clear" w:color="auto" w:fill="auto"/>
                  <w:noWrap/>
                  <w:vAlign w:val="center"/>
                </w:tcPr>
                <w:p w14:paraId="738FF2A8">
                  <w:pPr>
                    <w:jc w:val="center"/>
                    <w:rPr>
                      <w:rFonts w:hint="eastAsia" w:cs="宋体"/>
                      <w:sz w:val="21"/>
                      <w:szCs w:val="21"/>
                      <w:lang w:val="en-US" w:eastAsia="zh-CN"/>
                    </w:rPr>
                  </w:pPr>
                  <w:r>
                    <w:rPr>
                      <w:rFonts w:hint="eastAsia" w:cs="宋体"/>
                      <w:sz w:val="21"/>
                      <w:szCs w:val="21"/>
                      <w:lang w:val="en-US" w:eastAsia="zh-CN"/>
                    </w:rPr>
                    <w:t>标准限值</w:t>
                  </w:r>
                </w:p>
              </w:tc>
            </w:tr>
            <w:tr w14:paraId="03022E22">
              <w:tblPrEx>
                <w:tblCellMar>
                  <w:top w:w="0" w:type="dxa"/>
                  <w:left w:w="108" w:type="dxa"/>
                  <w:bottom w:w="0" w:type="dxa"/>
                  <w:right w:w="108" w:type="dxa"/>
                </w:tblCellMar>
              </w:tblPrEx>
              <w:trPr>
                <w:trHeight w:val="23" w:hRule="atLeast"/>
                <w:jc w:val="center"/>
              </w:trPr>
              <w:tc>
                <w:tcPr>
                  <w:tcW w:w="1665" w:type="pct"/>
                  <w:vMerge w:val="continue"/>
                  <w:tcBorders>
                    <w:left w:val="single" w:color="000000" w:sz="4" w:space="0"/>
                    <w:bottom w:val="single" w:color="000000" w:sz="4" w:space="0"/>
                    <w:right w:val="single" w:color="000000" w:sz="4" w:space="0"/>
                  </w:tcBorders>
                  <w:shd w:val="clear" w:color="auto" w:fill="auto"/>
                  <w:vAlign w:val="center"/>
                </w:tcPr>
                <w:p w14:paraId="2FE4467B">
                  <w:pPr>
                    <w:jc w:val="center"/>
                    <w:rPr>
                      <w:rFonts w:hint="eastAsia" w:cs="宋体"/>
                      <w:sz w:val="21"/>
                      <w:szCs w:val="21"/>
                      <w:lang w:val="en-US" w:eastAsia="zh-CN"/>
                    </w:rPr>
                  </w:pP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6F073B68">
                  <w:pPr>
                    <w:jc w:val="center"/>
                    <w:rPr>
                      <w:rFonts w:hint="eastAsia" w:cs="宋体"/>
                      <w:sz w:val="21"/>
                      <w:szCs w:val="21"/>
                      <w:lang w:val="en-US" w:eastAsia="zh-CN"/>
                    </w:rPr>
                  </w:pPr>
                  <w:r>
                    <w:rPr>
                      <w:rFonts w:hint="eastAsia" w:cs="宋体"/>
                      <w:sz w:val="21"/>
                      <w:szCs w:val="21"/>
                      <w:lang w:val="en-US" w:eastAsia="zh-CN"/>
                    </w:rPr>
                    <w:t>0-0.5m</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037EE5E4">
                  <w:pPr>
                    <w:jc w:val="center"/>
                    <w:rPr>
                      <w:rFonts w:hint="eastAsia" w:cs="宋体"/>
                      <w:sz w:val="21"/>
                      <w:szCs w:val="21"/>
                      <w:lang w:val="en-US" w:eastAsia="zh-CN"/>
                    </w:rPr>
                  </w:pPr>
                  <w:r>
                    <w:rPr>
                      <w:rFonts w:hint="eastAsia" w:cs="宋体"/>
                      <w:sz w:val="21"/>
                      <w:szCs w:val="21"/>
                      <w:lang w:val="en-US" w:eastAsia="zh-CN"/>
                    </w:rPr>
                    <w:t>0.5-1.5m</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36461EE4">
                  <w:pPr>
                    <w:jc w:val="center"/>
                    <w:rPr>
                      <w:rFonts w:hint="eastAsia" w:cs="宋体"/>
                      <w:sz w:val="21"/>
                      <w:szCs w:val="21"/>
                      <w:lang w:val="en-US" w:eastAsia="zh-CN"/>
                    </w:rPr>
                  </w:pPr>
                  <w:r>
                    <w:rPr>
                      <w:rFonts w:hint="eastAsia" w:cs="宋体"/>
                      <w:sz w:val="21"/>
                      <w:szCs w:val="21"/>
                      <w:lang w:val="en-US" w:eastAsia="zh-CN"/>
                    </w:rPr>
                    <w:t>1.5-3m</w:t>
                  </w:r>
                </w:p>
              </w:tc>
              <w:tc>
                <w:tcPr>
                  <w:tcW w:w="568" w:type="pct"/>
                  <w:vMerge w:val="continue"/>
                  <w:tcBorders>
                    <w:left w:val="single" w:color="000000" w:sz="4" w:space="0"/>
                    <w:right w:val="single" w:color="auto" w:sz="4" w:space="0"/>
                  </w:tcBorders>
                  <w:shd w:val="clear" w:color="auto" w:fill="auto"/>
                  <w:vAlign w:val="center"/>
                </w:tcPr>
                <w:p w14:paraId="0E2500D0">
                  <w:pPr>
                    <w:jc w:val="center"/>
                    <w:rPr>
                      <w:rFonts w:hint="eastAsia" w:cs="宋体"/>
                      <w:sz w:val="21"/>
                      <w:szCs w:val="21"/>
                      <w:lang w:val="en-US" w:eastAsia="zh-CN"/>
                    </w:rPr>
                  </w:pPr>
                </w:p>
              </w:tc>
              <w:tc>
                <w:tcPr>
                  <w:tcW w:w="611" w:type="pct"/>
                  <w:vMerge w:val="continue"/>
                  <w:tcBorders>
                    <w:left w:val="single" w:color="000000" w:sz="4" w:space="0"/>
                    <w:bottom w:val="single" w:color="000000" w:sz="4" w:space="0"/>
                    <w:right w:val="single" w:color="000000" w:sz="4" w:space="0"/>
                  </w:tcBorders>
                  <w:shd w:val="clear" w:color="auto" w:fill="auto"/>
                  <w:noWrap/>
                  <w:vAlign w:val="center"/>
                </w:tcPr>
                <w:p w14:paraId="754213E5">
                  <w:pPr>
                    <w:jc w:val="center"/>
                    <w:rPr>
                      <w:rFonts w:hint="eastAsia" w:cs="宋体"/>
                      <w:sz w:val="21"/>
                      <w:szCs w:val="21"/>
                      <w:lang w:val="en-US" w:eastAsia="zh-CN"/>
                    </w:rPr>
                  </w:pPr>
                </w:p>
              </w:tc>
            </w:tr>
            <w:tr w14:paraId="2614FFAE">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07E3C">
                  <w:pPr>
                    <w:jc w:val="center"/>
                    <w:rPr>
                      <w:rFonts w:hint="eastAsia" w:cs="宋体"/>
                      <w:sz w:val="21"/>
                      <w:szCs w:val="21"/>
                      <w:lang w:val="en-US" w:eastAsia="zh-CN"/>
                    </w:rPr>
                  </w:pPr>
                  <w:r>
                    <w:rPr>
                      <w:rFonts w:hint="eastAsia" w:cs="宋体"/>
                      <w:sz w:val="21"/>
                      <w:szCs w:val="21"/>
                      <w:lang w:val="en-US" w:eastAsia="zh-CN"/>
                    </w:rPr>
                    <w:t>pH（无量纲）</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40A95263">
                  <w:pPr>
                    <w:jc w:val="center"/>
                    <w:rPr>
                      <w:rFonts w:hint="eastAsia" w:cs="宋体"/>
                      <w:sz w:val="21"/>
                      <w:szCs w:val="21"/>
                      <w:lang w:val="en-US" w:eastAsia="zh-CN"/>
                    </w:rPr>
                  </w:pPr>
                  <w:r>
                    <w:rPr>
                      <w:rFonts w:hint="eastAsia" w:cs="宋体"/>
                      <w:sz w:val="21"/>
                      <w:szCs w:val="21"/>
                      <w:lang w:val="en-US" w:eastAsia="zh-CN"/>
                    </w:rPr>
                    <w:t>7.32</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3ACA6726">
                  <w:pPr>
                    <w:jc w:val="center"/>
                    <w:rPr>
                      <w:rFonts w:hint="eastAsia" w:cs="宋体"/>
                      <w:sz w:val="21"/>
                      <w:szCs w:val="21"/>
                      <w:lang w:val="en-US" w:eastAsia="zh-CN"/>
                    </w:rPr>
                  </w:pPr>
                  <w:r>
                    <w:rPr>
                      <w:rFonts w:hint="eastAsia" w:cs="宋体"/>
                      <w:sz w:val="21"/>
                      <w:szCs w:val="21"/>
                      <w:lang w:val="en-US" w:eastAsia="zh-CN"/>
                    </w:rPr>
                    <w:t>7.41</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01E3E5B7">
                  <w:pPr>
                    <w:jc w:val="center"/>
                    <w:rPr>
                      <w:rFonts w:hint="eastAsia" w:cs="宋体"/>
                      <w:sz w:val="21"/>
                      <w:szCs w:val="21"/>
                      <w:lang w:val="en-US" w:eastAsia="zh-CN"/>
                    </w:rPr>
                  </w:pPr>
                  <w:r>
                    <w:rPr>
                      <w:rFonts w:hint="eastAsia" w:cs="宋体"/>
                      <w:sz w:val="21"/>
                      <w:szCs w:val="21"/>
                      <w:lang w:val="en-US" w:eastAsia="zh-CN"/>
                    </w:rPr>
                    <w:t>7.35</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07BCEE0A">
                  <w:pPr>
                    <w:jc w:val="center"/>
                    <w:rPr>
                      <w:rFonts w:hint="eastAsia" w:cs="宋体"/>
                      <w:sz w:val="21"/>
                      <w:szCs w:val="21"/>
                      <w:lang w:val="en-US" w:eastAsia="zh-CN"/>
                    </w:rPr>
                  </w:pPr>
                  <w:r>
                    <w:rPr>
                      <w:rFonts w:hint="eastAsia" w:cs="宋体"/>
                      <w:sz w:val="21"/>
                      <w:szCs w:val="21"/>
                      <w:lang w:val="en-US" w:eastAsia="zh-CN"/>
                    </w:rPr>
                    <w:t>7.25</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51CF7">
                  <w:pPr>
                    <w:jc w:val="center"/>
                    <w:rPr>
                      <w:rFonts w:hint="eastAsia" w:cs="宋体"/>
                      <w:sz w:val="21"/>
                      <w:szCs w:val="21"/>
                      <w:lang w:val="en-US" w:eastAsia="zh-CN"/>
                    </w:rPr>
                  </w:pPr>
                  <w:r>
                    <w:rPr>
                      <w:rFonts w:hint="eastAsia" w:cs="宋体"/>
                      <w:sz w:val="21"/>
                      <w:szCs w:val="21"/>
                      <w:lang w:val="en-US" w:eastAsia="zh-CN"/>
                    </w:rPr>
                    <w:t>/</w:t>
                  </w:r>
                </w:p>
              </w:tc>
            </w:tr>
            <w:tr w14:paraId="5E5F0775">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188C9">
                  <w:pPr>
                    <w:jc w:val="center"/>
                    <w:rPr>
                      <w:rFonts w:hint="eastAsia" w:cs="宋体"/>
                      <w:sz w:val="21"/>
                      <w:szCs w:val="21"/>
                      <w:lang w:val="en-US" w:eastAsia="zh-CN"/>
                    </w:rPr>
                  </w:pPr>
                  <w:r>
                    <w:rPr>
                      <w:rFonts w:hint="eastAsia" w:cs="宋体"/>
                      <w:sz w:val="21"/>
                      <w:szCs w:val="21"/>
                      <w:lang w:val="en-US" w:eastAsia="zh-CN"/>
                    </w:rPr>
                    <w:t>镉</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505E8985">
                  <w:pPr>
                    <w:jc w:val="center"/>
                    <w:rPr>
                      <w:rFonts w:hint="eastAsia" w:cs="宋体"/>
                      <w:sz w:val="21"/>
                      <w:szCs w:val="21"/>
                      <w:lang w:val="en-US" w:eastAsia="zh-CN"/>
                    </w:rPr>
                  </w:pPr>
                  <w:r>
                    <w:rPr>
                      <w:rFonts w:hint="eastAsia" w:cs="宋体"/>
                      <w:sz w:val="21"/>
                      <w:szCs w:val="21"/>
                      <w:lang w:val="en-US" w:eastAsia="zh-CN"/>
                    </w:rPr>
                    <w:t>0.36</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55CE8344">
                  <w:pPr>
                    <w:jc w:val="center"/>
                    <w:rPr>
                      <w:rFonts w:hint="eastAsia" w:cs="宋体"/>
                      <w:sz w:val="21"/>
                      <w:szCs w:val="21"/>
                      <w:lang w:val="en-US" w:eastAsia="zh-CN"/>
                    </w:rPr>
                  </w:pPr>
                  <w:r>
                    <w:rPr>
                      <w:rFonts w:hint="eastAsia" w:cs="宋体"/>
                      <w:sz w:val="21"/>
                      <w:szCs w:val="21"/>
                      <w:lang w:val="en-US" w:eastAsia="zh-CN"/>
                    </w:rPr>
                    <w:t>0.28</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6E8E9A46">
                  <w:pPr>
                    <w:jc w:val="center"/>
                    <w:rPr>
                      <w:rFonts w:hint="eastAsia" w:cs="宋体"/>
                      <w:sz w:val="21"/>
                      <w:szCs w:val="21"/>
                      <w:lang w:val="en-US" w:eastAsia="zh-CN"/>
                    </w:rPr>
                  </w:pPr>
                  <w:r>
                    <w:rPr>
                      <w:rFonts w:hint="eastAsia" w:cs="宋体"/>
                      <w:sz w:val="21"/>
                      <w:szCs w:val="21"/>
                      <w:lang w:val="en-US" w:eastAsia="zh-CN"/>
                    </w:rPr>
                    <w:t>0.23</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5613E78B">
                  <w:pPr>
                    <w:jc w:val="center"/>
                    <w:rPr>
                      <w:rFonts w:hint="eastAsia" w:cs="宋体"/>
                      <w:sz w:val="21"/>
                      <w:szCs w:val="21"/>
                      <w:lang w:val="en-US" w:eastAsia="zh-CN"/>
                    </w:rPr>
                  </w:pPr>
                  <w:r>
                    <w:rPr>
                      <w:rFonts w:hint="eastAsia" w:cs="宋体"/>
                      <w:sz w:val="21"/>
                      <w:szCs w:val="21"/>
                      <w:lang w:val="en-US" w:eastAsia="zh-CN"/>
                    </w:rPr>
                    <w:t>0.56</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3C024">
                  <w:pPr>
                    <w:jc w:val="center"/>
                    <w:rPr>
                      <w:rFonts w:hint="eastAsia" w:cs="宋体"/>
                      <w:sz w:val="21"/>
                      <w:szCs w:val="21"/>
                      <w:lang w:val="en-US" w:eastAsia="zh-CN"/>
                    </w:rPr>
                  </w:pPr>
                  <w:r>
                    <w:rPr>
                      <w:rFonts w:hint="eastAsia" w:cs="宋体"/>
                      <w:sz w:val="21"/>
                      <w:szCs w:val="21"/>
                      <w:lang w:val="en-US" w:eastAsia="zh-CN"/>
                    </w:rPr>
                    <w:t>65</w:t>
                  </w:r>
                </w:p>
              </w:tc>
            </w:tr>
            <w:tr w14:paraId="1DD57DD9">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E004C">
                  <w:pPr>
                    <w:jc w:val="center"/>
                    <w:rPr>
                      <w:rFonts w:hint="eastAsia" w:cs="宋体"/>
                      <w:sz w:val="21"/>
                      <w:szCs w:val="21"/>
                      <w:lang w:val="en-US" w:eastAsia="zh-CN"/>
                    </w:rPr>
                  </w:pPr>
                  <w:r>
                    <w:rPr>
                      <w:rFonts w:hint="eastAsia" w:cs="宋体"/>
                      <w:sz w:val="21"/>
                      <w:szCs w:val="21"/>
                      <w:lang w:val="en-US" w:eastAsia="zh-CN"/>
                    </w:rPr>
                    <w:t>铬（六价）</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190F9DBD">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072308C5">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66142E61">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692F849E">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CC1DA">
                  <w:pPr>
                    <w:jc w:val="center"/>
                    <w:rPr>
                      <w:rFonts w:hint="eastAsia" w:cs="宋体"/>
                      <w:sz w:val="21"/>
                      <w:szCs w:val="21"/>
                      <w:lang w:val="en-US" w:eastAsia="zh-CN"/>
                    </w:rPr>
                  </w:pPr>
                  <w:r>
                    <w:rPr>
                      <w:rFonts w:hint="eastAsia" w:cs="宋体"/>
                      <w:sz w:val="21"/>
                      <w:szCs w:val="21"/>
                      <w:lang w:val="en-US" w:eastAsia="zh-CN"/>
                    </w:rPr>
                    <w:t>5.7</w:t>
                  </w:r>
                </w:p>
              </w:tc>
            </w:tr>
            <w:tr w14:paraId="4F7D4B46">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9A368">
                  <w:pPr>
                    <w:jc w:val="center"/>
                    <w:rPr>
                      <w:rFonts w:hint="eastAsia" w:cs="宋体"/>
                      <w:sz w:val="21"/>
                      <w:szCs w:val="21"/>
                      <w:lang w:val="en-US" w:eastAsia="zh-CN"/>
                    </w:rPr>
                  </w:pPr>
                  <w:r>
                    <w:rPr>
                      <w:rFonts w:hint="eastAsia" w:cs="宋体"/>
                      <w:sz w:val="21"/>
                      <w:szCs w:val="21"/>
                      <w:lang w:val="en-US" w:eastAsia="zh-CN"/>
                    </w:rPr>
                    <w:t>砷</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31523766">
                  <w:pPr>
                    <w:jc w:val="center"/>
                    <w:rPr>
                      <w:rFonts w:hint="eastAsia" w:cs="宋体"/>
                      <w:sz w:val="21"/>
                      <w:szCs w:val="21"/>
                      <w:lang w:val="en-US" w:eastAsia="zh-CN"/>
                    </w:rPr>
                  </w:pPr>
                  <w:r>
                    <w:rPr>
                      <w:rFonts w:hint="eastAsia" w:cs="宋体"/>
                      <w:sz w:val="21"/>
                      <w:szCs w:val="21"/>
                      <w:lang w:val="en-US" w:eastAsia="zh-CN"/>
                    </w:rPr>
                    <w:t>10.1</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3A240A6A">
                  <w:pPr>
                    <w:jc w:val="center"/>
                    <w:rPr>
                      <w:rFonts w:hint="eastAsia" w:cs="宋体"/>
                      <w:sz w:val="21"/>
                      <w:szCs w:val="21"/>
                      <w:lang w:val="en-US" w:eastAsia="zh-CN"/>
                    </w:rPr>
                  </w:pPr>
                  <w:r>
                    <w:rPr>
                      <w:rFonts w:hint="eastAsia" w:cs="宋体"/>
                      <w:sz w:val="21"/>
                      <w:szCs w:val="21"/>
                      <w:lang w:val="en-US" w:eastAsia="zh-CN"/>
                    </w:rPr>
                    <w:t>9.93</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13B04D7E">
                  <w:pPr>
                    <w:jc w:val="center"/>
                    <w:rPr>
                      <w:rFonts w:hint="eastAsia" w:cs="宋体"/>
                      <w:sz w:val="21"/>
                      <w:szCs w:val="21"/>
                      <w:lang w:val="en-US" w:eastAsia="zh-CN"/>
                    </w:rPr>
                  </w:pPr>
                  <w:r>
                    <w:rPr>
                      <w:rFonts w:hint="eastAsia" w:cs="宋体"/>
                      <w:sz w:val="21"/>
                      <w:szCs w:val="21"/>
                      <w:lang w:val="en-US" w:eastAsia="zh-CN"/>
                    </w:rPr>
                    <w:t>10.4</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593E6602">
                  <w:pPr>
                    <w:jc w:val="center"/>
                    <w:rPr>
                      <w:rFonts w:hint="eastAsia" w:cs="宋体"/>
                      <w:sz w:val="21"/>
                      <w:szCs w:val="21"/>
                      <w:lang w:val="en-US" w:eastAsia="zh-CN"/>
                    </w:rPr>
                  </w:pPr>
                  <w:r>
                    <w:rPr>
                      <w:rFonts w:hint="eastAsia" w:cs="宋体"/>
                      <w:sz w:val="21"/>
                      <w:szCs w:val="21"/>
                      <w:lang w:val="en-US" w:eastAsia="zh-CN"/>
                    </w:rPr>
                    <w:t>14.1</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8C8D4">
                  <w:pPr>
                    <w:jc w:val="center"/>
                    <w:rPr>
                      <w:rFonts w:hint="eastAsia" w:cs="宋体"/>
                      <w:sz w:val="21"/>
                      <w:szCs w:val="21"/>
                      <w:lang w:val="en-US" w:eastAsia="zh-CN"/>
                    </w:rPr>
                  </w:pPr>
                  <w:r>
                    <w:rPr>
                      <w:rFonts w:hint="eastAsia" w:cs="宋体"/>
                      <w:sz w:val="21"/>
                      <w:szCs w:val="21"/>
                      <w:lang w:val="en-US" w:eastAsia="zh-CN"/>
                    </w:rPr>
                    <w:t>60</w:t>
                  </w:r>
                </w:p>
              </w:tc>
            </w:tr>
            <w:tr w14:paraId="75D38376">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DA99A">
                  <w:pPr>
                    <w:jc w:val="center"/>
                    <w:rPr>
                      <w:rFonts w:hint="eastAsia" w:cs="宋体"/>
                      <w:sz w:val="21"/>
                      <w:szCs w:val="21"/>
                      <w:lang w:val="en-US" w:eastAsia="zh-CN"/>
                    </w:rPr>
                  </w:pPr>
                  <w:r>
                    <w:rPr>
                      <w:rFonts w:hint="eastAsia" w:cs="宋体"/>
                      <w:sz w:val="21"/>
                      <w:szCs w:val="21"/>
                      <w:lang w:val="en-US" w:eastAsia="zh-CN"/>
                    </w:rPr>
                    <w:t>铅</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67CACD3B">
                  <w:pPr>
                    <w:jc w:val="center"/>
                    <w:rPr>
                      <w:rFonts w:hint="eastAsia" w:cs="宋体"/>
                      <w:sz w:val="21"/>
                      <w:szCs w:val="21"/>
                      <w:lang w:val="en-US" w:eastAsia="zh-CN"/>
                    </w:rPr>
                  </w:pPr>
                  <w:r>
                    <w:rPr>
                      <w:rFonts w:hint="eastAsia" w:cs="宋体"/>
                      <w:sz w:val="21"/>
                      <w:szCs w:val="21"/>
                      <w:lang w:val="en-US" w:eastAsia="zh-CN"/>
                    </w:rPr>
                    <w:t>9.1</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6A302CBE">
                  <w:pPr>
                    <w:jc w:val="center"/>
                    <w:rPr>
                      <w:rFonts w:hint="eastAsia" w:cs="宋体"/>
                      <w:sz w:val="21"/>
                      <w:szCs w:val="21"/>
                      <w:lang w:val="en-US" w:eastAsia="zh-CN"/>
                    </w:rPr>
                  </w:pPr>
                  <w:r>
                    <w:rPr>
                      <w:rFonts w:hint="eastAsia" w:cs="宋体"/>
                      <w:sz w:val="21"/>
                      <w:szCs w:val="21"/>
                      <w:lang w:val="en-US" w:eastAsia="zh-CN"/>
                    </w:rPr>
                    <w:t>7.9</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55316CD5">
                  <w:pPr>
                    <w:jc w:val="center"/>
                    <w:rPr>
                      <w:rFonts w:hint="eastAsia" w:cs="宋体"/>
                      <w:sz w:val="21"/>
                      <w:szCs w:val="21"/>
                      <w:lang w:val="en-US" w:eastAsia="zh-CN"/>
                    </w:rPr>
                  </w:pPr>
                  <w:r>
                    <w:rPr>
                      <w:rFonts w:hint="eastAsia" w:cs="宋体"/>
                      <w:sz w:val="21"/>
                      <w:szCs w:val="21"/>
                      <w:lang w:val="en-US" w:eastAsia="zh-CN"/>
                    </w:rPr>
                    <w:t>7.4</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2A5009C7">
                  <w:pPr>
                    <w:jc w:val="center"/>
                    <w:rPr>
                      <w:rFonts w:hint="eastAsia" w:cs="宋体"/>
                      <w:sz w:val="21"/>
                      <w:szCs w:val="21"/>
                      <w:lang w:val="en-US" w:eastAsia="zh-CN"/>
                    </w:rPr>
                  </w:pPr>
                  <w:r>
                    <w:rPr>
                      <w:rFonts w:hint="eastAsia" w:cs="宋体"/>
                      <w:sz w:val="21"/>
                      <w:szCs w:val="21"/>
                      <w:lang w:val="en-US" w:eastAsia="zh-CN"/>
                    </w:rPr>
                    <w:t>18.2</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4DF33">
                  <w:pPr>
                    <w:jc w:val="center"/>
                    <w:rPr>
                      <w:rFonts w:hint="eastAsia" w:cs="宋体"/>
                      <w:sz w:val="21"/>
                      <w:szCs w:val="21"/>
                      <w:lang w:val="en-US" w:eastAsia="zh-CN"/>
                    </w:rPr>
                  </w:pPr>
                  <w:r>
                    <w:rPr>
                      <w:rFonts w:hint="eastAsia" w:cs="宋体"/>
                      <w:sz w:val="21"/>
                      <w:szCs w:val="21"/>
                      <w:lang w:val="en-US" w:eastAsia="zh-CN"/>
                    </w:rPr>
                    <w:t>800</w:t>
                  </w:r>
                </w:p>
              </w:tc>
            </w:tr>
            <w:tr w14:paraId="27DAE1E2">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74133">
                  <w:pPr>
                    <w:jc w:val="center"/>
                    <w:rPr>
                      <w:rFonts w:hint="eastAsia" w:cs="宋体"/>
                      <w:sz w:val="21"/>
                      <w:szCs w:val="21"/>
                      <w:lang w:val="en-US" w:eastAsia="zh-CN"/>
                    </w:rPr>
                  </w:pPr>
                  <w:r>
                    <w:rPr>
                      <w:rFonts w:hint="eastAsia" w:cs="宋体"/>
                      <w:sz w:val="21"/>
                      <w:szCs w:val="21"/>
                      <w:lang w:val="en-US" w:eastAsia="zh-CN"/>
                    </w:rPr>
                    <w:t>汞</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02D7B2D1">
                  <w:pPr>
                    <w:jc w:val="center"/>
                    <w:rPr>
                      <w:rFonts w:hint="eastAsia" w:cs="宋体"/>
                      <w:sz w:val="21"/>
                      <w:szCs w:val="21"/>
                      <w:lang w:val="en-US" w:eastAsia="zh-CN"/>
                    </w:rPr>
                  </w:pPr>
                  <w:r>
                    <w:rPr>
                      <w:rFonts w:hint="eastAsia" w:cs="宋体"/>
                      <w:sz w:val="21"/>
                      <w:szCs w:val="21"/>
                      <w:lang w:val="en-US" w:eastAsia="zh-CN"/>
                    </w:rPr>
                    <w:t>0.182</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27F3BD7D">
                  <w:pPr>
                    <w:jc w:val="center"/>
                    <w:rPr>
                      <w:rFonts w:hint="eastAsia" w:cs="宋体"/>
                      <w:sz w:val="21"/>
                      <w:szCs w:val="21"/>
                      <w:lang w:val="en-US" w:eastAsia="zh-CN"/>
                    </w:rPr>
                  </w:pPr>
                  <w:r>
                    <w:rPr>
                      <w:rFonts w:hint="eastAsia" w:cs="宋体"/>
                      <w:sz w:val="21"/>
                      <w:szCs w:val="21"/>
                      <w:lang w:val="en-US" w:eastAsia="zh-CN"/>
                    </w:rPr>
                    <w:t>0.378</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4CB93BC7">
                  <w:pPr>
                    <w:jc w:val="center"/>
                    <w:rPr>
                      <w:rFonts w:hint="eastAsia" w:cs="宋体"/>
                      <w:sz w:val="21"/>
                      <w:szCs w:val="21"/>
                      <w:lang w:val="en-US" w:eastAsia="zh-CN"/>
                    </w:rPr>
                  </w:pPr>
                  <w:r>
                    <w:rPr>
                      <w:rFonts w:hint="eastAsia" w:cs="宋体"/>
                      <w:sz w:val="21"/>
                      <w:szCs w:val="21"/>
                      <w:lang w:val="en-US" w:eastAsia="zh-CN"/>
                    </w:rPr>
                    <w:t>0.194</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22D604FC">
                  <w:pPr>
                    <w:jc w:val="center"/>
                    <w:rPr>
                      <w:rFonts w:hint="eastAsia" w:cs="宋体"/>
                      <w:sz w:val="21"/>
                      <w:szCs w:val="21"/>
                      <w:lang w:val="en-US" w:eastAsia="zh-CN"/>
                    </w:rPr>
                  </w:pPr>
                  <w:r>
                    <w:rPr>
                      <w:rFonts w:hint="eastAsia" w:cs="宋体"/>
                      <w:sz w:val="21"/>
                      <w:szCs w:val="21"/>
                      <w:lang w:val="en-US" w:eastAsia="zh-CN"/>
                    </w:rPr>
                    <w:t>0.135</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8CA05">
                  <w:pPr>
                    <w:jc w:val="center"/>
                    <w:rPr>
                      <w:rFonts w:hint="eastAsia" w:cs="宋体"/>
                      <w:sz w:val="21"/>
                      <w:szCs w:val="21"/>
                      <w:lang w:val="en-US" w:eastAsia="zh-CN"/>
                    </w:rPr>
                  </w:pPr>
                  <w:r>
                    <w:rPr>
                      <w:rFonts w:hint="eastAsia" w:cs="宋体"/>
                      <w:sz w:val="21"/>
                      <w:szCs w:val="21"/>
                      <w:lang w:val="en-US" w:eastAsia="zh-CN"/>
                    </w:rPr>
                    <w:t>38</w:t>
                  </w:r>
                </w:p>
              </w:tc>
            </w:tr>
            <w:tr w14:paraId="1B6FD8F9">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85A32">
                  <w:pPr>
                    <w:jc w:val="center"/>
                    <w:rPr>
                      <w:rFonts w:hint="eastAsia" w:cs="宋体"/>
                      <w:sz w:val="21"/>
                      <w:szCs w:val="21"/>
                      <w:lang w:val="en-US" w:eastAsia="zh-CN"/>
                    </w:rPr>
                  </w:pPr>
                  <w:r>
                    <w:rPr>
                      <w:rFonts w:hint="eastAsia" w:cs="宋体"/>
                      <w:sz w:val="21"/>
                      <w:szCs w:val="21"/>
                      <w:lang w:val="en-US" w:eastAsia="zh-CN"/>
                    </w:rPr>
                    <w:t>镍</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7EAC67B7">
                  <w:pPr>
                    <w:jc w:val="center"/>
                    <w:rPr>
                      <w:rFonts w:hint="eastAsia" w:cs="宋体"/>
                      <w:sz w:val="21"/>
                      <w:szCs w:val="21"/>
                      <w:lang w:val="en-US" w:eastAsia="zh-CN"/>
                    </w:rPr>
                  </w:pPr>
                  <w:r>
                    <w:rPr>
                      <w:rFonts w:hint="eastAsia" w:cs="宋体"/>
                      <w:sz w:val="21"/>
                      <w:szCs w:val="21"/>
                      <w:lang w:val="en-US" w:eastAsia="zh-CN"/>
                    </w:rPr>
                    <w:t>59</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3713E685">
                  <w:pPr>
                    <w:jc w:val="center"/>
                    <w:rPr>
                      <w:rFonts w:hint="eastAsia" w:cs="宋体"/>
                      <w:sz w:val="21"/>
                      <w:szCs w:val="21"/>
                      <w:lang w:val="en-US" w:eastAsia="zh-CN"/>
                    </w:rPr>
                  </w:pPr>
                  <w:r>
                    <w:rPr>
                      <w:rFonts w:hint="eastAsia" w:cs="宋体"/>
                      <w:sz w:val="21"/>
                      <w:szCs w:val="21"/>
                      <w:lang w:val="en-US" w:eastAsia="zh-CN"/>
                    </w:rPr>
                    <w:t>51</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117F4CB8">
                  <w:pPr>
                    <w:jc w:val="center"/>
                    <w:rPr>
                      <w:rFonts w:hint="eastAsia" w:cs="宋体"/>
                      <w:sz w:val="21"/>
                      <w:szCs w:val="21"/>
                      <w:lang w:val="en-US" w:eastAsia="zh-CN"/>
                    </w:rPr>
                  </w:pPr>
                  <w:r>
                    <w:rPr>
                      <w:rFonts w:hint="eastAsia" w:cs="宋体"/>
                      <w:sz w:val="21"/>
                      <w:szCs w:val="21"/>
                      <w:lang w:val="en-US" w:eastAsia="zh-CN"/>
                    </w:rPr>
                    <w:t>64</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0D8AC424">
                  <w:pPr>
                    <w:jc w:val="center"/>
                    <w:rPr>
                      <w:rFonts w:hint="eastAsia" w:cs="宋体"/>
                      <w:sz w:val="21"/>
                      <w:szCs w:val="21"/>
                      <w:lang w:val="en-US" w:eastAsia="zh-CN"/>
                    </w:rPr>
                  </w:pPr>
                  <w:r>
                    <w:rPr>
                      <w:rFonts w:hint="eastAsia" w:cs="宋体"/>
                      <w:sz w:val="21"/>
                      <w:szCs w:val="21"/>
                      <w:lang w:val="en-US" w:eastAsia="zh-CN"/>
                    </w:rPr>
                    <w:t>56</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23C4A">
                  <w:pPr>
                    <w:jc w:val="center"/>
                    <w:rPr>
                      <w:rFonts w:hint="eastAsia" w:cs="宋体"/>
                      <w:sz w:val="21"/>
                      <w:szCs w:val="21"/>
                      <w:lang w:val="en-US" w:eastAsia="zh-CN"/>
                    </w:rPr>
                  </w:pPr>
                  <w:r>
                    <w:rPr>
                      <w:rFonts w:hint="eastAsia" w:cs="宋体"/>
                      <w:sz w:val="21"/>
                      <w:szCs w:val="21"/>
                      <w:lang w:val="en-US" w:eastAsia="zh-CN"/>
                    </w:rPr>
                    <w:t>900</w:t>
                  </w:r>
                </w:p>
              </w:tc>
            </w:tr>
            <w:tr w14:paraId="6BC68333">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38620">
                  <w:pPr>
                    <w:jc w:val="center"/>
                    <w:rPr>
                      <w:rFonts w:hint="eastAsia" w:cs="宋体"/>
                      <w:sz w:val="21"/>
                      <w:szCs w:val="21"/>
                      <w:lang w:val="en-US" w:eastAsia="zh-CN"/>
                    </w:rPr>
                  </w:pPr>
                  <w:r>
                    <w:rPr>
                      <w:rFonts w:hint="eastAsia" w:cs="宋体"/>
                      <w:sz w:val="21"/>
                      <w:szCs w:val="21"/>
                      <w:lang w:val="en-US" w:eastAsia="zh-CN"/>
                    </w:rPr>
                    <w:t>铜</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2FBC1001">
                  <w:pPr>
                    <w:jc w:val="center"/>
                    <w:rPr>
                      <w:rFonts w:hint="eastAsia" w:cs="宋体"/>
                      <w:sz w:val="21"/>
                      <w:szCs w:val="21"/>
                      <w:lang w:val="en-US" w:eastAsia="zh-CN"/>
                    </w:rPr>
                  </w:pPr>
                  <w:r>
                    <w:rPr>
                      <w:rFonts w:hint="eastAsia" w:cs="宋体"/>
                      <w:sz w:val="21"/>
                      <w:szCs w:val="21"/>
                      <w:lang w:val="en-US" w:eastAsia="zh-CN"/>
                    </w:rPr>
                    <w:t>19</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5CBEC08A">
                  <w:pPr>
                    <w:jc w:val="center"/>
                    <w:rPr>
                      <w:rFonts w:hint="eastAsia" w:cs="宋体"/>
                      <w:sz w:val="21"/>
                      <w:szCs w:val="21"/>
                      <w:lang w:val="en-US" w:eastAsia="zh-CN"/>
                    </w:rPr>
                  </w:pPr>
                  <w:r>
                    <w:rPr>
                      <w:rFonts w:hint="eastAsia" w:cs="宋体"/>
                      <w:sz w:val="21"/>
                      <w:szCs w:val="21"/>
                      <w:lang w:val="en-US" w:eastAsia="zh-CN"/>
                    </w:rPr>
                    <w:t>21</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1CED6798">
                  <w:pPr>
                    <w:jc w:val="center"/>
                    <w:rPr>
                      <w:rFonts w:hint="eastAsia" w:cs="宋体"/>
                      <w:sz w:val="21"/>
                      <w:szCs w:val="21"/>
                      <w:lang w:val="en-US" w:eastAsia="zh-CN"/>
                    </w:rPr>
                  </w:pPr>
                  <w:r>
                    <w:rPr>
                      <w:rFonts w:hint="eastAsia" w:cs="宋体"/>
                      <w:sz w:val="21"/>
                      <w:szCs w:val="21"/>
                      <w:lang w:val="en-US" w:eastAsia="zh-CN"/>
                    </w:rPr>
                    <w:t>21</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0BF3F962">
                  <w:pPr>
                    <w:jc w:val="center"/>
                    <w:rPr>
                      <w:rFonts w:hint="eastAsia" w:cs="宋体"/>
                      <w:sz w:val="21"/>
                      <w:szCs w:val="21"/>
                      <w:lang w:val="en-US" w:eastAsia="zh-CN"/>
                    </w:rPr>
                  </w:pPr>
                  <w:r>
                    <w:rPr>
                      <w:rFonts w:hint="eastAsia" w:cs="宋体"/>
                      <w:sz w:val="21"/>
                      <w:szCs w:val="21"/>
                      <w:lang w:val="en-US" w:eastAsia="zh-CN"/>
                    </w:rPr>
                    <w:t>22</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651A2">
                  <w:pPr>
                    <w:jc w:val="center"/>
                    <w:rPr>
                      <w:rFonts w:hint="eastAsia" w:cs="宋体"/>
                      <w:sz w:val="21"/>
                      <w:szCs w:val="21"/>
                      <w:lang w:val="en-US" w:eastAsia="zh-CN"/>
                    </w:rPr>
                  </w:pPr>
                  <w:r>
                    <w:rPr>
                      <w:rFonts w:hint="eastAsia" w:cs="宋体"/>
                      <w:sz w:val="21"/>
                      <w:szCs w:val="21"/>
                      <w:lang w:val="en-US" w:eastAsia="zh-CN"/>
                    </w:rPr>
                    <w:t>18000</w:t>
                  </w:r>
                </w:p>
              </w:tc>
            </w:tr>
            <w:tr w14:paraId="76A0E016">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42314">
                  <w:pPr>
                    <w:jc w:val="center"/>
                    <w:rPr>
                      <w:rFonts w:hint="eastAsia" w:cs="宋体"/>
                      <w:sz w:val="21"/>
                      <w:szCs w:val="21"/>
                      <w:lang w:val="en-US" w:eastAsia="zh-CN"/>
                    </w:rPr>
                  </w:pPr>
                  <w:r>
                    <w:rPr>
                      <w:rFonts w:hint="eastAsia" w:cs="宋体"/>
                      <w:sz w:val="21"/>
                      <w:szCs w:val="21"/>
                      <w:lang w:val="en-US" w:eastAsia="zh-CN"/>
                    </w:rPr>
                    <w:t>总铬</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22352760">
                  <w:pPr>
                    <w:jc w:val="center"/>
                    <w:rPr>
                      <w:rFonts w:hint="eastAsia" w:cs="宋体"/>
                      <w:sz w:val="21"/>
                      <w:szCs w:val="21"/>
                      <w:lang w:val="en-US" w:eastAsia="zh-CN"/>
                    </w:rPr>
                  </w:pPr>
                  <w:r>
                    <w:rPr>
                      <w:rFonts w:hint="eastAsia" w:cs="宋体"/>
                      <w:sz w:val="21"/>
                      <w:szCs w:val="21"/>
                      <w:lang w:val="en-US" w:eastAsia="zh-CN"/>
                    </w:rPr>
                    <w:t>/</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6C3447A4">
                  <w:pPr>
                    <w:jc w:val="center"/>
                    <w:rPr>
                      <w:rFonts w:hint="eastAsia" w:cs="宋体"/>
                      <w:sz w:val="21"/>
                      <w:szCs w:val="21"/>
                      <w:lang w:val="en-US" w:eastAsia="zh-CN"/>
                    </w:rPr>
                  </w:pPr>
                  <w:r>
                    <w:rPr>
                      <w:rFonts w:hint="eastAsia" w:cs="宋体"/>
                      <w:sz w:val="21"/>
                      <w:szCs w:val="21"/>
                      <w:lang w:val="en-US" w:eastAsia="zh-CN"/>
                    </w:rPr>
                    <w:t>/</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2CAD6081">
                  <w:pPr>
                    <w:jc w:val="center"/>
                    <w:rPr>
                      <w:rFonts w:hint="eastAsia" w:cs="宋体"/>
                      <w:sz w:val="21"/>
                      <w:szCs w:val="21"/>
                      <w:lang w:val="en-US" w:eastAsia="zh-CN"/>
                    </w:rPr>
                  </w:pPr>
                  <w:r>
                    <w:rPr>
                      <w:rFonts w:hint="eastAsia" w:cs="宋体"/>
                      <w:sz w:val="21"/>
                      <w:szCs w:val="21"/>
                      <w:lang w:val="en-US" w:eastAsia="zh-CN"/>
                    </w:rPr>
                    <w:t>/</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2847058F">
                  <w:pPr>
                    <w:jc w:val="center"/>
                    <w:rPr>
                      <w:rFonts w:hint="eastAsia" w:cs="宋体"/>
                      <w:sz w:val="21"/>
                      <w:szCs w:val="21"/>
                      <w:lang w:val="en-US" w:eastAsia="zh-CN"/>
                    </w:rPr>
                  </w:pPr>
                  <w:r>
                    <w:rPr>
                      <w:rFonts w:hint="eastAsia" w:cs="宋体"/>
                      <w:sz w:val="21"/>
                      <w:szCs w:val="21"/>
                      <w:lang w:val="en-US" w:eastAsia="zh-CN"/>
                    </w:rPr>
                    <w:t>97</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44B7E">
                  <w:pPr>
                    <w:jc w:val="center"/>
                    <w:rPr>
                      <w:rFonts w:hint="eastAsia" w:cs="宋体"/>
                      <w:sz w:val="21"/>
                      <w:szCs w:val="21"/>
                      <w:lang w:val="en-US" w:eastAsia="zh-CN"/>
                    </w:rPr>
                  </w:pPr>
                  <w:r>
                    <w:rPr>
                      <w:rFonts w:hint="eastAsia" w:cs="宋体"/>
                      <w:sz w:val="21"/>
                      <w:szCs w:val="21"/>
                      <w:lang w:val="en-US" w:eastAsia="zh-CN"/>
                    </w:rPr>
                    <w:t>/</w:t>
                  </w:r>
                </w:p>
              </w:tc>
            </w:tr>
            <w:tr w14:paraId="2C18FBD9">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1987E">
                  <w:pPr>
                    <w:jc w:val="center"/>
                    <w:rPr>
                      <w:rFonts w:hint="eastAsia" w:cs="宋体"/>
                      <w:sz w:val="21"/>
                      <w:szCs w:val="21"/>
                      <w:lang w:val="en-US" w:eastAsia="zh-CN"/>
                    </w:rPr>
                  </w:pPr>
                  <w:r>
                    <w:rPr>
                      <w:rFonts w:hint="eastAsia" w:cs="宋体"/>
                      <w:sz w:val="21"/>
                      <w:szCs w:val="21"/>
                      <w:lang w:val="en-US" w:eastAsia="zh-CN"/>
                    </w:rPr>
                    <w:t>四氯化碳</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7EBCBF78">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2A0A5AE7">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6A4E1094">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1FAF41E7">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5ED9A">
                  <w:pPr>
                    <w:jc w:val="center"/>
                    <w:rPr>
                      <w:rFonts w:hint="eastAsia" w:cs="宋体"/>
                      <w:sz w:val="21"/>
                      <w:szCs w:val="21"/>
                      <w:lang w:val="en-US" w:eastAsia="zh-CN"/>
                    </w:rPr>
                  </w:pPr>
                  <w:r>
                    <w:rPr>
                      <w:rFonts w:hint="eastAsia" w:cs="宋体"/>
                      <w:sz w:val="21"/>
                      <w:szCs w:val="21"/>
                      <w:lang w:val="en-US" w:eastAsia="zh-CN"/>
                    </w:rPr>
                    <w:t>2.8</w:t>
                  </w:r>
                </w:p>
              </w:tc>
            </w:tr>
            <w:tr w14:paraId="14583038">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27192">
                  <w:pPr>
                    <w:jc w:val="center"/>
                    <w:rPr>
                      <w:rFonts w:hint="eastAsia" w:cs="宋体"/>
                      <w:sz w:val="21"/>
                      <w:szCs w:val="21"/>
                      <w:lang w:val="en-US" w:eastAsia="zh-CN"/>
                    </w:rPr>
                  </w:pPr>
                  <w:r>
                    <w:rPr>
                      <w:rFonts w:hint="eastAsia" w:cs="宋体"/>
                      <w:sz w:val="21"/>
                      <w:szCs w:val="21"/>
                      <w:lang w:val="en-US" w:eastAsia="zh-CN"/>
                    </w:rPr>
                    <w:t>氯仿</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6CCEB0BE">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505F6B53">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77A53294">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67C5E849">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1D2FE">
                  <w:pPr>
                    <w:jc w:val="center"/>
                    <w:rPr>
                      <w:rFonts w:hint="eastAsia" w:cs="宋体"/>
                      <w:sz w:val="21"/>
                      <w:szCs w:val="21"/>
                      <w:lang w:val="en-US" w:eastAsia="zh-CN"/>
                    </w:rPr>
                  </w:pPr>
                  <w:r>
                    <w:rPr>
                      <w:rFonts w:hint="eastAsia" w:cs="宋体"/>
                      <w:sz w:val="21"/>
                      <w:szCs w:val="21"/>
                      <w:lang w:val="en-US" w:eastAsia="zh-CN"/>
                    </w:rPr>
                    <w:t>0.9</w:t>
                  </w:r>
                </w:p>
              </w:tc>
            </w:tr>
            <w:tr w14:paraId="72D696AD">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E94EF">
                  <w:pPr>
                    <w:jc w:val="center"/>
                    <w:rPr>
                      <w:rFonts w:hint="eastAsia" w:cs="宋体"/>
                      <w:sz w:val="21"/>
                      <w:szCs w:val="21"/>
                      <w:lang w:val="en-US" w:eastAsia="zh-CN"/>
                    </w:rPr>
                  </w:pPr>
                  <w:r>
                    <w:rPr>
                      <w:rFonts w:hint="eastAsia" w:cs="宋体"/>
                      <w:sz w:val="21"/>
                      <w:szCs w:val="21"/>
                      <w:lang w:val="en-US" w:eastAsia="zh-CN"/>
                    </w:rPr>
                    <w:t>氯甲烷</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0D39E8B9">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01A1A70D">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319246C9">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7AFD61BB">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F5396">
                  <w:pPr>
                    <w:jc w:val="center"/>
                    <w:rPr>
                      <w:rFonts w:hint="eastAsia" w:cs="宋体"/>
                      <w:sz w:val="21"/>
                      <w:szCs w:val="21"/>
                      <w:lang w:val="en-US" w:eastAsia="zh-CN"/>
                    </w:rPr>
                  </w:pPr>
                  <w:r>
                    <w:rPr>
                      <w:rFonts w:hint="eastAsia" w:cs="宋体"/>
                      <w:sz w:val="21"/>
                      <w:szCs w:val="21"/>
                      <w:lang w:val="en-US" w:eastAsia="zh-CN"/>
                    </w:rPr>
                    <w:t>37</w:t>
                  </w:r>
                </w:p>
              </w:tc>
            </w:tr>
            <w:tr w14:paraId="4FD5395F">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F6E59">
                  <w:pPr>
                    <w:jc w:val="center"/>
                    <w:rPr>
                      <w:rFonts w:hint="eastAsia" w:cs="宋体"/>
                      <w:sz w:val="21"/>
                      <w:szCs w:val="21"/>
                      <w:lang w:val="en-US" w:eastAsia="zh-CN"/>
                    </w:rPr>
                  </w:pPr>
                  <w:r>
                    <w:rPr>
                      <w:rFonts w:hint="eastAsia" w:cs="宋体"/>
                      <w:sz w:val="21"/>
                      <w:szCs w:val="21"/>
                      <w:lang w:val="en-US" w:eastAsia="zh-CN"/>
                    </w:rPr>
                    <w:t>1,1-二氯乙烷</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565E43D3">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795CD329">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791DC01B">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628C91D2">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3F0AE">
                  <w:pPr>
                    <w:jc w:val="center"/>
                    <w:rPr>
                      <w:rFonts w:hint="eastAsia" w:cs="宋体"/>
                      <w:sz w:val="21"/>
                      <w:szCs w:val="21"/>
                      <w:lang w:val="en-US" w:eastAsia="zh-CN"/>
                    </w:rPr>
                  </w:pPr>
                  <w:r>
                    <w:rPr>
                      <w:rFonts w:hint="eastAsia" w:cs="宋体"/>
                      <w:sz w:val="21"/>
                      <w:szCs w:val="21"/>
                      <w:lang w:val="en-US" w:eastAsia="zh-CN"/>
                    </w:rPr>
                    <w:t>9</w:t>
                  </w:r>
                </w:p>
              </w:tc>
            </w:tr>
            <w:tr w14:paraId="5CD46C1E">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6DC96">
                  <w:pPr>
                    <w:jc w:val="center"/>
                    <w:rPr>
                      <w:rFonts w:hint="eastAsia" w:cs="宋体"/>
                      <w:sz w:val="21"/>
                      <w:szCs w:val="21"/>
                      <w:lang w:val="en-US" w:eastAsia="zh-CN"/>
                    </w:rPr>
                  </w:pPr>
                  <w:r>
                    <w:rPr>
                      <w:rFonts w:hint="eastAsia" w:cs="宋体"/>
                      <w:sz w:val="21"/>
                      <w:szCs w:val="21"/>
                      <w:lang w:val="en-US" w:eastAsia="zh-CN"/>
                    </w:rPr>
                    <w:t>1,2-二氯乙烷</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4073080B">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18086BCF">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161CA790">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1FD89F30">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EDDEB">
                  <w:pPr>
                    <w:jc w:val="center"/>
                    <w:rPr>
                      <w:rFonts w:hint="eastAsia" w:cs="宋体"/>
                      <w:sz w:val="21"/>
                      <w:szCs w:val="21"/>
                      <w:lang w:val="en-US" w:eastAsia="zh-CN"/>
                    </w:rPr>
                  </w:pPr>
                  <w:r>
                    <w:rPr>
                      <w:rFonts w:hint="eastAsia" w:cs="宋体"/>
                      <w:sz w:val="21"/>
                      <w:szCs w:val="21"/>
                      <w:lang w:val="en-US" w:eastAsia="zh-CN"/>
                    </w:rPr>
                    <w:t>5</w:t>
                  </w:r>
                </w:p>
              </w:tc>
            </w:tr>
            <w:tr w14:paraId="42146518">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49C61">
                  <w:pPr>
                    <w:jc w:val="center"/>
                    <w:rPr>
                      <w:rFonts w:hint="eastAsia" w:cs="宋体"/>
                      <w:sz w:val="21"/>
                      <w:szCs w:val="21"/>
                      <w:lang w:val="en-US" w:eastAsia="zh-CN"/>
                    </w:rPr>
                  </w:pPr>
                  <w:r>
                    <w:rPr>
                      <w:rFonts w:hint="eastAsia" w:cs="宋体"/>
                      <w:sz w:val="21"/>
                      <w:szCs w:val="21"/>
                      <w:lang w:val="en-US" w:eastAsia="zh-CN"/>
                    </w:rPr>
                    <w:t>1,1-二氯乙烯</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5E5F97A2">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14491C83">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53D78E54">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62C89230">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7271D">
                  <w:pPr>
                    <w:jc w:val="center"/>
                    <w:rPr>
                      <w:rFonts w:hint="eastAsia" w:cs="宋体"/>
                      <w:sz w:val="21"/>
                      <w:szCs w:val="21"/>
                      <w:lang w:val="en-US" w:eastAsia="zh-CN"/>
                    </w:rPr>
                  </w:pPr>
                  <w:r>
                    <w:rPr>
                      <w:rFonts w:hint="eastAsia" w:cs="宋体"/>
                      <w:sz w:val="21"/>
                      <w:szCs w:val="21"/>
                      <w:lang w:val="en-US" w:eastAsia="zh-CN"/>
                    </w:rPr>
                    <w:t>66</w:t>
                  </w:r>
                </w:p>
              </w:tc>
            </w:tr>
            <w:tr w14:paraId="4E662E2F">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7103A">
                  <w:pPr>
                    <w:jc w:val="center"/>
                    <w:rPr>
                      <w:rFonts w:hint="eastAsia" w:cs="宋体"/>
                      <w:sz w:val="21"/>
                      <w:szCs w:val="21"/>
                      <w:lang w:val="en-US" w:eastAsia="zh-CN"/>
                    </w:rPr>
                  </w:pPr>
                  <w:r>
                    <w:rPr>
                      <w:rFonts w:hint="eastAsia" w:cs="宋体"/>
                      <w:sz w:val="21"/>
                      <w:szCs w:val="21"/>
                      <w:lang w:val="en-US" w:eastAsia="zh-CN"/>
                    </w:rPr>
                    <w:t>顺-1,2-二氯乙烯</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772DD23D">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33E77688">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51BB095C">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58987CE0">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89EF0">
                  <w:pPr>
                    <w:jc w:val="center"/>
                    <w:rPr>
                      <w:rFonts w:hint="eastAsia" w:cs="宋体"/>
                      <w:sz w:val="21"/>
                      <w:szCs w:val="21"/>
                      <w:lang w:val="en-US" w:eastAsia="zh-CN"/>
                    </w:rPr>
                  </w:pPr>
                  <w:r>
                    <w:rPr>
                      <w:rFonts w:hint="eastAsia" w:cs="宋体"/>
                      <w:sz w:val="21"/>
                      <w:szCs w:val="21"/>
                      <w:lang w:val="en-US" w:eastAsia="zh-CN"/>
                    </w:rPr>
                    <w:t>596</w:t>
                  </w:r>
                </w:p>
              </w:tc>
            </w:tr>
            <w:tr w14:paraId="00BFA501">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6A87A">
                  <w:pPr>
                    <w:jc w:val="center"/>
                    <w:rPr>
                      <w:rFonts w:hint="eastAsia" w:cs="宋体"/>
                      <w:sz w:val="21"/>
                      <w:szCs w:val="21"/>
                      <w:lang w:val="en-US" w:eastAsia="zh-CN"/>
                    </w:rPr>
                  </w:pPr>
                  <w:r>
                    <w:rPr>
                      <w:rFonts w:hint="eastAsia" w:cs="宋体"/>
                      <w:sz w:val="21"/>
                      <w:szCs w:val="21"/>
                      <w:lang w:val="en-US" w:eastAsia="zh-CN"/>
                    </w:rPr>
                    <w:t>反-1,2-二氯乙烯</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51053386">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4F9685B4">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5C94250D">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7371C966">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BB306">
                  <w:pPr>
                    <w:jc w:val="center"/>
                    <w:rPr>
                      <w:rFonts w:hint="eastAsia" w:cs="宋体"/>
                      <w:sz w:val="21"/>
                      <w:szCs w:val="21"/>
                      <w:lang w:val="en-US" w:eastAsia="zh-CN"/>
                    </w:rPr>
                  </w:pPr>
                  <w:r>
                    <w:rPr>
                      <w:rFonts w:hint="eastAsia" w:cs="宋体"/>
                      <w:sz w:val="21"/>
                      <w:szCs w:val="21"/>
                      <w:lang w:val="en-US" w:eastAsia="zh-CN"/>
                    </w:rPr>
                    <w:t>54</w:t>
                  </w:r>
                </w:p>
              </w:tc>
            </w:tr>
            <w:tr w14:paraId="5DB586BA">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9D734">
                  <w:pPr>
                    <w:jc w:val="center"/>
                    <w:rPr>
                      <w:rFonts w:hint="eastAsia" w:cs="宋体"/>
                      <w:sz w:val="21"/>
                      <w:szCs w:val="21"/>
                      <w:lang w:val="en-US" w:eastAsia="zh-CN"/>
                    </w:rPr>
                  </w:pPr>
                  <w:r>
                    <w:rPr>
                      <w:rFonts w:hint="eastAsia" w:cs="宋体"/>
                      <w:sz w:val="21"/>
                      <w:szCs w:val="21"/>
                      <w:lang w:val="en-US" w:eastAsia="zh-CN"/>
                    </w:rPr>
                    <w:t>二氯甲烷</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722F8261">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23A9B0A3">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3FEA23B9">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7E57BD64">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888D1">
                  <w:pPr>
                    <w:jc w:val="center"/>
                    <w:rPr>
                      <w:rFonts w:hint="eastAsia" w:cs="宋体"/>
                      <w:sz w:val="21"/>
                      <w:szCs w:val="21"/>
                      <w:lang w:val="en-US" w:eastAsia="zh-CN"/>
                    </w:rPr>
                  </w:pPr>
                  <w:r>
                    <w:rPr>
                      <w:rFonts w:hint="eastAsia" w:cs="宋体"/>
                      <w:sz w:val="21"/>
                      <w:szCs w:val="21"/>
                      <w:lang w:val="en-US" w:eastAsia="zh-CN"/>
                    </w:rPr>
                    <w:t>616</w:t>
                  </w:r>
                </w:p>
              </w:tc>
            </w:tr>
            <w:tr w14:paraId="307ECADB">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E6E61">
                  <w:pPr>
                    <w:jc w:val="center"/>
                    <w:rPr>
                      <w:rFonts w:hint="eastAsia" w:cs="宋体"/>
                      <w:sz w:val="21"/>
                      <w:szCs w:val="21"/>
                      <w:lang w:val="en-US" w:eastAsia="zh-CN"/>
                    </w:rPr>
                  </w:pPr>
                  <w:r>
                    <w:rPr>
                      <w:rFonts w:hint="eastAsia" w:cs="宋体"/>
                      <w:sz w:val="21"/>
                      <w:szCs w:val="21"/>
                      <w:lang w:val="en-US" w:eastAsia="zh-CN"/>
                    </w:rPr>
                    <w:t>1,2-二氯丙烷</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74B037BC">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27571B83">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53C73FF0">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01AEA933">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ADF21">
                  <w:pPr>
                    <w:jc w:val="center"/>
                    <w:rPr>
                      <w:rFonts w:hint="eastAsia" w:cs="宋体"/>
                      <w:sz w:val="21"/>
                      <w:szCs w:val="21"/>
                      <w:lang w:val="en-US" w:eastAsia="zh-CN"/>
                    </w:rPr>
                  </w:pPr>
                  <w:r>
                    <w:rPr>
                      <w:rFonts w:hint="eastAsia" w:cs="宋体"/>
                      <w:sz w:val="21"/>
                      <w:szCs w:val="21"/>
                      <w:lang w:val="en-US" w:eastAsia="zh-CN"/>
                    </w:rPr>
                    <w:t>5</w:t>
                  </w:r>
                </w:p>
              </w:tc>
            </w:tr>
            <w:tr w14:paraId="11A2898E">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9138C">
                  <w:pPr>
                    <w:jc w:val="center"/>
                    <w:rPr>
                      <w:rFonts w:hint="eastAsia" w:cs="宋体"/>
                      <w:sz w:val="21"/>
                      <w:szCs w:val="21"/>
                      <w:lang w:val="en-US" w:eastAsia="zh-CN"/>
                    </w:rPr>
                  </w:pPr>
                  <w:r>
                    <w:rPr>
                      <w:rFonts w:hint="eastAsia" w:cs="宋体"/>
                      <w:sz w:val="21"/>
                      <w:szCs w:val="21"/>
                      <w:lang w:val="en-US" w:eastAsia="zh-CN"/>
                    </w:rPr>
                    <w:t>1,1,1,2-四氯乙烷</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4D91453A">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5919B2C3">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49EBDAE0">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08307190">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12843">
                  <w:pPr>
                    <w:jc w:val="center"/>
                    <w:rPr>
                      <w:rFonts w:hint="eastAsia" w:cs="宋体"/>
                      <w:sz w:val="21"/>
                      <w:szCs w:val="21"/>
                      <w:lang w:val="en-US" w:eastAsia="zh-CN"/>
                    </w:rPr>
                  </w:pPr>
                  <w:r>
                    <w:rPr>
                      <w:rFonts w:hint="eastAsia" w:cs="宋体"/>
                      <w:sz w:val="21"/>
                      <w:szCs w:val="21"/>
                      <w:lang w:val="en-US" w:eastAsia="zh-CN"/>
                    </w:rPr>
                    <w:t>10</w:t>
                  </w:r>
                </w:p>
              </w:tc>
            </w:tr>
            <w:tr w14:paraId="5435423C">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3BFC4">
                  <w:pPr>
                    <w:jc w:val="center"/>
                    <w:rPr>
                      <w:rFonts w:hint="eastAsia" w:cs="宋体"/>
                      <w:sz w:val="21"/>
                      <w:szCs w:val="21"/>
                      <w:lang w:val="en-US" w:eastAsia="zh-CN"/>
                    </w:rPr>
                  </w:pPr>
                  <w:r>
                    <w:rPr>
                      <w:rFonts w:hint="eastAsia" w:cs="宋体"/>
                      <w:sz w:val="21"/>
                      <w:szCs w:val="21"/>
                      <w:lang w:val="en-US" w:eastAsia="zh-CN"/>
                    </w:rPr>
                    <w:t>1,1,2,2-四氯乙烷</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10A72E4A">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78A77843">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4BBDA90F">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16A4AC6E">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40734">
                  <w:pPr>
                    <w:jc w:val="center"/>
                    <w:rPr>
                      <w:rFonts w:hint="eastAsia" w:cs="宋体"/>
                      <w:sz w:val="21"/>
                      <w:szCs w:val="21"/>
                      <w:lang w:val="en-US" w:eastAsia="zh-CN"/>
                    </w:rPr>
                  </w:pPr>
                  <w:r>
                    <w:rPr>
                      <w:rFonts w:hint="eastAsia" w:cs="宋体"/>
                      <w:sz w:val="21"/>
                      <w:szCs w:val="21"/>
                      <w:lang w:val="en-US" w:eastAsia="zh-CN"/>
                    </w:rPr>
                    <w:t>6.8</w:t>
                  </w:r>
                </w:p>
              </w:tc>
            </w:tr>
            <w:tr w14:paraId="33EC1E6E">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AEAD0">
                  <w:pPr>
                    <w:jc w:val="center"/>
                    <w:rPr>
                      <w:rFonts w:hint="eastAsia" w:cs="宋体"/>
                      <w:sz w:val="21"/>
                      <w:szCs w:val="21"/>
                      <w:lang w:val="en-US" w:eastAsia="zh-CN"/>
                    </w:rPr>
                  </w:pPr>
                  <w:r>
                    <w:rPr>
                      <w:rFonts w:hint="eastAsia" w:cs="宋体"/>
                      <w:sz w:val="21"/>
                      <w:szCs w:val="21"/>
                      <w:lang w:val="en-US" w:eastAsia="zh-CN"/>
                    </w:rPr>
                    <w:t>四氯乙烯</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35ACB5C1">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3DC58D79">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5ED1250F">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31406881">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6F119">
                  <w:pPr>
                    <w:jc w:val="center"/>
                    <w:rPr>
                      <w:rFonts w:hint="eastAsia" w:cs="宋体"/>
                      <w:sz w:val="21"/>
                      <w:szCs w:val="21"/>
                      <w:lang w:val="en-US" w:eastAsia="zh-CN"/>
                    </w:rPr>
                  </w:pPr>
                  <w:r>
                    <w:rPr>
                      <w:rFonts w:hint="eastAsia" w:cs="宋体"/>
                      <w:sz w:val="21"/>
                      <w:szCs w:val="21"/>
                      <w:lang w:val="en-US" w:eastAsia="zh-CN"/>
                    </w:rPr>
                    <w:t>53</w:t>
                  </w:r>
                </w:p>
              </w:tc>
            </w:tr>
            <w:tr w14:paraId="0ADB301F">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82D58">
                  <w:pPr>
                    <w:jc w:val="center"/>
                    <w:rPr>
                      <w:rFonts w:hint="eastAsia" w:cs="宋体"/>
                      <w:sz w:val="21"/>
                      <w:szCs w:val="21"/>
                      <w:lang w:val="en-US" w:eastAsia="zh-CN"/>
                    </w:rPr>
                  </w:pPr>
                  <w:r>
                    <w:rPr>
                      <w:rFonts w:hint="eastAsia" w:cs="宋体"/>
                      <w:sz w:val="21"/>
                      <w:szCs w:val="21"/>
                      <w:lang w:val="en-US" w:eastAsia="zh-CN"/>
                    </w:rPr>
                    <w:t>1,1,1-三氯乙烷</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454A3DD8">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4C336CD9">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6BE39174">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0A351EF5">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C544E">
                  <w:pPr>
                    <w:jc w:val="center"/>
                    <w:rPr>
                      <w:rFonts w:hint="eastAsia" w:cs="宋体"/>
                      <w:sz w:val="21"/>
                      <w:szCs w:val="21"/>
                      <w:lang w:val="en-US" w:eastAsia="zh-CN"/>
                    </w:rPr>
                  </w:pPr>
                  <w:r>
                    <w:rPr>
                      <w:rFonts w:hint="eastAsia" w:cs="宋体"/>
                      <w:sz w:val="21"/>
                      <w:szCs w:val="21"/>
                      <w:lang w:val="en-US" w:eastAsia="zh-CN"/>
                    </w:rPr>
                    <w:t>840</w:t>
                  </w:r>
                </w:p>
              </w:tc>
            </w:tr>
            <w:tr w14:paraId="7C5D767A">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1CB70">
                  <w:pPr>
                    <w:jc w:val="center"/>
                    <w:rPr>
                      <w:rFonts w:hint="eastAsia" w:cs="宋体"/>
                      <w:sz w:val="21"/>
                      <w:szCs w:val="21"/>
                      <w:lang w:val="en-US" w:eastAsia="zh-CN"/>
                    </w:rPr>
                  </w:pPr>
                  <w:r>
                    <w:rPr>
                      <w:rFonts w:hint="eastAsia" w:cs="宋体"/>
                      <w:sz w:val="21"/>
                      <w:szCs w:val="21"/>
                      <w:lang w:val="en-US" w:eastAsia="zh-CN"/>
                    </w:rPr>
                    <w:t>1,1,2-三氯乙烷</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751B8548">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3BD500AF">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75881835">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7134880F">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6C697">
                  <w:pPr>
                    <w:jc w:val="center"/>
                    <w:rPr>
                      <w:rFonts w:hint="eastAsia" w:cs="宋体"/>
                      <w:sz w:val="21"/>
                      <w:szCs w:val="21"/>
                      <w:lang w:val="en-US" w:eastAsia="zh-CN"/>
                    </w:rPr>
                  </w:pPr>
                  <w:r>
                    <w:rPr>
                      <w:rFonts w:hint="eastAsia" w:cs="宋体"/>
                      <w:sz w:val="21"/>
                      <w:szCs w:val="21"/>
                      <w:lang w:val="en-US" w:eastAsia="zh-CN"/>
                    </w:rPr>
                    <w:t>2.8</w:t>
                  </w:r>
                </w:p>
              </w:tc>
            </w:tr>
            <w:tr w14:paraId="2D704B0C">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72E8B">
                  <w:pPr>
                    <w:jc w:val="center"/>
                    <w:rPr>
                      <w:rFonts w:hint="eastAsia" w:cs="宋体"/>
                      <w:sz w:val="21"/>
                      <w:szCs w:val="21"/>
                      <w:lang w:val="en-US" w:eastAsia="zh-CN"/>
                    </w:rPr>
                  </w:pPr>
                  <w:r>
                    <w:rPr>
                      <w:rFonts w:hint="eastAsia" w:cs="宋体"/>
                      <w:sz w:val="21"/>
                      <w:szCs w:val="21"/>
                      <w:lang w:val="en-US" w:eastAsia="zh-CN"/>
                    </w:rPr>
                    <w:t>三氯乙烯</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03CD50FD">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76A8ACC9">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3FF981AC">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5818A9C3">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7BD26">
                  <w:pPr>
                    <w:jc w:val="center"/>
                    <w:rPr>
                      <w:rFonts w:hint="eastAsia" w:cs="宋体"/>
                      <w:sz w:val="21"/>
                      <w:szCs w:val="21"/>
                      <w:lang w:val="en-US" w:eastAsia="zh-CN"/>
                    </w:rPr>
                  </w:pPr>
                  <w:r>
                    <w:rPr>
                      <w:rFonts w:hint="eastAsia" w:cs="宋体"/>
                      <w:sz w:val="21"/>
                      <w:szCs w:val="21"/>
                      <w:lang w:val="en-US" w:eastAsia="zh-CN"/>
                    </w:rPr>
                    <w:t>2.8</w:t>
                  </w:r>
                </w:p>
              </w:tc>
            </w:tr>
            <w:tr w14:paraId="5D5F9DD0">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BE918">
                  <w:pPr>
                    <w:jc w:val="center"/>
                    <w:rPr>
                      <w:rFonts w:hint="eastAsia" w:cs="宋体"/>
                      <w:sz w:val="21"/>
                      <w:szCs w:val="21"/>
                      <w:lang w:val="en-US" w:eastAsia="zh-CN"/>
                    </w:rPr>
                  </w:pPr>
                  <w:r>
                    <w:rPr>
                      <w:rFonts w:hint="eastAsia" w:cs="宋体"/>
                      <w:sz w:val="21"/>
                      <w:szCs w:val="21"/>
                      <w:lang w:val="en-US" w:eastAsia="zh-CN"/>
                    </w:rPr>
                    <w:t>1,2,3-三氯丙烷</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1EBDB186">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6E50305B">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155BF944">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22B2EA75">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BAEDA">
                  <w:pPr>
                    <w:jc w:val="center"/>
                    <w:rPr>
                      <w:rFonts w:hint="eastAsia" w:cs="宋体"/>
                      <w:sz w:val="21"/>
                      <w:szCs w:val="21"/>
                      <w:lang w:val="en-US" w:eastAsia="zh-CN"/>
                    </w:rPr>
                  </w:pPr>
                  <w:r>
                    <w:rPr>
                      <w:rFonts w:hint="eastAsia" w:cs="宋体"/>
                      <w:sz w:val="21"/>
                      <w:szCs w:val="21"/>
                      <w:lang w:val="en-US" w:eastAsia="zh-CN"/>
                    </w:rPr>
                    <w:t>0.5</w:t>
                  </w:r>
                </w:p>
              </w:tc>
            </w:tr>
            <w:tr w14:paraId="00E5FEC9">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60C61">
                  <w:pPr>
                    <w:jc w:val="center"/>
                    <w:rPr>
                      <w:rFonts w:hint="eastAsia" w:cs="宋体"/>
                      <w:sz w:val="21"/>
                      <w:szCs w:val="21"/>
                      <w:lang w:val="en-US" w:eastAsia="zh-CN"/>
                    </w:rPr>
                  </w:pPr>
                  <w:r>
                    <w:rPr>
                      <w:rFonts w:hint="eastAsia" w:cs="宋体"/>
                      <w:sz w:val="21"/>
                      <w:szCs w:val="21"/>
                      <w:lang w:val="en-US" w:eastAsia="zh-CN"/>
                    </w:rPr>
                    <w:t>氯乙烯</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39AACAD4">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6833EB62">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2AD9EA51">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429300C1">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7EFC3">
                  <w:pPr>
                    <w:jc w:val="center"/>
                    <w:rPr>
                      <w:rFonts w:hint="eastAsia" w:cs="宋体"/>
                      <w:sz w:val="21"/>
                      <w:szCs w:val="21"/>
                      <w:lang w:val="en-US" w:eastAsia="zh-CN"/>
                    </w:rPr>
                  </w:pPr>
                  <w:r>
                    <w:rPr>
                      <w:rFonts w:hint="eastAsia" w:cs="宋体"/>
                      <w:sz w:val="21"/>
                      <w:szCs w:val="21"/>
                      <w:lang w:val="en-US" w:eastAsia="zh-CN"/>
                    </w:rPr>
                    <w:t>0.43</w:t>
                  </w:r>
                </w:p>
              </w:tc>
            </w:tr>
            <w:tr w14:paraId="10D62D9B">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C0AB6">
                  <w:pPr>
                    <w:jc w:val="center"/>
                    <w:rPr>
                      <w:rFonts w:hint="eastAsia" w:cs="宋体"/>
                      <w:sz w:val="21"/>
                      <w:szCs w:val="21"/>
                      <w:lang w:val="en-US" w:eastAsia="zh-CN"/>
                    </w:rPr>
                  </w:pPr>
                  <w:r>
                    <w:rPr>
                      <w:rFonts w:hint="eastAsia" w:cs="宋体"/>
                      <w:sz w:val="21"/>
                      <w:szCs w:val="21"/>
                      <w:lang w:val="en-US" w:eastAsia="zh-CN"/>
                    </w:rPr>
                    <w:t>苯</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3B6E89A4">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1AA31BF1">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7E73AB56">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18F3B947">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B8CD3">
                  <w:pPr>
                    <w:jc w:val="center"/>
                    <w:rPr>
                      <w:rFonts w:hint="eastAsia" w:cs="宋体"/>
                      <w:sz w:val="21"/>
                      <w:szCs w:val="21"/>
                      <w:lang w:val="en-US" w:eastAsia="zh-CN"/>
                    </w:rPr>
                  </w:pPr>
                  <w:r>
                    <w:rPr>
                      <w:rFonts w:hint="eastAsia" w:cs="宋体"/>
                      <w:sz w:val="21"/>
                      <w:szCs w:val="21"/>
                      <w:lang w:val="en-US" w:eastAsia="zh-CN"/>
                    </w:rPr>
                    <w:t>4</w:t>
                  </w:r>
                </w:p>
              </w:tc>
            </w:tr>
            <w:tr w14:paraId="28D389D2">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05A92">
                  <w:pPr>
                    <w:jc w:val="center"/>
                    <w:rPr>
                      <w:rFonts w:hint="eastAsia" w:cs="宋体"/>
                      <w:sz w:val="21"/>
                      <w:szCs w:val="21"/>
                      <w:lang w:val="en-US" w:eastAsia="zh-CN"/>
                    </w:rPr>
                  </w:pPr>
                  <w:r>
                    <w:rPr>
                      <w:rFonts w:hint="eastAsia" w:cs="宋体"/>
                      <w:sz w:val="21"/>
                      <w:szCs w:val="21"/>
                      <w:lang w:val="en-US" w:eastAsia="zh-CN"/>
                    </w:rPr>
                    <w:t>氯苯</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7E271135">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3BCC1863">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1FD06ACE">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673D8460">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33920">
                  <w:pPr>
                    <w:jc w:val="center"/>
                    <w:rPr>
                      <w:rFonts w:hint="eastAsia" w:cs="宋体"/>
                      <w:sz w:val="21"/>
                      <w:szCs w:val="21"/>
                      <w:lang w:val="en-US" w:eastAsia="zh-CN"/>
                    </w:rPr>
                  </w:pPr>
                  <w:r>
                    <w:rPr>
                      <w:rFonts w:hint="eastAsia" w:cs="宋体"/>
                      <w:sz w:val="21"/>
                      <w:szCs w:val="21"/>
                      <w:lang w:val="en-US" w:eastAsia="zh-CN"/>
                    </w:rPr>
                    <w:t>270</w:t>
                  </w:r>
                </w:p>
              </w:tc>
            </w:tr>
            <w:tr w14:paraId="63B97034">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B073E">
                  <w:pPr>
                    <w:jc w:val="center"/>
                    <w:rPr>
                      <w:rFonts w:hint="eastAsia" w:cs="宋体"/>
                      <w:sz w:val="21"/>
                      <w:szCs w:val="21"/>
                      <w:lang w:val="en-US" w:eastAsia="zh-CN"/>
                    </w:rPr>
                  </w:pPr>
                  <w:r>
                    <w:rPr>
                      <w:rFonts w:hint="eastAsia" w:cs="宋体"/>
                      <w:sz w:val="21"/>
                      <w:szCs w:val="21"/>
                      <w:lang w:val="en-US" w:eastAsia="zh-CN"/>
                    </w:rPr>
                    <w:t>1,2-二氯苯</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5670FD5B">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47B47C27">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720BB3D0">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580209D7">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DB584">
                  <w:pPr>
                    <w:jc w:val="center"/>
                    <w:rPr>
                      <w:rFonts w:hint="eastAsia" w:cs="宋体"/>
                      <w:sz w:val="21"/>
                      <w:szCs w:val="21"/>
                      <w:lang w:val="en-US" w:eastAsia="zh-CN"/>
                    </w:rPr>
                  </w:pPr>
                  <w:r>
                    <w:rPr>
                      <w:rFonts w:hint="eastAsia" w:cs="宋体"/>
                      <w:sz w:val="21"/>
                      <w:szCs w:val="21"/>
                      <w:lang w:val="en-US" w:eastAsia="zh-CN"/>
                    </w:rPr>
                    <w:t>560</w:t>
                  </w:r>
                </w:p>
              </w:tc>
            </w:tr>
            <w:tr w14:paraId="7B970198">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2606B">
                  <w:pPr>
                    <w:jc w:val="center"/>
                    <w:rPr>
                      <w:rFonts w:hint="eastAsia" w:cs="宋体"/>
                      <w:sz w:val="21"/>
                      <w:szCs w:val="21"/>
                      <w:lang w:val="en-US" w:eastAsia="zh-CN"/>
                    </w:rPr>
                  </w:pPr>
                  <w:r>
                    <w:rPr>
                      <w:rFonts w:hint="eastAsia" w:cs="宋体"/>
                      <w:sz w:val="21"/>
                      <w:szCs w:val="21"/>
                      <w:lang w:val="en-US" w:eastAsia="zh-CN"/>
                    </w:rPr>
                    <w:t>1,4-二氯苯</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3245F5EE">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40F87F88">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1841569B">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51A3736B">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E4918">
                  <w:pPr>
                    <w:jc w:val="center"/>
                    <w:rPr>
                      <w:rFonts w:hint="eastAsia" w:cs="宋体"/>
                      <w:sz w:val="21"/>
                      <w:szCs w:val="21"/>
                      <w:lang w:val="en-US" w:eastAsia="zh-CN"/>
                    </w:rPr>
                  </w:pPr>
                  <w:r>
                    <w:rPr>
                      <w:rFonts w:hint="eastAsia" w:cs="宋体"/>
                      <w:sz w:val="21"/>
                      <w:szCs w:val="21"/>
                      <w:lang w:val="en-US" w:eastAsia="zh-CN"/>
                    </w:rPr>
                    <w:t>20</w:t>
                  </w:r>
                </w:p>
              </w:tc>
            </w:tr>
            <w:tr w14:paraId="0126CA7B">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5294A">
                  <w:pPr>
                    <w:jc w:val="center"/>
                    <w:rPr>
                      <w:rFonts w:hint="eastAsia" w:cs="宋体"/>
                      <w:sz w:val="21"/>
                      <w:szCs w:val="21"/>
                      <w:lang w:val="en-US" w:eastAsia="zh-CN"/>
                    </w:rPr>
                  </w:pPr>
                  <w:r>
                    <w:rPr>
                      <w:rFonts w:hint="eastAsia" w:cs="宋体"/>
                      <w:sz w:val="21"/>
                      <w:szCs w:val="21"/>
                      <w:lang w:val="en-US" w:eastAsia="zh-CN"/>
                    </w:rPr>
                    <w:t>乙苯</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0BEB97C0">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68294A1C">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130CF834">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4AEA3582">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EC635">
                  <w:pPr>
                    <w:jc w:val="center"/>
                    <w:rPr>
                      <w:rFonts w:hint="eastAsia" w:cs="宋体"/>
                      <w:sz w:val="21"/>
                      <w:szCs w:val="21"/>
                      <w:lang w:val="en-US" w:eastAsia="zh-CN"/>
                    </w:rPr>
                  </w:pPr>
                  <w:r>
                    <w:rPr>
                      <w:rFonts w:hint="eastAsia" w:cs="宋体"/>
                      <w:sz w:val="21"/>
                      <w:szCs w:val="21"/>
                      <w:lang w:val="en-US" w:eastAsia="zh-CN"/>
                    </w:rPr>
                    <w:t>28</w:t>
                  </w:r>
                </w:p>
              </w:tc>
            </w:tr>
            <w:tr w14:paraId="754BF016">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28FC6">
                  <w:pPr>
                    <w:jc w:val="center"/>
                    <w:rPr>
                      <w:rFonts w:hint="eastAsia" w:cs="宋体"/>
                      <w:sz w:val="21"/>
                      <w:szCs w:val="21"/>
                      <w:lang w:val="en-US" w:eastAsia="zh-CN"/>
                    </w:rPr>
                  </w:pPr>
                  <w:r>
                    <w:rPr>
                      <w:rFonts w:hint="eastAsia" w:cs="宋体"/>
                      <w:sz w:val="21"/>
                      <w:szCs w:val="21"/>
                      <w:lang w:val="en-US" w:eastAsia="zh-CN"/>
                    </w:rPr>
                    <w:t>苯乙烯</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41D662A3">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5892DC7B">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15214FA6">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2052A653">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B7CB4">
                  <w:pPr>
                    <w:jc w:val="center"/>
                    <w:rPr>
                      <w:rFonts w:hint="eastAsia" w:cs="宋体"/>
                      <w:sz w:val="21"/>
                      <w:szCs w:val="21"/>
                      <w:lang w:val="en-US" w:eastAsia="zh-CN"/>
                    </w:rPr>
                  </w:pPr>
                  <w:r>
                    <w:rPr>
                      <w:rFonts w:hint="eastAsia" w:cs="宋体"/>
                      <w:sz w:val="21"/>
                      <w:szCs w:val="21"/>
                      <w:lang w:val="en-US" w:eastAsia="zh-CN"/>
                    </w:rPr>
                    <w:t>1290</w:t>
                  </w:r>
                </w:p>
              </w:tc>
            </w:tr>
            <w:tr w14:paraId="39566167">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66F01">
                  <w:pPr>
                    <w:jc w:val="center"/>
                    <w:rPr>
                      <w:rFonts w:hint="eastAsia" w:cs="宋体"/>
                      <w:sz w:val="21"/>
                      <w:szCs w:val="21"/>
                      <w:lang w:val="en-US" w:eastAsia="zh-CN"/>
                    </w:rPr>
                  </w:pPr>
                  <w:r>
                    <w:rPr>
                      <w:rFonts w:hint="eastAsia" w:cs="宋体"/>
                      <w:sz w:val="21"/>
                      <w:szCs w:val="21"/>
                      <w:lang w:val="en-US" w:eastAsia="zh-CN"/>
                    </w:rPr>
                    <w:t>甲苯</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75167AAA">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7A6CCF54">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3B5AC838">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20135929">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5D197">
                  <w:pPr>
                    <w:jc w:val="center"/>
                    <w:rPr>
                      <w:rFonts w:hint="eastAsia" w:cs="宋体"/>
                      <w:sz w:val="21"/>
                      <w:szCs w:val="21"/>
                      <w:lang w:val="en-US" w:eastAsia="zh-CN"/>
                    </w:rPr>
                  </w:pPr>
                  <w:r>
                    <w:rPr>
                      <w:rFonts w:hint="eastAsia" w:cs="宋体"/>
                      <w:sz w:val="21"/>
                      <w:szCs w:val="21"/>
                      <w:lang w:val="en-US" w:eastAsia="zh-CN"/>
                    </w:rPr>
                    <w:t>1200</w:t>
                  </w:r>
                </w:p>
              </w:tc>
            </w:tr>
            <w:tr w14:paraId="6196ED98">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37433">
                  <w:pPr>
                    <w:jc w:val="center"/>
                    <w:rPr>
                      <w:rFonts w:hint="eastAsia" w:cs="宋体"/>
                      <w:sz w:val="21"/>
                      <w:szCs w:val="21"/>
                      <w:lang w:val="en-US" w:eastAsia="zh-CN"/>
                    </w:rPr>
                  </w:pPr>
                  <w:r>
                    <w:rPr>
                      <w:rFonts w:hint="eastAsia" w:cs="宋体"/>
                      <w:sz w:val="21"/>
                      <w:szCs w:val="21"/>
                      <w:lang w:val="en-US" w:eastAsia="zh-CN"/>
                    </w:rPr>
                    <w:t>间二甲苯+对二甲苯</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51EEB8A7">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4E2EBBA7">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71E1DF77">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2155C0BF">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A5336">
                  <w:pPr>
                    <w:jc w:val="center"/>
                    <w:rPr>
                      <w:rFonts w:hint="eastAsia" w:cs="宋体"/>
                      <w:sz w:val="21"/>
                      <w:szCs w:val="21"/>
                      <w:lang w:val="en-US" w:eastAsia="zh-CN"/>
                    </w:rPr>
                  </w:pPr>
                  <w:r>
                    <w:rPr>
                      <w:rFonts w:hint="eastAsia" w:cs="宋体"/>
                      <w:sz w:val="21"/>
                      <w:szCs w:val="21"/>
                      <w:lang w:val="en-US" w:eastAsia="zh-CN"/>
                    </w:rPr>
                    <w:t>570</w:t>
                  </w:r>
                </w:p>
              </w:tc>
            </w:tr>
            <w:tr w14:paraId="19B7CA55">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5DC26">
                  <w:pPr>
                    <w:jc w:val="center"/>
                    <w:rPr>
                      <w:rFonts w:hint="eastAsia" w:cs="宋体"/>
                      <w:sz w:val="21"/>
                      <w:szCs w:val="21"/>
                      <w:lang w:val="en-US" w:eastAsia="zh-CN"/>
                    </w:rPr>
                  </w:pPr>
                  <w:r>
                    <w:rPr>
                      <w:rFonts w:hint="eastAsia" w:cs="宋体"/>
                      <w:sz w:val="21"/>
                      <w:szCs w:val="21"/>
                      <w:lang w:val="en-US" w:eastAsia="zh-CN"/>
                    </w:rPr>
                    <w:t>邻二甲苯</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2A8270BB">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692B7386">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42FBC15C">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68C6D62A">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EEF1C">
                  <w:pPr>
                    <w:jc w:val="center"/>
                    <w:rPr>
                      <w:rFonts w:hint="eastAsia" w:cs="宋体"/>
                      <w:sz w:val="21"/>
                      <w:szCs w:val="21"/>
                      <w:lang w:val="en-US" w:eastAsia="zh-CN"/>
                    </w:rPr>
                  </w:pPr>
                  <w:r>
                    <w:rPr>
                      <w:rFonts w:hint="eastAsia" w:cs="宋体"/>
                      <w:sz w:val="21"/>
                      <w:szCs w:val="21"/>
                      <w:lang w:val="en-US" w:eastAsia="zh-CN"/>
                    </w:rPr>
                    <w:t>640</w:t>
                  </w:r>
                </w:p>
              </w:tc>
            </w:tr>
            <w:tr w14:paraId="5849EAB0">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9EB75">
                  <w:pPr>
                    <w:jc w:val="center"/>
                    <w:rPr>
                      <w:rFonts w:hint="eastAsia" w:cs="宋体"/>
                      <w:sz w:val="21"/>
                      <w:szCs w:val="21"/>
                      <w:lang w:val="en-US" w:eastAsia="zh-CN"/>
                    </w:rPr>
                  </w:pPr>
                  <w:r>
                    <w:rPr>
                      <w:rFonts w:hint="eastAsia" w:cs="宋体"/>
                      <w:sz w:val="21"/>
                      <w:szCs w:val="21"/>
                      <w:lang w:val="en-US" w:eastAsia="zh-CN"/>
                    </w:rPr>
                    <w:t>硝基苯</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7D257C9A">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222A14E9">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4370F6F3">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41801392">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BAD07">
                  <w:pPr>
                    <w:jc w:val="center"/>
                    <w:rPr>
                      <w:rFonts w:hint="eastAsia" w:cs="宋体"/>
                      <w:sz w:val="21"/>
                      <w:szCs w:val="21"/>
                      <w:lang w:val="en-US" w:eastAsia="zh-CN"/>
                    </w:rPr>
                  </w:pPr>
                  <w:r>
                    <w:rPr>
                      <w:rFonts w:hint="eastAsia" w:cs="宋体"/>
                      <w:sz w:val="21"/>
                      <w:szCs w:val="21"/>
                      <w:lang w:val="en-US" w:eastAsia="zh-CN"/>
                    </w:rPr>
                    <w:t>76</w:t>
                  </w:r>
                </w:p>
              </w:tc>
            </w:tr>
            <w:tr w14:paraId="7A221CB9">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D599A">
                  <w:pPr>
                    <w:jc w:val="center"/>
                    <w:rPr>
                      <w:rFonts w:hint="eastAsia" w:cs="宋体"/>
                      <w:sz w:val="21"/>
                      <w:szCs w:val="21"/>
                      <w:lang w:val="en-US" w:eastAsia="zh-CN"/>
                    </w:rPr>
                  </w:pPr>
                  <w:r>
                    <w:rPr>
                      <w:rFonts w:hint="eastAsia" w:cs="宋体"/>
                      <w:sz w:val="21"/>
                      <w:szCs w:val="21"/>
                      <w:lang w:val="en-US" w:eastAsia="zh-CN"/>
                    </w:rPr>
                    <w:t>苯胺</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364E0206">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69B074FF">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31854C27">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7368951D">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2A147">
                  <w:pPr>
                    <w:jc w:val="center"/>
                    <w:rPr>
                      <w:rFonts w:hint="eastAsia" w:cs="宋体"/>
                      <w:sz w:val="21"/>
                      <w:szCs w:val="21"/>
                      <w:lang w:val="en-US" w:eastAsia="zh-CN"/>
                    </w:rPr>
                  </w:pPr>
                  <w:r>
                    <w:rPr>
                      <w:rFonts w:hint="eastAsia" w:cs="宋体"/>
                      <w:sz w:val="21"/>
                      <w:szCs w:val="21"/>
                      <w:lang w:val="en-US" w:eastAsia="zh-CN"/>
                    </w:rPr>
                    <w:t>260</w:t>
                  </w:r>
                </w:p>
              </w:tc>
            </w:tr>
            <w:tr w14:paraId="4F471C4A">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4CFAF">
                  <w:pPr>
                    <w:jc w:val="center"/>
                    <w:rPr>
                      <w:rFonts w:hint="eastAsia" w:cs="宋体"/>
                      <w:sz w:val="21"/>
                      <w:szCs w:val="21"/>
                      <w:lang w:val="en-US" w:eastAsia="zh-CN"/>
                    </w:rPr>
                  </w:pPr>
                  <w:r>
                    <w:rPr>
                      <w:rFonts w:hint="eastAsia" w:cs="宋体"/>
                      <w:sz w:val="21"/>
                      <w:szCs w:val="21"/>
                      <w:lang w:val="en-US" w:eastAsia="zh-CN"/>
                    </w:rPr>
                    <w:t>2-氯酚</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10092F9E">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4B747FB6">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4F54559D">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23842719">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835C">
                  <w:pPr>
                    <w:jc w:val="center"/>
                    <w:rPr>
                      <w:rFonts w:hint="eastAsia" w:cs="宋体"/>
                      <w:sz w:val="21"/>
                      <w:szCs w:val="21"/>
                      <w:lang w:val="en-US" w:eastAsia="zh-CN"/>
                    </w:rPr>
                  </w:pPr>
                  <w:r>
                    <w:rPr>
                      <w:rFonts w:hint="eastAsia" w:cs="宋体"/>
                      <w:sz w:val="21"/>
                      <w:szCs w:val="21"/>
                      <w:lang w:val="en-US" w:eastAsia="zh-CN"/>
                    </w:rPr>
                    <w:t>2256</w:t>
                  </w:r>
                </w:p>
              </w:tc>
            </w:tr>
            <w:tr w14:paraId="0E928FD3">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521BD">
                  <w:pPr>
                    <w:jc w:val="center"/>
                    <w:rPr>
                      <w:rFonts w:hint="eastAsia" w:cs="宋体"/>
                      <w:sz w:val="21"/>
                      <w:szCs w:val="21"/>
                      <w:lang w:val="en-US" w:eastAsia="zh-CN"/>
                    </w:rPr>
                  </w:pPr>
                  <w:r>
                    <w:rPr>
                      <w:rFonts w:hint="eastAsia" w:cs="宋体"/>
                      <w:sz w:val="21"/>
                      <w:szCs w:val="21"/>
                      <w:lang w:val="en-US" w:eastAsia="zh-CN"/>
                    </w:rPr>
                    <w:t>苯并[a]蒽</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7C1DF858">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24CD3B36">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7065482D">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6A1BB419">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5B736">
                  <w:pPr>
                    <w:jc w:val="center"/>
                    <w:rPr>
                      <w:rFonts w:hint="eastAsia" w:cs="宋体"/>
                      <w:sz w:val="21"/>
                      <w:szCs w:val="21"/>
                      <w:lang w:val="en-US" w:eastAsia="zh-CN"/>
                    </w:rPr>
                  </w:pPr>
                  <w:r>
                    <w:rPr>
                      <w:rFonts w:hint="eastAsia" w:cs="宋体"/>
                      <w:sz w:val="21"/>
                      <w:szCs w:val="21"/>
                      <w:lang w:val="en-US" w:eastAsia="zh-CN"/>
                    </w:rPr>
                    <w:t>15</w:t>
                  </w:r>
                </w:p>
              </w:tc>
            </w:tr>
            <w:tr w14:paraId="721C7702">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45936">
                  <w:pPr>
                    <w:jc w:val="center"/>
                    <w:rPr>
                      <w:rFonts w:hint="eastAsia" w:cs="宋体"/>
                      <w:sz w:val="21"/>
                      <w:szCs w:val="21"/>
                      <w:lang w:val="en-US" w:eastAsia="zh-CN"/>
                    </w:rPr>
                  </w:pPr>
                  <w:r>
                    <w:rPr>
                      <w:rFonts w:hint="eastAsia" w:cs="宋体"/>
                      <w:sz w:val="21"/>
                      <w:szCs w:val="21"/>
                      <w:lang w:val="en-US" w:eastAsia="zh-CN"/>
                    </w:rPr>
                    <w:t>苯并[a]芘</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52427C87">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5BB03B8E">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12E9A1BD">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1FC0BA85">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384D9">
                  <w:pPr>
                    <w:jc w:val="center"/>
                    <w:rPr>
                      <w:rFonts w:hint="eastAsia" w:cs="宋体"/>
                      <w:sz w:val="21"/>
                      <w:szCs w:val="21"/>
                      <w:lang w:val="en-US" w:eastAsia="zh-CN"/>
                    </w:rPr>
                  </w:pPr>
                  <w:r>
                    <w:rPr>
                      <w:rFonts w:hint="eastAsia" w:cs="宋体"/>
                      <w:sz w:val="21"/>
                      <w:szCs w:val="21"/>
                      <w:lang w:val="en-US" w:eastAsia="zh-CN"/>
                    </w:rPr>
                    <w:t>1.5</w:t>
                  </w:r>
                </w:p>
              </w:tc>
            </w:tr>
            <w:tr w14:paraId="247F9997">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E836F">
                  <w:pPr>
                    <w:jc w:val="center"/>
                    <w:rPr>
                      <w:rFonts w:hint="eastAsia" w:cs="宋体"/>
                      <w:sz w:val="21"/>
                      <w:szCs w:val="21"/>
                      <w:lang w:val="en-US" w:eastAsia="zh-CN"/>
                    </w:rPr>
                  </w:pPr>
                  <w:r>
                    <w:rPr>
                      <w:rFonts w:hint="eastAsia" w:cs="宋体"/>
                      <w:sz w:val="21"/>
                      <w:szCs w:val="21"/>
                      <w:lang w:val="en-US" w:eastAsia="zh-CN"/>
                    </w:rPr>
                    <w:t>苯并[b]荧蒽</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583BE010">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0C0FBD54">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52DEE820">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78E26052">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19FE4">
                  <w:pPr>
                    <w:jc w:val="center"/>
                    <w:rPr>
                      <w:rFonts w:hint="eastAsia" w:cs="宋体"/>
                      <w:sz w:val="21"/>
                      <w:szCs w:val="21"/>
                      <w:lang w:val="en-US" w:eastAsia="zh-CN"/>
                    </w:rPr>
                  </w:pPr>
                  <w:r>
                    <w:rPr>
                      <w:rFonts w:hint="eastAsia" w:cs="宋体"/>
                      <w:sz w:val="21"/>
                      <w:szCs w:val="21"/>
                      <w:lang w:val="en-US" w:eastAsia="zh-CN"/>
                    </w:rPr>
                    <w:t>15</w:t>
                  </w:r>
                </w:p>
              </w:tc>
            </w:tr>
            <w:tr w14:paraId="764C119F">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3EC54">
                  <w:pPr>
                    <w:jc w:val="center"/>
                    <w:rPr>
                      <w:rFonts w:hint="eastAsia" w:cs="宋体"/>
                      <w:sz w:val="21"/>
                      <w:szCs w:val="21"/>
                      <w:lang w:val="en-US" w:eastAsia="zh-CN"/>
                    </w:rPr>
                  </w:pPr>
                  <w:r>
                    <w:rPr>
                      <w:rFonts w:hint="eastAsia" w:cs="宋体"/>
                      <w:sz w:val="21"/>
                      <w:szCs w:val="21"/>
                      <w:lang w:val="en-US" w:eastAsia="zh-CN"/>
                    </w:rPr>
                    <w:t>苯并[k]荧蒽</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31D8A6DA">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5F85D8F4">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2CE0E7BA">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650FFF1C">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EBC55">
                  <w:pPr>
                    <w:jc w:val="center"/>
                    <w:rPr>
                      <w:rFonts w:hint="eastAsia" w:cs="宋体"/>
                      <w:sz w:val="21"/>
                      <w:szCs w:val="21"/>
                      <w:lang w:val="en-US" w:eastAsia="zh-CN"/>
                    </w:rPr>
                  </w:pPr>
                  <w:r>
                    <w:rPr>
                      <w:rFonts w:hint="eastAsia" w:cs="宋体"/>
                      <w:sz w:val="21"/>
                      <w:szCs w:val="21"/>
                      <w:lang w:val="en-US" w:eastAsia="zh-CN"/>
                    </w:rPr>
                    <w:t>151</w:t>
                  </w:r>
                </w:p>
              </w:tc>
            </w:tr>
            <w:tr w14:paraId="1DB65911">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CEDA2">
                  <w:pPr>
                    <w:jc w:val="center"/>
                    <w:rPr>
                      <w:rFonts w:hint="eastAsia" w:cs="宋体"/>
                      <w:sz w:val="21"/>
                      <w:szCs w:val="21"/>
                      <w:lang w:val="en-US" w:eastAsia="zh-CN"/>
                    </w:rPr>
                  </w:pPr>
                  <w:r>
                    <w:rPr>
                      <w:rFonts w:hint="eastAsia" w:cs="宋体"/>
                      <w:sz w:val="21"/>
                      <w:szCs w:val="21"/>
                      <w:lang w:val="en-US" w:eastAsia="zh-CN"/>
                    </w:rPr>
                    <w:t>䓛</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0128BC6E">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12D1870E">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0B36D552">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0E60ABEC">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FF4FD">
                  <w:pPr>
                    <w:jc w:val="center"/>
                    <w:rPr>
                      <w:rFonts w:hint="eastAsia" w:cs="宋体"/>
                      <w:sz w:val="21"/>
                      <w:szCs w:val="21"/>
                      <w:lang w:val="en-US" w:eastAsia="zh-CN"/>
                    </w:rPr>
                  </w:pPr>
                  <w:r>
                    <w:rPr>
                      <w:rFonts w:hint="eastAsia" w:cs="宋体"/>
                      <w:sz w:val="21"/>
                      <w:szCs w:val="21"/>
                      <w:lang w:val="en-US" w:eastAsia="zh-CN"/>
                    </w:rPr>
                    <w:t>1293</w:t>
                  </w:r>
                </w:p>
              </w:tc>
            </w:tr>
            <w:tr w14:paraId="5553EAE0">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3A967">
                  <w:pPr>
                    <w:jc w:val="center"/>
                    <w:rPr>
                      <w:rFonts w:hint="eastAsia" w:cs="宋体"/>
                      <w:sz w:val="21"/>
                      <w:szCs w:val="21"/>
                      <w:lang w:val="en-US" w:eastAsia="zh-CN"/>
                    </w:rPr>
                  </w:pPr>
                  <w:r>
                    <w:rPr>
                      <w:rFonts w:hint="eastAsia" w:cs="宋体"/>
                      <w:sz w:val="21"/>
                      <w:szCs w:val="21"/>
                      <w:lang w:val="en-US" w:eastAsia="zh-CN"/>
                    </w:rPr>
                    <w:t>二苯并[a, h]蒽</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4E3F4F24">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6DCBECE5">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434BFEB5">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39E6ACCA">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14BC1">
                  <w:pPr>
                    <w:jc w:val="center"/>
                    <w:rPr>
                      <w:rFonts w:hint="eastAsia" w:cs="宋体"/>
                      <w:sz w:val="21"/>
                      <w:szCs w:val="21"/>
                      <w:lang w:val="en-US" w:eastAsia="zh-CN"/>
                    </w:rPr>
                  </w:pPr>
                  <w:r>
                    <w:rPr>
                      <w:rFonts w:hint="eastAsia" w:cs="宋体"/>
                      <w:sz w:val="21"/>
                      <w:szCs w:val="21"/>
                      <w:lang w:val="en-US" w:eastAsia="zh-CN"/>
                    </w:rPr>
                    <w:t>1.5</w:t>
                  </w:r>
                </w:p>
              </w:tc>
            </w:tr>
            <w:tr w14:paraId="1274C3E4">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68353">
                  <w:pPr>
                    <w:jc w:val="center"/>
                    <w:rPr>
                      <w:rFonts w:hint="eastAsia" w:cs="宋体"/>
                      <w:sz w:val="21"/>
                      <w:szCs w:val="21"/>
                      <w:lang w:val="en-US" w:eastAsia="zh-CN"/>
                    </w:rPr>
                  </w:pPr>
                  <w:r>
                    <w:rPr>
                      <w:rFonts w:hint="eastAsia" w:cs="宋体"/>
                      <w:sz w:val="21"/>
                      <w:szCs w:val="21"/>
                      <w:lang w:val="en-US" w:eastAsia="zh-CN"/>
                    </w:rPr>
                    <w:t>茚并[1,2,3-cd]芘</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6B23D592">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58C53E7E">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21FB5CBD">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4B0F28DA">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8FCBD">
                  <w:pPr>
                    <w:jc w:val="center"/>
                    <w:rPr>
                      <w:rFonts w:hint="eastAsia" w:cs="宋体"/>
                      <w:sz w:val="21"/>
                      <w:szCs w:val="21"/>
                      <w:lang w:val="en-US" w:eastAsia="zh-CN"/>
                    </w:rPr>
                  </w:pPr>
                  <w:r>
                    <w:rPr>
                      <w:rFonts w:hint="eastAsia" w:cs="宋体"/>
                      <w:sz w:val="21"/>
                      <w:szCs w:val="21"/>
                      <w:lang w:val="en-US" w:eastAsia="zh-CN"/>
                    </w:rPr>
                    <w:t>15</w:t>
                  </w:r>
                </w:p>
              </w:tc>
            </w:tr>
            <w:tr w14:paraId="6DE3CEF4">
              <w:tblPrEx>
                <w:tblCellMar>
                  <w:top w:w="0" w:type="dxa"/>
                  <w:left w:w="108" w:type="dxa"/>
                  <w:bottom w:w="0" w:type="dxa"/>
                  <w:right w:w="108" w:type="dxa"/>
                </w:tblCellMar>
              </w:tblPrEx>
              <w:trPr>
                <w:trHeight w:val="23" w:hRule="atLeast"/>
                <w:jc w:val="center"/>
              </w:trPr>
              <w:tc>
                <w:tcPr>
                  <w:tcW w:w="1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BC497">
                  <w:pPr>
                    <w:jc w:val="center"/>
                    <w:rPr>
                      <w:rFonts w:hint="eastAsia" w:cs="宋体"/>
                      <w:sz w:val="21"/>
                      <w:szCs w:val="21"/>
                      <w:lang w:val="en-US" w:eastAsia="zh-CN"/>
                    </w:rPr>
                  </w:pPr>
                  <w:r>
                    <w:rPr>
                      <w:rFonts w:hint="eastAsia" w:cs="宋体"/>
                      <w:sz w:val="21"/>
                      <w:szCs w:val="21"/>
                      <w:lang w:val="en-US" w:eastAsia="zh-CN"/>
                    </w:rPr>
                    <w:t>萘</w:t>
                  </w:r>
                </w:p>
              </w:tc>
              <w:tc>
                <w:tcPr>
                  <w:tcW w:w="674" w:type="pct"/>
                  <w:tcBorders>
                    <w:top w:val="single" w:color="000000" w:sz="4" w:space="0"/>
                    <w:left w:val="single" w:color="auto" w:sz="4" w:space="0"/>
                    <w:bottom w:val="single" w:color="000000" w:sz="4" w:space="0"/>
                    <w:right w:val="single" w:color="auto" w:sz="4" w:space="0"/>
                  </w:tcBorders>
                  <w:shd w:val="clear" w:color="auto" w:fill="auto"/>
                  <w:vAlign w:val="center"/>
                </w:tcPr>
                <w:p w14:paraId="154154A8">
                  <w:pPr>
                    <w:jc w:val="center"/>
                    <w:rPr>
                      <w:rFonts w:hint="eastAsia" w:cs="宋体"/>
                      <w:sz w:val="21"/>
                      <w:szCs w:val="21"/>
                      <w:lang w:val="en-US" w:eastAsia="zh-CN"/>
                    </w:rPr>
                  </w:pPr>
                  <w:r>
                    <w:rPr>
                      <w:rFonts w:hint="eastAsia" w:cs="宋体"/>
                      <w:sz w:val="21"/>
                      <w:szCs w:val="21"/>
                      <w:lang w:val="en-US" w:eastAsia="zh-CN"/>
                    </w:rPr>
                    <w:t>ND</w:t>
                  </w:r>
                </w:p>
              </w:tc>
              <w:tc>
                <w:tcPr>
                  <w:tcW w:w="805" w:type="pct"/>
                  <w:tcBorders>
                    <w:top w:val="single" w:color="000000" w:sz="4" w:space="0"/>
                    <w:left w:val="single" w:color="auto" w:sz="4" w:space="0"/>
                    <w:bottom w:val="single" w:color="000000" w:sz="4" w:space="0"/>
                    <w:right w:val="single" w:color="auto" w:sz="4" w:space="0"/>
                  </w:tcBorders>
                  <w:shd w:val="clear" w:color="auto" w:fill="auto"/>
                  <w:vAlign w:val="center"/>
                </w:tcPr>
                <w:p w14:paraId="06596722">
                  <w:pPr>
                    <w:jc w:val="center"/>
                    <w:rPr>
                      <w:rFonts w:hint="eastAsia" w:cs="宋体"/>
                      <w:sz w:val="21"/>
                      <w:szCs w:val="21"/>
                      <w:lang w:val="en-US" w:eastAsia="zh-CN"/>
                    </w:rPr>
                  </w:pPr>
                  <w:r>
                    <w:rPr>
                      <w:rFonts w:hint="eastAsia" w:cs="宋体"/>
                      <w:sz w:val="21"/>
                      <w:szCs w:val="21"/>
                      <w:lang w:val="en-US" w:eastAsia="zh-CN"/>
                    </w:rPr>
                    <w:t>ND</w:t>
                  </w:r>
                </w:p>
              </w:tc>
              <w:tc>
                <w:tcPr>
                  <w:tcW w:w="675" w:type="pct"/>
                  <w:tcBorders>
                    <w:top w:val="single" w:color="000000" w:sz="4" w:space="0"/>
                    <w:left w:val="single" w:color="auto" w:sz="4" w:space="0"/>
                    <w:bottom w:val="single" w:color="000000" w:sz="4" w:space="0"/>
                    <w:right w:val="single" w:color="000000" w:sz="4" w:space="0"/>
                  </w:tcBorders>
                  <w:shd w:val="clear" w:color="auto" w:fill="auto"/>
                  <w:vAlign w:val="center"/>
                </w:tcPr>
                <w:p w14:paraId="2ED63C60">
                  <w:pPr>
                    <w:jc w:val="center"/>
                    <w:rPr>
                      <w:rFonts w:hint="eastAsia" w:cs="宋体"/>
                      <w:sz w:val="21"/>
                      <w:szCs w:val="21"/>
                      <w:lang w:val="en-US" w:eastAsia="zh-CN"/>
                    </w:rPr>
                  </w:pPr>
                  <w:r>
                    <w:rPr>
                      <w:rFonts w:hint="eastAsia" w:cs="宋体"/>
                      <w:sz w:val="21"/>
                      <w:szCs w:val="21"/>
                      <w:lang w:val="en-US" w:eastAsia="zh-CN"/>
                    </w:rPr>
                    <w:t>ND</w:t>
                  </w:r>
                </w:p>
              </w:tc>
              <w:tc>
                <w:tcPr>
                  <w:tcW w:w="568" w:type="pct"/>
                  <w:tcBorders>
                    <w:top w:val="single" w:color="000000" w:sz="4" w:space="0"/>
                    <w:left w:val="single" w:color="auto" w:sz="4" w:space="0"/>
                    <w:bottom w:val="single" w:color="000000" w:sz="4" w:space="0"/>
                    <w:right w:val="single" w:color="auto" w:sz="4" w:space="0"/>
                  </w:tcBorders>
                  <w:shd w:val="clear" w:color="auto" w:fill="auto"/>
                  <w:vAlign w:val="center"/>
                </w:tcPr>
                <w:p w14:paraId="6396EC79">
                  <w:pPr>
                    <w:jc w:val="center"/>
                    <w:rPr>
                      <w:rFonts w:hint="eastAsia" w:cs="宋体"/>
                      <w:sz w:val="21"/>
                      <w:szCs w:val="21"/>
                      <w:lang w:val="en-US" w:eastAsia="zh-CN"/>
                    </w:rPr>
                  </w:pPr>
                  <w:r>
                    <w:rPr>
                      <w:rFonts w:hint="eastAsia" w:cs="宋体"/>
                      <w:sz w:val="21"/>
                      <w:szCs w:val="21"/>
                      <w:lang w:val="en-US" w:eastAsia="zh-CN"/>
                    </w:rPr>
                    <w:t>/</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62344">
                  <w:pPr>
                    <w:jc w:val="center"/>
                    <w:rPr>
                      <w:rFonts w:hint="eastAsia" w:cs="宋体"/>
                      <w:sz w:val="21"/>
                      <w:szCs w:val="21"/>
                      <w:lang w:val="en-US" w:eastAsia="zh-CN"/>
                    </w:rPr>
                  </w:pPr>
                  <w:r>
                    <w:rPr>
                      <w:rFonts w:hint="eastAsia" w:cs="宋体"/>
                      <w:sz w:val="21"/>
                      <w:szCs w:val="21"/>
                      <w:lang w:val="en-US" w:eastAsia="zh-CN"/>
                    </w:rPr>
                    <w:t>70</w:t>
                  </w:r>
                </w:p>
              </w:tc>
            </w:tr>
            <w:tr w14:paraId="0262BC03">
              <w:tblPrEx>
                <w:tblCellMar>
                  <w:top w:w="0" w:type="dxa"/>
                  <w:left w:w="108" w:type="dxa"/>
                  <w:bottom w:w="0" w:type="dxa"/>
                  <w:right w:w="108" w:type="dxa"/>
                </w:tblCellMar>
              </w:tblPrEx>
              <w:trPr>
                <w:trHeight w:val="23"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ED59FDF">
                  <w:pPr>
                    <w:jc w:val="left"/>
                    <w:rPr>
                      <w:rFonts w:hint="eastAsia" w:cs="宋体"/>
                      <w:sz w:val="21"/>
                      <w:szCs w:val="21"/>
                      <w:lang w:val="en-US" w:eastAsia="zh-CN"/>
                    </w:rPr>
                  </w:pPr>
                  <w:r>
                    <w:rPr>
                      <w:rFonts w:hint="eastAsia" w:cs="宋体"/>
                      <w:sz w:val="21"/>
                      <w:szCs w:val="21"/>
                      <w:lang w:val="en-US" w:eastAsia="zh-CN"/>
                    </w:rPr>
                    <w:t>备注： “ND”表示低于检出限。</w:t>
                  </w:r>
                </w:p>
              </w:tc>
            </w:tr>
          </w:tbl>
          <w:p w14:paraId="56766B0B">
            <w:pPr>
              <w:spacing w:line="360" w:lineRule="auto"/>
              <w:ind w:firstLine="480" w:firstLineChars="200"/>
              <w:rPr>
                <w:rFonts w:hint="default" w:cs="Times New Roman"/>
                <w:color w:val="auto"/>
                <w:sz w:val="24"/>
                <w:lang w:eastAsia="zh-CN"/>
              </w:rPr>
            </w:pPr>
            <w:r>
              <w:rPr>
                <w:rFonts w:hint="default" w:cs="Times New Roman"/>
                <w:color w:val="auto"/>
                <w:sz w:val="24"/>
                <w:lang w:eastAsia="zh-CN"/>
              </w:rPr>
              <w:t>现状监测结果表明，开发区区域内土壤各监测点各监测因子均满足《土壤环境质量 建设用地土壤污染风险管控标准（试行）》（GB</w:t>
            </w:r>
            <w:r>
              <w:rPr>
                <w:rFonts w:hint="eastAsia" w:cs="Times New Roman"/>
                <w:color w:val="auto"/>
                <w:sz w:val="24"/>
                <w:lang w:val="en-US" w:eastAsia="zh-CN"/>
              </w:rPr>
              <w:t xml:space="preserve"> </w:t>
            </w:r>
            <w:r>
              <w:rPr>
                <w:rFonts w:hint="default" w:cs="Times New Roman"/>
                <w:color w:val="auto"/>
                <w:sz w:val="24"/>
                <w:lang w:eastAsia="zh-CN"/>
              </w:rPr>
              <w:t>36600-2018）中相应用地筛选值</w:t>
            </w:r>
            <w:r>
              <w:rPr>
                <w:rFonts w:hint="eastAsia" w:cs="Times New Roman"/>
                <w:color w:val="auto"/>
                <w:sz w:val="24"/>
                <w:lang w:eastAsia="zh-CN"/>
              </w:rPr>
              <w:t>要求</w:t>
            </w:r>
            <w:r>
              <w:rPr>
                <w:rFonts w:hint="default" w:cs="Times New Roman"/>
                <w:color w:val="auto"/>
                <w:sz w:val="24"/>
                <w:lang w:eastAsia="zh-CN"/>
              </w:rPr>
              <w:t>，区外农用地监测点各监测因子均满足《土壤环境质量 农用地土壤污染风险管控标准（试行</w:t>
            </w:r>
            <w:r>
              <w:rPr>
                <w:rFonts w:hint="eastAsia" w:cs="Times New Roman"/>
                <w:color w:val="auto"/>
                <w:sz w:val="24"/>
                <w:lang w:eastAsia="zh-CN"/>
              </w:rPr>
              <w:t>）</w:t>
            </w:r>
            <w:r>
              <w:rPr>
                <w:rFonts w:hint="default" w:cs="Times New Roman"/>
                <w:color w:val="auto"/>
                <w:sz w:val="24"/>
                <w:lang w:eastAsia="zh-CN"/>
              </w:rPr>
              <w:t>》）（GB 15618-2018）中相应用地筛选值</w:t>
            </w:r>
            <w:r>
              <w:rPr>
                <w:rFonts w:hint="eastAsia" w:cs="Times New Roman"/>
                <w:color w:val="auto"/>
                <w:sz w:val="24"/>
                <w:lang w:eastAsia="zh-CN"/>
              </w:rPr>
              <w:t>要求</w:t>
            </w:r>
            <w:r>
              <w:rPr>
                <w:rFonts w:hint="default" w:cs="Times New Roman"/>
                <w:color w:val="auto"/>
                <w:sz w:val="24"/>
                <w:lang w:eastAsia="zh-CN"/>
              </w:rPr>
              <w:t>。</w:t>
            </w:r>
          </w:p>
          <w:p w14:paraId="65EE8C79">
            <w:pPr>
              <w:widowControl/>
              <w:adjustRightInd w:val="0"/>
              <w:snapToGrid w:val="0"/>
              <w:spacing w:line="360" w:lineRule="auto"/>
              <w:ind w:firstLine="482" w:firstLineChars="200"/>
              <w:jc w:val="both"/>
              <w:rPr>
                <w:rFonts w:hint="eastAsia"/>
                <w:b/>
                <w:bCs/>
                <w:color w:val="auto"/>
                <w:sz w:val="24"/>
                <w:highlight w:val="none"/>
              </w:rPr>
            </w:pPr>
            <w:r>
              <w:rPr>
                <w:rFonts w:hint="eastAsia"/>
                <w:b/>
                <w:bCs/>
                <w:color w:val="auto"/>
                <w:sz w:val="24"/>
                <w:highlight w:val="none"/>
              </w:rPr>
              <w:t>五、生态环境质量</w:t>
            </w:r>
          </w:p>
          <w:p w14:paraId="7308B3FB">
            <w:pPr>
              <w:adjustRightInd w:val="0"/>
              <w:snapToGrid w:val="0"/>
              <w:spacing w:line="360" w:lineRule="auto"/>
              <w:ind w:firstLine="480" w:firstLineChars="200"/>
              <w:jc w:val="both"/>
              <w:rPr>
                <w:rFonts w:hint="default" w:ascii="Times New Roman" w:hAnsi="Times New Roman" w:eastAsia="宋体" w:cs="Times New Roman"/>
                <w:color w:val="auto"/>
                <w:kern w:val="0"/>
                <w:sz w:val="24"/>
                <w:szCs w:val="20"/>
                <w:lang w:val="en-US" w:eastAsia="zh-CN" w:bidi="ar-SA"/>
              </w:rPr>
            </w:pPr>
            <w:r>
              <w:rPr>
                <w:rFonts w:hint="eastAsia" w:ascii="Times New Roman" w:hAnsi="Times New Roman" w:eastAsia="宋体" w:cs="宋体"/>
                <w:color w:val="000000"/>
                <w:kern w:val="0"/>
                <w:sz w:val="24"/>
                <w:szCs w:val="24"/>
              </w:rPr>
              <w:t>评价区位于淮北冲积平原区，地势平坦，以农田生态系统为主，植被类型以人工植被为主，植物种类均为当地广泛分布的常见物种，未见国家级和省级保护的珍惜野生植物分布的记录。当地野生动物种类较少，多为田间野生动物，未见国家级和省级保护的濒危野生动物分布的记录。主要土壤类型为砂浆黑土、黄褐土、潮土和水稻土，土壤侵蚀以水蚀为主，土壤侵蚀范围较小。农田开发历史悠久，农田生态系统基本稳定，土地利用以农田为主，大部分为基本农田，主要农作物是小麦、水稻、大豆等，</w:t>
            </w:r>
            <w:r>
              <w:rPr>
                <w:rFonts w:hint="eastAsia" w:ascii="Times New Roman" w:hAnsi="Times New Roman" w:eastAsia="宋体" w:cs="Times New Roman"/>
                <w:color w:val="auto"/>
                <w:kern w:val="0"/>
                <w:sz w:val="24"/>
                <w:szCs w:val="20"/>
                <w:lang w:val="en-US" w:eastAsia="zh-CN" w:bidi="ar-SA"/>
              </w:rPr>
              <w:t>农作物单产较低。</w:t>
            </w:r>
          </w:p>
          <w:p w14:paraId="140860A9">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eastAsia="宋体" w:cs="Times New Roman"/>
                <w:color w:val="auto"/>
                <w:kern w:val="0"/>
                <w:sz w:val="24"/>
                <w:szCs w:val="20"/>
                <w:lang w:val="en-US" w:eastAsia="zh-CN" w:bidi="ar-SA"/>
              </w:rPr>
              <w:t>本项目位于</w:t>
            </w:r>
            <w:r>
              <w:rPr>
                <w:rFonts w:hint="eastAsia" w:cs="Times New Roman"/>
                <w:color w:val="auto"/>
                <w:kern w:val="0"/>
                <w:sz w:val="24"/>
                <w:szCs w:val="20"/>
                <w:lang w:val="en-US" w:eastAsia="zh-CN" w:bidi="ar-SA"/>
              </w:rPr>
              <w:t>淮北市杜集区东山路202号（淮北众城水泥有限责任公司院内）</w:t>
            </w:r>
            <w:r>
              <w:rPr>
                <w:rFonts w:hint="default" w:ascii="Times New Roman" w:hAnsi="Times New Roman" w:eastAsia="宋体" w:cs="Times New Roman"/>
                <w:color w:val="auto"/>
                <w:kern w:val="0"/>
                <w:sz w:val="24"/>
                <w:szCs w:val="20"/>
                <w:lang w:val="en-US" w:eastAsia="zh-CN" w:bidi="ar-SA"/>
              </w:rPr>
              <w:t>，用地范围内不涉及野生保护动植物等生态环境保护目标。项目周边500</w:t>
            </w:r>
            <w:r>
              <w:rPr>
                <w:rFonts w:hint="eastAsia" w:cs="Times New Roman"/>
                <w:color w:val="auto"/>
                <w:kern w:val="0"/>
                <w:sz w:val="24"/>
                <w:szCs w:val="20"/>
                <w:lang w:val="en-US" w:eastAsia="zh-CN" w:bidi="ar-SA"/>
              </w:rPr>
              <w:t>米</w:t>
            </w:r>
            <w:r>
              <w:rPr>
                <w:rFonts w:hint="default" w:ascii="Times New Roman" w:hAnsi="Times New Roman" w:eastAsia="宋体" w:cs="Times New Roman"/>
                <w:color w:val="auto"/>
                <w:kern w:val="0"/>
                <w:sz w:val="24"/>
                <w:szCs w:val="20"/>
                <w:lang w:val="en-US" w:eastAsia="zh-CN" w:bidi="ar-SA"/>
              </w:rPr>
              <w:t>范围内未发现列入《国家重点保护野生植物名录》和《国家重点保护野生动物名录》的动植物。本项目无需开展生态环境现状调查。</w:t>
            </w:r>
          </w:p>
        </w:tc>
      </w:tr>
      <w:tr w14:paraId="4C7185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456" w:type="dxa"/>
            <w:vAlign w:val="center"/>
          </w:tcPr>
          <w:p w14:paraId="07CEC327">
            <w:pPr>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sz w:val="24"/>
                <w:szCs w:val="24"/>
              </w:rPr>
              <w:t>环境保护目标</w:t>
            </w:r>
          </w:p>
        </w:tc>
        <w:tc>
          <w:tcPr>
            <w:tcW w:w="9008" w:type="dxa"/>
            <w:vAlign w:val="center"/>
          </w:tcPr>
          <w:p w14:paraId="2301C3A6">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本项目位于</w:t>
            </w:r>
            <w:r>
              <w:rPr>
                <w:rFonts w:hint="eastAsia" w:cs="Times New Roman"/>
                <w:color w:val="auto"/>
                <w:sz w:val="24"/>
                <w:highlight w:val="none"/>
                <w:lang w:eastAsia="zh-CN"/>
              </w:rPr>
              <w:t>淮北市杜集区东山路202号（淮北众城水泥有限责任公司院内）</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eastAsia="zh-CN"/>
              </w:rPr>
              <w:t>经</w:t>
            </w:r>
            <w:r>
              <w:rPr>
                <w:rFonts w:hint="default" w:ascii="Times New Roman" w:hAnsi="Times New Roman" w:cs="Times New Roman"/>
                <w:color w:val="auto"/>
                <w:sz w:val="24"/>
                <w:highlight w:val="none"/>
              </w:rPr>
              <w:t>现场勘查，评价范围内无自然保护区、风景旅游点和文物古迹等需要特殊保护的环境敏感对象。总体上不因本项目的实施而改变区域环境现有功能</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根据《</w:t>
            </w:r>
            <w:bookmarkStart w:id="130" w:name="OLE_LINK145"/>
            <w:r>
              <w:rPr>
                <w:rFonts w:hint="eastAsia" w:cs="Times New Roman"/>
                <w:color w:val="auto"/>
                <w:sz w:val="24"/>
                <w:highlight w:val="none"/>
                <w:lang w:val="en-US" w:eastAsia="zh-CN"/>
              </w:rPr>
              <w:t>建设项目环境影响报告表编制技术指南</w:t>
            </w:r>
            <w:bookmarkEnd w:id="130"/>
            <w:r>
              <w:rPr>
                <w:rFonts w:hint="eastAsia" w:cs="Times New Roman"/>
                <w:color w:val="auto"/>
                <w:sz w:val="24"/>
                <w:highlight w:val="none"/>
                <w:lang w:val="en-US" w:eastAsia="zh-CN"/>
              </w:rPr>
              <w:t>（污染影响类）（试行）》中关于环境</w:t>
            </w:r>
            <w:r>
              <w:rPr>
                <w:rFonts w:hint="default" w:ascii="Times New Roman" w:hAnsi="Times New Roman" w:cs="Times New Roman"/>
                <w:color w:val="auto"/>
                <w:sz w:val="24"/>
                <w:highlight w:val="none"/>
                <w:lang w:val="en-US" w:eastAsia="zh-CN"/>
              </w:rPr>
              <w:t>保护</w:t>
            </w:r>
            <w:r>
              <w:rPr>
                <w:rFonts w:hint="eastAsia" w:cs="Times New Roman"/>
                <w:color w:val="auto"/>
                <w:sz w:val="24"/>
                <w:highlight w:val="none"/>
                <w:lang w:val="en-US" w:eastAsia="zh-CN"/>
              </w:rPr>
              <w:t>目标的规定。</w:t>
            </w:r>
          </w:p>
          <w:p w14:paraId="55AC9D9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（1）环境空气</w:t>
            </w:r>
          </w:p>
          <w:p w14:paraId="613654C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cs="Times New Roman"/>
                <w:color w:val="auto"/>
                <w:sz w:val="24"/>
                <w:highlight w:val="none"/>
                <w:lang w:val="en-US" w:eastAsia="zh-CN"/>
              </w:rPr>
            </w:pPr>
            <w:r>
              <w:rPr>
                <w:rFonts w:hint="eastAsia" w:cs="Times New Roman"/>
                <w:color w:val="auto"/>
                <w:sz w:val="24"/>
                <w:highlight w:val="none"/>
                <w:lang w:eastAsia="zh-CN"/>
              </w:rPr>
              <w:t>项目厂界外</w:t>
            </w:r>
            <w:r>
              <w:rPr>
                <w:rFonts w:hint="eastAsia" w:cs="Times New Roman"/>
                <w:color w:val="auto"/>
                <w:sz w:val="24"/>
                <w:highlight w:val="none"/>
                <w:lang w:val="en-US" w:eastAsia="zh-CN"/>
              </w:rPr>
              <w:t>500m范围内无自然保护区、风景名胜区、居住区、文化区和农村地区中人群较集中的区域。大气环境执行《环境空气质量标准》（GB 3095-2012）及其2018年修改单中二级标准。</w:t>
            </w:r>
          </w:p>
          <w:p w14:paraId="2AAC905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（2）地下水环境</w:t>
            </w:r>
          </w:p>
          <w:p w14:paraId="07C19E9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highlight w:val="none"/>
              </w:rPr>
            </w:pPr>
            <w:bookmarkStart w:id="131" w:name="OLE_LINK148"/>
            <w:r>
              <w:rPr>
                <w:rFonts w:hint="default" w:ascii="Times New Roman" w:hAnsi="Times New Roman" w:cs="Times New Roman"/>
                <w:color w:val="auto"/>
                <w:sz w:val="24"/>
                <w:highlight w:val="none"/>
              </w:rPr>
              <w:t>项目厂界外500米范围内无地下水集中式饮用水水源和热水、矿泉水、温泉等特殊地下水资源</w:t>
            </w:r>
            <w:bookmarkEnd w:id="131"/>
            <w:r>
              <w:rPr>
                <w:rFonts w:hint="default" w:ascii="Times New Roman" w:hAnsi="Times New Roman" w:eastAsia="宋体" w:cs="Times New Roman"/>
                <w:color w:val="auto"/>
                <w:sz w:val="24"/>
                <w:highlight w:val="none"/>
              </w:rPr>
              <w:t>。区域地下水环境执行《地下水质量标准》（GB/T</w:t>
            </w:r>
            <w:r>
              <w:rPr>
                <w:rFonts w:hint="eastAsia"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14848-2017）中的Ⅲ类标准。</w:t>
            </w:r>
          </w:p>
          <w:p w14:paraId="5AB90A7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（3）声环境</w:t>
            </w:r>
          </w:p>
          <w:p w14:paraId="1E0F1154">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项目所在地及进场道路两侧50米范围内无声环境敏</w:t>
            </w:r>
            <w:r>
              <w:rPr>
                <w:rFonts w:hint="default" w:ascii="Times New Roman" w:hAnsi="Times New Roman" w:eastAsia="宋体" w:cs="Times New Roman"/>
                <w:color w:val="auto"/>
                <w:sz w:val="24"/>
                <w:highlight w:val="none"/>
              </w:rPr>
              <w:t>感目标。区域声环境质量执行《声环境质量标准》</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GB</w:t>
            </w:r>
            <w:r>
              <w:rPr>
                <w:rFonts w:hint="eastAsia"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3096-2008</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中的</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shd w:val="clear" w:color="auto" w:fill="auto"/>
              </w:rPr>
              <w:t>类区标准</w:t>
            </w:r>
            <w:r>
              <w:rPr>
                <w:rFonts w:hint="default" w:ascii="Times New Roman" w:hAnsi="Times New Roman" w:eastAsia="宋体" w:cs="Times New Roman"/>
                <w:color w:val="auto"/>
                <w:sz w:val="24"/>
                <w:highlight w:val="none"/>
              </w:rPr>
              <w:t>。</w:t>
            </w:r>
          </w:p>
          <w:p w14:paraId="53D79E50">
            <w:pPr>
              <w:keepNext w:val="0"/>
              <w:keepLines w:val="0"/>
              <w:pageBreakBefore w:val="0"/>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（4）地表水环境</w:t>
            </w:r>
          </w:p>
          <w:p w14:paraId="1880C107">
            <w:pPr>
              <w:keepNext w:val="0"/>
              <w:keepLines w:val="0"/>
              <w:pageBreakBefore w:val="0"/>
              <w:kinsoku/>
              <w:wordWrap/>
              <w:overflowPunct/>
              <w:topLinePunct w:val="0"/>
              <w:autoSpaceDE/>
              <w:autoSpaceDN/>
              <w:bidi w:val="0"/>
              <w:adjustRightInd w:val="0"/>
              <w:snapToGrid w:val="0"/>
              <w:spacing w:before="0" w:after="0" w:line="360" w:lineRule="auto"/>
              <w:ind w:right="0" w:firstLine="480" w:firstLineChars="200"/>
              <w:textAlignment w:val="auto"/>
              <w:rPr>
                <w:color w:val="auto"/>
                <w:sz w:val="24"/>
                <w:szCs w:val="24"/>
                <w:highlight w:val="none"/>
              </w:rPr>
            </w:pPr>
            <w:r>
              <w:rPr>
                <w:rFonts w:hint="default" w:ascii="Times New Roman" w:hAnsi="Times New Roman" w:cs="Times New Roman"/>
                <w:color w:val="auto"/>
                <w:sz w:val="24"/>
                <w:szCs w:val="24"/>
                <w:highlight w:val="none"/>
              </w:rPr>
              <w:t>本项目地表水</w:t>
            </w:r>
            <w:r>
              <w:rPr>
                <w:rFonts w:hint="eastAsia" w:ascii="Times New Roman" w:hAnsi="Times New Roman" w:cs="Times New Roman"/>
                <w:color w:val="auto"/>
                <w:sz w:val="24"/>
                <w:szCs w:val="24"/>
                <w:highlight w:val="none"/>
                <w:lang w:val="en-US" w:eastAsia="zh-CN"/>
              </w:rPr>
              <w:t>岱河</w:t>
            </w:r>
            <w:r>
              <w:rPr>
                <w:rFonts w:hint="eastAsia" w:cs="Times New Roman"/>
                <w:color w:val="auto"/>
                <w:sz w:val="24"/>
                <w:szCs w:val="24"/>
                <w:highlight w:val="none"/>
                <w:lang w:val="en-US" w:eastAsia="zh-CN"/>
              </w:rPr>
              <w:t>、萧濉新河、龙河</w:t>
            </w:r>
            <w:r>
              <w:rPr>
                <w:rFonts w:hint="default" w:ascii="Times New Roman" w:hAnsi="Times New Roman" w:cs="Times New Roman"/>
                <w:color w:val="auto"/>
                <w:sz w:val="24"/>
                <w:szCs w:val="24"/>
                <w:highlight w:val="none"/>
              </w:rPr>
              <w:t>水质执行《地表水环境质量标准》（GB</w:t>
            </w: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3838</w:t>
            </w:r>
            <w:r>
              <w:rPr>
                <w:color w:val="auto"/>
                <w:sz w:val="24"/>
                <w:szCs w:val="24"/>
                <w:highlight w:val="none"/>
              </w:rPr>
              <w:t>-2002）中</w:t>
            </w:r>
            <w:r>
              <w:rPr>
                <w:rFonts w:hint="eastAsia" w:ascii="宋体" w:hAnsi="宋体" w:eastAsia="宋体" w:cs="宋体"/>
                <w:color w:val="auto"/>
                <w:sz w:val="24"/>
                <w:szCs w:val="24"/>
                <w:highlight w:val="none"/>
              </w:rPr>
              <w:t>Ⅳ</w:t>
            </w:r>
            <w:r>
              <w:rPr>
                <w:color w:val="auto"/>
                <w:sz w:val="24"/>
                <w:szCs w:val="24"/>
                <w:highlight w:val="none"/>
              </w:rPr>
              <w:t>类水质标准。</w:t>
            </w:r>
          </w:p>
          <w:p w14:paraId="086FCA67">
            <w:pPr>
              <w:pStyle w:val="3"/>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表3-</w:t>
            </w:r>
            <w:r>
              <w:rPr>
                <w:rFonts w:hint="eastAsia" w:ascii="Times New Roman" w:hAnsi="Times New Roman" w:cs="Times New Roman"/>
                <w:color w:val="auto"/>
                <w:sz w:val="21"/>
                <w:szCs w:val="21"/>
                <w:lang w:val="en-US" w:eastAsia="zh-CN"/>
              </w:rPr>
              <w:t xml:space="preserve">10 </w:t>
            </w:r>
            <w:r>
              <w:rPr>
                <w:rFonts w:hint="eastAsia" w:ascii="Times New Roman" w:hAnsi="Times New Roman" w:eastAsia="宋体" w:cs="Times New Roman"/>
                <w:color w:val="auto"/>
                <w:sz w:val="21"/>
                <w:szCs w:val="21"/>
                <w:lang w:val="en-US" w:eastAsia="zh-CN"/>
              </w:rPr>
              <w:t>环境保护目标一览表</w:t>
            </w:r>
          </w:p>
          <w:tbl>
            <w:tblPr>
              <w:tblStyle w:val="29"/>
              <w:tblW w:w="8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17"/>
              <w:gridCol w:w="854"/>
              <w:gridCol w:w="1108"/>
              <w:gridCol w:w="946"/>
              <w:gridCol w:w="2261"/>
              <w:gridCol w:w="1074"/>
              <w:gridCol w:w="1101"/>
            </w:tblGrid>
            <w:tr w14:paraId="7F4A7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Merge w:val="restart"/>
                  <w:tcBorders>
                    <w:tl2br w:val="nil"/>
                    <w:tr2bl w:val="nil"/>
                  </w:tcBorders>
                  <w:noWrap w:val="0"/>
                  <w:vAlign w:val="center"/>
                </w:tcPr>
                <w:p w14:paraId="11EC1E05">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类别</w:t>
                  </w:r>
                </w:p>
              </w:tc>
              <w:tc>
                <w:tcPr>
                  <w:tcW w:w="1671" w:type="dxa"/>
                  <w:gridSpan w:val="2"/>
                  <w:tcBorders>
                    <w:tl2br w:val="nil"/>
                    <w:tr2bl w:val="nil"/>
                  </w:tcBorders>
                  <w:noWrap w:val="0"/>
                  <w:vAlign w:val="center"/>
                </w:tcPr>
                <w:p w14:paraId="5DBE9A2F">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坐标</w:t>
                  </w:r>
                </w:p>
              </w:tc>
              <w:tc>
                <w:tcPr>
                  <w:tcW w:w="1108" w:type="dxa"/>
                  <w:vMerge w:val="restart"/>
                  <w:tcBorders>
                    <w:tl2br w:val="nil"/>
                    <w:tr2bl w:val="nil"/>
                  </w:tcBorders>
                  <w:noWrap w:val="0"/>
                  <w:vAlign w:val="center"/>
                </w:tcPr>
                <w:p w14:paraId="34F366F1">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保护对象</w:t>
                  </w:r>
                </w:p>
              </w:tc>
              <w:tc>
                <w:tcPr>
                  <w:tcW w:w="946" w:type="dxa"/>
                  <w:vMerge w:val="restart"/>
                  <w:tcBorders>
                    <w:tl2br w:val="nil"/>
                    <w:tr2bl w:val="nil"/>
                  </w:tcBorders>
                  <w:noWrap w:val="0"/>
                  <w:vAlign w:val="center"/>
                </w:tcPr>
                <w:p w14:paraId="283CB54D">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保护内容</w:t>
                  </w:r>
                </w:p>
              </w:tc>
              <w:tc>
                <w:tcPr>
                  <w:tcW w:w="2261" w:type="dxa"/>
                  <w:vMerge w:val="restart"/>
                  <w:tcBorders>
                    <w:tl2br w:val="nil"/>
                    <w:tr2bl w:val="nil"/>
                  </w:tcBorders>
                  <w:noWrap w:val="0"/>
                  <w:vAlign w:val="center"/>
                </w:tcPr>
                <w:p w14:paraId="049CE693">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环境功能区</w:t>
                  </w:r>
                </w:p>
              </w:tc>
              <w:tc>
                <w:tcPr>
                  <w:tcW w:w="1074" w:type="dxa"/>
                  <w:vMerge w:val="restart"/>
                  <w:tcBorders>
                    <w:tl2br w:val="nil"/>
                    <w:tr2bl w:val="nil"/>
                  </w:tcBorders>
                  <w:noWrap w:val="0"/>
                  <w:vAlign w:val="center"/>
                </w:tcPr>
                <w:p w14:paraId="3E0987A2">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相对厂址方位</w:t>
                  </w:r>
                </w:p>
              </w:tc>
              <w:tc>
                <w:tcPr>
                  <w:tcW w:w="1101" w:type="dxa"/>
                  <w:vMerge w:val="restart"/>
                  <w:tcBorders>
                    <w:tl2br w:val="nil"/>
                    <w:tr2bl w:val="nil"/>
                  </w:tcBorders>
                  <w:noWrap w:val="0"/>
                  <w:vAlign w:val="center"/>
                </w:tcPr>
                <w:p w14:paraId="0C6E449A">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相对</w:t>
                  </w:r>
                  <w:r>
                    <w:rPr>
                      <w:rFonts w:hint="default" w:ascii="Times New Roman" w:hAnsi="Times New Roman" w:eastAsia="宋体" w:cs="Times New Roman"/>
                      <w:color w:val="auto"/>
                      <w:kern w:val="0"/>
                      <w:sz w:val="21"/>
                      <w:szCs w:val="21"/>
                      <w:highlight w:val="none"/>
                      <w:lang w:eastAsia="zh-CN"/>
                    </w:rPr>
                    <w:t>本项目</w:t>
                  </w:r>
                  <w:r>
                    <w:rPr>
                      <w:rFonts w:hint="default" w:ascii="Times New Roman" w:hAnsi="Times New Roman" w:eastAsia="宋体" w:cs="Times New Roman"/>
                      <w:color w:val="auto"/>
                      <w:kern w:val="0"/>
                      <w:sz w:val="21"/>
                      <w:szCs w:val="21"/>
                      <w:highlight w:val="none"/>
                    </w:rPr>
                    <w:t>距离/m</w:t>
                  </w:r>
                </w:p>
              </w:tc>
            </w:tr>
            <w:tr w14:paraId="28D32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Merge w:val="continue"/>
                  <w:tcBorders>
                    <w:tl2br w:val="nil"/>
                    <w:tr2bl w:val="nil"/>
                  </w:tcBorders>
                  <w:noWrap w:val="0"/>
                  <w:vAlign w:val="center"/>
                </w:tcPr>
                <w:p w14:paraId="6CB7EDDD">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b/>
                      <w:bCs/>
                      <w:color w:val="auto"/>
                      <w:kern w:val="0"/>
                      <w:sz w:val="21"/>
                      <w:szCs w:val="21"/>
                      <w:highlight w:val="none"/>
                    </w:rPr>
                  </w:pPr>
                </w:p>
              </w:tc>
              <w:tc>
                <w:tcPr>
                  <w:tcW w:w="817" w:type="dxa"/>
                  <w:tcBorders>
                    <w:tl2br w:val="nil"/>
                    <w:tr2bl w:val="nil"/>
                  </w:tcBorders>
                  <w:noWrap w:val="0"/>
                  <w:vAlign w:val="center"/>
                </w:tcPr>
                <w:p w14:paraId="4AB92623">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经度</w:t>
                  </w:r>
                </w:p>
              </w:tc>
              <w:tc>
                <w:tcPr>
                  <w:tcW w:w="854" w:type="dxa"/>
                  <w:tcBorders>
                    <w:tl2br w:val="nil"/>
                    <w:tr2bl w:val="nil"/>
                  </w:tcBorders>
                  <w:noWrap w:val="0"/>
                  <w:vAlign w:val="center"/>
                </w:tcPr>
                <w:p w14:paraId="726A4312">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纬度</w:t>
                  </w:r>
                </w:p>
              </w:tc>
              <w:tc>
                <w:tcPr>
                  <w:tcW w:w="1108" w:type="dxa"/>
                  <w:vMerge w:val="continue"/>
                  <w:tcBorders>
                    <w:tl2br w:val="nil"/>
                    <w:tr2bl w:val="nil"/>
                  </w:tcBorders>
                  <w:noWrap w:val="0"/>
                  <w:vAlign w:val="center"/>
                </w:tcPr>
                <w:p w14:paraId="62C4B666">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b/>
                      <w:bCs/>
                      <w:color w:val="auto"/>
                      <w:kern w:val="0"/>
                      <w:sz w:val="21"/>
                      <w:szCs w:val="21"/>
                      <w:highlight w:val="none"/>
                    </w:rPr>
                  </w:pPr>
                </w:p>
              </w:tc>
              <w:tc>
                <w:tcPr>
                  <w:tcW w:w="946" w:type="dxa"/>
                  <w:vMerge w:val="continue"/>
                  <w:tcBorders>
                    <w:tl2br w:val="nil"/>
                    <w:tr2bl w:val="nil"/>
                  </w:tcBorders>
                  <w:noWrap w:val="0"/>
                  <w:vAlign w:val="center"/>
                </w:tcPr>
                <w:p w14:paraId="18C804D9">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b/>
                      <w:bCs/>
                      <w:color w:val="auto"/>
                      <w:kern w:val="0"/>
                      <w:sz w:val="21"/>
                      <w:szCs w:val="21"/>
                      <w:highlight w:val="none"/>
                    </w:rPr>
                  </w:pPr>
                </w:p>
              </w:tc>
              <w:tc>
                <w:tcPr>
                  <w:tcW w:w="2261" w:type="dxa"/>
                  <w:vMerge w:val="continue"/>
                  <w:tcBorders>
                    <w:tl2br w:val="nil"/>
                    <w:tr2bl w:val="nil"/>
                  </w:tcBorders>
                  <w:noWrap w:val="0"/>
                  <w:vAlign w:val="center"/>
                </w:tcPr>
                <w:p w14:paraId="766B6D0E">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b/>
                      <w:bCs/>
                      <w:color w:val="auto"/>
                      <w:kern w:val="0"/>
                      <w:sz w:val="21"/>
                      <w:szCs w:val="21"/>
                      <w:highlight w:val="none"/>
                    </w:rPr>
                  </w:pPr>
                </w:p>
              </w:tc>
              <w:tc>
                <w:tcPr>
                  <w:tcW w:w="1074" w:type="dxa"/>
                  <w:vMerge w:val="continue"/>
                  <w:tcBorders>
                    <w:tl2br w:val="nil"/>
                    <w:tr2bl w:val="nil"/>
                  </w:tcBorders>
                  <w:noWrap w:val="0"/>
                  <w:vAlign w:val="center"/>
                </w:tcPr>
                <w:p w14:paraId="5E0C066A">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b/>
                      <w:bCs/>
                      <w:color w:val="auto"/>
                      <w:kern w:val="0"/>
                      <w:sz w:val="21"/>
                      <w:szCs w:val="21"/>
                      <w:highlight w:val="none"/>
                    </w:rPr>
                  </w:pPr>
                </w:p>
              </w:tc>
              <w:tc>
                <w:tcPr>
                  <w:tcW w:w="1101" w:type="dxa"/>
                  <w:vMerge w:val="continue"/>
                  <w:tcBorders>
                    <w:tl2br w:val="nil"/>
                    <w:tr2bl w:val="nil"/>
                  </w:tcBorders>
                  <w:noWrap w:val="0"/>
                  <w:vAlign w:val="center"/>
                </w:tcPr>
                <w:p w14:paraId="3B8A4AF5">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b/>
                      <w:bCs/>
                      <w:color w:val="auto"/>
                      <w:kern w:val="0"/>
                      <w:sz w:val="21"/>
                      <w:szCs w:val="21"/>
                      <w:highlight w:val="none"/>
                    </w:rPr>
                  </w:pPr>
                </w:p>
              </w:tc>
            </w:tr>
            <w:tr w14:paraId="66C0D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709" w:type="dxa"/>
                  <w:vMerge w:val="restart"/>
                  <w:tcBorders>
                    <w:tl2br w:val="nil"/>
                    <w:tr2bl w:val="nil"/>
                  </w:tcBorders>
                  <w:noWrap w:val="0"/>
                  <w:vAlign w:val="center"/>
                </w:tcPr>
                <w:p w14:paraId="5AC6759F">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rPr>
                  </w:pPr>
                  <w:bookmarkStart w:id="132" w:name="OLE_LINK146" w:colFirst="1" w:colLast="8"/>
                  <w:r>
                    <w:rPr>
                      <w:rFonts w:hint="default" w:ascii="Times New Roman" w:hAnsi="Times New Roman" w:eastAsia="宋体" w:cs="Times New Roman"/>
                      <w:color w:val="auto"/>
                      <w:kern w:val="0"/>
                      <w:sz w:val="21"/>
                      <w:szCs w:val="21"/>
                      <w:highlight w:val="none"/>
                    </w:rPr>
                    <w:t>大气环境</w:t>
                  </w:r>
                </w:p>
              </w:tc>
              <w:tc>
                <w:tcPr>
                  <w:tcW w:w="817" w:type="dxa"/>
                  <w:tcBorders>
                    <w:tl2br w:val="nil"/>
                    <w:tr2bl w:val="nil"/>
                  </w:tcBorders>
                  <w:noWrap w:val="0"/>
                  <w:vAlign w:val="center"/>
                </w:tcPr>
                <w:p w14:paraId="766CDA1D">
                  <w:p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sz w:val="21"/>
                      <w:szCs w:val="21"/>
                      <w:lang w:val="en-US" w:eastAsia="zh-CN"/>
                    </w:rPr>
                    <w:t>116.82132</w:t>
                  </w:r>
                </w:p>
              </w:tc>
              <w:tc>
                <w:tcPr>
                  <w:tcW w:w="854" w:type="dxa"/>
                  <w:tcBorders>
                    <w:tl2br w:val="nil"/>
                    <w:tr2bl w:val="nil"/>
                  </w:tcBorders>
                  <w:noWrap w:val="0"/>
                  <w:vAlign w:val="center"/>
                </w:tcPr>
                <w:p w14:paraId="7513B7D3">
                  <w:p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sz w:val="21"/>
                      <w:szCs w:val="21"/>
                      <w:lang w:val="en-US" w:eastAsia="zh-CN"/>
                    </w:rPr>
                    <w:t>34.02420</w:t>
                  </w:r>
                </w:p>
              </w:tc>
              <w:tc>
                <w:tcPr>
                  <w:tcW w:w="1108" w:type="dxa"/>
                  <w:tcBorders>
                    <w:tl2br w:val="nil"/>
                    <w:tr2bl w:val="nil"/>
                  </w:tcBorders>
                  <w:noWrap w:val="0"/>
                  <w:vAlign w:val="center"/>
                </w:tcPr>
                <w:p w14:paraId="08B31914">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eastAsia" w:cs="Times New Roman"/>
                      <w:color w:val="auto"/>
                      <w:kern w:val="0"/>
                      <w:sz w:val="21"/>
                      <w:szCs w:val="21"/>
                      <w:highlight w:val="none"/>
                      <w:lang w:val="en-US" w:eastAsia="zh-CN"/>
                    </w:rPr>
                  </w:pPr>
                  <w:r>
                    <w:rPr>
                      <w:rFonts w:hint="eastAsia" w:ascii="Times New Roman" w:hAnsi="Times New Roman" w:eastAsia="宋体" w:cs="Times New Roman"/>
                      <w:color w:val="auto"/>
                      <w:sz w:val="21"/>
                      <w:szCs w:val="21"/>
                      <w:lang w:val="en-US" w:eastAsia="zh-CN"/>
                    </w:rPr>
                    <w:t>滂汪村</w:t>
                  </w:r>
                </w:p>
              </w:tc>
              <w:tc>
                <w:tcPr>
                  <w:tcW w:w="946" w:type="dxa"/>
                  <w:tcBorders>
                    <w:tl2br w:val="nil"/>
                    <w:tr2bl w:val="nil"/>
                  </w:tcBorders>
                  <w:noWrap w:val="0"/>
                  <w:vAlign w:val="center"/>
                </w:tcPr>
                <w:p w14:paraId="31BBCA45">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居民区</w:t>
                  </w:r>
                </w:p>
              </w:tc>
              <w:tc>
                <w:tcPr>
                  <w:tcW w:w="2261" w:type="dxa"/>
                  <w:vMerge w:val="restart"/>
                  <w:tcBorders>
                    <w:tl2br w:val="nil"/>
                    <w:tr2bl w:val="nil"/>
                  </w:tcBorders>
                  <w:noWrap w:val="0"/>
                  <w:vAlign w:val="center"/>
                </w:tcPr>
                <w:p w14:paraId="0A5CE7CB">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《环境空气质量标准》（GB 3095-2012）及其2018年修改单中二级标准</w:t>
                  </w:r>
                </w:p>
              </w:tc>
              <w:tc>
                <w:tcPr>
                  <w:tcW w:w="1074" w:type="dxa"/>
                  <w:tcBorders>
                    <w:tl2br w:val="nil"/>
                    <w:tr2bl w:val="nil"/>
                  </w:tcBorders>
                  <w:noWrap w:val="0"/>
                  <w:vAlign w:val="center"/>
                </w:tcPr>
                <w:p w14:paraId="25DC9352">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eastAsia" w:cs="Times New Roman"/>
                      <w:color w:val="auto"/>
                      <w:kern w:val="0"/>
                      <w:sz w:val="21"/>
                      <w:szCs w:val="21"/>
                      <w:highlight w:val="none"/>
                      <w:lang w:val="en-US" w:eastAsia="zh-CN"/>
                    </w:rPr>
                  </w:pPr>
                  <w:r>
                    <w:rPr>
                      <w:rFonts w:hint="eastAsia" w:ascii="Times New Roman" w:hAnsi="Times New Roman" w:eastAsia="宋体" w:cs="Times New Roman"/>
                      <w:color w:val="auto"/>
                      <w:sz w:val="21"/>
                      <w:szCs w:val="21"/>
                      <w:lang w:val="en-US" w:eastAsia="zh-CN"/>
                    </w:rPr>
                    <w:t>SE</w:t>
                  </w:r>
                </w:p>
              </w:tc>
              <w:tc>
                <w:tcPr>
                  <w:tcW w:w="1101" w:type="dxa"/>
                  <w:tcBorders>
                    <w:tl2br w:val="nil"/>
                    <w:tr2bl w:val="nil"/>
                  </w:tcBorders>
                  <w:noWrap w:val="0"/>
                  <w:vAlign w:val="center"/>
                </w:tcPr>
                <w:p w14:paraId="057C3037">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140</w:t>
                  </w:r>
                </w:p>
              </w:tc>
            </w:tr>
            <w:tr w14:paraId="28509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09" w:type="dxa"/>
                  <w:vMerge w:val="continue"/>
                  <w:tcBorders>
                    <w:tl2br w:val="nil"/>
                    <w:tr2bl w:val="nil"/>
                  </w:tcBorders>
                  <w:noWrap w:val="0"/>
                  <w:vAlign w:val="center"/>
                </w:tcPr>
                <w:p w14:paraId="44C777F8">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rPr>
                  </w:pPr>
                </w:p>
              </w:tc>
              <w:tc>
                <w:tcPr>
                  <w:tcW w:w="817" w:type="dxa"/>
                  <w:tcBorders>
                    <w:tl2br w:val="nil"/>
                    <w:tr2bl w:val="nil"/>
                  </w:tcBorders>
                  <w:noWrap w:val="0"/>
                  <w:vAlign w:val="center"/>
                </w:tcPr>
                <w:p w14:paraId="68D6DE0E">
                  <w:p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sz w:val="21"/>
                      <w:szCs w:val="21"/>
                      <w:lang w:val="en-US" w:eastAsia="zh-CN"/>
                    </w:rPr>
                    <w:t>116.80953</w:t>
                  </w:r>
                </w:p>
              </w:tc>
              <w:tc>
                <w:tcPr>
                  <w:tcW w:w="854" w:type="dxa"/>
                  <w:tcBorders>
                    <w:tl2br w:val="nil"/>
                    <w:tr2bl w:val="nil"/>
                  </w:tcBorders>
                  <w:noWrap w:val="0"/>
                  <w:vAlign w:val="center"/>
                </w:tcPr>
                <w:p w14:paraId="5D727466">
                  <w:p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sz w:val="21"/>
                      <w:szCs w:val="21"/>
                      <w:lang w:val="en-US" w:eastAsia="zh-CN"/>
                    </w:rPr>
                    <w:t>34.03873</w:t>
                  </w:r>
                </w:p>
              </w:tc>
              <w:tc>
                <w:tcPr>
                  <w:tcW w:w="1108" w:type="dxa"/>
                  <w:tcBorders>
                    <w:tl2br w:val="nil"/>
                    <w:tr2bl w:val="nil"/>
                  </w:tcBorders>
                  <w:noWrap w:val="0"/>
                  <w:vAlign w:val="center"/>
                </w:tcPr>
                <w:p w14:paraId="2E46C7B0">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sz w:val="21"/>
                      <w:szCs w:val="21"/>
                      <w:lang w:val="en-US" w:eastAsia="zh-CN"/>
                    </w:rPr>
                    <w:t>簸箕洼</w:t>
                  </w:r>
                </w:p>
              </w:tc>
              <w:tc>
                <w:tcPr>
                  <w:tcW w:w="946" w:type="dxa"/>
                  <w:tcBorders>
                    <w:tl2br w:val="nil"/>
                    <w:tr2bl w:val="nil"/>
                  </w:tcBorders>
                  <w:noWrap w:val="0"/>
                  <w:vAlign w:val="center"/>
                </w:tcPr>
                <w:p w14:paraId="3D02175C">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居民区</w:t>
                  </w:r>
                </w:p>
              </w:tc>
              <w:tc>
                <w:tcPr>
                  <w:tcW w:w="2261" w:type="dxa"/>
                  <w:vMerge w:val="continue"/>
                  <w:tcBorders>
                    <w:tl2br w:val="nil"/>
                    <w:tr2bl w:val="nil"/>
                  </w:tcBorders>
                  <w:noWrap w:val="0"/>
                  <w:vAlign w:val="center"/>
                </w:tcPr>
                <w:p w14:paraId="10FC252D">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rPr>
                  </w:pPr>
                </w:p>
              </w:tc>
              <w:tc>
                <w:tcPr>
                  <w:tcW w:w="1074" w:type="dxa"/>
                  <w:tcBorders>
                    <w:tl2br w:val="nil"/>
                    <w:tr2bl w:val="nil"/>
                  </w:tcBorders>
                  <w:noWrap w:val="0"/>
                  <w:vAlign w:val="center"/>
                </w:tcPr>
                <w:p w14:paraId="3CBF57FD">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N</w:t>
                  </w:r>
                </w:p>
              </w:tc>
              <w:tc>
                <w:tcPr>
                  <w:tcW w:w="1101" w:type="dxa"/>
                  <w:tcBorders>
                    <w:tl2br w:val="nil"/>
                    <w:tr2bl w:val="nil"/>
                  </w:tcBorders>
                  <w:noWrap w:val="0"/>
                  <w:vAlign w:val="center"/>
                </w:tcPr>
                <w:p w14:paraId="21E7F1BF">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396</w:t>
                  </w:r>
                </w:p>
              </w:tc>
            </w:tr>
            <w:tr w14:paraId="4105F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709" w:type="dxa"/>
                  <w:vMerge w:val="continue"/>
                  <w:tcBorders>
                    <w:tl2br w:val="nil"/>
                    <w:tr2bl w:val="nil"/>
                  </w:tcBorders>
                  <w:noWrap w:val="0"/>
                  <w:vAlign w:val="center"/>
                </w:tcPr>
                <w:p w14:paraId="1AF09D52">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rPr>
                  </w:pPr>
                </w:p>
              </w:tc>
              <w:tc>
                <w:tcPr>
                  <w:tcW w:w="817" w:type="dxa"/>
                  <w:tcBorders>
                    <w:tl2br w:val="nil"/>
                    <w:tr2bl w:val="nil"/>
                  </w:tcBorders>
                  <w:noWrap w:val="0"/>
                  <w:vAlign w:val="center"/>
                </w:tcPr>
                <w:p w14:paraId="5A6CBFC8">
                  <w:p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sz w:val="21"/>
                      <w:szCs w:val="21"/>
                      <w:lang w:val="en-US" w:eastAsia="zh-CN"/>
                    </w:rPr>
                    <w:t>116.82003</w:t>
                  </w:r>
                </w:p>
              </w:tc>
              <w:tc>
                <w:tcPr>
                  <w:tcW w:w="854" w:type="dxa"/>
                  <w:tcBorders>
                    <w:tl2br w:val="nil"/>
                    <w:tr2bl w:val="nil"/>
                  </w:tcBorders>
                  <w:noWrap w:val="0"/>
                  <w:vAlign w:val="center"/>
                </w:tcPr>
                <w:p w14:paraId="2599A113">
                  <w:p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sz w:val="21"/>
                      <w:szCs w:val="21"/>
                      <w:lang w:val="en-US" w:eastAsia="zh-CN"/>
                    </w:rPr>
                    <w:t>34.03575</w:t>
                  </w:r>
                </w:p>
              </w:tc>
              <w:tc>
                <w:tcPr>
                  <w:tcW w:w="1108" w:type="dxa"/>
                  <w:tcBorders>
                    <w:tl2br w:val="nil"/>
                    <w:tr2bl w:val="nil"/>
                  </w:tcBorders>
                  <w:noWrap w:val="0"/>
                  <w:vAlign w:val="center"/>
                </w:tcPr>
                <w:p w14:paraId="4144E463">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sz w:val="21"/>
                      <w:szCs w:val="21"/>
                      <w:lang w:val="en-US" w:eastAsia="zh-CN"/>
                    </w:rPr>
                    <w:t>谢庄</w:t>
                  </w:r>
                </w:p>
              </w:tc>
              <w:tc>
                <w:tcPr>
                  <w:tcW w:w="946" w:type="dxa"/>
                  <w:tcBorders>
                    <w:tl2br w:val="nil"/>
                    <w:tr2bl w:val="nil"/>
                  </w:tcBorders>
                  <w:noWrap w:val="0"/>
                  <w:vAlign w:val="center"/>
                </w:tcPr>
                <w:p w14:paraId="6BD29560">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居民区</w:t>
                  </w:r>
                </w:p>
              </w:tc>
              <w:tc>
                <w:tcPr>
                  <w:tcW w:w="2261" w:type="dxa"/>
                  <w:vMerge w:val="continue"/>
                  <w:tcBorders>
                    <w:tl2br w:val="nil"/>
                    <w:tr2bl w:val="nil"/>
                  </w:tcBorders>
                  <w:noWrap w:val="0"/>
                  <w:vAlign w:val="center"/>
                </w:tcPr>
                <w:p w14:paraId="7657D911">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rPr>
                  </w:pPr>
                </w:p>
              </w:tc>
              <w:tc>
                <w:tcPr>
                  <w:tcW w:w="1074" w:type="dxa"/>
                  <w:tcBorders>
                    <w:tl2br w:val="nil"/>
                    <w:tr2bl w:val="nil"/>
                  </w:tcBorders>
                  <w:noWrap w:val="0"/>
                  <w:vAlign w:val="center"/>
                </w:tcPr>
                <w:p w14:paraId="1C8A4393">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NE</w:t>
                  </w:r>
                </w:p>
              </w:tc>
              <w:tc>
                <w:tcPr>
                  <w:tcW w:w="1101" w:type="dxa"/>
                  <w:tcBorders>
                    <w:tl2br w:val="nil"/>
                    <w:tr2bl w:val="nil"/>
                  </w:tcBorders>
                  <w:noWrap w:val="0"/>
                  <w:vAlign w:val="center"/>
                </w:tcPr>
                <w:p w14:paraId="62E8BC22">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460</w:t>
                  </w:r>
                </w:p>
              </w:tc>
            </w:tr>
            <w:bookmarkEnd w:id="132"/>
            <w:tr w14:paraId="49FB9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Merge w:val="restart"/>
                  <w:tcBorders>
                    <w:tl2br w:val="nil"/>
                    <w:tr2bl w:val="nil"/>
                  </w:tcBorders>
                  <w:noWrap w:val="0"/>
                  <w:vAlign w:val="center"/>
                </w:tcPr>
                <w:p w14:paraId="3C453121">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地表水</w:t>
                  </w:r>
                </w:p>
              </w:tc>
              <w:tc>
                <w:tcPr>
                  <w:tcW w:w="1671" w:type="dxa"/>
                  <w:gridSpan w:val="2"/>
                  <w:tcBorders>
                    <w:tl2br w:val="nil"/>
                    <w:tr2bl w:val="nil"/>
                  </w:tcBorders>
                  <w:noWrap w:val="0"/>
                  <w:vAlign w:val="center"/>
                </w:tcPr>
                <w:p w14:paraId="5C2AF71D">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岱河</w:t>
                  </w:r>
                </w:p>
              </w:tc>
              <w:tc>
                <w:tcPr>
                  <w:tcW w:w="2054" w:type="dxa"/>
                  <w:gridSpan w:val="2"/>
                  <w:tcBorders>
                    <w:tl2br w:val="nil"/>
                    <w:tr2bl w:val="nil"/>
                  </w:tcBorders>
                  <w:noWrap w:val="0"/>
                  <w:vAlign w:val="center"/>
                </w:tcPr>
                <w:p w14:paraId="2B3C00E5">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小型河流</w:t>
                  </w:r>
                </w:p>
              </w:tc>
              <w:tc>
                <w:tcPr>
                  <w:tcW w:w="2261" w:type="dxa"/>
                  <w:tcBorders>
                    <w:tl2br w:val="nil"/>
                    <w:tr2bl w:val="nil"/>
                  </w:tcBorders>
                  <w:noWrap w:val="0"/>
                  <w:vAlign w:val="center"/>
                </w:tcPr>
                <w:p w14:paraId="788B37C6">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《地表水环境质量标准》</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GB</w:t>
                  </w:r>
                  <w:r>
                    <w:rPr>
                      <w:rFonts w:hint="default" w:ascii="Times New Roman" w:hAnsi="Times New Roman" w:eastAsia="宋体" w:cs="Times New Roman"/>
                      <w:color w:val="auto"/>
                      <w:kern w:val="0"/>
                      <w:sz w:val="21"/>
                      <w:szCs w:val="21"/>
                      <w:highlight w:val="none"/>
                      <w:lang w:val="en-US" w:eastAsia="zh-CN"/>
                    </w:rPr>
                    <w:t xml:space="preserve"> </w:t>
                  </w:r>
                  <w:r>
                    <w:rPr>
                      <w:rFonts w:hint="default" w:ascii="Times New Roman" w:hAnsi="Times New Roman" w:eastAsia="宋体" w:cs="Times New Roman"/>
                      <w:color w:val="auto"/>
                      <w:kern w:val="0"/>
                      <w:sz w:val="21"/>
                      <w:szCs w:val="21"/>
                      <w:highlight w:val="none"/>
                    </w:rPr>
                    <w:t>3838-2002</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Ⅳ类</w:t>
                  </w:r>
                  <w:r>
                    <w:rPr>
                      <w:rFonts w:hint="default" w:ascii="Times New Roman" w:hAnsi="Times New Roman" w:eastAsia="宋体" w:cs="Times New Roman"/>
                      <w:color w:val="auto"/>
                      <w:kern w:val="0"/>
                      <w:sz w:val="21"/>
                      <w:szCs w:val="21"/>
                      <w:highlight w:val="none"/>
                      <w:lang w:val="en-US" w:eastAsia="zh-CN"/>
                    </w:rPr>
                    <w:t>标准</w:t>
                  </w:r>
                </w:p>
              </w:tc>
              <w:tc>
                <w:tcPr>
                  <w:tcW w:w="1074" w:type="dxa"/>
                  <w:tcBorders>
                    <w:tl2br w:val="nil"/>
                    <w:tr2bl w:val="nil"/>
                  </w:tcBorders>
                  <w:noWrap w:val="0"/>
                  <w:vAlign w:val="center"/>
                </w:tcPr>
                <w:p w14:paraId="6A70F1EE">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东</w:t>
                  </w:r>
                </w:p>
              </w:tc>
              <w:tc>
                <w:tcPr>
                  <w:tcW w:w="1101" w:type="dxa"/>
                  <w:tcBorders>
                    <w:tl2br w:val="nil"/>
                    <w:tr2bl w:val="nil"/>
                  </w:tcBorders>
                  <w:noWrap w:val="0"/>
                  <w:vAlign w:val="center"/>
                </w:tcPr>
                <w:p w14:paraId="47B69807">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1000</w:t>
                  </w:r>
                </w:p>
              </w:tc>
            </w:tr>
            <w:tr w14:paraId="6AE3A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Merge w:val="continue"/>
                  <w:tcBorders>
                    <w:tl2br w:val="nil"/>
                    <w:tr2bl w:val="nil"/>
                  </w:tcBorders>
                  <w:noWrap w:val="0"/>
                  <w:vAlign w:val="center"/>
                </w:tcPr>
                <w:p w14:paraId="68AA1D1C">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eastAsia" w:cs="Times New Roman"/>
                      <w:color w:val="auto"/>
                      <w:kern w:val="0"/>
                      <w:sz w:val="21"/>
                      <w:szCs w:val="21"/>
                      <w:highlight w:val="none"/>
                      <w:lang w:val="en-US" w:eastAsia="zh-CN"/>
                    </w:rPr>
                  </w:pPr>
                </w:p>
              </w:tc>
              <w:tc>
                <w:tcPr>
                  <w:tcW w:w="1671" w:type="dxa"/>
                  <w:gridSpan w:val="2"/>
                  <w:tcBorders>
                    <w:tl2br w:val="nil"/>
                    <w:tr2bl w:val="nil"/>
                  </w:tcBorders>
                  <w:noWrap w:val="0"/>
                  <w:vAlign w:val="center"/>
                </w:tcPr>
                <w:p w14:paraId="043F6946">
                  <w:pPr>
                    <w:adjustRightInd w:val="0"/>
                    <w:snapToGrid w:val="0"/>
                    <w:jc w:val="center"/>
                    <w:rPr>
                      <w:rFonts w:hint="eastAsia" w:cs="Times New Roman"/>
                      <w:color w:val="auto"/>
                      <w:kern w:val="0"/>
                      <w:sz w:val="21"/>
                      <w:szCs w:val="21"/>
                      <w:highlight w:val="none"/>
                      <w:lang w:val="en-US" w:eastAsia="zh-CN"/>
                    </w:rPr>
                  </w:pPr>
                  <w:r>
                    <w:rPr>
                      <w:rFonts w:hint="eastAsia" w:ascii="Times New Roman" w:hAnsi="Times New Roman" w:cs="Times New Roman"/>
                      <w:sz w:val="21"/>
                      <w:szCs w:val="21"/>
                      <w:lang w:eastAsia="zh-CN"/>
                    </w:rPr>
                    <w:t>萧濉新河</w:t>
                  </w:r>
                </w:p>
              </w:tc>
              <w:tc>
                <w:tcPr>
                  <w:tcW w:w="2054" w:type="dxa"/>
                  <w:gridSpan w:val="2"/>
                  <w:tcBorders>
                    <w:tl2br w:val="nil"/>
                    <w:tr2bl w:val="nil"/>
                  </w:tcBorders>
                  <w:noWrap w:val="0"/>
                  <w:vAlign w:val="center"/>
                </w:tcPr>
                <w:p w14:paraId="09AEC802">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小型河流</w:t>
                  </w:r>
                </w:p>
              </w:tc>
              <w:tc>
                <w:tcPr>
                  <w:tcW w:w="2261" w:type="dxa"/>
                  <w:tcBorders>
                    <w:tl2br w:val="nil"/>
                    <w:tr2bl w:val="nil"/>
                  </w:tcBorders>
                  <w:noWrap w:val="0"/>
                  <w:vAlign w:val="center"/>
                </w:tcPr>
                <w:p w14:paraId="2ACE6E65">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《地表水环境质量标准》</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GB</w:t>
                  </w:r>
                  <w:r>
                    <w:rPr>
                      <w:rFonts w:hint="eastAsia" w:ascii="Times New Roman" w:hAnsi="Times New Roman" w:eastAsia="宋体" w:cs="Times New Roman"/>
                      <w:color w:val="auto"/>
                      <w:kern w:val="0"/>
                      <w:sz w:val="21"/>
                      <w:szCs w:val="21"/>
                      <w:highlight w:val="none"/>
                      <w:lang w:val="en-US" w:eastAsia="zh-CN"/>
                    </w:rPr>
                    <w:t xml:space="preserve"> </w:t>
                  </w:r>
                  <w:r>
                    <w:rPr>
                      <w:rFonts w:hint="default" w:ascii="Times New Roman" w:hAnsi="Times New Roman" w:eastAsia="宋体" w:cs="Times New Roman"/>
                      <w:color w:val="auto"/>
                      <w:kern w:val="0"/>
                      <w:sz w:val="21"/>
                      <w:szCs w:val="21"/>
                      <w:highlight w:val="none"/>
                    </w:rPr>
                    <w:t>3838-2002</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Ⅳ类</w:t>
                  </w:r>
                  <w:r>
                    <w:rPr>
                      <w:rFonts w:hint="eastAsia" w:ascii="Times New Roman" w:hAnsi="Times New Roman" w:eastAsia="宋体" w:cs="Times New Roman"/>
                      <w:color w:val="auto"/>
                      <w:kern w:val="0"/>
                      <w:sz w:val="21"/>
                      <w:szCs w:val="21"/>
                      <w:highlight w:val="none"/>
                      <w:lang w:val="en-US" w:eastAsia="zh-CN"/>
                    </w:rPr>
                    <w:t>标准</w:t>
                  </w:r>
                </w:p>
              </w:tc>
              <w:tc>
                <w:tcPr>
                  <w:tcW w:w="1074" w:type="dxa"/>
                  <w:tcBorders>
                    <w:tl2br w:val="nil"/>
                    <w:tr2bl w:val="nil"/>
                  </w:tcBorders>
                  <w:noWrap w:val="0"/>
                  <w:vAlign w:val="center"/>
                </w:tcPr>
                <w:p w14:paraId="69CB4C32">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西</w:t>
                  </w:r>
                </w:p>
              </w:tc>
              <w:tc>
                <w:tcPr>
                  <w:tcW w:w="1101" w:type="dxa"/>
                  <w:tcBorders>
                    <w:tl2br w:val="nil"/>
                    <w:tr2bl w:val="nil"/>
                  </w:tcBorders>
                  <w:noWrap w:val="0"/>
                  <w:vAlign w:val="center"/>
                </w:tcPr>
                <w:p w14:paraId="38100BBD">
                  <w:pPr>
                    <w:adjustRightInd w:val="0"/>
                    <w:snapToGrid w:val="0"/>
                    <w:jc w:val="center"/>
                    <w:rPr>
                      <w:rFonts w:hint="eastAsia" w:cs="Times New Roman"/>
                      <w:color w:val="auto"/>
                      <w:kern w:val="0"/>
                      <w:sz w:val="21"/>
                      <w:szCs w:val="21"/>
                      <w:highlight w:val="none"/>
                      <w:lang w:val="en-US" w:eastAsia="zh-CN"/>
                    </w:rPr>
                  </w:pPr>
                  <w:r>
                    <w:rPr>
                      <w:rFonts w:hint="eastAsia" w:ascii="Times New Roman" w:hAnsi="Times New Roman" w:cs="Times New Roman"/>
                      <w:sz w:val="21"/>
                      <w:szCs w:val="21"/>
                      <w:lang w:val="en-US" w:eastAsia="zh-CN"/>
                    </w:rPr>
                    <w:t>1300</w:t>
                  </w:r>
                </w:p>
              </w:tc>
            </w:tr>
            <w:tr w14:paraId="28A52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Merge w:val="continue"/>
                  <w:tcBorders>
                    <w:tl2br w:val="nil"/>
                    <w:tr2bl w:val="nil"/>
                  </w:tcBorders>
                  <w:noWrap w:val="0"/>
                  <w:vAlign w:val="center"/>
                </w:tcPr>
                <w:p w14:paraId="2ED0C665">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eastAsia" w:cs="Times New Roman"/>
                      <w:color w:val="auto"/>
                      <w:kern w:val="0"/>
                      <w:sz w:val="21"/>
                      <w:szCs w:val="21"/>
                      <w:highlight w:val="none"/>
                      <w:lang w:val="en-US" w:eastAsia="zh-CN"/>
                    </w:rPr>
                  </w:pPr>
                </w:p>
              </w:tc>
              <w:tc>
                <w:tcPr>
                  <w:tcW w:w="1671" w:type="dxa"/>
                  <w:gridSpan w:val="2"/>
                  <w:tcBorders>
                    <w:tl2br w:val="nil"/>
                    <w:tr2bl w:val="nil"/>
                  </w:tcBorders>
                  <w:noWrap w:val="0"/>
                  <w:vAlign w:val="center"/>
                </w:tcPr>
                <w:p w14:paraId="55A20685">
                  <w:pPr>
                    <w:adjustRightInd w:val="0"/>
                    <w:snapToGrid w:val="0"/>
                    <w:jc w:val="center"/>
                    <w:rPr>
                      <w:rFonts w:hint="eastAsia" w:cs="Times New Roman"/>
                      <w:color w:val="auto"/>
                      <w:kern w:val="0"/>
                      <w:sz w:val="21"/>
                      <w:szCs w:val="21"/>
                      <w:highlight w:val="none"/>
                      <w:lang w:val="en-US" w:eastAsia="zh-CN"/>
                    </w:rPr>
                  </w:pPr>
                  <w:r>
                    <w:rPr>
                      <w:rFonts w:ascii="Times New Roman" w:hAnsi="Times New Roman" w:cs="Times New Roman"/>
                      <w:sz w:val="21"/>
                      <w:szCs w:val="21"/>
                    </w:rPr>
                    <w:t>龙河</w:t>
                  </w:r>
                </w:p>
              </w:tc>
              <w:tc>
                <w:tcPr>
                  <w:tcW w:w="2054" w:type="dxa"/>
                  <w:gridSpan w:val="2"/>
                  <w:tcBorders>
                    <w:tl2br w:val="nil"/>
                    <w:tr2bl w:val="nil"/>
                  </w:tcBorders>
                  <w:noWrap w:val="0"/>
                  <w:vAlign w:val="center"/>
                </w:tcPr>
                <w:p w14:paraId="539F85F8">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小型河流</w:t>
                  </w:r>
                </w:p>
              </w:tc>
              <w:tc>
                <w:tcPr>
                  <w:tcW w:w="2261" w:type="dxa"/>
                  <w:tcBorders>
                    <w:tl2br w:val="nil"/>
                    <w:tr2bl w:val="nil"/>
                  </w:tcBorders>
                  <w:noWrap w:val="0"/>
                  <w:vAlign w:val="center"/>
                </w:tcPr>
                <w:p w14:paraId="68DC927A">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《地表水环境质量标准》</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GB</w:t>
                  </w:r>
                  <w:r>
                    <w:rPr>
                      <w:rFonts w:hint="eastAsia" w:ascii="Times New Roman" w:hAnsi="Times New Roman" w:eastAsia="宋体" w:cs="Times New Roman"/>
                      <w:color w:val="auto"/>
                      <w:kern w:val="0"/>
                      <w:sz w:val="21"/>
                      <w:szCs w:val="21"/>
                      <w:highlight w:val="none"/>
                      <w:lang w:val="en-US" w:eastAsia="zh-CN"/>
                    </w:rPr>
                    <w:t xml:space="preserve"> </w:t>
                  </w:r>
                  <w:r>
                    <w:rPr>
                      <w:rFonts w:hint="default" w:ascii="Times New Roman" w:hAnsi="Times New Roman" w:eastAsia="宋体" w:cs="Times New Roman"/>
                      <w:color w:val="auto"/>
                      <w:kern w:val="0"/>
                      <w:sz w:val="21"/>
                      <w:szCs w:val="21"/>
                      <w:highlight w:val="none"/>
                    </w:rPr>
                    <w:t>3838-2002</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Ⅳ类</w:t>
                  </w:r>
                  <w:r>
                    <w:rPr>
                      <w:rFonts w:hint="eastAsia" w:ascii="Times New Roman" w:hAnsi="Times New Roman" w:eastAsia="宋体" w:cs="Times New Roman"/>
                      <w:color w:val="auto"/>
                      <w:kern w:val="0"/>
                      <w:sz w:val="21"/>
                      <w:szCs w:val="21"/>
                      <w:highlight w:val="none"/>
                      <w:lang w:val="en-US" w:eastAsia="zh-CN"/>
                    </w:rPr>
                    <w:t>标准</w:t>
                  </w:r>
                </w:p>
              </w:tc>
              <w:tc>
                <w:tcPr>
                  <w:tcW w:w="1074" w:type="dxa"/>
                  <w:tcBorders>
                    <w:tl2br w:val="nil"/>
                    <w:tr2bl w:val="nil"/>
                  </w:tcBorders>
                  <w:noWrap w:val="0"/>
                  <w:vAlign w:val="center"/>
                </w:tcPr>
                <w:p w14:paraId="539A91B2">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东</w:t>
                  </w:r>
                </w:p>
              </w:tc>
              <w:tc>
                <w:tcPr>
                  <w:tcW w:w="1101" w:type="dxa"/>
                  <w:tcBorders>
                    <w:tl2br w:val="nil"/>
                    <w:tr2bl w:val="nil"/>
                  </w:tcBorders>
                  <w:noWrap w:val="0"/>
                  <w:vAlign w:val="center"/>
                </w:tcPr>
                <w:p w14:paraId="62F5604A">
                  <w:pPr>
                    <w:adjustRightInd w:val="0"/>
                    <w:snapToGrid w:val="0"/>
                    <w:jc w:val="center"/>
                    <w:rPr>
                      <w:rFonts w:hint="eastAsia" w:cs="Times New Roman"/>
                      <w:color w:val="auto"/>
                      <w:kern w:val="0"/>
                      <w:sz w:val="21"/>
                      <w:szCs w:val="21"/>
                      <w:highlight w:val="none"/>
                      <w:lang w:val="en-US" w:eastAsia="zh-CN"/>
                    </w:rPr>
                  </w:pPr>
                  <w:r>
                    <w:rPr>
                      <w:rFonts w:ascii="Times New Roman" w:hAnsi="Times New Roman" w:cs="Times New Roman"/>
                      <w:sz w:val="21"/>
                      <w:szCs w:val="21"/>
                    </w:rPr>
                    <w:t>8200</w:t>
                  </w:r>
                </w:p>
              </w:tc>
            </w:tr>
            <w:tr w14:paraId="56958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tcBorders>
                    <w:tl2br w:val="nil"/>
                    <w:tr2bl w:val="nil"/>
                  </w:tcBorders>
                  <w:noWrap w:val="0"/>
                  <w:vAlign w:val="center"/>
                </w:tcPr>
                <w:p w14:paraId="28888973">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声环境</w:t>
                  </w:r>
                </w:p>
              </w:tc>
              <w:tc>
                <w:tcPr>
                  <w:tcW w:w="3725" w:type="dxa"/>
                  <w:gridSpan w:val="4"/>
                  <w:tcBorders>
                    <w:tl2br w:val="nil"/>
                    <w:tr2bl w:val="nil"/>
                  </w:tcBorders>
                  <w:noWrap w:val="0"/>
                  <w:vAlign w:val="center"/>
                </w:tcPr>
                <w:p w14:paraId="26EE7928">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本项目50</w:t>
                  </w:r>
                  <w:r>
                    <w:rPr>
                      <w:rFonts w:hint="eastAsia" w:cs="Times New Roman"/>
                      <w:color w:val="auto"/>
                      <w:kern w:val="0"/>
                      <w:sz w:val="21"/>
                      <w:szCs w:val="21"/>
                      <w:highlight w:val="none"/>
                      <w:lang w:eastAsia="zh-CN"/>
                    </w:rPr>
                    <w:t>米</w:t>
                  </w:r>
                  <w:r>
                    <w:rPr>
                      <w:rFonts w:hint="default" w:ascii="Times New Roman" w:hAnsi="Times New Roman" w:eastAsia="宋体" w:cs="Times New Roman"/>
                      <w:color w:val="auto"/>
                      <w:kern w:val="0"/>
                      <w:sz w:val="21"/>
                      <w:szCs w:val="21"/>
                      <w:highlight w:val="none"/>
                    </w:rPr>
                    <w:t>范围内无声环境保护目标</w:t>
                  </w:r>
                </w:p>
              </w:tc>
              <w:tc>
                <w:tcPr>
                  <w:tcW w:w="2261" w:type="dxa"/>
                  <w:tcBorders>
                    <w:tl2br w:val="nil"/>
                    <w:tr2bl w:val="nil"/>
                  </w:tcBorders>
                  <w:noWrap w:val="0"/>
                  <w:vAlign w:val="center"/>
                </w:tcPr>
                <w:p w14:paraId="479EC8C5">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《声环境质量标准》（GB</w:t>
                  </w:r>
                  <w:r>
                    <w:rPr>
                      <w:rFonts w:hint="eastAsia" w:cs="Times New Roman"/>
                      <w:color w:val="auto"/>
                      <w:kern w:val="0"/>
                      <w:sz w:val="21"/>
                      <w:szCs w:val="21"/>
                      <w:highlight w:val="none"/>
                      <w:lang w:val="en-US" w:eastAsia="zh-CN"/>
                    </w:rPr>
                    <w:t xml:space="preserve"> </w:t>
                  </w:r>
                  <w:r>
                    <w:rPr>
                      <w:rFonts w:hint="default" w:ascii="Times New Roman" w:hAnsi="Times New Roman" w:eastAsia="宋体" w:cs="Times New Roman"/>
                      <w:color w:val="auto"/>
                      <w:kern w:val="0"/>
                      <w:sz w:val="21"/>
                      <w:szCs w:val="21"/>
                      <w:highlight w:val="none"/>
                    </w:rPr>
                    <w:t>3096-2008）</w:t>
                  </w:r>
                  <w:r>
                    <w:rPr>
                      <w:rFonts w:hint="eastAsia"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rPr>
                    <w:t>类标准</w:t>
                  </w:r>
                </w:p>
              </w:tc>
              <w:tc>
                <w:tcPr>
                  <w:tcW w:w="2175" w:type="dxa"/>
                  <w:gridSpan w:val="2"/>
                  <w:tcBorders>
                    <w:tl2br w:val="nil"/>
                    <w:tr2bl w:val="nil"/>
                  </w:tcBorders>
                  <w:noWrap w:val="0"/>
                  <w:vAlign w:val="center"/>
                </w:tcPr>
                <w:p w14:paraId="2A00C795">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厂界外50</w:t>
                  </w:r>
                  <w:r>
                    <w:rPr>
                      <w:rFonts w:hint="eastAsia" w:cs="Times New Roman"/>
                      <w:color w:val="auto"/>
                      <w:kern w:val="0"/>
                      <w:sz w:val="21"/>
                      <w:szCs w:val="21"/>
                      <w:highlight w:val="none"/>
                      <w:lang w:val="en-US" w:eastAsia="zh-CN"/>
                    </w:rPr>
                    <w:t>米</w:t>
                  </w:r>
                  <w:r>
                    <w:rPr>
                      <w:rFonts w:hint="default" w:ascii="Times New Roman" w:hAnsi="Times New Roman" w:eastAsia="宋体" w:cs="Times New Roman"/>
                      <w:color w:val="auto"/>
                      <w:kern w:val="0"/>
                      <w:sz w:val="21"/>
                      <w:szCs w:val="21"/>
                      <w:highlight w:val="none"/>
                      <w:lang w:eastAsia="zh-CN"/>
                    </w:rPr>
                    <w:t>范围内</w:t>
                  </w:r>
                </w:p>
              </w:tc>
            </w:tr>
            <w:tr w14:paraId="202F5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tcBorders>
                    <w:tl2br w:val="nil"/>
                    <w:tr2bl w:val="nil"/>
                  </w:tcBorders>
                  <w:noWrap w:val="0"/>
                  <w:vAlign w:val="center"/>
                </w:tcPr>
                <w:p w14:paraId="0623E504">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地下水</w:t>
                  </w:r>
                </w:p>
              </w:tc>
              <w:tc>
                <w:tcPr>
                  <w:tcW w:w="3725" w:type="dxa"/>
                  <w:gridSpan w:val="4"/>
                  <w:tcBorders>
                    <w:tl2br w:val="nil"/>
                    <w:tr2bl w:val="nil"/>
                  </w:tcBorders>
                  <w:noWrap w:val="0"/>
                  <w:vAlign w:val="center"/>
                </w:tcPr>
                <w:p w14:paraId="4469CF85">
                  <w:pPr>
                    <w:keepNext w:val="0"/>
                    <w:keepLines w:val="0"/>
                    <w:pageBreakBefore w:val="0"/>
                    <w:kinsoku/>
                    <w:wordWrap/>
                    <w:overflowPunct/>
                    <w:topLinePunct w:val="0"/>
                    <w:autoSpaceDE/>
                    <w:autoSpaceDN/>
                    <w:bidi w:val="0"/>
                    <w:adjustRightInd/>
                    <w:spacing w:line="240" w:lineRule="auto"/>
                    <w:ind w:right="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本</w:t>
                  </w:r>
                  <w:r>
                    <w:rPr>
                      <w:rFonts w:hint="default" w:ascii="Times New Roman" w:hAnsi="Times New Roman" w:eastAsia="宋体" w:cs="Times New Roman"/>
                      <w:color w:val="auto"/>
                      <w:sz w:val="21"/>
                      <w:szCs w:val="21"/>
                      <w:highlight w:val="none"/>
                    </w:rPr>
                    <w:t>项目500米范围内无特殊地下水资源</w:t>
                  </w:r>
                </w:p>
              </w:tc>
              <w:tc>
                <w:tcPr>
                  <w:tcW w:w="2261" w:type="dxa"/>
                  <w:tcBorders>
                    <w:tl2br w:val="nil"/>
                    <w:tr2bl w:val="nil"/>
                  </w:tcBorders>
                  <w:noWrap w:val="0"/>
                  <w:vAlign w:val="center"/>
                </w:tcPr>
                <w:p w14:paraId="534C81CF">
                  <w:pPr>
                    <w:keepNext w:val="0"/>
                    <w:keepLines w:val="0"/>
                    <w:pageBreakBefore w:val="0"/>
                    <w:kinsoku/>
                    <w:wordWrap/>
                    <w:overflowPunct/>
                    <w:topLinePunct w:val="0"/>
                    <w:autoSpaceDE/>
                    <w:autoSpaceDN/>
                    <w:bidi w:val="0"/>
                    <w:adjustRightInd/>
                    <w:spacing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《地下水质量标准》</w:t>
                  </w:r>
                </w:p>
                <w:p w14:paraId="58D88DF5">
                  <w:pPr>
                    <w:pStyle w:val="70"/>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（GB/T</w:t>
                  </w:r>
                  <w:r>
                    <w:rPr>
                      <w:rFonts w:hint="eastAsia" w:cs="Times New Roman"/>
                      <w:color w:val="auto"/>
                      <w:kern w:val="0"/>
                      <w:sz w:val="21"/>
                      <w:szCs w:val="21"/>
                      <w:highlight w:val="none"/>
                      <w:lang w:val="en-US" w:eastAsia="zh-CN"/>
                    </w:rPr>
                    <w:t xml:space="preserve"> </w:t>
                  </w:r>
                  <w:r>
                    <w:rPr>
                      <w:rFonts w:hint="default" w:ascii="Times New Roman" w:hAnsi="Times New Roman" w:eastAsia="宋体" w:cs="Times New Roman"/>
                      <w:color w:val="auto"/>
                      <w:kern w:val="0"/>
                      <w:sz w:val="21"/>
                      <w:szCs w:val="21"/>
                      <w:highlight w:val="none"/>
                    </w:rPr>
                    <w:t>14848</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2017）Ⅲ类标准</w:t>
                  </w:r>
                </w:p>
              </w:tc>
              <w:tc>
                <w:tcPr>
                  <w:tcW w:w="2175" w:type="dxa"/>
                  <w:gridSpan w:val="2"/>
                  <w:tcBorders>
                    <w:tl2br w:val="nil"/>
                    <w:tr2bl w:val="nil"/>
                  </w:tcBorders>
                  <w:noWrap w:val="0"/>
                  <w:vAlign w:val="center"/>
                </w:tcPr>
                <w:p w14:paraId="2FE79803">
                  <w:pPr>
                    <w:keepNext w:val="0"/>
                    <w:keepLines w:val="0"/>
                    <w:pageBreakBefore w:val="0"/>
                    <w:kinsoku/>
                    <w:wordWrap/>
                    <w:overflowPunct/>
                    <w:topLinePunct w:val="0"/>
                    <w:autoSpaceDE/>
                    <w:autoSpaceDN/>
                    <w:bidi w:val="0"/>
                    <w:adjustRightInd/>
                    <w:spacing w:line="240" w:lineRule="auto"/>
                    <w:ind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厂界外500</w:t>
                  </w:r>
                  <w:r>
                    <w:rPr>
                      <w:rFonts w:hint="eastAsia" w:cs="Times New Roman"/>
                      <w:color w:val="auto"/>
                      <w:sz w:val="21"/>
                      <w:szCs w:val="21"/>
                      <w:highlight w:val="none"/>
                      <w:lang w:val="en-US" w:eastAsia="zh-CN"/>
                    </w:rPr>
                    <w:t>米</w:t>
                  </w:r>
                  <w:r>
                    <w:rPr>
                      <w:rFonts w:hint="default" w:ascii="Times New Roman" w:hAnsi="Times New Roman" w:eastAsia="宋体" w:cs="Times New Roman"/>
                      <w:color w:val="auto"/>
                      <w:sz w:val="21"/>
                      <w:szCs w:val="21"/>
                      <w:highlight w:val="none"/>
                      <w:lang w:eastAsia="zh-CN"/>
                    </w:rPr>
                    <w:t>范围内</w:t>
                  </w:r>
                </w:p>
              </w:tc>
            </w:tr>
          </w:tbl>
          <w:p w14:paraId="7DDE91B2">
            <w:pPr>
              <w:autoSpaceDE w:val="0"/>
              <w:autoSpaceDN w:val="0"/>
              <w:adjustRightInd w:val="0"/>
              <w:snapToGrid w:val="0"/>
              <w:spacing w:line="360" w:lineRule="auto"/>
              <w:ind w:firstLine="420" w:firstLineChars="200"/>
              <w:rPr>
                <w:rFonts w:hint="default" w:ascii="Times New Roman" w:hAnsi="Times New Roman" w:cs="Times New Roman"/>
                <w:color w:val="auto"/>
                <w:kern w:val="0"/>
              </w:rPr>
            </w:pPr>
          </w:p>
        </w:tc>
      </w:tr>
      <w:tr w14:paraId="0DEFD8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tcMar>
              <w:left w:w="28" w:type="dxa"/>
              <w:right w:w="28" w:type="dxa"/>
            </w:tcMar>
            <w:vAlign w:val="center"/>
          </w:tcPr>
          <w:p w14:paraId="7F83542E">
            <w:pPr>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sz w:val="24"/>
                <w:szCs w:val="24"/>
              </w:rPr>
              <w:t>污染物排放控制标准</w:t>
            </w:r>
          </w:p>
        </w:tc>
        <w:tc>
          <w:tcPr>
            <w:tcW w:w="9008" w:type="dxa"/>
            <w:vAlign w:val="center"/>
          </w:tcPr>
          <w:p w14:paraId="0579C281">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1、废气</w:t>
            </w:r>
          </w:p>
          <w:p w14:paraId="42AD3FB3">
            <w:pPr>
              <w:widowControl w:val="0"/>
              <w:spacing w:before="0" w:after="0" w:line="360" w:lineRule="auto"/>
              <w:ind w:right="0" w:firstLine="480" w:firstLineChars="200"/>
              <w:rPr>
                <w:rFonts w:hint="eastAsia" w:cs="Times New Roman"/>
                <w:snapToGrid w:val="0"/>
                <w:color w:val="auto"/>
                <w:kern w:val="0"/>
                <w:sz w:val="24"/>
                <w:highlight w:val="none"/>
                <w:lang w:val="en-US" w:eastAsia="zh-CN"/>
              </w:rPr>
            </w:pPr>
            <w:r>
              <w:rPr>
                <w:rFonts w:hint="eastAsia" w:cs="Times New Roman"/>
                <w:snapToGrid w:val="0"/>
                <w:color w:val="auto"/>
                <w:kern w:val="0"/>
                <w:sz w:val="24"/>
                <w:highlight w:val="none"/>
                <w:lang w:val="en-US" w:eastAsia="zh-CN"/>
              </w:rPr>
              <w:t>项目运营期有组织颗粒物、二氧化硫、氮氧化物及氟化物排放执行</w:t>
            </w:r>
            <w:bookmarkStart w:id="133" w:name="OLE_LINK150"/>
            <w:r>
              <w:rPr>
                <w:rFonts w:hint="eastAsia" w:cs="Times New Roman"/>
                <w:snapToGrid w:val="0"/>
                <w:color w:val="auto"/>
                <w:kern w:val="0"/>
                <w:sz w:val="24"/>
                <w:highlight w:val="none"/>
                <w:lang w:val="en-US" w:eastAsia="zh-CN"/>
              </w:rPr>
              <w:t>安徽省地方标准《水泥工业大气污染排放标准》（DB 34/ 3576-2020）</w:t>
            </w:r>
            <w:bookmarkEnd w:id="133"/>
            <w:r>
              <w:rPr>
                <w:rFonts w:hint="eastAsia" w:cs="Times New Roman"/>
                <w:snapToGrid w:val="0"/>
                <w:color w:val="auto"/>
                <w:kern w:val="0"/>
                <w:sz w:val="24"/>
                <w:highlight w:val="none"/>
                <w:lang w:val="en-US" w:eastAsia="zh-CN"/>
              </w:rPr>
              <w:t>；无组织颗粒物、氨执行安徽省地方标准《水泥工业大气污染排放标准》（DB 34/ 3576-2020）中的限值；有组织氯化氢、氟化氢、汞及其化合物以及重金属类执行《水泥窑协同处置固体废物污染控制标准》（GB 30485-2013）表1中的控制标准。无组织硫化氢、臭气浓度、氯化氢排放浓度执行《恶臭污染物排放标准》（GB 14554-93）表1中的限值。</w:t>
            </w:r>
          </w:p>
          <w:p w14:paraId="3AAFEBA5">
            <w:pPr>
              <w:widowControl w:val="0"/>
              <w:spacing w:before="0" w:after="0" w:line="360" w:lineRule="auto"/>
              <w:ind w:right="0" w:firstLine="480" w:firstLineChars="200"/>
              <w:rPr>
                <w:rFonts w:hint="eastAsia" w:cs="Times New Roman"/>
                <w:snapToGrid w:val="0"/>
                <w:color w:val="auto"/>
                <w:kern w:val="0"/>
                <w:sz w:val="24"/>
                <w:highlight w:val="none"/>
                <w:lang w:val="en-US" w:eastAsia="zh-CN"/>
              </w:rPr>
            </w:pPr>
          </w:p>
          <w:p w14:paraId="3E66184F">
            <w:pPr>
              <w:pStyle w:val="3"/>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表3-</w:t>
            </w:r>
            <w:r>
              <w:rPr>
                <w:rFonts w:hint="eastAsia" w:ascii="Times New Roman" w:hAnsi="Times New Roman" w:cs="Times New Roman"/>
                <w:color w:val="auto"/>
                <w:sz w:val="21"/>
                <w:szCs w:val="21"/>
                <w:lang w:val="en-US" w:eastAsia="zh-CN"/>
              </w:rPr>
              <w:t xml:space="preserve">11 </w:t>
            </w:r>
            <w:r>
              <w:rPr>
                <w:rFonts w:hint="eastAsia" w:ascii="Times New Roman" w:hAnsi="Times New Roman" w:eastAsia="宋体" w:cs="Times New Roman"/>
                <w:color w:val="auto"/>
                <w:sz w:val="21"/>
                <w:szCs w:val="21"/>
                <w:lang w:val="en-US" w:eastAsia="zh-CN"/>
              </w:rPr>
              <w:t>《水泥工业大气污染排放标准》（DB 34/ 3576-2020）</w:t>
            </w:r>
            <w:r>
              <w:rPr>
                <w:rFonts w:hint="eastAsia" w:ascii="Times New Roman" w:hAnsi="Times New Roman" w:cs="Times New Roman"/>
                <w:color w:val="auto"/>
                <w:sz w:val="21"/>
                <w:szCs w:val="21"/>
                <w:lang w:val="en-US" w:eastAsia="zh-CN"/>
              </w:rPr>
              <w:t>表1有组织排放限值</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单位：</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bl>
            <w:tblPr>
              <w:tblStyle w:val="29"/>
              <w:tblW w:w="8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1908"/>
              <w:gridCol w:w="915"/>
              <w:gridCol w:w="780"/>
              <w:gridCol w:w="1455"/>
              <w:gridCol w:w="1350"/>
              <w:gridCol w:w="945"/>
              <w:gridCol w:w="409"/>
            </w:tblGrid>
            <w:tr w14:paraId="0E2B0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8" w:type="dxa"/>
                  <w:vAlign w:val="center"/>
                </w:tcPr>
                <w:p w14:paraId="3BD1C6BF">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生产过程</w:t>
                  </w:r>
                </w:p>
              </w:tc>
              <w:tc>
                <w:tcPr>
                  <w:tcW w:w="1908" w:type="dxa"/>
                  <w:vAlign w:val="center"/>
                </w:tcPr>
                <w:p w14:paraId="6D07F5AC">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生产设备</w:t>
                  </w:r>
                </w:p>
              </w:tc>
              <w:tc>
                <w:tcPr>
                  <w:tcW w:w="915" w:type="dxa"/>
                  <w:vAlign w:val="center"/>
                </w:tcPr>
                <w:p w14:paraId="4912C790">
                  <w:pPr>
                    <w:spacing w:line="240" w:lineRule="auto"/>
                    <w:jc w:val="center"/>
                    <w:rPr>
                      <w:rFonts w:hint="default" w:ascii="Times New Roman" w:hAnsi="Times New Roman" w:cs="Times New Roman"/>
                      <w:color w:val="auto"/>
                      <w:lang w:val="en-US" w:eastAsia="zh-CN"/>
                    </w:rPr>
                  </w:pPr>
                  <w:r>
                    <w:rPr>
                      <w:rFonts w:hint="default" w:cs="Times New Roman"/>
                      <w:color w:val="auto"/>
                    </w:rPr>
                    <w:t>颗粒物</w:t>
                  </w:r>
                </w:p>
              </w:tc>
              <w:tc>
                <w:tcPr>
                  <w:tcW w:w="780" w:type="dxa"/>
                  <w:vAlign w:val="center"/>
                </w:tcPr>
                <w:p w14:paraId="10C7989E">
                  <w:pPr>
                    <w:spacing w:line="240" w:lineRule="auto"/>
                    <w:jc w:val="center"/>
                    <w:rPr>
                      <w:rFonts w:hint="default" w:ascii="Times New Roman" w:hAnsi="Times New Roman" w:cs="Times New Roman"/>
                      <w:color w:val="auto"/>
                      <w:lang w:val="en-US" w:eastAsia="zh-CN"/>
                    </w:rPr>
                  </w:pPr>
                  <w:r>
                    <w:rPr>
                      <w:rFonts w:hint="default" w:cs="Times New Roman"/>
                      <w:color w:val="auto"/>
                    </w:rPr>
                    <w:t>二氧化硫</w:t>
                  </w:r>
                </w:p>
              </w:tc>
              <w:tc>
                <w:tcPr>
                  <w:tcW w:w="1455" w:type="dxa"/>
                  <w:vAlign w:val="center"/>
                </w:tcPr>
                <w:p w14:paraId="03E3DDDC">
                  <w:pPr>
                    <w:spacing w:line="240" w:lineRule="auto"/>
                    <w:jc w:val="center"/>
                    <w:rPr>
                      <w:rFonts w:hint="default" w:ascii="Times New Roman" w:hAnsi="Times New Roman" w:cs="Times New Roman"/>
                      <w:color w:val="auto"/>
                      <w:lang w:val="en-US" w:eastAsia="zh-CN"/>
                    </w:rPr>
                  </w:pPr>
                  <w:r>
                    <w:rPr>
                      <w:rFonts w:hint="default" w:cs="Times New Roman"/>
                      <w:color w:val="auto"/>
                    </w:rPr>
                    <w:t>氮氧化物（以NO</w:t>
                  </w:r>
                  <w:r>
                    <w:rPr>
                      <w:rFonts w:hint="default" w:cs="Times New Roman"/>
                      <w:color w:val="auto"/>
                      <w:vertAlign w:val="subscript"/>
                    </w:rPr>
                    <w:t>2</w:t>
                  </w:r>
                  <w:r>
                    <w:rPr>
                      <w:rFonts w:hint="default" w:cs="Times New Roman"/>
                      <w:color w:val="auto"/>
                    </w:rPr>
                    <w:t>计）</w:t>
                  </w:r>
                </w:p>
              </w:tc>
              <w:tc>
                <w:tcPr>
                  <w:tcW w:w="1350" w:type="dxa"/>
                  <w:vAlign w:val="center"/>
                </w:tcPr>
                <w:p w14:paraId="1CECCE23">
                  <w:pPr>
                    <w:spacing w:line="240" w:lineRule="auto"/>
                    <w:jc w:val="center"/>
                    <w:rPr>
                      <w:rFonts w:hint="default" w:ascii="Times New Roman" w:hAnsi="Times New Roman" w:cs="Times New Roman"/>
                      <w:color w:val="auto"/>
                      <w:lang w:val="en-US" w:eastAsia="zh-CN"/>
                    </w:rPr>
                  </w:pPr>
                  <w:r>
                    <w:rPr>
                      <w:rFonts w:hint="default" w:cs="Times New Roman"/>
                      <w:color w:val="auto"/>
                    </w:rPr>
                    <w:t>氟化物（以总氟计）</w:t>
                  </w:r>
                </w:p>
              </w:tc>
              <w:tc>
                <w:tcPr>
                  <w:tcW w:w="945" w:type="dxa"/>
                  <w:vAlign w:val="center"/>
                </w:tcPr>
                <w:p w14:paraId="76D698BF">
                  <w:pPr>
                    <w:spacing w:line="240" w:lineRule="auto"/>
                    <w:jc w:val="center"/>
                    <w:rPr>
                      <w:rFonts w:hint="default" w:ascii="Times New Roman" w:hAnsi="Times New Roman" w:cs="Times New Roman"/>
                      <w:color w:val="auto"/>
                      <w:lang w:val="en-US" w:eastAsia="zh-CN"/>
                    </w:rPr>
                  </w:pPr>
                  <w:r>
                    <w:rPr>
                      <w:rFonts w:hint="default" w:cs="Times New Roman"/>
                      <w:color w:val="auto"/>
                    </w:rPr>
                    <w:t>汞及其化合物</w:t>
                  </w:r>
                </w:p>
              </w:tc>
              <w:tc>
                <w:tcPr>
                  <w:tcW w:w="409" w:type="dxa"/>
                  <w:vAlign w:val="center"/>
                </w:tcPr>
                <w:p w14:paraId="20EE912B">
                  <w:pPr>
                    <w:spacing w:line="240" w:lineRule="auto"/>
                    <w:jc w:val="center"/>
                    <w:rPr>
                      <w:rFonts w:hint="default" w:ascii="Times New Roman" w:hAnsi="Times New Roman" w:cs="Times New Roman"/>
                      <w:color w:val="auto"/>
                      <w:lang w:val="en-US" w:eastAsia="zh-CN"/>
                    </w:rPr>
                  </w:pPr>
                  <w:r>
                    <w:rPr>
                      <w:rFonts w:hint="default" w:cs="Times New Roman"/>
                      <w:color w:val="auto"/>
                    </w:rPr>
                    <w:t>氨</w:t>
                  </w:r>
                </w:p>
              </w:tc>
            </w:tr>
            <w:tr w14:paraId="31101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8" w:type="dxa"/>
                  <w:vAlign w:val="center"/>
                </w:tcPr>
                <w:p w14:paraId="45502277">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水泥制造</w:t>
                  </w:r>
                </w:p>
              </w:tc>
              <w:tc>
                <w:tcPr>
                  <w:tcW w:w="1908" w:type="dxa"/>
                  <w:vAlign w:val="center"/>
                </w:tcPr>
                <w:p w14:paraId="61F017D5">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水泥窑及窑尾余热利用系统</w:t>
                  </w:r>
                </w:p>
              </w:tc>
              <w:tc>
                <w:tcPr>
                  <w:tcW w:w="915" w:type="dxa"/>
                  <w:vAlign w:val="center"/>
                </w:tcPr>
                <w:p w14:paraId="71D6D1E9">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w:t>
                  </w:r>
                </w:p>
              </w:tc>
              <w:tc>
                <w:tcPr>
                  <w:tcW w:w="780" w:type="dxa"/>
                  <w:vAlign w:val="center"/>
                </w:tcPr>
                <w:p w14:paraId="37B697B4">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50</w:t>
                  </w:r>
                </w:p>
              </w:tc>
              <w:tc>
                <w:tcPr>
                  <w:tcW w:w="1455" w:type="dxa"/>
                  <w:vAlign w:val="center"/>
                </w:tcPr>
                <w:p w14:paraId="7FE6C650">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100</w:t>
                  </w:r>
                </w:p>
              </w:tc>
              <w:tc>
                <w:tcPr>
                  <w:tcW w:w="1350" w:type="dxa"/>
                  <w:vAlign w:val="center"/>
                </w:tcPr>
                <w:p w14:paraId="278778CA">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w:t>
                  </w:r>
                </w:p>
              </w:tc>
              <w:tc>
                <w:tcPr>
                  <w:tcW w:w="945" w:type="dxa"/>
                  <w:vAlign w:val="center"/>
                </w:tcPr>
                <w:p w14:paraId="769F4473">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0.05</w:t>
                  </w:r>
                </w:p>
              </w:tc>
              <w:tc>
                <w:tcPr>
                  <w:tcW w:w="409" w:type="dxa"/>
                  <w:vAlign w:val="center"/>
                </w:tcPr>
                <w:p w14:paraId="2DC723E9">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w:t>
                  </w:r>
                  <w:r>
                    <w:rPr>
                      <w:rFonts w:hint="eastAsia" w:ascii="Times New Roman" w:hAnsi="Times New Roman" w:cs="Times New Roman"/>
                      <w:color w:val="auto"/>
                      <w:vertAlign w:val="superscript"/>
                      <w:lang w:val="en-US" w:eastAsia="zh-CN"/>
                    </w:rPr>
                    <w:t>a</w:t>
                  </w:r>
                </w:p>
              </w:tc>
            </w:tr>
            <w:tr w14:paraId="2DC64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70" w:type="dxa"/>
                  <w:gridSpan w:val="8"/>
                  <w:vAlign w:val="center"/>
                </w:tcPr>
                <w:p w14:paraId="6D25D1AD">
                  <w:pPr>
                    <w:spacing w:line="240" w:lineRule="auto"/>
                    <w:jc w:val="left"/>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注1：</w:t>
                  </w:r>
                  <w:r>
                    <w:rPr>
                      <w:rFonts w:hint="eastAsia" w:ascii="Times New Roman" w:hAnsi="Times New Roman" w:cs="Times New Roman"/>
                      <w:color w:val="auto"/>
                      <w:vertAlign w:val="superscript"/>
                      <w:lang w:val="en-US" w:eastAsia="zh-CN"/>
                    </w:rPr>
                    <w:t>a</w:t>
                  </w:r>
                  <w:r>
                    <w:rPr>
                      <w:rFonts w:hint="eastAsia" w:ascii="Times New Roman" w:hAnsi="Times New Roman" w:cs="Times New Roman"/>
                      <w:color w:val="auto"/>
                      <w:lang w:val="en-US" w:eastAsia="zh-CN"/>
                    </w:rPr>
                    <w:t>适用于使用氨水、尿素等含氨物质作为还原剂，去除烟气中氮氧化物。</w:t>
                  </w:r>
                </w:p>
              </w:tc>
            </w:tr>
          </w:tbl>
          <w:p w14:paraId="0CC1FC59">
            <w:pPr>
              <w:pStyle w:val="3"/>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表3-</w:t>
            </w:r>
            <w:r>
              <w:rPr>
                <w:rFonts w:hint="eastAsia" w:ascii="Times New Roman" w:hAnsi="Times New Roman" w:cs="Times New Roman"/>
                <w:color w:val="auto"/>
                <w:sz w:val="21"/>
                <w:szCs w:val="21"/>
                <w:lang w:val="en-US" w:eastAsia="zh-CN"/>
              </w:rPr>
              <w:t xml:space="preserve">12 </w:t>
            </w:r>
            <w:r>
              <w:rPr>
                <w:rFonts w:hint="eastAsia" w:ascii="Times New Roman" w:hAnsi="Times New Roman" w:eastAsia="宋体" w:cs="Times New Roman"/>
                <w:color w:val="auto"/>
                <w:sz w:val="21"/>
                <w:szCs w:val="21"/>
                <w:lang w:val="en-US" w:eastAsia="zh-CN"/>
              </w:rPr>
              <w:t>《水泥工业大气污染排放标准》（DB 34/ 3576-2020）</w:t>
            </w:r>
            <w:r>
              <w:rPr>
                <w:rFonts w:hint="eastAsia" w:ascii="Times New Roman" w:hAnsi="Times New Roman" w:cs="Times New Roman"/>
                <w:color w:val="auto"/>
                <w:sz w:val="21"/>
                <w:szCs w:val="21"/>
                <w:lang w:val="en-US" w:eastAsia="zh-CN"/>
              </w:rPr>
              <w:t>表2无组织排放限值</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单位：</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350"/>
              <w:gridCol w:w="870"/>
              <w:gridCol w:w="3195"/>
              <w:gridCol w:w="2675"/>
            </w:tblGrid>
            <w:tr w14:paraId="755B9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3" w:type="pct"/>
                  <w:vAlign w:val="center"/>
                </w:tcPr>
                <w:p w14:paraId="6B26E359">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序号</w:t>
                  </w:r>
                </w:p>
              </w:tc>
              <w:tc>
                <w:tcPr>
                  <w:tcW w:w="768" w:type="pct"/>
                  <w:vAlign w:val="center"/>
                </w:tcPr>
                <w:p w14:paraId="216561A4">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污染物项目</w:t>
                  </w:r>
                </w:p>
              </w:tc>
              <w:tc>
                <w:tcPr>
                  <w:tcW w:w="495" w:type="pct"/>
                  <w:vAlign w:val="center"/>
                </w:tcPr>
                <w:p w14:paraId="4D4DE857">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限值</w:t>
                  </w:r>
                </w:p>
              </w:tc>
              <w:tc>
                <w:tcPr>
                  <w:tcW w:w="1819" w:type="pct"/>
                  <w:vAlign w:val="center"/>
                </w:tcPr>
                <w:p w14:paraId="7CAC4AA5">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限值含义</w:t>
                  </w:r>
                </w:p>
              </w:tc>
              <w:tc>
                <w:tcPr>
                  <w:tcW w:w="1523" w:type="pct"/>
                  <w:vAlign w:val="center"/>
                </w:tcPr>
                <w:p w14:paraId="68776BC0">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无组织排放监控位置</w:t>
                  </w:r>
                </w:p>
              </w:tc>
            </w:tr>
            <w:tr w14:paraId="6410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3" w:type="pct"/>
                  <w:vAlign w:val="center"/>
                </w:tcPr>
                <w:p w14:paraId="227EB75F">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768" w:type="pct"/>
                  <w:vAlign w:val="center"/>
                </w:tcPr>
                <w:p w14:paraId="5E06E582">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颗粒物</w:t>
                  </w:r>
                </w:p>
              </w:tc>
              <w:tc>
                <w:tcPr>
                  <w:tcW w:w="495" w:type="pct"/>
                  <w:vAlign w:val="center"/>
                </w:tcPr>
                <w:p w14:paraId="0701EBB9">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0.5</w:t>
                  </w:r>
                </w:p>
              </w:tc>
              <w:tc>
                <w:tcPr>
                  <w:tcW w:w="1819" w:type="pct"/>
                  <w:vAlign w:val="center"/>
                </w:tcPr>
                <w:p w14:paraId="7B6F90BE">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监控点与参照点总悬浮颗粒物（TSP）1小时浓度值的差值</w:t>
                  </w:r>
                </w:p>
              </w:tc>
              <w:tc>
                <w:tcPr>
                  <w:tcW w:w="1523" w:type="pct"/>
                  <w:vAlign w:val="center"/>
                </w:tcPr>
                <w:p w14:paraId="1095D2F3">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厂界外20m处上风向设参照点，下风向设监控点</w:t>
                  </w:r>
                </w:p>
              </w:tc>
            </w:tr>
            <w:tr w14:paraId="3ECD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3" w:type="pct"/>
                  <w:vAlign w:val="center"/>
                </w:tcPr>
                <w:p w14:paraId="6854CC0D">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768" w:type="pct"/>
                  <w:vAlign w:val="center"/>
                </w:tcPr>
                <w:p w14:paraId="436D2277">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氨</w:t>
                  </w:r>
                  <w:r>
                    <w:rPr>
                      <w:rFonts w:hint="eastAsia" w:ascii="Times New Roman" w:hAnsi="Times New Roman" w:cs="Times New Roman"/>
                      <w:color w:val="auto"/>
                      <w:vertAlign w:val="superscript"/>
                      <w:lang w:val="en-US" w:eastAsia="zh-CN"/>
                    </w:rPr>
                    <w:t>a</w:t>
                  </w:r>
                </w:p>
              </w:tc>
              <w:tc>
                <w:tcPr>
                  <w:tcW w:w="495" w:type="pct"/>
                  <w:vAlign w:val="center"/>
                </w:tcPr>
                <w:p w14:paraId="306773CA">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w:t>
                  </w:r>
                </w:p>
              </w:tc>
              <w:tc>
                <w:tcPr>
                  <w:tcW w:w="1819" w:type="pct"/>
                  <w:vAlign w:val="center"/>
                </w:tcPr>
                <w:p w14:paraId="441F8B45">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监控点处1小时浓度平均值</w:t>
                  </w:r>
                </w:p>
              </w:tc>
              <w:tc>
                <w:tcPr>
                  <w:tcW w:w="1523" w:type="pct"/>
                  <w:vAlign w:val="center"/>
                </w:tcPr>
                <w:p w14:paraId="32A4A6C0">
                  <w:pPr>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监控点设在下风向厂界外10m范围内浓度最高点</w:t>
                  </w:r>
                </w:p>
              </w:tc>
            </w:tr>
            <w:tr w14:paraId="2FCFD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5"/>
                  <w:vAlign w:val="center"/>
                </w:tcPr>
                <w:p w14:paraId="642BB315">
                  <w:pPr>
                    <w:spacing w:line="240" w:lineRule="auto"/>
                    <w:jc w:val="left"/>
                    <w:rPr>
                      <w:rFonts w:hint="default" w:ascii="Times New Roman" w:hAnsi="Times New Roman" w:cs="Times New Roman"/>
                      <w:color w:val="auto"/>
                      <w:vertAlign w:val="baseline"/>
                      <w:lang w:val="en-US" w:eastAsia="zh-CN"/>
                    </w:rPr>
                  </w:pPr>
                  <w:r>
                    <w:rPr>
                      <w:rFonts w:hint="eastAsia" w:ascii="Times New Roman" w:hAnsi="Times New Roman" w:cs="Times New Roman"/>
                      <w:color w:val="auto"/>
                      <w:lang w:val="en-US" w:eastAsia="zh-CN"/>
                    </w:rPr>
                    <w:t>注：</w:t>
                  </w:r>
                  <w:r>
                    <w:rPr>
                      <w:rFonts w:hint="eastAsia" w:ascii="Times New Roman" w:hAnsi="Times New Roman" w:cs="Times New Roman"/>
                      <w:color w:val="auto"/>
                      <w:vertAlign w:val="superscript"/>
                      <w:lang w:val="en-US" w:eastAsia="zh-CN"/>
                    </w:rPr>
                    <w:t>a</w:t>
                  </w:r>
                  <w:r>
                    <w:rPr>
                      <w:rFonts w:hint="eastAsia" w:ascii="Times New Roman" w:hAnsi="Times New Roman" w:cs="Times New Roman"/>
                      <w:color w:val="auto"/>
                      <w:vertAlign w:val="baseline"/>
                      <w:lang w:val="en-US" w:eastAsia="zh-CN"/>
                    </w:rPr>
                    <w:t>适用于使用氨水、尿素等含氨物质作为还原剂，去除烟气中氮氧化物。</w:t>
                  </w:r>
                </w:p>
              </w:tc>
            </w:tr>
          </w:tbl>
          <w:p w14:paraId="56D6899D">
            <w:pPr>
              <w:pStyle w:val="3"/>
              <w:rPr>
                <w:rFonts w:hint="eastAsia" w:ascii="Times New Roman" w:hAnsi="Times New Roman" w:cs="Times New Roman"/>
                <w:color w:val="auto"/>
                <w:sz w:val="21"/>
                <w:szCs w:val="21"/>
                <w:lang w:val="en-US" w:eastAsia="zh-CN"/>
              </w:rPr>
            </w:pPr>
            <w:bookmarkStart w:id="134" w:name="OLE_LINK154"/>
            <w:r>
              <w:rPr>
                <w:rFonts w:hint="default" w:ascii="Times New Roman" w:hAnsi="Times New Roman" w:eastAsia="宋体" w:cs="Times New Roman"/>
                <w:color w:val="auto"/>
                <w:sz w:val="21"/>
                <w:szCs w:val="21"/>
                <w:lang w:val="en-US" w:eastAsia="zh-CN"/>
              </w:rPr>
              <w:t>表3-</w:t>
            </w:r>
            <w:r>
              <w:rPr>
                <w:rFonts w:hint="eastAsia" w:ascii="Times New Roman" w:hAnsi="Times New Roman" w:cs="Times New Roman"/>
                <w:color w:val="auto"/>
                <w:sz w:val="21"/>
                <w:szCs w:val="21"/>
                <w:lang w:val="en-US" w:eastAsia="zh-CN"/>
              </w:rPr>
              <w:t>13 《水泥窑协同处置固体废物污染控制标准》有组织排放限值</w:t>
            </w:r>
            <w:bookmarkStart w:id="135" w:name="OLE_LINK159"/>
            <w:r>
              <w:rPr>
                <w:rFonts w:hint="default" w:ascii="Times New Roman" w:hAnsi="Times New Roman" w:cs="Times New Roman"/>
                <w:color w:val="auto"/>
                <w:sz w:val="21"/>
                <w:szCs w:val="21"/>
                <w:lang w:eastAsia="zh-CN"/>
              </w:rPr>
              <w:t>（</w:t>
            </w:r>
            <w:r>
              <w:rPr>
                <w:rFonts w:hint="eastAsia" w:ascii="Times New Roman" w:hAnsi="Times New Roman" w:cs="Times New Roman"/>
                <w:color w:val="auto"/>
                <w:sz w:val="21"/>
                <w:szCs w:val="21"/>
                <w:lang w:eastAsia="zh-CN"/>
              </w:rPr>
              <w:t>单位：</w:t>
            </w:r>
            <w:r>
              <w:rPr>
                <w:rFonts w:hint="default" w:ascii="Times New Roman" w:hAnsi="Times New Roman" w:cs="Times New Roman"/>
                <w:color w:val="auto"/>
                <w:sz w:val="21"/>
                <w:szCs w:val="21"/>
                <w:lang w:eastAsia="zh-CN"/>
              </w:rPr>
              <w:t>mg/m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lang w:eastAsia="zh-CN"/>
              </w:rPr>
              <w:t>）</w:t>
            </w:r>
            <w:bookmarkEnd w:id="135"/>
          </w:p>
          <w:bookmarkEnd w:id="134"/>
          <w:tbl>
            <w:tblPr>
              <w:tblStyle w:val="29"/>
              <w:tblW w:w="87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2"/>
              <w:gridCol w:w="3970"/>
            </w:tblGrid>
            <w:tr w14:paraId="610B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2" w:type="dxa"/>
                  <w:vAlign w:val="center"/>
                </w:tcPr>
                <w:p w14:paraId="3CC47890">
                  <w:pPr>
                    <w:jc w:val="center"/>
                    <w:rPr>
                      <w:rFonts w:hint="default"/>
                      <w:vertAlign w:val="baseline"/>
                      <w:lang w:val="en-US" w:eastAsia="zh-CN"/>
                    </w:rPr>
                  </w:pPr>
                  <w:r>
                    <w:rPr>
                      <w:rFonts w:hint="eastAsia"/>
                      <w:vertAlign w:val="baseline"/>
                      <w:lang w:val="en-US" w:eastAsia="zh-CN"/>
                    </w:rPr>
                    <w:t>污染物</w:t>
                  </w:r>
                </w:p>
              </w:tc>
              <w:tc>
                <w:tcPr>
                  <w:tcW w:w="3970" w:type="dxa"/>
                  <w:vAlign w:val="center"/>
                </w:tcPr>
                <w:p w14:paraId="1AC00F16">
                  <w:pPr>
                    <w:jc w:val="center"/>
                    <w:rPr>
                      <w:rFonts w:hint="eastAsia" w:eastAsia="宋体"/>
                      <w:vertAlign w:val="baseline"/>
                      <w:lang w:val="en-US" w:eastAsia="zh-CN"/>
                    </w:rPr>
                  </w:pPr>
                  <w:bookmarkStart w:id="136" w:name="OLE_LINK155"/>
                  <w:r>
                    <w:rPr>
                      <w:rFonts w:hint="eastAsia"/>
                      <w:vertAlign w:val="baseline"/>
                      <w:lang w:val="en-US" w:eastAsia="zh-CN"/>
                    </w:rPr>
                    <w:t>浓度限值</w:t>
                  </w:r>
                  <w:bookmarkEnd w:id="136"/>
                </w:p>
              </w:tc>
            </w:tr>
            <w:tr w14:paraId="41BB8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2" w:type="dxa"/>
                  <w:vAlign w:val="center"/>
                </w:tcPr>
                <w:p w14:paraId="134DCD73">
                  <w:pPr>
                    <w:jc w:val="center"/>
                    <w:rPr>
                      <w:rFonts w:hint="default"/>
                      <w:vertAlign w:val="baseline"/>
                      <w:lang w:val="en-US" w:eastAsia="zh-CN"/>
                    </w:rPr>
                  </w:pPr>
                  <w:r>
                    <w:rPr>
                      <w:rFonts w:hint="eastAsia"/>
                      <w:vertAlign w:val="baseline"/>
                      <w:lang w:val="en-US" w:eastAsia="zh-CN"/>
                    </w:rPr>
                    <w:t>氯化氢</w:t>
                  </w:r>
                </w:p>
              </w:tc>
              <w:tc>
                <w:tcPr>
                  <w:tcW w:w="3970" w:type="dxa"/>
                  <w:vAlign w:val="center"/>
                </w:tcPr>
                <w:p w14:paraId="692A6A3B">
                  <w:pPr>
                    <w:jc w:val="center"/>
                    <w:rPr>
                      <w:rFonts w:hint="default"/>
                      <w:vertAlign w:val="baseline"/>
                      <w:lang w:val="en-US" w:eastAsia="zh-CN"/>
                    </w:rPr>
                  </w:pPr>
                  <w:r>
                    <w:rPr>
                      <w:rFonts w:hint="eastAsia"/>
                      <w:vertAlign w:val="baseline"/>
                      <w:lang w:val="en-US" w:eastAsia="zh-CN"/>
                    </w:rPr>
                    <w:t>10</w:t>
                  </w:r>
                </w:p>
              </w:tc>
            </w:tr>
            <w:tr w14:paraId="693F3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2" w:type="dxa"/>
                  <w:vAlign w:val="center"/>
                </w:tcPr>
                <w:p w14:paraId="4B7BE655">
                  <w:pPr>
                    <w:jc w:val="center"/>
                    <w:rPr>
                      <w:rFonts w:hint="default"/>
                      <w:vertAlign w:val="baseline"/>
                      <w:lang w:val="en-US" w:eastAsia="zh-CN"/>
                    </w:rPr>
                  </w:pPr>
                  <w:r>
                    <w:rPr>
                      <w:rFonts w:hint="eastAsia"/>
                      <w:vertAlign w:val="baseline"/>
                      <w:lang w:val="en-US" w:eastAsia="zh-CN"/>
                    </w:rPr>
                    <w:t>氟化氢</w:t>
                  </w:r>
                </w:p>
              </w:tc>
              <w:tc>
                <w:tcPr>
                  <w:tcW w:w="3970" w:type="dxa"/>
                  <w:vAlign w:val="center"/>
                </w:tcPr>
                <w:p w14:paraId="7D0AD133">
                  <w:pPr>
                    <w:jc w:val="center"/>
                    <w:rPr>
                      <w:rFonts w:hint="default"/>
                      <w:vertAlign w:val="baseline"/>
                      <w:lang w:val="en-US" w:eastAsia="zh-CN"/>
                    </w:rPr>
                  </w:pPr>
                  <w:r>
                    <w:rPr>
                      <w:rFonts w:hint="eastAsia"/>
                      <w:vertAlign w:val="baseline"/>
                      <w:lang w:val="en-US" w:eastAsia="zh-CN"/>
                    </w:rPr>
                    <w:t>1</w:t>
                  </w:r>
                </w:p>
              </w:tc>
            </w:tr>
            <w:tr w14:paraId="42CE9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2" w:type="dxa"/>
                  <w:vAlign w:val="center"/>
                </w:tcPr>
                <w:p w14:paraId="1B96D142">
                  <w:pPr>
                    <w:jc w:val="center"/>
                    <w:rPr>
                      <w:rFonts w:hint="default"/>
                      <w:vertAlign w:val="baseline"/>
                      <w:lang w:val="en-US" w:eastAsia="zh-CN"/>
                    </w:rPr>
                  </w:pPr>
                  <w:r>
                    <w:rPr>
                      <w:rFonts w:hint="eastAsia"/>
                      <w:vertAlign w:val="baseline"/>
                      <w:lang w:val="en-US" w:eastAsia="zh-CN"/>
                    </w:rPr>
                    <w:t>汞及其化合物</w:t>
                  </w:r>
                </w:p>
              </w:tc>
              <w:tc>
                <w:tcPr>
                  <w:tcW w:w="3970" w:type="dxa"/>
                  <w:vAlign w:val="center"/>
                </w:tcPr>
                <w:p w14:paraId="77EB1C8B">
                  <w:pPr>
                    <w:jc w:val="center"/>
                    <w:rPr>
                      <w:rFonts w:hint="default"/>
                      <w:vertAlign w:val="baseline"/>
                      <w:lang w:val="en-US" w:eastAsia="zh-CN"/>
                    </w:rPr>
                  </w:pPr>
                  <w:r>
                    <w:rPr>
                      <w:rFonts w:hint="eastAsia"/>
                      <w:vertAlign w:val="baseline"/>
                      <w:lang w:val="en-US" w:eastAsia="zh-CN"/>
                    </w:rPr>
                    <w:t>0.05</w:t>
                  </w:r>
                </w:p>
              </w:tc>
            </w:tr>
            <w:tr w14:paraId="1C7B0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2" w:type="dxa"/>
                  <w:vAlign w:val="center"/>
                </w:tcPr>
                <w:p w14:paraId="68238C30">
                  <w:pPr>
                    <w:jc w:val="center"/>
                    <w:rPr>
                      <w:rFonts w:hint="default"/>
                      <w:vertAlign w:val="baseline"/>
                      <w:lang w:val="en-US" w:eastAsia="zh-CN"/>
                    </w:rPr>
                  </w:pPr>
                  <w:r>
                    <w:rPr>
                      <w:rFonts w:hint="eastAsia"/>
                      <w:vertAlign w:val="baseline"/>
                      <w:lang w:val="en-US" w:eastAsia="zh-CN"/>
                    </w:rPr>
                    <w:t>铊、镉、铅、砷及其化合物（以Tl+Cd+Pb+As计）</w:t>
                  </w:r>
                </w:p>
              </w:tc>
              <w:tc>
                <w:tcPr>
                  <w:tcW w:w="3970" w:type="dxa"/>
                  <w:vAlign w:val="center"/>
                </w:tcPr>
                <w:p w14:paraId="30F27DBF">
                  <w:pPr>
                    <w:jc w:val="center"/>
                    <w:rPr>
                      <w:rFonts w:hint="default"/>
                      <w:vertAlign w:val="baseline"/>
                      <w:lang w:val="en-US" w:eastAsia="zh-CN"/>
                    </w:rPr>
                  </w:pPr>
                  <w:r>
                    <w:rPr>
                      <w:rFonts w:hint="eastAsia"/>
                      <w:vertAlign w:val="baseline"/>
                      <w:lang w:val="en-US" w:eastAsia="zh-CN"/>
                    </w:rPr>
                    <w:t>1.0</w:t>
                  </w:r>
                </w:p>
              </w:tc>
            </w:tr>
            <w:tr w14:paraId="3E0AB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22" w:type="dxa"/>
                  <w:vAlign w:val="center"/>
                </w:tcPr>
                <w:p w14:paraId="6A6946DE">
                  <w:pPr>
                    <w:jc w:val="center"/>
                    <w:rPr>
                      <w:rFonts w:hint="default"/>
                      <w:vertAlign w:val="baseline"/>
                      <w:lang w:val="en-US" w:eastAsia="zh-CN"/>
                    </w:rPr>
                  </w:pPr>
                  <w:r>
                    <w:rPr>
                      <w:rFonts w:hint="eastAsia"/>
                      <w:vertAlign w:val="baseline"/>
                      <w:lang w:val="en-US" w:eastAsia="zh-CN"/>
                    </w:rPr>
                    <w:t>铍、铬、锡、</w:t>
                  </w:r>
                  <w:bookmarkStart w:id="137" w:name="OLE_LINK153"/>
                  <w:r>
                    <w:rPr>
                      <w:rFonts w:hint="eastAsia"/>
                      <w:vertAlign w:val="baseline"/>
                      <w:lang w:val="en-US" w:eastAsia="zh-CN"/>
                    </w:rPr>
                    <w:t>锑</w:t>
                  </w:r>
                  <w:bookmarkEnd w:id="137"/>
                  <w:r>
                    <w:rPr>
                      <w:rFonts w:hint="eastAsia"/>
                      <w:vertAlign w:val="baseline"/>
                      <w:lang w:val="en-US" w:eastAsia="zh-CN"/>
                    </w:rPr>
                    <w:t>、铜、钴、锰、镍、钒及其化合物（以Be+Cr+Sn+Sb+Cu+Co+Mn+Ni+V计）</w:t>
                  </w:r>
                </w:p>
              </w:tc>
              <w:tc>
                <w:tcPr>
                  <w:tcW w:w="3970" w:type="dxa"/>
                  <w:vAlign w:val="center"/>
                </w:tcPr>
                <w:p w14:paraId="71DDB444">
                  <w:pPr>
                    <w:jc w:val="center"/>
                    <w:rPr>
                      <w:rFonts w:hint="default"/>
                      <w:vertAlign w:val="baseline"/>
                      <w:lang w:val="en-US" w:eastAsia="zh-CN"/>
                    </w:rPr>
                  </w:pPr>
                  <w:r>
                    <w:rPr>
                      <w:rFonts w:hint="eastAsia"/>
                      <w:vertAlign w:val="baseline"/>
                      <w:lang w:val="en-US" w:eastAsia="zh-CN"/>
                    </w:rPr>
                    <w:t>0.5</w:t>
                  </w:r>
                </w:p>
              </w:tc>
            </w:tr>
          </w:tbl>
          <w:p w14:paraId="610BC489">
            <w:pPr>
              <w:pStyle w:val="3"/>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表3-</w:t>
            </w:r>
            <w:r>
              <w:rPr>
                <w:rFonts w:hint="eastAsia" w:ascii="Times New Roman" w:hAnsi="Times New Roman" w:cs="Times New Roman"/>
                <w:color w:val="auto"/>
                <w:sz w:val="21"/>
                <w:szCs w:val="21"/>
                <w:lang w:val="en-US" w:eastAsia="zh-CN"/>
              </w:rPr>
              <w:t>14 《恶臭污染物排放标准》无组织排放限值</w:t>
            </w:r>
            <w:r>
              <w:rPr>
                <w:rFonts w:hint="default" w:ascii="Times New Roman" w:hAnsi="Times New Roman" w:cs="Times New Roman"/>
                <w:color w:val="auto"/>
                <w:sz w:val="21"/>
                <w:szCs w:val="21"/>
                <w:lang w:eastAsia="zh-CN"/>
              </w:rPr>
              <w:t>（</w:t>
            </w:r>
            <w:r>
              <w:rPr>
                <w:rFonts w:hint="eastAsia" w:ascii="Times New Roman" w:hAnsi="Times New Roman" w:cs="Times New Roman"/>
                <w:color w:val="auto"/>
                <w:sz w:val="21"/>
                <w:szCs w:val="21"/>
                <w:lang w:eastAsia="zh-CN"/>
              </w:rPr>
              <w:t>单位：</w:t>
            </w:r>
            <w:r>
              <w:rPr>
                <w:rFonts w:hint="default" w:ascii="Times New Roman" w:hAnsi="Times New Roman" w:cs="Times New Roman"/>
                <w:color w:val="auto"/>
                <w:sz w:val="21"/>
                <w:szCs w:val="21"/>
                <w:lang w:eastAsia="zh-CN"/>
              </w:rPr>
              <w:t>mg/m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lang w:eastAsia="zh-CN"/>
              </w:rPr>
              <w:t>）</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0"/>
              <w:gridCol w:w="3978"/>
            </w:tblGrid>
            <w:tr w14:paraId="643D8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34" w:type="pct"/>
                  <w:vAlign w:val="center"/>
                </w:tcPr>
                <w:p w14:paraId="511A3C68">
                  <w:pPr>
                    <w:jc w:val="center"/>
                    <w:rPr>
                      <w:rFonts w:hint="default"/>
                      <w:vertAlign w:val="baseline"/>
                      <w:lang w:val="en-US" w:eastAsia="zh-CN"/>
                    </w:rPr>
                  </w:pPr>
                  <w:r>
                    <w:rPr>
                      <w:rFonts w:hint="eastAsia"/>
                      <w:vertAlign w:val="baseline"/>
                      <w:lang w:val="en-US" w:eastAsia="zh-CN"/>
                    </w:rPr>
                    <w:t>污染因子</w:t>
                  </w:r>
                </w:p>
              </w:tc>
              <w:tc>
                <w:tcPr>
                  <w:tcW w:w="2265" w:type="pct"/>
                  <w:vAlign w:val="center"/>
                </w:tcPr>
                <w:p w14:paraId="0BD4A163">
                  <w:pPr>
                    <w:jc w:val="center"/>
                    <w:rPr>
                      <w:rFonts w:hint="default"/>
                      <w:vertAlign w:val="baseline"/>
                      <w:lang w:val="en-US" w:eastAsia="zh-CN"/>
                    </w:rPr>
                  </w:pPr>
                  <w:r>
                    <w:rPr>
                      <w:rFonts w:hint="eastAsia"/>
                      <w:vertAlign w:val="baseline"/>
                      <w:lang w:val="en-US" w:eastAsia="zh-CN"/>
                    </w:rPr>
                    <w:t>浓度限值</w:t>
                  </w:r>
                </w:p>
              </w:tc>
            </w:tr>
            <w:tr w14:paraId="346D1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34" w:type="pct"/>
                  <w:vAlign w:val="center"/>
                </w:tcPr>
                <w:p w14:paraId="5470CF86">
                  <w:pPr>
                    <w:jc w:val="center"/>
                    <w:rPr>
                      <w:rFonts w:hint="default"/>
                      <w:vertAlign w:val="baseline"/>
                      <w:lang w:val="en-US" w:eastAsia="zh-CN"/>
                    </w:rPr>
                  </w:pPr>
                  <w:r>
                    <w:rPr>
                      <w:rFonts w:hint="eastAsia"/>
                      <w:vertAlign w:val="baseline"/>
                      <w:lang w:val="en-US" w:eastAsia="zh-CN"/>
                    </w:rPr>
                    <w:t>硫化氢</w:t>
                  </w:r>
                </w:p>
              </w:tc>
              <w:tc>
                <w:tcPr>
                  <w:tcW w:w="2265" w:type="pct"/>
                  <w:vAlign w:val="center"/>
                </w:tcPr>
                <w:p w14:paraId="089C5748">
                  <w:pPr>
                    <w:jc w:val="center"/>
                    <w:rPr>
                      <w:rFonts w:hint="default"/>
                      <w:vertAlign w:val="baseline"/>
                      <w:lang w:val="en-US" w:eastAsia="zh-CN"/>
                    </w:rPr>
                  </w:pPr>
                  <w:r>
                    <w:rPr>
                      <w:rFonts w:hint="eastAsia"/>
                      <w:vertAlign w:val="baseline"/>
                      <w:lang w:val="en-US" w:eastAsia="zh-CN"/>
                    </w:rPr>
                    <w:t>0.06</w:t>
                  </w:r>
                </w:p>
              </w:tc>
            </w:tr>
            <w:tr w14:paraId="01968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34" w:type="pct"/>
                  <w:vAlign w:val="center"/>
                </w:tcPr>
                <w:p w14:paraId="4AED4F9C">
                  <w:pPr>
                    <w:jc w:val="center"/>
                    <w:rPr>
                      <w:rFonts w:hint="default"/>
                      <w:vertAlign w:val="baseline"/>
                      <w:lang w:val="en-US" w:eastAsia="zh-CN"/>
                    </w:rPr>
                  </w:pPr>
                  <w:r>
                    <w:rPr>
                      <w:rFonts w:hint="eastAsia"/>
                      <w:vertAlign w:val="baseline"/>
                      <w:lang w:val="en-US" w:eastAsia="zh-CN"/>
                    </w:rPr>
                    <w:t>臭气浓度</w:t>
                  </w:r>
                </w:p>
              </w:tc>
              <w:tc>
                <w:tcPr>
                  <w:tcW w:w="2265" w:type="pct"/>
                  <w:vAlign w:val="center"/>
                </w:tcPr>
                <w:p w14:paraId="053B5A35">
                  <w:pPr>
                    <w:jc w:val="center"/>
                    <w:rPr>
                      <w:rFonts w:hint="default"/>
                      <w:vertAlign w:val="baseline"/>
                      <w:lang w:val="en-US" w:eastAsia="zh-CN"/>
                    </w:rPr>
                  </w:pPr>
                  <w:r>
                    <w:rPr>
                      <w:rFonts w:hint="eastAsia"/>
                      <w:vertAlign w:val="baseline"/>
                      <w:lang w:val="en-US" w:eastAsia="zh-CN"/>
                    </w:rPr>
                    <w:t>20</w:t>
                  </w:r>
                </w:p>
              </w:tc>
            </w:tr>
          </w:tbl>
          <w:p w14:paraId="7DB0E4F7">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2、废水</w:t>
            </w:r>
          </w:p>
          <w:p w14:paraId="7AD2A9F2">
            <w:pPr>
              <w:spacing w:line="360" w:lineRule="auto"/>
              <w:ind w:firstLine="480" w:firstLineChars="200"/>
              <w:rPr>
                <w:rFonts w:hint="eastAsia" w:cs="Times New Roman"/>
                <w:color w:val="auto"/>
                <w:sz w:val="24"/>
                <w:szCs w:val="24"/>
                <w:lang w:eastAsia="zh-CN"/>
              </w:rPr>
            </w:pPr>
            <w:r>
              <w:rPr>
                <w:rFonts w:hint="eastAsia" w:cs="Times New Roman"/>
                <w:color w:val="auto"/>
                <w:sz w:val="24"/>
                <w:szCs w:val="24"/>
                <w:lang w:eastAsia="zh-CN"/>
              </w:rPr>
              <w:t>项目运营期不新增职工，无生活污水产生；生产上不涉及用水，无生产废水产生。</w:t>
            </w:r>
          </w:p>
          <w:p w14:paraId="69C9A7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shd w:val="clear" w:color="auto" w:fill="auto"/>
              </w:rPr>
            </w:pPr>
            <w:r>
              <w:rPr>
                <w:rFonts w:hint="default" w:ascii="Times New Roman" w:hAnsi="Times New Roman" w:eastAsia="宋体" w:cs="Times New Roman"/>
                <w:b/>
                <w:bCs/>
                <w:color w:val="auto"/>
                <w:kern w:val="2"/>
                <w:sz w:val="24"/>
                <w:szCs w:val="24"/>
                <w:shd w:val="clear" w:fill="auto"/>
                <w:lang w:val="en-US" w:eastAsia="zh-CN" w:bidi="ar-SA"/>
              </w:rPr>
              <w:t>3、</w:t>
            </w:r>
            <w:r>
              <w:rPr>
                <w:rFonts w:hint="default" w:ascii="Times New Roman" w:hAnsi="Times New Roman" w:cs="Times New Roman"/>
                <w:b/>
                <w:bCs/>
                <w:color w:val="auto"/>
                <w:sz w:val="24"/>
                <w:szCs w:val="24"/>
                <w:shd w:val="clear" w:color="auto" w:fill="auto"/>
              </w:rPr>
              <w:t>噪声</w:t>
            </w:r>
          </w:p>
          <w:p w14:paraId="3E80F30B">
            <w:pPr>
              <w:spacing w:line="360" w:lineRule="auto"/>
              <w:ind w:firstLine="480" w:firstLineChars="200"/>
              <w:rPr>
                <w:rFonts w:hint="default" w:cs="Times New Roman"/>
                <w:color w:val="auto"/>
                <w:sz w:val="24"/>
                <w:szCs w:val="24"/>
                <w:lang w:eastAsia="zh-CN"/>
              </w:rPr>
            </w:pPr>
            <w:r>
              <w:rPr>
                <w:rFonts w:hint="default" w:cs="Times New Roman"/>
                <w:color w:val="auto"/>
                <w:sz w:val="24"/>
                <w:szCs w:val="24"/>
                <w:lang w:eastAsia="zh-CN"/>
              </w:rPr>
              <w:t>营运期厂界噪声执行《</w:t>
            </w:r>
            <w:bookmarkStart w:id="138" w:name="OLE_LINK160"/>
            <w:r>
              <w:rPr>
                <w:rFonts w:hint="default" w:cs="Times New Roman"/>
                <w:color w:val="auto"/>
                <w:sz w:val="24"/>
                <w:szCs w:val="24"/>
                <w:lang w:eastAsia="zh-CN"/>
              </w:rPr>
              <w:t>工业企业厂界环境噪声排放标准</w:t>
            </w:r>
            <w:bookmarkEnd w:id="138"/>
            <w:r>
              <w:rPr>
                <w:rFonts w:hint="default" w:cs="Times New Roman"/>
                <w:color w:val="auto"/>
                <w:sz w:val="24"/>
                <w:szCs w:val="24"/>
                <w:lang w:eastAsia="zh-CN"/>
              </w:rPr>
              <w:t>》（GB</w:t>
            </w:r>
            <w:r>
              <w:rPr>
                <w:rFonts w:hint="eastAsia" w:cs="Times New Roman"/>
                <w:color w:val="auto"/>
                <w:sz w:val="24"/>
                <w:szCs w:val="24"/>
                <w:lang w:val="en-US" w:eastAsia="zh-CN"/>
              </w:rPr>
              <w:t xml:space="preserve"> </w:t>
            </w:r>
            <w:r>
              <w:rPr>
                <w:rFonts w:hint="default" w:cs="Times New Roman"/>
                <w:color w:val="auto"/>
                <w:sz w:val="24"/>
                <w:szCs w:val="24"/>
                <w:lang w:eastAsia="zh-CN"/>
              </w:rPr>
              <w:t>12348-2008）中的</w:t>
            </w:r>
            <w:r>
              <w:rPr>
                <w:rFonts w:hint="eastAsia" w:cs="Times New Roman"/>
                <w:color w:val="auto"/>
                <w:sz w:val="24"/>
                <w:szCs w:val="24"/>
                <w:lang w:val="en-US" w:eastAsia="zh-CN"/>
              </w:rPr>
              <w:t>3</w:t>
            </w:r>
            <w:r>
              <w:rPr>
                <w:rFonts w:hint="default" w:cs="Times New Roman"/>
                <w:color w:val="auto"/>
                <w:sz w:val="24"/>
                <w:szCs w:val="24"/>
                <w:lang w:eastAsia="zh-CN"/>
              </w:rPr>
              <w:t>类标准，具体标准如下</w:t>
            </w:r>
            <w:r>
              <w:rPr>
                <w:rFonts w:hint="eastAsia" w:cs="Times New Roman"/>
                <w:color w:val="auto"/>
                <w:sz w:val="24"/>
                <w:szCs w:val="24"/>
                <w:lang w:eastAsia="zh-CN"/>
              </w:rPr>
              <w:t>。</w:t>
            </w:r>
          </w:p>
          <w:p w14:paraId="667CFBC7">
            <w:pPr>
              <w:pStyle w:val="3"/>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表3-</w:t>
            </w:r>
            <w:r>
              <w:rPr>
                <w:rFonts w:hint="eastAsia" w:ascii="Times New Roman" w:hAnsi="Times New Roman" w:cs="Times New Roman"/>
                <w:color w:val="auto"/>
                <w:sz w:val="21"/>
                <w:szCs w:val="21"/>
                <w:lang w:val="en-US" w:eastAsia="zh-CN"/>
              </w:rPr>
              <w:t xml:space="preserve">15 </w:t>
            </w:r>
            <w:r>
              <w:rPr>
                <w:rFonts w:hint="default" w:ascii="Times New Roman" w:hAnsi="Times New Roman" w:eastAsia="宋体" w:cs="Times New Roman"/>
                <w:color w:val="auto"/>
                <w:sz w:val="21"/>
                <w:szCs w:val="21"/>
                <w:lang w:val="en-US" w:eastAsia="zh-CN"/>
              </w:rPr>
              <w:t>厂界环境噪声排放标准 单位：dB（A）</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034"/>
              <w:gridCol w:w="1038"/>
              <w:gridCol w:w="5355"/>
            </w:tblGrid>
            <w:tr w14:paraId="74509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769" w:type="pct"/>
                  <w:tcBorders>
                    <w:tl2br w:val="nil"/>
                    <w:tr2bl w:val="nil"/>
                  </w:tcBorders>
                  <w:vAlign w:val="center"/>
                </w:tcPr>
                <w:p w14:paraId="16036628">
                  <w:pPr>
                    <w:jc w:val="center"/>
                    <w:rPr>
                      <w:rFonts w:hint="default" w:ascii="Times New Roman" w:hAnsi="Times New Roman" w:cs="Times New Roman"/>
                      <w:b w:val="0"/>
                      <w:bCs w:val="0"/>
                      <w:snapToGrid w:val="0"/>
                      <w:color w:val="auto"/>
                    </w:rPr>
                  </w:pPr>
                  <w:r>
                    <w:rPr>
                      <w:rFonts w:hint="default" w:ascii="Times New Roman" w:hAnsi="Times New Roman" w:cs="Times New Roman"/>
                      <w:b w:val="0"/>
                      <w:bCs w:val="0"/>
                      <w:snapToGrid w:val="0"/>
                      <w:color w:val="auto"/>
                    </w:rPr>
                    <w:t>类别</w:t>
                  </w:r>
                </w:p>
              </w:tc>
              <w:tc>
                <w:tcPr>
                  <w:tcW w:w="589" w:type="pct"/>
                  <w:tcBorders>
                    <w:tl2br w:val="nil"/>
                    <w:tr2bl w:val="nil"/>
                  </w:tcBorders>
                  <w:vAlign w:val="center"/>
                </w:tcPr>
                <w:p w14:paraId="686D0332">
                  <w:pPr>
                    <w:jc w:val="center"/>
                    <w:rPr>
                      <w:rFonts w:hint="default" w:ascii="Times New Roman" w:hAnsi="Times New Roman" w:cs="Times New Roman"/>
                      <w:b w:val="0"/>
                      <w:bCs w:val="0"/>
                      <w:snapToGrid w:val="0"/>
                      <w:color w:val="auto"/>
                    </w:rPr>
                  </w:pPr>
                  <w:r>
                    <w:rPr>
                      <w:rFonts w:hint="default" w:ascii="Times New Roman" w:hAnsi="Times New Roman" w:cs="Times New Roman"/>
                      <w:b w:val="0"/>
                      <w:bCs w:val="0"/>
                      <w:snapToGrid w:val="0"/>
                      <w:color w:val="auto"/>
                    </w:rPr>
                    <w:t>昼间</w:t>
                  </w:r>
                </w:p>
              </w:tc>
              <w:tc>
                <w:tcPr>
                  <w:tcW w:w="591" w:type="pct"/>
                  <w:tcBorders>
                    <w:tl2br w:val="nil"/>
                    <w:tr2bl w:val="nil"/>
                  </w:tcBorders>
                  <w:vAlign w:val="center"/>
                </w:tcPr>
                <w:p w14:paraId="7293D4CC">
                  <w:pPr>
                    <w:jc w:val="center"/>
                    <w:rPr>
                      <w:rFonts w:hint="default" w:ascii="Times New Roman" w:hAnsi="Times New Roman" w:cs="Times New Roman"/>
                      <w:b w:val="0"/>
                      <w:bCs w:val="0"/>
                      <w:snapToGrid w:val="0"/>
                      <w:color w:val="auto"/>
                    </w:rPr>
                  </w:pPr>
                  <w:r>
                    <w:rPr>
                      <w:rFonts w:hint="default" w:ascii="Times New Roman" w:hAnsi="Times New Roman" w:cs="Times New Roman"/>
                      <w:b w:val="0"/>
                      <w:bCs w:val="0"/>
                      <w:snapToGrid w:val="0"/>
                      <w:color w:val="auto"/>
                    </w:rPr>
                    <w:t>夜间</w:t>
                  </w:r>
                </w:p>
              </w:tc>
              <w:tc>
                <w:tcPr>
                  <w:tcW w:w="3050" w:type="pct"/>
                  <w:tcBorders>
                    <w:tl2br w:val="nil"/>
                    <w:tr2bl w:val="nil"/>
                  </w:tcBorders>
                  <w:vAlign w:val="center"/>
                </w:tcPr>
                <w:p w14:paraId="4FFBA42B">
                  <w:pPr>
                    <w:jc w:val="center"/>
                    <w:rPr>
                      <w:rFonts w:hint="default" w:ascii="Times New Roman" w:hAnsi="Times New Roman" w:cs="Times New Roman"/>
                      <w:b w:val="0"/>
                      <w:bCs w:val="0"/>
                      <w:snapToGrid w:val="0"/>
                      <w:color w:val="auto"/>
                    </w:rPr>
                  </w:pPr>
                  <w:r>
                    <w:rPr>
                      <w:rFonts w:hint="default" w:ascii="Times New Roman" w:hAnsi="Times New Roman" w:cs="Times New Roman"/>
                      <w:b w:val="0"/>
                      <w:bCs w:val="0"/>
                      <w:snapToGrid w:val="0"/>
                      <w:color w:val="auto"/>
                    </w:rPr>
                    <w:t>执行标准</w:t>
                  </w:r>
                </w:p>
              </w:tc>
            </w:tr>
            <w:tr w14:paraId="103C1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769" w:type="pct"/>
                  <w:tcBorders>
                    <w:tl2br w:val="nil"/>
                    <w:tr2bl w:val="nil"/>
                  </w:tcBorders>
                  <w:vAlign w:val="center"/>
                </w:tcPr>
                <w:p w14:paraId="0F0D91DB">
                  <w:pPr>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营运期</w:t>
                  </w:r>
                </w:p>
              </w:tc>
              <w:tc>
                <w:tcPr>
                  <w:tcW w:w="589" w:type="pct"/>
                  <w:tcBorders>
                    <w:tl2br w:val="nil"/>
                    <w:tr2bl w:val="nil"/>
                  </w:tcBorders>
                  <w:vAlign w:val="center"/>
                </w:tcPr>
                <w:p w14:paraId="30214665">
                  <w:pPr>
                    <w:jc w:val="center"/>
                    <w:rPr>
                      <w:rFonts w:hint="default" w:ascii="Times New Roman" w:hAnsi="Times New Roman" w:eastAsia="宋体" w:cs="Times New Roman"/>
                      <w:snapToGrid w:val="0"/>
                      <w:color w:val="auto"/>
                      <w:lang w:val="en-US" w:eastAsia="zh-CN"/>
                    </w:rPr>
                  </w:pPr>
                  <w:r>
                    <w:rPr>
                      <w:rFonts w:hint="eastAsia" w:cs="Times New Roman"/>
                      <w:snapToGrid w:val="0"/>
                      <w:color w:val="auto"/>
                      <w:lang w:val="en-US" w:eastAsia="zh-CN"/>
                    </w:rPr>
                    <w:t>65</w:t>
                  </w:r>
                </w:p>
              </w:tc>
              <w:tc>
                <w:tcPr>
                  <w:tcW w:w="591" w:type="pct"/>
                  <w:tcBorders>
                    <w:tl2br w:val="nil"/>
                    <w:tr2bl w:val="nil"/>
                  </w:tcBorders>
                  <w:vAlign w:val="center"/>
                </w:tcPr>
                <w:p w14:paraId="3BDD1647">
                  <w:pPr>
                    <w:jc w:val="center"/>
                    <w:rPr>
                      <w:rFonts w:hint="default" w:ascii="Times New Roman" w:hAnsi="Times New Roman" w:eastAsia="宋体" w:cs="Times New Roman"/>
                      <w:snapToGrid w:val="0"/>
                      <w:color w:val="auto"/>
                      <w:lang w:val="en-US" w:eastAsia="zh-CN"/>
                    </w:rPr>
                  </w:pPr>
                  <w:r>
                    <w:rPr>
                      <w:rFonts w:hint="eastAsia" w:cs="Times New Roman"/>
                      <w:snapToGrid w:val="0"/>
                      <w:color w:val="auto"/>
                      <w:lang w:val="en-US" w:eastAsia="zh-CN"/>
                    </w:rPr>
                    <w:t>55</w:t>
                  </w:r>
                </w:p>
              </w:tc>
              <w:tc>
                <w:tcPr>
                  <w:tcW w:w="3050" w:type="pct"/>
                  <w:tcBorders>
                    <w:tl2br w:val="nil"/>
                    <w:tr2bl w:val="nil"/>
                  </w:tcBorders>
                  <w:vAlign w:val="center"/>
                </w:tcPr>
                <w:p w14:paraId="4F4F9943">
                  <w:pPr>
                    <w:jc w:val="center"/>
                    <w:rPr>
                      <w:rFonts w:hint="default" w:ascii="Times New Roman" w:hAnsi="Times New Roman" w:cs="Times New Roman"/>
                      <w:snapToGrid w:val="0"/>
                      <w:color w:val="auto"/>
                    </w:rPr>
                  </w:pPr>
                  <w:r>
                    <w:rPr>
                      <w:rFonts w:hint="default" w:ascii="Times New Roman" w:hAnsi="Times New Roman" w:cs="Times New Roman"/>
                      <w:color w:val="auto"/>
                    </w:rPr>
                    <w:t>《工业企业厂界环境噪声排放标准》（GB 12348-2008）</w:t>
                  </w:r>
                </w:p>
              </w:tc>
            </w:tr>
          </w:tbl>
          <w:p w14:paraId="50DE8E19">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4、固废</w:t>
            </w:r>
          </w:p>
          <w:p w14:paraId="70D6A8E7">
            <w:pPr>
              <w:adjustRightInd w:val="0"/>
              <w:snapToGrid w:val="0"/>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sz w:val="24"/>
                <w:szCs w:val="24"/>
              </w:rPr>
              <w:t>一般固体废物</w:t>
            </w:r>
            <w:r>
              <w:rPr>
                <w:rFonts w:hint="eastAsia" w:cs="Times New Roman"/>
                <w:color w:val="auto"/>
                <w:sz w:val="24"/>
                <w:szCs w:val="24"/>
                <w:lang w:eastAsia="zh-CN"/>
              </w:rPr>
              <w:t>贮存</w:t>
            </w:r>
            <w:r>
              <w:rPr>
                <w:rFonts w:hint="default" w:ascii="Times New Roman" w:hAnsi="Times New Roman" w:cs="Times New Roman"/>
                <w:color w:val="auto"/>
                <w:sz w:val="24"/>
                <w:szCs w:val="24"/>
              </w:rPr>
              <w:t>参照执行《一般工业固体废物贮存和填埋污染控制标准》（GB</w:t>
            </w:r>
            <w:r>
              <w:rPr>
                <w:rFonts w:hint="eastAsia" w:cs="Times New Roman"/>
                <w:color w:val="auto"/>
                <w:sz w:val="24"/>
                <w:szCs w:val="24"/>
                <w:lang w:val="en-US" w:eastAsia="zh-CN"/>
              </w:rPr>
              <w:t xml:space="preserve"> </w:t>
            </w:r>
            <w:r>
              <w:rPr>
                <w:rFonts w:hint="default" w:ascii="Times New Roman" w:hAnsi="Times New Roman" w:cs="Times New Roman"/>
                <w:color w:val="auto"/>
                <w:sz w:val="24"/>
                <w:szCs w:val="24"/>
              </w:rPr>
              <w:t>18599-2020）有关规定和要求，危险废物参照《危险废物贮存污染控制标准》（GB</w:t>
            </w:r>
            <w:r>
              <w:rPr>
                <w:rFonts w:hint="eastAsia" w:cs="Times New Roman"/>
                <w:color w:val="auto"/>
                <w:sz w:val="24"/>
                <w:szCs w:val="24"/>
                <w:lang w:val="en-US" w:eastAsia="zh-CN"/>
              </w:rPr>
              <w:t xml:space="preserve"> </w:t>
            </w:r>
            <w:r>
              <w:rPr>
                <w:rFonts w:hint="default" w:ascii="Times New Roman" w:hAnsi="Times New Roman" w:cs="Times New Roman"/>
                <w:color w:val="auto"/>
                <w:sz w:val="24"/>
                <w:szCs w:val="24"/>
              </w:rPr>
              <w:t>18597-2023）中有关规定执行</w:t>
            </w:r>
            <w:r>
              <w:rPr>
                <w:rFonts w:hint="default" w:ascii="Times New Roman" w:hAnsi="Times New Roman" w:cs="Times New Roman"/>
                <w:snapToGrid w:val="0"/>
                <w:color w:val="auto"/>
                <w:sz w:val="24"/>
                <w:szCs w:val="24"/>
              </w:rPr>
              <w:t>。</w:t>
            </w:r>
          </w:p>
        </w:tc>
      </w:tr>
      <w:tr w14:paraId="07C017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14:paraId="7F2FBDC4">
            <w:pPr>
              <w:adjustRightInd w:val="0"/>
              <w:snapToGrid w:val="0"/>
              <w:spacing w:line="460" w:lineRule="exact"/>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总量</w:t>
            </w:r>
          </w:p>
          <w:p w14:paraId="56A85410">
            <w:pPr>
              <w:adjustRightInd w:val="0"/>
              <w:snapToGrid w:val="0"/>
              <w:spacing w:line="460" w:lineRule="exact"/>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控制</w:t>
            </w:r>
          </w:p>
          <w:p w14:paraId="4FD8F1BB">
            <w:pPr>
              <w:adjustRightInd w:val="0"/>
              <w:snapToGrid w:val="0"/>
              <w:spacing w:line="4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sz w:val="24"/>
                <w:szCs w:val="24"/>
              </w:rPr>
              <w:t>指标</w:t>
            </w:r>
          </w:p>
        </w:tc>
        <w:tc>
          <w:tcPr>
            <w:tcW w:w="9008" w:type="dxa"/>
            <w:vAlign w:val="center"/>
          </w:tcPr>
          <w:p w14:paraId="409F999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Times New Roman"/>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根据国家“十三五”主要污染物总量控制政策、《国务院关于印发大气污染防治行动计划的通知》、《国务院关于印发“十三五”生态环境保护规划的通知》、《安徽省“十三五”环境保护规划》和《安徽省环保厅关于进一步加强建设项目新增大气主要污染物总量指标管理工作的通知》（皖环发〔</w:t>
            </w:r>
            <w:r>
              <w:rPr>
                <w:rFonts w:ascii="Times New Roman" w:hAnsi="Times New Roman" w:eastAsia="宋体" w:cs="Times New Roman"/>
                <w:color w:val="auto"/>
                <w:kern w:val="0"/>
                <w:sz w:val="24"/>
                <w:szCs w:val="24"/>
                <w:lang w:val="en-US" w:eastAsia="zh-CN" w:bidi="ar-SA"/>
              </w:rPr>
              <w:t>2017</w:t>
            </w:r>
            <w:r>
              <w:rPr>
                <w:rFonts w:hint="eastAsia" w:ascii="Times New Roman" w:hAnsi="Times New Roman" w:eastAsia="宋体" w:cs="宋体"/>
                <w:color w:val="auto"/>
                <w:kern w:val="0"/>
                <w:sz w:val="24"/>
                <w:szCs w:val="24"/>
                <w:lang w:val="en-US" w:eastAsia="zh-CN" w:bidi="ar-SA"/>
              </w:rPr>
              <w:t>〕</w:t>
            </w:r>
            <w:r>
              <w:rPr>
                <w:rFonts w:ascii="Times New Roman" w:hAnsi="Times New Roman" w:eastAsia="宋体" w:cs="Times New Roman"/>
                <w:color w:val="auto"/>
                <w:kern w:val="0"/>
                <w:sz w:val="24"/>
                <w:szCs w:val="24"/>
                <w:lang w:val="en-US" w:eastAsia="zh-CN" w:bidi="ar-SA"/>
              </w:rPr>
              <w:t>19</w:t>
            </w:r>
            <w:r>
              <w:rPr>
                <w:rFonts w:hint="eastAsia" w:ascii="Times New Roman" w:hAnsi="Times New Roman" w:eastAsia="宋体" w:cs="宋体"/>
                <w:color w:val="auto"/>
                <w:kern w:val="0"/>
                <w:sz w:val="24"/>
                <w:szCs w:val="24"/>
                <w:lang w:val="en-US" w:eastAsia="zh-CN" w:bidi="ar-SA"/>
              </w:rPr>
              <w:t>号），我省实施总量控制的主要污染因子为：</w:t>
            </w:r>
            <w:r>
              <w:rPr>
                <w:rFonts w:ascii="Times New Roman" w:hAnsi="Times New Roman" w:eastAsia="宋体" w:cs="Times New Roman"/>
                <w:color w:val="auto"/>
                <w:kern w:val="0"/>
                <w:sz w:val="24"/>
                <w:szCs w:val="24"/>
                <w:lang w:val="en-US" w:eastAsia="zh-CN" w:bidi="ar-SA"/>
              </w:rPr>
              <w:t>SO</w:t>
            </w:r>
            <w:r>
              <w:rPr>
                <w:rFonts w:ascii="Times New Roman" w:hAnsi="Times New Roman" w:eastAsia="宋体" w:cs="Times New Roman"/>
                <w:color w:val="auto"/>
                <w:kern w:val="0"/>
                <w:sz w:val="24"/>
                <w:szCs w:val="24"/>
                <w:vertAlign w:val="subscript"/>
                <w:lang w:val="en-US" w:eastAsia="zh-CN" w:bidi="ar-SA"/>
              </w:rPr>
              <w:t>2</w:t>
            </w:r>
            <w:r>
              <w:rPr>
                <w:rFonts w:hint="eastAsia" w:ascii="Times New Roman" w:hAnsi="Times New Roman" w:eastAsia="宋体" w:cs="宋体"/>
                <w:color w:val="auto"/>
                <w:kern w:val="0"/>
                <w:sz w:val="24"/>
                <w:szCs w:val="24"/>
                <w:lang w:val="en-US" w:eastAsia="zh-CN" w:bidi="ar-SA"/>
              </w:rPr>
              <w:t>、</w:t>
            </w:r>
            <w:r>
              <w:rPr>
                <w:rFonts w:ascii="Times New Roman" w:hAnsi="Times New Roman" w:eastAsia="宋体" w:cs="Times New Roman"/>
                <w:color w:val="auto"/>
                <w:kern w:val="0"/>
                <w:sz w:val="24"/>
                <w:szCs w:val="24"/>
                <w:lang w:val="en-US" w:eastAsia="zh-CN" w:bidi="ar-SA"/>
              </w:rPr>
              <w:t>NO</w:t>
            </w:r>
            <w:r>
              <w:rPr>
                <w:rFonts w:ascii="Times New Roman" w:hAnsi="Times New Roman" w:eastAsia="宋体" w:cs="Times New Roman"/>
                <w:color w:val="auto"/>
                <w:kern w:val="0"/>
                <w:sz w:val="24"/>
                <w:szCs w:val="24"/>
                <w:vertAlign w:val="baseline"/>
                <w:lang w:val="en-US" w:eastAsia="zh-CN" w:bidi="ar-SA"/>
              </w:rPr>
              <w:t>x</w:t>
            </w:r>
            <w:r>
              <w:rPr>
                <w:rFonts w:hint="eastAsia" w:ascii="Times New Roman" w:hAnsi="Times New Roman" w:eastAsia="宋体" w:cs="宋体"/>
                <w:color w:val="auto"/>
                <w:kern w:val="0"/>
                <w:sz w:val="24"/>
                <w:szCs w:val="24"/>
                <w:lang w:val="en-US" w:eastAsia="zh-CN" w:bidi="ar-SA"/>
              </w:rPr>
              <w:t>、烟尘（粉尘）、挥发性有机物（</w:t>
            </w:r>
            <w:r>
              <w:rPr>
                <w:rFonts w:ascii="Times New Roman" w:hAnsi="Times New Roman" w:eastAsia="宋体" w:cs="Times New Roman"/>
                <w:color w:val="auto"/>
                <w:kern w:val="0"/>
                <w:sz w:val="24"/>
                <w:szCs w:val="24"/>
                <w:lang w:val="en-US" w:eastAsia="zh-CN" w:bidi="ar-SA"/>
              </w:rPr>
              <w:t>VOCs</w:t>
            </w:r>
            <w:r>
              <w:rPr>
                <w:rFonts w:hint="eastAsia" w:ascii="Times New Roman" w:hAnsi="Times New Roman" w:eastAsia="宋体" w:cs="宋体"/>
                <w:color w:val="auto"/>
                <w:kern w:val="0"/>
                <w:sz w:val="24"/>
                <w:szCs w:val="24"/>
                <w:lang w:val="en-US" w:eastAsia="zh-CN" w:bidi="ar-SA"/>
              </w:rPr>
              <w:t>）及</w:t>
            </w:r>
            <w:r>
              <w:rPr>
                <w:rFonts w:ascii="Times New Roman" w:hAnsi="Times New Roman" w:eastAsia="宋体" w:cs="Times New Roman"/>
                <w:color w:val="auto"/>
                <w:kern w:val="0"/>
                <w:sz w:val="24"/>
                <w:szCs w:val="24"/>
                <w:lang w:val="en-US" w:eastAsia="zh-CN" w:bidi="ar-SA"/>
              </w:rPr>
              <w:t>COD</w:t>
            </w:r>
            <w:r>
              <w:rPr>
                <w:rFonts w:hint="eastAsia" w:ascii="Times New Roman" w:hAnsi="Times New Roman" w:eastAsia="宋体" w:cs="宋体"/>
                <w:color w:val="auto"/>
                <w:kern w:val="0"/>
                <w:sz w:val="24"/>
                <w:szCs w:val="24"/>
                <w:lang w:val="en-US" w:eastAsia="zh-CN" w:bidi="ar-SA"/>
              </w:rPr>
              <w:t>、</w:t>
            </w:r>
            <w:r>
              <w:rPr>
                <w:rFonts w:ascii="Times New Roman" w:hAnsi="Times New Roman" w:eastAsia="宋体" w:cs="Times New Roman"/>
                <w:color w:val="auto"/>
                <w:kern w:val="0"/>
                <w:sz w:val="24"/>
                <w:szCs w:val="24"/>
                <w:lang w:val="en-US" w:eastAsia="zh-CN" w:bidi="ar-SA"/>
              </w:rPr>
              <w:t>NH</w:t>
            </w:r>
            <w:r>
              <w:rPr>
                <w:rFonts w:ascii="Times New Roman" w:hAnsi="Times New Roman" w:eastAsia="宋体" w:cs="Times New Roman"/>
                <w:color w:val="auto"/>
                <w:kern w:val="0"/>
                <w:sz w:val="24"/>
                <w:szCs w:val="24"/>
                <w:vertAlign w:val="subscript"/>
                <w:lang w:val="en-US" w:eastAsia="zh-CN" w:bidi="ar-SA"/>
              </w:rPr>
              <w:t>3</w:t>
            </w:r>
            <w:r>
              <w:rPr>
                <w:rFonts w:ascii="Times New Roman" w:hAnsi="Times New Roman" w:eastAsia="宋体" w:cs="Times New Roman"/>
                <w:color w:val="auto"/>
                <w:kern w:val="0"/>
                <w:sz w:val="24"/>
                <w:szCs w:val="24"/>
                <w:lang w:val="en-US" w:eastAsia="zh-CN" w:bidi="ar-SA"/>
              </w:rPr>
              <w:t>-N</w:t>
            </w:r>
            <w:r>
              <w:rPr>
                <w:rFonts w:hint="eastAsia" w:ascii="Times New Roman" w:hAnsi="Times New Roman" w:eastAsia="宋体" w:cs="宋体"/>
                <w:color w:val="auto"/>
                <w:kern w:val="0"/>
                <w:sz w:val="24"/>
                <w:szCs w:val="24"/>
                <w:lang w:val="en-US" w:eastAsia="zh-CN" w:bidi="ar-SA"/>
              </w:rPr>
              <w:t>。</w:t>
            </w:r>
          </w:p>
          <w:p w14:paraId="44537B5C">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rPr>
              <w:t>废水：</w:t>
            </w:r>
            <w:r>
              <w:rPr>
                <w:rFonts w:hint="eastAsia" w:cs="Times New Roman"/>
                <w:bCs/>
                <w:color w:val="auto"/>
                <w:sz w:val="24"/>
                <w:szCs w:val="21"/>
                <w:lang w:eastAsia="zh-CN"/>
              </w:rPr>
              <w:t>本项目</w:t>
            </w:r>
            <w:r>
              <w:rPr>
                <w:rFonts w:hint="eastAsia" w:ascii="Times New Roman" w:hAnsi="Times New Roman" w:eastAsia="宋体" w:cs="Times New Roman"/>
                <w:bCs/>
                <w:color w:val="auto"/>
                <w:sz w:val="24"/>
                <w:szCs w:val="21"/>
              </w:rPr>
              <w:t>无废水排放，无需申请总量</w:t>
            </w:r>
            <w:r>
              <w:rPr>
                <w:rFonts w:hint="eastAsia" w:cs="Times New Roman"/>
                <w:bCs/>
                <w:color w:val="auto"/>
                <w:sz w:val="24"/>
                <w:szCs w:val="21"/>
                <w:lang w:eastAsia="zh-CN"/>
              </w:rPr>
              <w:t>；</w:t>
            </w:r>
          </w:p>
          <w:p w14:paraId="5F4B79D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s="Times New Roman"/>
                <w:bCs/>
                <w:color w:val="auto"/>
                <w:kern w:val="2"/>
                <w:sz w:val="24"/>
                <w:szCs w:val="21"/>
                <w:vertAlign w:val="baseline"/>
                <w:lang w:val="en-US" w:eastAsia="zh-CN" w:bidi="ar-SA"/>
              </w:rPr>
            </w:pPr>
            <w:r>
              <w:rPr>
                <w:rFonts w:hint="eastAsia" w:ascii="Times New Roman" w:hAnsi="Times New Roman" w:eastAsia="宋体" w:cs="Times New Roman"/>
                <w:bCs/>
                <w:color w:val="auto"/>
                <w:kern w:val="2"/>
                <w:sz w:val="24"/>
                <w:szCs w:val="21"/>
                <w:lang w:val="en-US" w:eastAsia="zh-CN" w:bidi="ar-SA"/>
              </w:rPr>
              <w:t>废气：</w:t>
            </w:r>
            <w:r>
              <w:rPr>
                <w:rFonts w:hint="eastAsia" w:cs="Times New Roman"/>
                <w:bCs/>
                <w:color w:val="auto"/>
                <w:kern w:val="2"/>
                <w:sz w:val="24"/>
                <w:szCs w:val="21"/>
                <w:lang w:val="en-US" w:eastAsia="zh-CN" w:bidi="ar-SA"/>
              </w:rPr>
              <w:t>本项目属于节能减排技术改造项目，利用废纺以及生物质（木屑）燃料替代部分燃煤用量。项目建成后公司全厂废气排放总量为SO</w:t>
            </w:r>
            <w:r>
              <w:rPr>
                <w:rFonts w:hint="eastAsia" w:cs="Times New Roman"/>
                <w:bCs/>
                <w:color w:val="auto"/>
                <w:kern w:val="2"/>
                <w:sz w:val="24"/>
                <w:szCs w:val="21"/>
                <w:vertAlign w:val="subscript"/>
                <w:lang w:val="en-US" w:eastAsia="zh-CN" w:bidi="ar-SA"/>
              </w:rPr>
              <w:t>2</w:t>
            </w:r>
            <w:r>
              <w:rPr>
                <w:rFonts w:hint="eastAsia" w:cs="Times New Roman"/>
                <w:bCs/>
                <w:color w:val="auto"/>
                <w:kern w:val="2"/>
                <w:sz w:val="24"/>
                <w:szCs w:val="21"/>
                <w:vertAlign w:val="baseline"/>
                <w:lang w:val="en-US" w:eastAsia="zh-CN" w:bidi="ar-SA"/>
              </w:rPr>
              <w:t>：46.288t/a，颗粒物：30.99t/a，NOx：415.72t/a，氨：2.942t/a，HCl：35.877t/a，HF：3.345t/a，Hg及其化合物：0.00303t/a，Cd：0.00126t/a，As：0.002408t/a，Pb：0.0322t/a，二噁英类：8.72×10</w:t>
            </w:r>
            <w:r>
              <w:rPr>
                <w:rFonts w:hint="eastAsia" w:cs="Times New Roman"/>
                <w:bCs/>
                <w:color w:val="auto"/>
                <w:kern w:val="2"/>
                <w:sz w:val="24"/>
                <w:szCs w:val="21"/>
                <w:vertAlign w:val="superscript"/>
                <w:lang w:val="en-US" w:eastAsia="zh-CN" w:bidi="ar-SA"/>
              </w:rPr>
              <w:t>-</w:t>
            </w:r>
            <w:bookmarkStart w:id="139" w:name="OLE_LINK161"/>
            <w:r>
              <w:rPr>
                <w:rFonts w:hint="eastAsia" w:cs="Times New Roman"/>
                <w:bCs/>
                <w:color w:val="auto"/>
                <w:kern w:val="2"/>
                <w:sz w:val="24"/>
                <w:szCs w:val="21"/>
                <w:vertAlign w:val="superscript"/>
                <w:lang w:val="en-US" w:eastAsia="zh-CN" w:bidi="ar-SA"/>
              </w:rPr>
              <w:t>8</w:t>
            </w:r>
            <w:bookmarkEnd w:id="139"/>
            <w:r>
              <w:rPr>
                <w:rFonts w:hint="eastAsia" w:cs="Times New Roman"/>
                <w:bCs/>
                <w:color w:val="auto"/>
                <w:kern w:val="2"/>
                <w:sz w:val="24"/>
                <w:szCs w:val="21"/>
                <w:vertAlign w:val="baseline"/>
                <w:lang w:val="en-US" w:eastAsia="zh-CN" w:bidi="ar-SA"/>
              </w:rPr>
              <w:t>t/a。公司排污许可总量为SO</w:t>
            </w:r>
            <w:r>
              <w:rPr>
                <w:rFonts w:hint="eastAsia" w:cs="Times New Roman"/>
                <w:bCs/>
                <w:color w:val="auto"/>
                <w:kern w:val="2"/>
                <w:sz w:val="24"/>
                <w:szCs w:val="21"/>
                <w:vertAlign w:val="subscript"/>
                <w:lang w:val="en-US" w:eastAsia="zh-CN" w:bidi="ar-SA"/>
              </w:rPr>
              <w:t>2</w:t>
            </w:r>
            <w:r>
              <w:rPr>
                <w:rFonts w:hint="eastAsia" w:cs="Times New Roman"/>
                <w:bCs/>
                <w:color w:val="auto"/>
                <w:kern w:val="2"/>
                <w:sz w:val="24"/>
                <w:szCs w:val="21"/>
                <w:vertAlign w:val="baseline"/>
                <w:lang w:val="en-US" w:eastAsia="zh-CN" w:bidi="ar-SA"/>
              </w:rPr>
              <w:t>：162.11t/a，颗粒物：171.9 t/a，NOx：756.25t/a。</w:t>
            </w:r>
          </w:p>
          <w:p w14:paraId="3081874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kern w:val="0"/>
              </w:rPr>
            </w:pPr>
            <w:r>
              <w:rPr>
                <w:rFonts w:hint="eastAsia" w:cs="Times New Roman"/>
                <w:bCs/>
                <w:color w:val="auto"/>
                <w:kern w:val="2"/>
                <w:sz w:val="24"/>
                <w:szCs w:val="21"/>
                <w:vertAlign w:val="baseline"/>
                <w:lang w:val="en-US" w:eastAsia="zh-CN" w:bidi="ar-SA"/>
              </w:rPr>
              <w:t>即本次项目建成后全厂颗粒物、二氧化硫、氮氧化物污染物排放总量均未超过排污许可证总量，总量达标。</w:t>
            </w:r>
          </w:p>
        </w:tc>
      </w:tr>
    </w:tbl>
    <w:p w14:paraId="64E5CA26">
      <w:pPr>
        <w:pStyle w:val="24"/>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r>
        <w:rPr>
          <w:rFonts w:hint="default" w:ascii="Times New Roman" w:hAnsi="Times New Roman" w:eastAsia="黑体" w:cs="Times New Roman"/>
          <w:snapToGrid w:val="0"/>
          <w:color w:val="auto"/>
          <w:sz w:val="30"/>
          <w:szCs w:val="30"/>
        </w:rPr>
        <w:t>四、主要环境影响和保护措施</w:t>
      </w:r>
    </w:p>
    <w:tbl>
      <w:tblPr>
        <w:tblStyle w:val="28"/>
        <w:tblW w:w="93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8"/>
        <w:gridCol w:w="8915"/>
      </w:tblGrid>
      <w:tr w14:paraId="6A4923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30" w:hRule="atLeast"/>
          <w:jc w:val="center"/>
        </w:trPr>
        <w:tc>
          <w:tcPr>
            <w:tcW w:w="458" w:type="dxa"/>
            <w:tcBorders>
              <w:top w:val="single" w:color="auto" w:sz="8" w:space="0"/>
            </w:tcBorders>
            <w:tcMar>
              <w:left w:w="28" w:type="dxa"/>
              <w:right w:w="28" w:type="dxa"/>
            </w:tcMar>
            <w:vAlign w:val="center"/>
          </w:tcPr>
          <w:p w14:paraId="2150EC78">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460" w:lineRule="exact"/>
              <w:jc w:val="center"/>
              <w:textAlignment w:val="auto"/>
              <w:rPr>
                <w:rFonts w:hint="default" w:ascii="Times New Roman" w:hAnsi="Times New Roman" w:cs="Times New Roman"/>
                <w:color w:val="auto"/>
                <w:kern w:val="2"/>
              </w:rPr>
            </w:pPr>
            <w:r>
              <w:rPr>
                <w:rFonts w:hint="default" w:ascii="Times New Roman" w:hAnsi="Times New Roman" w:cs="Times New Roman"/>
                <w:color w:val="auto"/>
                <w:kern w:val="2"/>
              </w:rPr>
              <w:t>施工</w:t>
            </w:r>
          </w:p>
          <w:p w14:paraId="4542327C">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460" w:lineRule="exact"/>
              <w:jc w:val="center"/>
              <w:textAlignment w:val="auto"/>
              <w:rPr>
                <w:rFonts w:hint="default" w:ascii="Times New Roman" w:hAnsi="Times New Roman" w:cs="Times New Roman"/>
                <w:color w:val="auto"/>
                <w:kern w:val="2"/>
              </w:rPr>
            </w:pPr>
            <w:r>
              <w:rPr>
                <w:rFonts w:hint="default" w:ascii="Times New Roman" w:hAnsi="Times New Roman" w:cs="Times New Roman"/>
                <w:color w:val="auto"/>
                <w:kern w:val="2"/>
              </w:rPr>
              <w:t>期环</w:t>
            </w:r>
          </w:p>
          <w:p w14:paraId="642B9958">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460" w:lineRule="exact"/>
              <w:jc w:val="center"/>
              <w:textAlignment w:val="auto"/>
              <w:rPr>
                <w:rFonts w:hint="default" w:ascii="Times New Roman" w:hAnsi="Times New Roman" w:cs="Times New Roman"/>
                <w:color w:val="auto"/>
                <w:kern w:val="2"/>
              </w:rPr>
            </w:pPr>
            <w:r>
              <w:rPr>
                <w:rFonts w:hint="default" w:ascii="Times New Roman" w:hAnsi="Times New Roman" w:cs="Times New Roman"/>
                <w:color w:val="auto"/>
                <w:kern w:val="2"/>
              </w:rPr>
              <w:t>境保</w:t>
            </w:r>
          </w:p>
          <w:p w14:paraId="468E0169">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460" w:lineRule="exact"/>
              <w:jc w:val="center"/>
              <w:textAlignment w:val="auto"/>
              <w:rPr>
                <w:rFonts w:hint="default" w:ascii="Times New Roman" w:hAnsi="Times New Roman" w:cs="Times New Roman"/>
                <w:color w:val="auto"/>
                <w:kern w:val="2"/>
              </w:rPr>
            </w:pPr>
            <w:r>
              <w:rPr>
                <w:rFonts w:hint="default" w:ascii="Times New Roman" w:hAnsi="Times New Roman" w:cs="Times New Roman"/>
                <w:color w:val="auto"/>
                <w:kern w:val="2"/>
              </w:rPr>
              <w:t>护措</w:t>
            </w:r>
          </w:p>
          <w:p w14:paraId="4E33D963">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460" w:lineRule="exact"/>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rPr>
              <w:t>施</w:t>
            </w:r>
          </w:p>
        </w:tc>
        <w:tc>
          <w:tcPr>
            <w:tcW w:w="8915" w:type="dxa"/>
            <w:tcBorders>
              <w:top w:val="single" w:color="auto" w:sz="8" w:space="0"/>
            </w:tcBorders>
            <w:vAlign w:val="center"/>
          </w:tcPr>
          <w:p w14:paraId="007A1E7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本次技改项目不进行土建施工，设备安装完成后即可用于生产。施工期主要污染物是施工机械产生的噪声、废包装材料等。施工过程产生的污染较小，时间较短，随着施工期的结束，施工期影响随即消失。因此，对施工期污染不再进行分析。</w:t>
            </w:r>
          </w:p>
        </w:tc>
      </w:tr>
      <w:tr w14:paraId="623157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58" w:type="dxa"/>
            <w:tcBorders>
              <w:bottom w:val="single" w:color="auto" w:sz="8" w:space="0"/>
            </w:tcBorders>
            <w:tcMar>
              <w:left w:w="28" w:type="dxa"/>
              <w:right w:w="28" w:type="dxa"/>
            </w:tcMar>
            <w:vAlign w:val="center"/>
          </w:tcPr>
          <w:p w14:paraId="6E6D7F26">
            <w:pPr>
              <w:adjustRightInd w:val="0"/>
              <w:snapToGrid w:val="0"/>
              <w:spacing w:line="460" w:lineRule="exact"/>
              <w:jc w:val="center"/>
              <w:rPr>
                <w:rFonts w:hint="default" w:ascii="Times New Roman" w:hAnsi="Times New Roman" w:cs="Times New Roman"/>
                <w:color w:val="auto"/>
              </w:rPr>
            </w:pPr>
            <w:r>
              <w:rPr>
                <w:rFonts w:hint="default" w:ascii="Times New Roman" w:hAnsi="Times New Roman" w:cs="Times New Roman"/>
                <w:color w:val="auto"/>
                <w:sz w:val="24"/>
                <w:szCs w:val="24"/>
              </w:rPr>
              <w:t>运营期环境影响和保护措施</w:t>
            </w:r>
          </w:p>
        </w:tc>
        <w:tc>
          <w:tcPr>
            <w:tcW w:w="8915" w:type="dxa"/>
            <w:tcBorders>
              <w:bottom w:val="single" w:color="auto" w:sz="8" w:space="0"/>
            </w:tcBorders>
          </w:tcPr>
          <w:p w14:paraId="4A9804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szCs w:val="24"/>
                <w:lang w:val="en-US" w:eastAsia="zh-CN"/>
              </w:rPr>
            </w:pPr>
            <w:bookmarkStart w:id="140" w:name="OLE_LINK230"/>
            <w:bookmarkStart w:id="141" w:name="OLE_LINK171"/>
            <w:bookmarkStart w:id="142" w:name="OLE_LINK227"/>
            <w:r>
              <w:rPr>
                <w:rFonts w:hint="eastAsia" w:ascii="Times New Roman" w:hAnsi="Times New Roman" w:eastAsia="宋体" w:cs="Times New Roman"/>
                <w:b/>
                <w:bCs/>
                <w:color w:val="auto"/>
                <w:kern w:val="2"/>
                <w:sz w:val="24"/>
                <w:szCs w:val="24"/>
                <w:lang w:val="en-US" w:eastAsia="zh-CN" w:bidi="ar-SA"/>
              </w:rPr>
              <w:t>一、</w:t>
            </w:r>
            <w:r>
              <w:rPr>
                <w:rFonts w:hint="eastAsia" w:cs="Times New Roman"/>
                <w:b/>
                <w:bCs/>
                <w:color w:val="auto"/>
                <w:sz w:val="24"/>
                <w:szCs w:val="24"/>
                <w:lang w:val="en-US" w:eastAsia="zh-CN"/>
              </w:rPr>
              <w:t>大气污染源强核算及污染物产排情况</w:t>
            </w:r>
          </w:p>
          <w:bookmarkEnd w:id="140"/>
          <w:bookmarkEnd w:id="141"/>
          <w:bookmarkEnd w:id="142"/>
          <w:p w14:paraId="483A60A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“水泥窑协同处置一般固废时，产生的废气污染物种类很多，包括颗粒物、NOx、SO</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HCl、HF、二噁英类、重金属等。新型干法水泥生产工艺水泥窑本身具有温度高、工况稳定、气（料）流在窑系统滞留时间长，碱性气氛等特点，窑尾烟气经过“SNCR脱硝+布袋除尘器”处理，可以很好地固定固废中的重金属、去除焚烧产生的二噁英和吸收酸性气体。本项目运营期大气环境影响和保护措施详见项目《大气专项评价》”</w:t>
            </w:r>
            <w:r>
              <w:rPr>
                <w:rFonts w:hint="eastAsia" w:cs="Times New Roman"/>
                <w:color w:val="auto"/>
                <w:sz w:val="24"/>
                <w:szCs w:val="24"/>
                <w:lang w:val="en-US" w:eastAsia="zh-CN"/>
              </w:rPr>
              <w:t>。</w:t>
            </w:r>
          </w:p>
          <w:p w14:paraId="350847B3">
            <w:pPr>
              <w:pStyle w:val="12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cs="Times New Roman"/>
                <w:b w:val="0"/>
                <w:bCs w:val="0"/>
                <w:color w:val="0000FF"/>
                <w:sz w:val="24"/>
                <w:szCs w:val="24"/>
                <w:vertAlign w:val="baseline"/>
                <w:lang w:val="en-US" w:eastAsia="zh-CN"/>
              </w:rPr>
            </w:pPr>
            <w:r>
              <w:rPr>
                <w:rFonts w:hint="eastAsia" w:cs="Times New Roman"/>
                <w:b w:val="0"/>
                <w:bCs w:val="0"/>
                <w:color w:val="0000FF"/>
                <w:sz w:val="24"/>
                <w:szCs w:val="24"/>
                <w:vertAlign w:val="baseline"/>
                <w:lang w:val="en-US" w:eastAsia="zh-CN"/>
              </w:rPr>
              <w:t>本项目有组织废气收集处理情况如下。</w:t>
            </w:r>
          </w:p>
          <w:p w14:paraId="45ADE231">
            <w:pPr>
              <w:pStyle w:val="3"/>
              <w:jc w:val="cente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表4-</w:t>
            </w:r>
            <w:r>
              <w:rPr>
                <w:rFonts w:hint="eastAsia" w:ascii="Times New Roman" w:hAnsi="Times New Roman" w:cs="Times New Roman"/>
                <w:color w:val="0000FF"/>
                <w:sz w:val="21"/>
                <w:szCs w:val="21"/>
                <w:lang w:val="en-US" w:eastAsia="zh-CN"/>
              </w:rPr>
              <w:t>1</w:t>
            </w:r>
            <w:r>
              <w:rPr>
                <w:rFonts w:hint="eastAsia" w:ascii="Times New Roman" w:hAnsi="Times New Roman" w:eastAsia="宋体" w:cs="Times New Roman"/>
                <w:color w:val="0000FF"/>
                <w:sz w:val="21"/>
                <w:szCs w:val="21"/>
                <w:lang w:val="en-US" w:eastAsia="zh-CN"/>
              </w:rPr>
              <w:t xml:space="preserve"> 有组织废气的收集处理系统一览表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690"/>
              <w:gridCol w:w="2235"/>
              <w:gridCol w:w="690"/>
              <w:gridCol w:w="690"/>
              <w:gridCol w:w="3065"/>
            </w:tblGrid>
            <w:tr w14:paraId="783F9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9" w:type="pct"/>
                  <w:vAlign w:val="center"/>
                </w:tcPr>
                <w:p w14:paraId="72F7A721">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排气筒编号</w:t>
                  </w:r>
                </w:p>
              </w:tc>
              <w:tc>
                <w:tcPr>
                  <w:tcW w:w="397" w:type="pct"/>
                  <w:vAlign w:val="center"/>
                </w:tcPr>
                <w:p w14:paraId="26E47843">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废气种类</w:t>
                  </w:r>
                </w:p>
              </w:tc>
              <w:tc>
                <w:tcPr>
                  <w:tcW w:w="1286" w:type="pct"/>
                  <w:vAlign w:val="center"/>
                </w:tcPr>
                <w:p w14:paraId="5005583D">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主要污染物</w:t>
                  </w:r>
                </w:p>
              </w:tc>
              <w:tc>
                <w:tcPr>
                  <w:tcW w:w="397" w:type="pct"/>
                  <w:vAlign w:val="center"/>
                </w:tcPr>
                <w:p w14:paraId="4326DA84">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收集方式</w:t>
                  </w:r>
                </w:p>
              </w:tc>
              <w:tc>
                <w:tcPr>
                  <w:tcW w:w="397" w:type="pct"/>
                  <w:vAlign w:val="center"/>
                </w:tcPr>
                <w:p w14:paraId="04E2DA53">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排放形式</w:t>
                  </w:r>
                </w:p>
              </w:tc>
              <w:tc>
                <w:tcPr>
                  <w:tcW w:w="1763" w:type="pct"/>
                  <w:vAlign w:val="center"/>
                </w:tcPr>
                <w:p w14:paraId="4F71C6AE">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废气处理措施</w:t>
                  </w:r>
                </w:p>
              </w:tc>
            </w:tr>
            <w:tr w14:paraId="2247B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9" w:type="pct"/>
                  <w:vAlign w:val="center"/>
                </w:tcPr>
                <w:p w14:paraId="31CAA76C">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1#水泥窑窑尾（DA046）</w:t>
                  </w:r>
                </w:p>
              </w:tc>
              <w:tc>
                <w:tcPr>
                  <w:tcW w:w="397" w:type="pct"/>
                  <w:vAlign w:val="center"/>
                </w:tcPr>
                <w:p w14:paraId="09C66EF4">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窑尾废气</w:t>
                  </w:r>
                </w:p>
              </w:tc>
              <w:tc>
                <w:tcPr>
                  <w:tcW w:w="1286" w:type="pct"/>
                  <w:vAlign w:val="center"/>
                </w:tcPr>
                <w:p w14:paraId="5E3693CB">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SO</w:t>
                  </w:r>
                  <w:r>
                    <w:rPr>
                      <w:rFonts w:hint="eastAsia" w:ascii="Times New Roman" w:hAnsi="Times New Roman" w:eastAsia="宋体" w:cs="Times New Roman"/>
                      <w:color w:val="0000FF"/>
                      <w:sz w:val="21"/>
                      <w:szCs w:val="21"/>
                      <w:vertAlign w:val="subscript"/>
                      <w:lang w:val="en-US" w:eastAsia="zh-CN"/>
                    </w:rPr>
                    <w:t>2</w:t>
                  </w:r>
                  <w:r>
                    <w:rPr>
                      <w:rFonts w:hint="eastAsia" w:ascii="Times New Roman" w:hAnsi="Times New Roman" w:eastAsia="宋体" w:cs="Times New Roman"/>
                      <w:color w:val="0000FF"/>
                      <w:sz w:val="21"/>
                      <w:szCs w:val="21"/>
                      <w:lang w:val="en-US" w:eastAsia="zh-CN"/>
                    </w:rPr>
                    <w:t>、NO</w:t>
                  </w:r>
                  <w:r>
                    <w:rPr>
                      <w:rFonts w:hint="eastAsia" w:cs="Times New Roman"/>
                      <w:color w:val="0000FF"/>
                      <w:sz w:val="21"/>
                      <w:szCs w:val="21"/>
                      <w:lang w:val="en-US" w:eastAsia="zh-CN"/>
                    </w:rPr>
                    <w:t>x</w:t>
                  </w:r>
                  <w:r>
                    <w:rPr>
                      <w:rFonts w:hint="eastAsia" w:ascii="Times New Roman" w:hAnsi="Times New Roman" w:eastAsia="宋体" w:cs="Times New Roman"/>
                      <w:color w:val="0000FF"/>
                      <w:sz w:val="21"/>
                      <w:szCs w:val="21"/>
                      <w:lang w:val="en-US" w:eastAsia="zh-CN"/>
                    </w:rPr>
                    <w:t>、颗粒物、氯化物、氨气、氟化物、重金属类、二噁英等</w:t>
                  </w:r>
                </w:p>
              </w:tc>
              <w:tc>
                <w:tcPr>
                  <w:tcW w:w="397" w:type="pct"/>
                  <w:vAlign w:val="center"/>
                </w:tcPr>
                <w:p w14:paraId="2F7D8B96">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w:t>
                  </w:r>
                </w:p>
              </w:tc>
              <w:tc>
                <w:tcPr>
                  <w:tcW w:w="397" w:type="pct"/>
                  <w:vAlign w:val="center"/>
                </w:tcPr>
                <w:p w14:paraId="431494BA">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连续</w:t>
                  </w:r>
                </w:p>
              </w:tc>
              <w:tc>
                <w:tcPr>
                  <w:tcW w:w="1763" w:type="pct"/>
                  <w:shd w:val="clear" w:color="auto" w:fill="auto"/>
                  <w:vAlign w:val="center"/>
                </w:tcPr>
                <w:p w14:paraId="34F84A4E">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eastAsia"/>
                      <w:color w:val="0000FF"/>
                      <w:lang w:val="en-US" w:eastAsia="zh-CN"/>
                    </w:rPr>
                  </w:pPr>
                  <w:r>
                    <w:rPr>
                      <w:rFonts w:hint="eastAsia" w:ascii="Times New Roman" w:hAnsi="Times New Roman" w:eastAsia="宋体" w:cs="Times New Roman"/>
                      <w:b w:val="0"/>
                      <w:bCs w:val="0"/>
                      <w:color w:val="0000FF"/>
                      <w:kern w:val="2"/>
                      <w:sz w:val="21"/>
                      <w:szCs w:val="21"/>
                      <w:lang w:val="en-US" w:eastAsia="zh-CN" w:bidi="ar-SA"/>
                    </w:rPr>
                    <w:t>“低氮燃烧+SNCR+高效袋式除尘器除尘（覆膜滤料袋式除尘器）脱销窑磨一体化”</w:t>
                  </w:r>
                  <w:r>
                    <w:rPr>
                      <w:rFonts w:hint="eastAsia" w:ascii="Times New Roman" w:hAnsi="Times New Roman" w:eastAsia="宋体" w:cs="Times New Roman"/>
                      <w:color w:val="0000FF"/>
                      <w:sz w:val="21"/>
                      <w:szCs w:val="21"/>
                      <w:lang w:val="en-US" w:eastAsia="zh-CN"/>
                    </w:rPr>
                    <w:t>后经现有95</w:t>
                  </w:r>
                  <w:r>
                    <w:rPr>
                      <w:rFonts w:hint="default" w:ascii="Times New Roman" w:hAnsi="Times New Roman" w:eastAsia="宋体" w:cs="Times New Roman"/>
                      <w:color w:val="0000FF"/>
                      <w:sz w:val="21"/>
                      <w:szCs w:val="21"/>
                      <w:lang w:val="en-US" w:eastAsia="zh-CN"/>
                    </w:rPr>
                    <w:t>m</w:t>
                  </w:r>
                  <w:r>
                    <w:rPr>
                      <w:rFonts w:hint="eastAsia" w:ascii="Times New Roman" w:hAnsi="Times New Roman" w:eastAsia="宋体" w:cs="Times New Roman"/>
                      <w:color w:val="0000FF"/>
                      <w:sz w:val="21"/>
                      <w:szCs w:val="21"/>
                      <w:lang w:val="en-US" w:eastAsia="zh-CN"/>
                    </w:rPr>
                    <w:t>高排气筒（DA046）排放</w:t>
                  </w:r>
                </w:p>
              </w:tc>
            </w:tr>
          </w:tbl>
          <w:p w14:paraId="0AFDE9DE">
            <w:pPr>
              <w:pStyle w:val="3"/>
              <w:keepNext w:val="0"/>
              <w:keepLines w:val="0"/>
              <w:pageBreakBefore w:val="0"/>
              <w:widowControl w:val="0"/>
              <w:kinsoku/>
              <w:wordWrap/>
              <w:overflowPunct/>
              <w:topLinePunct w:val="0"/>
              <w:autoSpaceDE/>
              <w:autoSpaceDN/>
              <w:bidi w:val="0"/>
              <w:adjustRightInd/>
              <w:snapToGrid/>
              <w:spacing w:before="95" w:beforeLines="30"/>
              <w:jc w:val="center"/>
              <w:textAlignment w:val="auto"/>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drawing>
                <wp:inline distT="0" distB="0" distL="114300" distR="114300">
                  <wp:extent cx="5514975" cy="749935"/>
                  <wp:effectExtent l="0" t="0" r="9525" b="12065"/>
                  <wp:docPr id="9" name="图片 9" descr="微信截图_2024112814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截图_20241128143418"/>
                          <pic:cNvPicPr>
                            <a:picLocks noChangeAspect="1"/>
                          </pic:cNvPicPr>
                        </pic:nvPicPr>
                        <pic:blipFill>
                          <a:blip r:embed="rId16"/>
                          <a:stretch>
                            <a:fillRect/>
                          </a:stretch>
                        </pic:blipFill>
                        <pic:spPr>
                          <a:xfrm>
                            <a:off x="0" y="0"/>
                            <a:ext cx="5514975" cy="749935"/>
                          </a:xfrm>
                          <a:prstGeom prst="rect">
                            <a:avLst/>
                          </a:prstGeom>
                        </pic:spPr>
                      </pic:pic>
                    </a:graphicData>
                  </a:graphic>
                </wp:inline>
              </w:drawing>
            </w:r>
          </w:p>
          <w:p w14:paraId="3E8E253F">
            <w:pPr>
              <w:pStyle w:val="3"/>
              <w:jc w:val="center"/>
              <w:rPr>
                <w:rFonts w:hint="default" w:cs="Times New Roman"/>
                <w:b w:val="0"/>
                <w:bCs w:val="0"/>
                <w:color w:val="auto"/>
                <w:sz w:val="24"/>
                <w:szCs w:val="24"/>
                <w:vertAlign w:val="baseline"/>
                <w:lang w:val="en-US" w:eastAsia="zh-CN"/>
              </w:rPr>
            </w:pPr>
            <w:r>
              <w:rPr>
                <w:rFonts w:hint="eastAsia" w:ascii="Times New Roman" w:hAnsi="Times New Roman" w:eastAsia="宋体" w:cs="Times New Roman"/>
                <w:color w:val="0000FF"/>
                <w:sz w:val="21"/>
                <w:szCs w:val="21"/>
                <w:lang w:val="en-US" w:eastAsia="zh-CN"/>
              </w:rPr>
              <w:t>图4-1 废气收集处理系统示意图</w:t>
            </w:r>
          </w:p>
        </w:tc>
      </w:tr>
    </w:tbl>
    <w:p w14:paraId="6570A93C">
      <w:pPr>
        <w:adjustRightInd w:val="0"/>
        <w:snapToGrid w:val="0"/>
        <w:spacing w:line="360" w:lineRule="auto"/>
        <w:rPr>
          <w:rFonts w:hint="default" w:ascii="Times New Roman" w:hAnsi="Times New Roman" w:cs="Times New Roman"/>
          <w:b/>
          <w:bCs/>
          <w:color w:val="auto"/>
          <w:kern w:val="0"/>
          <w:sz w:val="2"/>
          <w:szCs w:val="2"/>
        </w:rPr>
      </w:pPr>
    </w:p>
    <w:p w14:paraId="2DE883ED">
      <w:pPr>
        <w:tabs>
          <w:tab w:val="left" w:pos="1415"/>
        </w:tabs>
        <w:bidi w:val="0"/>
        <w:jc w:val="left"/>
        <w:rPr>
          <w:rFonts w:hint="eastAsia"/>
          <w:lang w:eastAsia="zh-CN"/>
        </w:rPr>
        <w:sectPr>
          <w:pgSz w:w="11907" w:h="16840"/>
          <w:pgMar w:top="1644"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8"/>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9"/>
        <w:gridCol w:w="12793"/>
      </w:tblGrid>
      <w:tr w14:paraId="0226BD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5" w:hRule="atLeast"/>
          <w:jc w:val="center"/>
        </w:trPr>
        <w:tc>
          <w:tcPr>
            <w:tcW w:w="155" w:type="pct"/>
            <w:tcBorders>
              <w:top w:val="single" w:color="auto" w:sz="8" w:space="0"/>
            </w:tcBorders>
            <w:tcMar>
              <w:left w:w="28" w:type="dxa"/>
              <w:right w:w="28" w:type="dxa"/>
            </w:tcMar>
            <w:vAlign w:val="center"/>
          </w:tcPr>
          <w:p w14:paraId="4B0269E6">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460" w:lineRule="exact"/>
              <w:jc w:val="center"/>
              <w:textAlignment w:val="auto"/>
              <w:rPr>
                <w:rFonts w:hint="default" w:ascii="Times New Roman" w:hAnsi="Times New Roman" w:cs="Times New Roman"/>
                <w:color w:val="auto"/>
                <w:kern w:val="2"/>
                <w:sz w:val="21"/>
                <w:szCs w:val="21"/>
              </w:rPr>
            </w:pPr>
            <w:r>
              <w:rPr>
                <w:rFonts w:hint="eastAsia" w:ascii="Times New Roman" w:hAnsi="Times New Roman" w:cs="Times New Roman"/>
                <w:color w:val="auto"/>
                <w:kern w:val="2"/>
                <w:lang w:eastAsia="zh-CN"/>
              </w:rPr>
              <w:t>运营期环境保护措施</w:t>
            </w:r>
          </w:p>
        </w:tc>
        <w:tc>
          <w:tcPr>
            <w:tcW w:w="4844" w:type="pct"/>
            <w:tcBorders>
              <w:top w:val="single" w:color="auto" w:sz="8" w:space="0"/>
            </w:tcBorders>
            <w:vAlign w:val="center"/>
          </w:tcPr>
          <w:p w14:paraId="4D5606FC">
            <w:pPr>
              <w:pStyle w:val="126"/>
              <w:keepNext w:val="0"/>
              <w:keepLines w:val="0"/>
              <w:pageBreakBefore w:val="0"/>
              <w:widowControl w:val="0"/>
              <w:numPr>
                <w:ilvl w:val="0"/>
                <w:numId w:val="0"/>
              </w:numPr>
              <w:kinsoku/>
              <w:wordWrap/>
              <w:overflowPunct/>
              <w:topLinePunct w:val="0"/>
              <w:autoSpaceDE/>
              <w:autoSpaceDN/>
              <w:bidi w:val="0"/>
              <w:adjustRightInd/>
              <w:snapToGrid/>
              <w:ind w:left="0" w:leftChars="0" w:firstLine="482" w:firstLineChars="200"/>
              <w:textAlignment w:val="auto"/>
              <w:rPr>
                <w:rFonts w:hint="eastAsia"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2</w:t>
            </w:r>
            <w:r>
              <w:rPr>
                <w:rFonts w:hint="eastAsia" w:ascii="Times New Roman" w:hAnsi="Times New Roman" w:eastAsia="宋体" w:cs="Times New Roman"/>
                <w:b/>
                <w:bCs/>
                <w:color w:val="auto"/>
                <w:kern w:val="2"/>
                <w:sz w:val="24"/>
                <w:szCs w:val="24"/>
                <w:lang w:val="en-US" w:eastAsia="zh-CN" w:bidi="ar-SA"/>
              </w:rPr>
              <w:t>、</w:t>
            </w:r>
            <w:r>
              <w:rPr>
                <w:rFonts w:hint="eastAsia" w:cs="Times New Roman"/>
                <w:b/>
                <w:bCs/>
                <w:color w:val="auto"/>
                <w:kern w:val="2"/>
                <w:sz w:val="24"/>
                <w:szCs w:val="24"/>
                <w:lang w:val="en-US" w:eastAsia="zh-CN" w:bidi="ar-SA"/>
              </w:rPr>
              <w:t>废气排放情况</w:t>
            </w:r>
          </w:p>
          <w:p w14:paraId="17A4C3B3">
            <w:pPr>
              <w:pStyle w:val="12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表4-</w:t>
            </w:r>
            <w:r>
              <w:rPr>
                <w:rFonts w:hint="eastAsia" w:cs="Times New Roman"/>
                <w:b/>
                <w:bCs/>
                <w:color w:val="auto"/>
                <w:kern w:val="2"/>
                <w:sz w:val="21"/>
                <w:szCs w:val="21"/>
                <w:lang w:val="en-US" w:eastAsia="zh-CN" w:bidi="ar-SA"/>
              </w:rPr>
              <w:t xml:space="preserve">2 </w:t>
            </w:r>
            <w:r>
              <w:rPr>
                <w:rFonts w:hint="eastAsia" w:ascii="Times New Roman" w:hAnsi="Times New Roman" w:eastAsia="宋体" w:cs="Times New Roman"/>
                <w:b/>
                <w:bCs/>
                <w:color w:val="auto"/>
                <w:kern w:val="2"/>
                <w:sz w:val="21"/>
                <w:szCs w:val="21"/>
                <w:lang w:val="en-US" w:eastAsia="zh-CN" w:bidi="ar-SA"/>
              </w:rPr>
              <w:t>项目产污环节及治理措施一览表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712"/>
              <w:gridCol w:w="3422"/>
              <w:gridCol w:w="1199"/>
              <w:gridCol w:w="5165"/>
            </w:tblGrid>
            <w:tr w14:paraId="1F77B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5" w:type="pct"/>
                  <w:vAlign w:val="center"/>
                </w:tcPr>
                <w:p w14:paraId="0ACD7961">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污染类别</w:t>
                  </w:r>
                </w:p>
              </w:tc>
              <w:tc>
                <w:tcPr>
                  <w:tcW w:w="681" w:type="pct"/>
                  <w:vAlign w:val="center"/>
                </w:tcPr>
                <w:p w14:paraId="1DD7D14B">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产生环节</w:t>
                  </w:r>
                </w:p>
              </w:tc>
              <w:tc>
                <w:tcPr>
                  <w:tcW w:w="1361" w:type="pct"/>
                  <w:vAlign w:val="center"/>
                </w:tcPr>
                <w:p w14:paraId="7AC7D8DC">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主要污染物</w:t>
                  </w:r>
                </w:p>
              </w:tc>
              <w:tc>
                <w:tcPr>
                  <w:tcW w:w="477" w:type="pct"/>
                  <w:vAlign w:val="center"/>
                </w:tcPr>
                <w:p w14:paraId="43FAEE49">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排放方式</w:t>
                  </w:r>
                </w:p>
              </w:tc>
              <w:tc>
                <w:tcPr>
                  <w:tcW w:w="2054" w:type="pct"/>
                  <w:vAlign w:val="center"/>
                </w:tcPr>
                <w:p w14:paraId="5438525F">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治理措施及去向</w:t>
                  </w:r>
                </w:p>
              </w:tc>
            </w:tr>
            <w:tr w14:paraId="420B2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5" w:type="pct"/>
                  <w:vAlign w:val="center"/>
                </w:tcPr>
                <w:p w14:paraId="1A6BAFB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废气</w:t>
                  </w:r>
                </w:p>
              </w:tc>
              <w:tc>
                <w:tcPr>
                  <w:tcW w:w="681" w:type="pct"/>
                  <w:vAlign w:val="center"/>
                </w:tcPr>
                <w:p w14:paraId="0E0EA15B">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窑尾烟气</w:t>
                  </w:r>
                </w:p>
              </w:tc>
              <w:tc>
                <w:tcPr>
                  <w:tcW w:w="1361" w:type="pct"/>
                  <w:vAlign w:val="center"/>
                </w:tcPr>
                <w:p w14:paraId="05185F3D">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SO</w:t>
                  </w:r>
                  <w:r>
                    <w:rPr>
                      <w:rFonts w:hint="eastAsia" w:cs="Times New Roman"/>
                      <w:color w:val="auto"/>
                      <w:sz w:val="21"/>
                      <w:szCs w:val="21"/>
                      <w:vertAlign w:val="subscript"/>
                      <w:lang w:val="en-US" w:eastAsia="zh-CN"/>
                    </w:rPr>
                    <w:t>2</w:t>
                  </w:r>
                  <w:r>
                    <w:rPr>
                      <w:rFonts w:hint="eastAsia" w:cs="Times New Roman"/>
                      <w:color w:val="auto"/>
                      <w:sz w:val="21"/>
                      <w:szCs w:val="21"/>
                      <w:lang w:val="en-US" w:eastAsia="zh-CN"/>
                    </w:rPr>
                    <w:t>、NO</w:t>
                  </w:r>
                  <w:r>
                    <w:rPr>
                      <w:rFonts w:hint="eastAsia" w:cs="Times New Roman"/>
                      <w:color w:val="auto"/>
                      <w:sz w:val="21"/>
                      <w:szCs w:val="21"/>
                      <w:vertAlign w:val="subscript"/>
                      <w:lang w:val="en-US" w:eastAsia="zh-CN"/>
                    </w:rPr>
                    <w:t>X</w:t>
                  </w:r>
                  <w:r>
                    <w:rPr>
                      <w:rFonts w:hint="eastAsia" w:cs="Times New Roman"/>
                      <w:color w:val="auto"/>
                      <w:sz w:val="21"/>
                      <w:szCs w:val="21"/>
                      <w:vertAlign w:val="baseline"/>
                      <w:lang w:val="en-US" w:eastAsia="zh-CN"/>
                    </w:rPr>
                    <w:t>、</w:t>
                  </w:r>
                  <w:r>
                    <w:rPr>
                      <w:rFonts w:hint="eastAsia" w:cs="Times New Roman"/>
                      <w:color w:val="auto"/>
                      <w:sz w:val="21"/>
                      <w:szCs w:val="21"/>
                      <w:lang w:val="en-US" w:eastAsia="zh-CN"/>
                    </w:rPr>
                    <w:t>颗粒物、氯化物、氨气、氟化物、重金属类、二噁英等</w:t>
                  </w:r>
                </w:p>
              </w:tc>
              <w:tc>
                <w:tcPr>
                  <w:tcW w:w="477" w:type="pct"/>
                  <w:vAlign w:val="center"/>
                </w:tcPr>
                <w:p w14:paraId="5D5F7252">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连续</w:t>
                  </w:r>
                </w:p>
              </w:tc>
              <w:tc>
                <w:tcPr>
                  <w:tcW w:w="2054" w:type="pct"/>
                  <w:vAlign w:val="center"/>
                </w:tcPr>
                <w:p w14:paraId="2969E7A4">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水泥窑煅烧工艺+脱硫脱硝+除尘</w:t>
                  </w:r>
                </w:p>
              </w:tc>
            </w:tr>
            <w:tr w14:paraId="7106A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425" w:type="pct"/>
                  <w:vMerge w:val="restart"/>
                  <w:vAlign w:val="center"/>
                </w:tcPr>
                <w:p w14:paraId="12167E82">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固废</w:t>
                  </w:r>
                </w:p>
              </w:tc>
              <w:tc>
                <w:tcPr>
                  <w:tcW w:w="681" w:type="pct"/>
                  <w:vAlign w:val="center"/>
                </w:tcPr>
                <w:p w14:paraId="1FA7E82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除尘系统</w:t>
                  </w:r>
                </w:p>
              </w:tc>
              <w:tc>
                <w:tcPr>
                  <w:tcW w:w="1361" w:type="pct"/>
                  <w:vAlign w:val="center"/>
                </w:tcPr>
                <w:p w14:paraId="6F52C2E7">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除尘器收集粉尘、窑灰</w:t>
                  </w:r>
                </w:p>
              </w:tc>
              <w:tc>
                <w:tcPr>
                  <w:tcW w:w="477" w:type="pct"/>
                  <w:vAlign w:val="center"/>
                </w:tcPr>
                <w:p w14:paraId="3F6595ED">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间歇</w:t>
                  </w:r>
                </w:p>
              </w:tc>
              <w:tc>
                <w:tcPr>
                  <w:tcW w:w="2054" w:type="pct"/>
                  <w:vAlign w:val="center"/>
                </w:tcPr>
                <w:p w14:paraId="59ACC285">
                  <w:pPr>
                    <w:tabs>
                      <w:tab w:val="left" w:pos="1215"/>
                    </w:tabs>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lang w:val="en-US" w:eastAsia="zh-CN"/>
                    </w:rPr>
                    <w:t>返回水泥窑焚烧</w:t>
                  </w:r>
                </w:p>
              </w:tc>
            </w:tr>
            <w:tr w14:paraId="432F1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5" w:type="pct"/>
                  <w:vMerge w:val="continue"/>
                  <w:vAlign w:val="center"/>
                </w:tcPr>
                <w:p w14:paraId="61F817A1">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eastAsia" w:cs="Times New Roman"/>
                      <w:color w:val="auto"/>
                      <w:sz w:val="21"/>
                      <w:szCs w:val="21"/>
                      <w:lang w:val="en-US" w:eastAsia="zh-CN"/>
                    </w:rPr>
                  </w:pPr>
                </w:p>
              </w:tc>
              <w:tc>
                <w:tcPr>
                  <w:tcW w:w="681" w:type="pct"/>
                  <w:vAlign w:val="center"/>
                </w:tcPr>
                <w:p w14:paraId="4AD11217">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lang w:val="en-US" w:eastAsia="zh-CN"/>
                    </w:rPr>
                    <w:t>替代燃料</w:t>
                  </w:r>
                </w:p>
              </w:tc>
              <w:tc>
                <w:tcPr>
                  <w:tcW w:w="1361" w:type="pct"/>
                  <w:vAlign w:val="center"/>
                </w:tcPr>
                <w:p w14:paraId="2F5F52B1">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lang w:val="en-US" w:eastAsia="zh-CN"/>
                    </w:rPr>
                    <w:t>废容器或包装物</w:t>
                  </w:r>
                </w:p>
              </w:tc>
              <w:tc>
                <w:tcPr>
                  <w:tcW w:w="477" w:type="pct"/>
                  <w:vAlign w:val="center"/>
                </w:tcPr>
                <w:p w14:paraId="1C8250E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间歇</w:t>
                  </w:r>
                </w:p>
              </w:tc>
              <w:tc>
                <w:tcPr>
                  <w:tcW w:w="2054" w:type="pct"/>
                  <w:vAlign w:val="center"/>
                </w:tcPr>
                <w:p w14:paraId="02129A1C">
                  <w:pPr>
                    <w:tabs>
                      <w:tab w:val="left" w:pos="1215"/>
                    </w:tabs>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lang w:val="en-US" w:eastAsia="zh-CN"/>
                    </w:rPr>
                    <w:t>重复利用或进入水泥窑处置，不外排</w:t>
                  </w:r>
                </w:p>
              </w:tc>
            </w:tr>
            <w:tr w14:paraId="5CC1B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5" w:type="pct"/>
                  <w:vAlign w:val="center"/>
                </w:tcPr>
                <w:p w14:paraId="0E7CA3E3">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噪声</w:t>
                  </w:r>
                </w:p>
              </w:tc>
              <w:tc>
                <w:tcPr>
                  <w:tcW w:w="2042" w:type="pct"/>
                  <w:gridSpan w:val="2"/>
                  <w:vAlign w:val="center"/>
                </w:tcPr>
                <w:p w14:paraId="2FE131B2">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生产设备运行产生噪声</w:t>
                  </w:r>
                </w:p>
              </w:tc>
              <w:tc>
                <w:tcPr>
                  <w:tcW w:w="477" w:type="pct"/>
                  <w:vAlign w:val="center"/>
                </w:tcPr>
                <w:p w14:paraId="79CD7B9E">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连续</w:t>
                  </w:r>
                </w:p>
              </w:tc>
              <w:tc>
                <w:tcPr>
                  <w:tcW w:w="2054" w:type="pct"/>
                  <w:vAlign w:val="center"/>
                </w:tcPr>
                <w:p w14:paraId="3495C5A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选用低噪声设备、基础减震、合理布局、定期检修等</w:t>
                  </w:r>
                </w:p>
              </w:tc>
            </w:tr>
          </w:tbl>
          <w:p w14:paraId="3C855FA5">
            <w:pPr>
              <w:pStyle w:val="12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center"/>
              <w:textAlignment w:val="auto"/>
              <w:rPr>
                <w:rFonts w:hint="eastAsia" w:ascii="Times New Roman" w:hAnsi="Times New Roman" w:eastAsia="宋体" w:cs="Times New Roman"/>
                <w:b/>
                <w:bCs/>
                <w:color w:val="auto"/>
                <w:kern w:val="2"/>
                <w:sz w:val="21"/>
                <w:szCs w:val="21"/>
                <w:lang w:val="en-US" w:eastAsia="zh-CN" w:bidi="ar-SA"/>
              </w:rPr>
            </w:pPr>
            <w:bookmarkStart w:id="143" w:name="OLE_LINK213"/>
            <w:r>
              <w:rPr>
                <w:rFonts w:hint="eastAsia" w:ascii="Times New Roman" w:hAnsi="Times New Roman" w:eastAsia="宋体" w:cs="Times New Roman"/>
                <w:b/>
                <w:bCs/>
                <w:color w:val="auto"/>
                <w:kern w:val="2"/>
                <w:sz w:val="21"/>
                <w:szCs w:val="21"/>
                <w:lang w:val="en-US" w:eastAsia="zh-CN" w:bidi="ar-SA"/>
              </w:rPr>
              <w:t>表4-</w:t>
            </w:r>
            <w:r>
              <w:rPr>
                <w:rFonts w:hint="eastAsia" w:cs="Times New Roman"/>
                <w:b/>
                <w:bCs/>
                <w:color w:val="auto"/>
                <w:kern w:val="2"/>
                <w:sz w:val="21"/>
                <w:szCs w:val="21"/>
                <w:lang w:val="en-US" w:eastAsia="zh-CN" w:bidi="ar-SA"/>
              </w:rPr>
              <w:t xml:space="preserve">3 </w:t>
            </w:r>
            <w:r>
              <w:rPr>
                <w:rFonts w:hint="eastAsia" w:ascii="Times New Roman" w:hAnsi="Times New Roman" w:eastAsia="宋体" w:cs="Times New Roman"/>
                <w:b/>
                <w:bCs/>
                <w:color w:val="auto"/>
                <w:kern w:val="2"/>
                <w:sz w:val="21"/>
                <w:szCs w:val="21"/>
                <w:lang w:val="en-US" w:eastAsia="zh-CN" w:bidi="ar-SA"/>
              </w:rPr>
              <w:t>项目废气产排情况汇总</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7"/>
              <w:gridCol w:w="1549"/>
              <w:gridCol w:w="1174"/>
              <w:gridCol w:w="3545"/>
              <w:gridCol w:w="2265"/>
              <w:gridCol w:w="1642"/>
            </w:tblGrid>
            <w:tr w14:paraId="0765E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0" w:type="pct"/>
                  <w:vAlign w:val="center"/>
                </w:tcPr>
                <w:p w14:paraId="567A1A3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排放源</w:t>
                  </w:r>
                </w:p>
              </w:tc>
              <w:tc>
                <w:tcPr>
                  <w:tcW w:w="616" w:type="pct"/>
                  <w:vAlign w:val="center"/>
                </w:tcPr>
                <w:p w14:paraId="46C74BB3">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废气量</w:t>
                  </w:r>
                </w:p>
              </w:tc>
              <w:tc>
                <w:tcPr>
                  <w:tcW w:w="467" w:type="pct"/>
                  <w:vAlign w:val="center"/>
                </w:tcPr>
                <w:p w14:paraId="3B84DA6B">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污染因子</w:t>
                  </w:r>
                </w:p>
              </w:tc>
              <w:tc>
                <w:tcPr>
                  <w:tcW w:w="1410" w:type="pct"/>
                  <w:vAlign w:val="center"/>
                </w:tcPr>
                <w:p w14:paraId="16844B94">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治理措施</w:t>
                  </w:r>
                </w:p>
              </w:tc>
              <w:tc>
                <w:tcPr>
                  <w:tcW w:w="901" w:type="pct"/>
                  <w:vAlign w:val="center"/>
                </w:tcPr>
                <w:p w14:paraId="6B6256C3">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排放浓度（mg/m</w:t>
                  </w:r>
                  <w:r>
                    <w:rPr>
                      <w:rFonts w:hint="eastAsia" w:cs="Times New Roman"/>
                      <w:color w:val="auto"/>
                      <w:sz w:val="21"/>
                      <w:szCs w:val="21"/>
                      <w:vertAlign w:val="superscript"/>
                      <w:lang w:val="en-US" w:eastAsia="zh-CN"/>
                    </w:rPr>
                    <w:t>3</w:t>
                  </w:r>
                  <w:bookmarkStart w:id="144" w:name="OLE_LINK211"/>
                  <w:r>
                    <w:rPr>
                      <w:rFonts w:hint="eastAsia" w:cs="Times New Roman"/>
                      <w:color w:val="auto"/>
                      <w:sz w:val="21"/>
                      <w:szCs w:val="21"/>
                      <w:lang w:val="en-US" w:eastAsia="zh-CN"/>
                    </w:rPr>
                    <w:t>）</w:t>
                  </w:r>
                  <w:bookmarkEnd w:id="144"/>
                </w:p>
              </w:tc>
              <w:tc>
                <w:tcPr>
                  <w:tcW w:w="653" w:type="pct"/>
                  <w:vAlign w:val="center"/>
                </w:tcPr>
                <w:p w14:paraId="54BCA0AF">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排放量（t/a）</w:t>
                  </w:r>
                </w:p>
              </w:tc>
            </w:tr>
            <w:tr w14:paraId="72D5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pct"/>
                  <w:vMerge w:val="restart"/>
                  <w:vAlign w:val="center"/>
                </w:tcPr>
                <w:p w14:paraId="2F0447A9">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bookmarkStart w:id="145" w:name="OLE_LINK214"/>
                  <w:bookmarkStart w:id="146" w:name="OLE_LINK212" w:colFirst="0" w:colLast="5"/>
                  <w:r>
                    <w:rPr>
                      <w:rFonts w:hint="eastAsia" w:cs="Times New Roman"/>
                      <w:color w:val="auto"/>
                      <w:sz w:val="21"/>
                      <w:szCs w:val="21"/>
                      <w:lang w:val="en-US" w:eastAsia="zh-CN"/>
                    </w:rPr>
                    <w:t>一线窑尾烟囱DA046</w:t>
                  </w:r>
                  <w:bookmarkEnd w:id="145"/>
                </w:p>
              </w:tc>
              <w:tc>
                <w:tcPr>
                  <w:tcW w:w="616" w:type="pct"/>
                  <w:vMerge w:val="restart"/>
                  <w:vAlign w:val="center"/>
                </w:tcPr>
                <w:p w14:paraId="7388F3BD">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436051.12265万Nm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/年</w:t>
                  </w:r>
                </w:p>
              </w:tc>
              <w:tc>
                <w:tcPr>
                  <w:tcW w:w="467" w:type="pct"/>
                  <w:vAlign w:val="center"/>
                </w:tcPr>
                <w:p w14:paraId="71B87DF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SO</w:t>
                  </w:r>
                  <w:r>
                    <w:rPr>
                      <w:rFonts w:hint="eastAsia" w:cs="Times New Roman"/>
                      <w:color w:val="auto"/>
                      <w:sz w:val="21"/>
                      <w:szCs w:val="21"/>
                      <w:vertAlign w:val="subscript"/>
                      <w:lang w:val="en-US" w:eastAsia="zh-CN"/>
                    </w:rPr>
                    <w:t>2</w:t>
                  </w:r>
                </w:p>
              </w:tc>
              <w:tc>
                <w:tcPr>
                  <w:tcW w:w="1410" w:type="pct"/>
                  <w:vMerge w:val="restart"/>
                  <w:vAlign w:val="center"/>
                </w:tcPr>
                <w:p w14:paraId="0DB695C1">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“低氮燃烧+SNCR+高效袋式除尘器除尘（覆膜滤料袋式除尘器）脱销窑磨一体化”</w:t>
                  </w:r>
                </w:p>
              </w:tc>
              <w:tc>
                <w:tcPr>
                  <w:tcW w:w="901" w:type="pct"/>
                  <w:vAlign w:val="center"/>
                </w:tcPr>
                <w:p w14:paraId="69FDE67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10.61</w:t>
                  </w:r>
                </w:p>
              </w:tc>
              <w:tc>
                <w:tcPr>
                  <w:tcW w:w="653" w:type="pct"/>
                  <w:vAlign w:val="center"/>
                </w:tcPr>
                <w:p w14:paraId="0130559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46.288</w:t>
                  </w:r>
                </w:p>
              </w:tc>
            </w:tr>
            <w:tr w14:paraId="1477B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pct"/>
                  <w:vMerge w:val="continue"/>
                  <w:vAlign w:val="center"/>
                </w:tcPr>
                <w:p w14:paraId="0AA33283">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616" w:type="pct"/>
                  <w:vMerge w:val="continue"/>
                  <w:vAlign w:val="center"/>
                </w:tcPr>
                <w:p w14:paraId="66D423CC">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467" w:type="pct"/>
                  <w:vAlign w:val="center"/>
                </w:tcPr>
                <w:p w14:paraId="50684508">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颗粒物</w:t>
                  </w:r>
                </w:p>
              </w:tc>
              <w:tc>
                <w:tcPr>
                  <w:tcW w:w="1410" w:type="pct"/>
                  <w:vMerge w:val="continue"/>
                  <w:vAlign w:val="center"/>
                </w:tcPr>
                <w:p w14:paraId="6A59767F">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901" w:type="pct"/>
                  <w:vAlign w:val="center"/>
                </w:tcPr>
                <w:p w14:paraId="7EBDED67">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highlight w:val="red"/>
                      <w:lang w:val="en-US" w:eastAsia="zh-CN"/>
                    </w:rPr>
                  </w:pPr>
                  <w:r>
                    <w:rPr>
                      <w:rFonts w:hint="eastAsia" w:cs="Times New Roman"/>
                      <w:color w:val="auto"/>
                      <w:sz w:val="21"/>
                      <w:szCs w:val="21"/>
                      <w:highlight w:val="red"/>
                      <w:lang w:val="en-US" w:eastAsia="zh-CN"/>
                    </w:rPr>
                    <w:t>7.11</w:t>
                  </w:r>
                </w:p>
              </w:tc>
              <w:tc>
                <w:tcPr>
                  <w:tcW w:w="653" w:type="pct"/>
                  <w:vAlign w:val="center"/>
                </w:tcPr>
                <w:p w14:paraId="200A74AF">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highlight w:val="red"/>
                      <w:lang w:val="en-US" w:eastAsia="zh-CN"/>
                    </w:rPr>
                  </w:pPr>
                  <w:r>
                    <w:rPr>
                      <w:rFonts w:hint="eastAsia" w:cs="Times New Roman"/>
                      <w:color w:val="auto"/>
                      <w:sz w:val="21"/>
                      <w:szCs w:val="21"/>
                      <w:highlight w:val="red"/>
                      <w:lang w:val="en-US" w:eastAsia="zh-CN"/>
                    </w:rPr>
                    <w:t>30.99</w:t>
                  </w:r>
                </w:p>
              </w:tc>
            </w:tr>
            <w:tr w14:paraId="2BF3F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pct"/>
                  <w:vMerge w:val="continue"/>
                  <w:vAlign w:val="center"/>
                </w:tcPr>
                <w:p w14:paraId="3874DFB9">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616" w:type="pct"/>
                  <w:vMerge w:val="continue"/>
                  <w:vAlign w:val="center"/>
                </w:tcPr>
                <w:p w14:paraId="480094C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467" w:type="pct"/>
                  <w:vAlign w:val="center"/>
                </w:tcPr>
                <w:p w14:paraId="722250D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NO</w:t>
                  </w:r>
                  <w:r>
                    <w:rPr>
                      <w:rFonts w:hint="eastAsia" w:cs="Times New Roman"/>
                      <w:color w:val="auto"/>
                      <w:sz w:val="21"/>
                      <w:szCs w:val="21"/>
                      <w:vertAlign w:val="baseline"/>
                      <w:lang w:val="en-US" w:eastAsia="zh-CN"/>
                    </w:rPr>
                    <w:t>x</w:t>
                  </w:r>
                </w:p>
              </w:tc>
              <w:tc>
                <w:tcPr>
                  <w:tcW w:w="1410" w:type="pct"/>
                  <w:vMerge w:val="continue"/>
                  <w:vAlign w:val="center"/>
                </w:tcPr>
                <w:p w14:paraId="35B0D2C1">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901" w:type="pct"/>
                  <w:vAlign w:val="center"/>
                </w:tcPr>
                <w:p w14:paraId="7BC6920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95.34</w:t>
                  </w:r>
                </w:p>
              </w:tc>
              <w:tc>
                <w:tcPr>
                  <w:tcW w:w="653" w:type="pct"/>
                  <w:vAlign w:val="center"/>
                </w:tcPr>
                <w:p w14:paraId="4752EA3E">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415.72</w:t>
                  </w:r>
                </w:p>
              </w:tc>
            </w:tr>
            <w:tr w14:paraId="35E8C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pct"/>
                  <w:vMerge w:val="continue"/>
                  <w:vAlign w:val="center"/>
                </w:tcPr>
                <w:p w14:paraId="1BB2985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616" w:type="pct"/>
                  <w:vMerge w:val="continue"/>
                  <w:vAlign w:val="center"/>
                </w:tcPr>
                <w:p w14:paraId="253AB6BF">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467" w:type="pct"/>
                  <w:vAlign w:val="center"/>
                </w:tcPr>
                <w:p w14:paraId="585311B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NH</w:t>
                  </w:r>
                  <w:r>
                    <w:rPr>
                      <w:rFonts w:hint="eastAsia" w:cs="Times New Roman"/>
                      <w:color w:val="auto"/>
                      <w:sz w:val="21"/>
                      <w:szCs w:val="21"/>
                      <w:vertAlign w:val="subscript"/>
                      <w:lang w:val="en-US" w:eastAsia="zh-CN"/>
                    </w:rPr>
                    <w:t>3</w:t>
                  </w:r>
                </w:p>
              </w:tc>
              <w:tc>
                <w:tcPr>
                  <w:tcW w:w="1410" w:type="pct"/>
                  <w:vMerge w:val="continue"/>
                  <w:vAlign w:val="center"/>
                </w:tcPr>
                <w:p w14:paraId="72E2A2D3">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901" w:type="pct"/>
                  <w:vAlign w:val="center"/>
                </w:tcPr>
                <w:p w14:paraId="64DEC17D">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0.67</w:t>
                  </w:r>
                </w:p>
              </w:tc>
              <w:tc>
                <w:tcPr>
                  <w:tcW w:w="653" w:type="pct"/>
                  <w:vAlign w:val="center"/>
                </w:tcPr>
                <w:p w14:paraId="533E385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2.942</w:t>
                  </w:r>
                </w:p>
              </w:tc>
            </w:tr>
            <w:tr w14:paraId="71B06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pct"/>
                  <w:vMerge w:val="continue"/>
                  <w:vAlign w:val="center"/>
                </w:tcPr>
                <w:p w14:paraId="5996CB46">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616" w:type="pct"/>
                  <w:vMerge w:val="continue"/>
                  <w:vAlign w:val="center"/>
                </w:tcPr>
                <w:p w14:paraId="24222EF1">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467" w:type="pct"/>
                  <w:vAlign w:val="center"/>
                </w:tcPr>
                <w:p w14:paraId="7A34F7FC">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HCl</w:t>
                  </w:r>
                </w:p>
              </w:tc>
              <w:tc>
                <w:tcPr>
                  <w:tcW w:w="1410" w:type="pct"/>
                  <w:vMerge w:val="continue"/>
                  <w:vAlign w:val="center"/>
                </w:tcPr>
                <w:p w14:paraId="3DD9B206">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901" w:type="pct"/>
                  <w:vAlign w:val="center"/>
                </w:tcPr>
                <w:p w14:paraId="361E5F0A">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8.228</w:t>
                  </w:r>
                </w:p>
              </w:tc>
              <w:tc>
                <w:tcPr>
                  <w:tcW w:w="653" w:type="pct"/>
                  <w:vAlign w:val="center"/>
                </w:tcPr>
                <w:p w14:paraId="21D790B2">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35.877</w:t>
                  </w:r>
                </w:p>
              </w:tc>
            </w:tr>
            <w:tr w14:paraId="2ED41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pct"/>
                  <w:vMerge w:val="continue"/>
                  <w:vAlign w:val="center"/>
                </w:tcPr>
                <w:p w14:paraId="649A990B">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616" w:type="pct"/>
                  <w:vMerge w:val="continue"/>
                  <w:vAlign w:val="center"/>
                </w:tcPr>
                <w:p w14:paraId="6E3621E4">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467" w:type="pct"/>
                  <w:vAlign w:val="center"/>
                </w:tcPr>
                <w:p w14:paraId="2BF0A7A6">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HF</w:t>
                  </w:r>
                </w:p>
              </w:tc>
              <w:tc>
                <w:tcPr>
                  <w:tcW w:w="1410" w:type="pct"/>
                  <w:vMerge w:val="continue"/>
                  <w:vAlign w:val="center"/>
                </w:tcPr>
                <w:p w14:paraId="15C891E9">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901" w:type="pct"/>
                  <w:vAlign w:val="center"/>
                </w:tcPr>
                <w:p w14:paraId="0932194A">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0.77</w:t>
                  </w:r>
                </w:p>
              </w:tc>
              <w:tc>
                <w:tcPr>
                  <w:tcW w:w="653" w:type="pct"/>
                  <w:vAlign w:val="center"/>
                </w:tcPr>
                <w:p w14:paraId="2B6C1276">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3.345</w:t>
                  </w:r>
                </w:p>
              </w:tc>
            </w:tr>
            <w:tr w14:paraId="3FA85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pct"/>
                  <w:vMerge w:val="continue"/>
                  <w:vAlign w:val="center"/>
                </w:tcPr>
                <w:p w14:paraId="202C7707">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616" w:type="pct"/>
                  <w:vMerge w:val="continue"/>
                  <w:vAlign w:val="center"/>
                </w:tcPr>
                <w:p w14:paraId="6F45720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467" w:type="pct"/>
                  <w:vAlign w:val="center"/>
                </w:tcPr>
                <w:p w14:paraId="6353BFFD">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Hg</w:t>
                  </w:r>
                </w:p>
              </w:tc>
              <w:tc>
                <w:tcPr>
                  <w:tcW w:w="1410" w:type="pct"/>
                  <w:vMerge w:val="continue"/>
                  <w:vAlign w:val="center"/>
                </w:tcPr>
                <w:p w14:paraId="08C34DF4">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901" w:type="pct"/>
                  <w:vAlign w:val="center"/>
                </w:tcPr>
                <w:p w14:paraId="348FA8DC">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0.00069</w:t>
                  </w:r>
                </w:p>
              </w:tc>
              <w:tc>
                <w:tcPr>
                  <w:tcW w:w="653" w:type="pct"/>
                  <w:vAlign w:val="center"/>
                </w:tcPr>
                <w:p w14:paraId="338B2EB3">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0.00303</w:t>
                  </w:r>
                </w:p>
              </w:tc>
            </w:tr>
            <w:tr w14:paraId="42760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pct"/>
                  <w:vMerge w:val="continue"/>
                  <w:vAlign w:val="center"/>
                </w:tcPr>
                <w:p w14:paraId="1A3CD322">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616" w:type="pct"/>
                  <w:vMerge w:val="continue"/>
                  <w:vAlign w:val="center"/>
                </w:tcPr>
                <w:p w14:paraId="2061448A">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467" w:type="pct"/>
                  <w:vAlign w:val="center"/>
                </w:tcPr>
                <w:p w14:paraId="3A62CC88">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Cd</w:t>
                  </w:r>
                </w:p>
              </w:tc>
              <w:tc>
                <w:tcPr>
                  <w:tcW w:w="1410" w:type="pct"/>
                  <w:vMerge w:val="continue"/>
                  <w:vAlign w:val="center"/>
                </w:tcPr>
                <w:p w14:paraId="776C29F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901" w:type="pct"/>
                  <w:vAlign w:val="center"/>
                </w:tcPr>
                <w:p w14:paraId="1CEA968A">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0.00029</w:t>
                  </w:r>
                </w:p>
              </w:tc>
              <w:tc>
                <w:tcPr>
                  <w:tcW w:w="653" w:type="pct"/>
                  <w:vAlign w:val="center"/>
                </w:tcPr>
                <w:p w14:paraId="0552D0D9">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0.00126</w:t>
                  </w:r>
                </w:p>
              </w:tc>
            </w:tr>
            <w:tr w14:paraId="0BBBB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pct"/>
                  <w:vMerge w:val="continue"/>
                  <w:vAlign w:val="center"/>
                </w:tcPr>
                <w:p w14:paraId="056D79BE">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616" w:type="pct"/>
                  <w:vMerge w:val="continue"/>
                  <w:vAlign w:val="center"/>
                </w:tcPr>
                <w:p w14:paraId="27B25033">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467" w:type="pct"/>
                  <w:vAlign w:val="center"/>
                </w:tcPr>
                <w:p w14:paraId="71D50C4E">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As</w:t>
                  </w:r>
                </w:p>
              </w:tc>
              <w:tc>
                <w:tcPr>
                  <w:tcW w:w="1410" w:type="pct"/>
                  <w:vMerge w:val="continue"/>
                  <w:vAlign w:val="center"/>
                </w:tcPr>
                <w:p w14:paraId="764F22F1">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901" w:type="pct"/>
                  <w:vAlign w:val="center"/>
                </w:tcPr>
                <w:p w14:paraId="1EC3A669">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0.00055</w:t>
                  </w:r>
                </w:p>
              </w:tc>
              <w:tc>
                <w:tcPr>
                  <w:tcW w:w="653" w:type="pct"/>
                  <w:vAlign w:val="center"/>
                </w:tcPr>
                <w:p w14:paraId="7A29D78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0.002408</w:t>
                  </w:r>
                </w:p>
              </w:tc>
            </w:tr>
            <w:tr w14:paraId="4B18D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pct"/>
                  <w:vMerge w:val="continue"/>
                  <w:vAlign w:val="center"/>
                </w:tcPr>
                <w:p w14:paraId="0C7AD828">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616" w:type="pct"/>
                  <w:vMerge w:val="continue"/>
                  <w:vAlign w:val="center"/>
                </w:tcPr>
                <w:p w14:paraId="74FDFED8">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467" w:type="pct"/>
                  <w:vAlign w:val="center"/>
                </w:tcPr>
                <w:p w14:paraId="3440BB3A">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Pb</w:t>
                  </w:r>
                </w:p>
              </w:tc>
              <w:tc>
                <w:tcPr>
                  <w:tcW w:w="1410" w:type="pct"/>
                  <w:vMerge w:val="continue"/>
                  <w:vAlign w:val="center"/>
                </w:tcPr>
                <w:p w14:paraId="087012D4">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901" w:type="pct"/>
                  <w:vAlign w:val="center"/>
                </w:tcPr>
                <w:p w14:paraId="1BFF77DE">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0.00738</w:t>
                  </w:r>
                </w:p>
              </w:tc>
              <w:tc>
                <w:tcPr>
                  <w:tcW w:w="653" w:type="pct"/>
                  <w:vAlign w:val="center"/>
                </w:tcPr>
                <w:p w14:paraId="412D59C7">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0.0322</w:t>
                  </w:r>
                </w:p>
              </w:tc>
            </w:tr>
            <w:tr w14:paraId="5B91F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pct"/>
                  <w:vMerge w:val="continue"/>
                  <w:vAlign w:val="center"/>
                </w:tcPr>
                <w:p w14:paraId="54078EE6">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616" w:type="pct"/>
                  <w:vMerge w:val="continue"/>
                  <w:vAlign w:val="center"/>
                </w:tcPr>
                <w:p w14:paraId="0D12D38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467" w:type="pct"/>
                  <w:vAlign w:val="center"/>
                </w:tcPr>
                <w:p w14:paraId="47204AE1">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二噁英类</w:t>
                  </w:r>
                </w:p>
              </w:tc>
              <w:tc>
                <w:tcPr>
                  <w:tcW w:w="1410" w:type="pct"/>
                  <w:vMerge w:val="continue"/>
                  <w:vAlign w:val="center"/>
                </w:tcPr>
                <w:p w14:paraId="5F355276">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901" w:type="pct"/>
                  <w:vAlign w:val="center"/>
                </w:tcPr>
                <w:p w14:paraId="6093A6C4">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0.02ngTEQ/Nm</w:t>
                  </w:r>
                  <w:r>
                    <w:rPr>
                      <w:rFonts w:hint="eastAsia" w:cs="Times New Roman"/>
                      <w:color w:val="auto"/>
                      <w:sz w:val="21"/>
                      <w:szCs w:val="21"/>
                      <w:vertAlign w:val="superscript"/>
                      <w:lang w:val="en-US" w:eastAsia="zh-CN"/>
                    </w:rPr>
                    <w:t>3</w:t>
                  </w:r>
                </w:p>
              </w:tc>
              <w:tc>
                <w:tcPr>
                  <w:tcW w:w="653" w:type="pct"/>
                  <w:vAlign w:val="center"/>
                </w:tcPr>
                <w:p w14:paraId="4F42330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8.72</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10</w:t>
                  </w:r>
                  <w:r>
                    <w:rPr>
                      <w:rFonts w:hint="eastAsia" w:cs="Times New Roman"/>
                      <w:color w:val="auto"/>
                      <w:sz w:val="21"/>
                      <w:szCs w:val="21"/>
                      <w:vertAlign w:val="superscript"/>
                      <w:lang w:val="en-US" w:eastAsia="zh-CN"/>
                    </w:rPr>
                    <w:t>-8</w:t>
                  </w:r>
                </w:p>
              </w:tc>
            </w:tr>
            <w:tr w14:paraId="31B0B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pct"/>
                  <w:vMerge w:val="continue"/>
                  <w:vAlign w:val="center"/>
                </w:tcPr>
                <w:p w14:paraId="32AE2F9D">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616" w:type="pct"/>
                  <w:vMerge w:val="continue"/>
                  <w:vAlign w:val="center"/>
                </w:tcPr>
                <w:p w14:paraId="2FB461CF">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467" w:type="pct"/>
                  <w:vAlign w:val="center"/>
                </w:tcPr>
                <w:p w14:paraId="2AC835B4">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CO</w:t>
                  </w:r>
                  <w:r>
                    <w:rPr>
                      <w:rFonts w:hint="eastAsia" w:cs="Times New Roman"/>
                      <w:color w:val="auto"/>
                      <w:sz w:val="21"/>
                      <w:szCs w:val="21"/>
                      <w:vertAlign w:val="subscript"/>
                      <w:lang w:val="en-US" w:eastAsia="zh-CN"/>
                    </w:rPr>
                    <w:t>2</w:t>
                  </w:r>
                </w:p>
              </w:tc>
              <w:tc>
                <w:tcPr>
                  <w:tcW w:w="1410" w:type="pct"/>
                  <w:vMerge w:val="continue"/>
                  <w:vAlign w:val="center"/>
                </w:tcPr>
                <w:p w14:paraId="316EDC83">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901" w:type="pct"/>
                  <w:vAlign w:val="center"/>
                </w:tcPr>
                <w:p w14:paraId="77D4A733">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653" w:type="pct"/>
                  <w:vAlign w:val="center"/>
                </w:tcPr>
                <w:p w14:paraId="38E98943">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541559.72</w:t>
                  </w:r>
                </w:p>
              </w:tc>
            </w:tr>
            <w:bookmarkEnd w:id="143"/>
            <w:bookmarkEnd w:id="146"/>
          </w:tbl>
          <w:p w14:paraId="15FC1022">
            <w:pPr>
              <w:pStyle w:val="12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表4-</w:t>
            </w:r>
            <w:r>
              <w:rPr>
                <w:rFonts w:hint="eastAsia" w:cs="Times New Roman"/>
                <w:b/>
                <w:bCs/>
                <w:color w:val="auto"/>
                <w:kern w:val="2"/>
                <w:sz w:val="21"/>
                <w:szCs w:val="21"/>
                <w:lang w:val="en-US" w:eastAsia="zh-CN" w:bidi="ar-SA"/>
              </w:rPr>
              <w:t xml:space="preserve">4 </w:t>
            </w:r>
            <w:r>
              <w:rPr>
                <w:rFonts w:hint="default" w:ascii="Times New Roman" w:hAnsi="Times New Roman" w:eastAsia="宋体" w:cs="Times New Roman"/>
                <w:b/>
                <w:bCs/>
                <w:color w:val="auto"/>
                <w:kern w:val="2"/>
                <w:sz w:val="21"/>
                <w:szCs w:val="21"/>
                <w:lang w:val="en-US" w:eastAsia="zh-CN" w:bidi="ar-SA"/>
              </w:rPr>
              <w:t>建设项目废气产排污节点、污染物及污染治理设施信息表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883"/>
              <w:gridCol w:w="858"/>
              <w:gridCol w:w="868"/>
              <w:gridCol w:w="684"/>
              <w:gridCol w:w="599"/>
              <w:gridCol w:w="707"/>
              <w:gridCol w:w="795"/>
              <w:gridCol w:w="684"/>
              <w:gridCol w:w="1562"/>
              <w:gridCol w:w="704"/>
              <w:gridCol w:w="865"/>
              <w:gridCol w:w="1014"/>
              <w:gridCol w:w="772"/>
            </w:tblGrid>
            <w:tr w14:paraId="40F41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625" w:type="pct"/>
                  <w:vMerge w:val="restart"/>
                  <w:noWrap w:val="0"/>
                  <w:vAlign w:val="center"/>
                </w:tcPr>
                <w:p w14:paraId="43383A78">
                  <w:pPr>
                    <w:pStyle w:val="66"/>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主要单元名称</w:t>
                  </w:r>
                </w:p>
              </w:tc>
              <w:tc>
                <w:tcPr>
                  <w:tcW w:w="351" w:type="pct"/>
                  <w:vMerge w:val="restart"/>
                  <w:noWrap w:val="0"/>
                  <w:vAlign w:val="center"/>
                </w:tcPr>
                <w:p w14:paraId="75EAD144">
                  <w:pPr>
                    <w:pStyle w:val="66"/>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生产单元/设施</w:t>
                  </w:r>
                </w:p>
              </w:tc>
              <w:tc>
                <w:tcPr>
                  <w:tcW w:w="341" w:type="pct"/>
                  <w:vMerge w:val="restart"/>
                  <w:noWrap w:val="0"/>
                  <w:vAlign w:val="center"/>
                </w:tcPr>
                <w:p w14:paraId="759DD4FC">
                  <w:pPr>
                    <w:pStyle w:val="66"/>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废气产生环节</w:t>
                  </w:r>
                </w:p>
              </w:tc>
              <w:tc>
                <w:tcPr>
                  <w:tcW w:w="345" w:type="pct"/>
                  <w:vMerge w:val="restart"/>
                  <w:noWrap w:val="0"/>
                  <w:vAlign w:val="center"/>
                </w:tcPr>
                <w:p w14:paraId="2E343646">
                  <w:pPr>
                    <w:pStyle w:val="66"/>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污染物种类</w:t>
                  </w:r>
                </w:p>
              </w:tc>
              <w:tc>
                <w:tcPr>
                  <w:tcW w:w="272" w:type="pct"/>
                  <w:vMerge w:val="restart"/>
                  <w:noWrap w:val="0"/>
                  <w:vAlign w:val="center"/>
                </w:tcPr>
                <w:p w14:paraId="378DFD3D">
                  <w:pPr>
                    <w:pStyle w:val="66"/>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排放形式</w:t>
                  </w:r>
                </w:p>
              </w:tc>
              <w:tc>
                <w:tcPr>
                  <w:tcW w:w="2352" w:type="pct"/>
                  <w:gridSpan w:val="7"/>
                  <w:noWrap w:val="0"/>
                  <w:vAlign w:val="center"/>
                </w:tcPr>
                <w:p w14:paraId="2FD91D23">
                  <w:pPr>
                    <w:pStyle w:val="66"/>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治理设施参数</w:t>
                  </w:r>
                </w:p>
              </w:tc>
              <w:tc>
                <w:tcPr>
                  <w:tcW w:w="403" w:type="pct"/>
                  <w:vMerge w:val="restart"/>
                  <w:noWrap w:val="0"/>
                  <w:vAlign w:val="center"/>
                </w:tcPr>
                <w:p w14:paraId="472725BD">
                  <w:pPr>
                    <w:pStyle w:val="66"/>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排放口编号</w:t>
                  </w:r>
                </w:p>
              </w:tc>
              <w:tc>
                <w:tcPr>
                  <w:tcW w:w="307" w:type="pct"/>
                  <w:vMerge w:val="restart"/>
                  <w:noWrap w:val="0"/>
                  <w:vAlign w:val="center"/>
                </w:tcPr>
                <w:p w14:paraId="743F41F2">
                  <w:pPr>
                    <w:pStyle w:val="66"/>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排放口类型</w:t>
                  </w:r>
                </w:p>
              </w:tc>
            </w:tr>
            <w:tr w14:paraId="79205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625" w:type="pct"/>
                  <w:vMerge w:val="continue"/>
                  <w:noWrap w:val="0"/>
                  <w:vAlign w:val="center"/>
                </w:tcPr>
                <w:p w14:paraId="3C5FADE2">
                  <w:pPr>
                    <w:pStyle w:val="66"/>
                    <w:spacing w:line="240" w:lineRule="auto"/>
                    <w:rPr>
                      <w:rFonts w:hint="default" w:ascii="Times New Roman" w:hAnsi="Times New Roman" w:cs="Times New Roman"/>
                      <w:color w:val="auto"/>
                      <w:sz w:val="21"/>
                      <w:szCs w:val="21"/>
                    </w:rPr>
                  </w:pPr>
                </w:p>
              </w:tc>
              <w:tc>
                <w:tcPr>
                  <w:tcW w:w="351" w:type="pct"/>
                  <w:vMerge w:val="continue"/>
                  <w:noWrap w:val="0"/>
                  <w:vAlign w:val="center"/>
                </w:tcPr>
                <w:p w14:paraId="24E1A7D9">
                  <w:pPr>
                    <w:pStyle w:val="66"/>
                    <w:spacing w:line="240" w:lineRule="auto"/>
                    <w:rPr>
                      <w:rFonts w:hint="default" w:ascii="Times New Roman" w:hAnsi="Times New Roman" w:cs="Times New Roman"/>
                      <w:color w:val="auto"/>
                      <w:sz w:val="21"/>
                      <w:szCs w:val="21"/>
                    </w:rPr>
                  </w:pPr>
                </w:p>
              </w:tc>
              <w:tc>
                <w:tcPr>
                  <w:tcW w:w="341" w:type="pct"/>
                  <w:vMerge w:val="continue"/>
                  <w:noWrap w:val="0"/>
                  <w:vAlign w:val="center"/>
                </w:tcPr>
                <w:p w14:paraId="37B1FF1B">
                  <w:pPr>
                    <w:pStyle w:val="66"/>
                    <w:spacing w:line="240" w:lineRule="auto"/>
                    <w:rPr>
                      <w:rFonts w:hint="default" w:ascii="Times New Roman" w:hAnsi="Times New Roman" w:cs="Times New Roman"/>
                      <w:color w:val="auto"/>
                      <w:sz w:val="21"/>
                      <w:szCs w:val="21"/>
                    </w:rPr>
                  </w:pPr>
                </w:p>
              </w:tc>
              <w:tc>
                <w:tcPr>
                  <w:tcW w:w="345" w:type="pct"/>
                  <w:vMerge w:val="continue"/>
                  <w:noWrap w:val="0"/>
                  <w:vAlign w:val="center"/>
                </w:tcPr>
                <w:p w14:paraId="21B6D44C">
                  <w:pPr>
                    <w:pStyle w:val="66"/>
                    <w:spacing w:line="240" w:lineRule="auto"/>
                    <w:rPr>
                      <w:rFonts w:hint="default" w:ascii="Times New Roman" w:hAnsi="Times New Roman" w:cs="Times New Roman"/>
                      <w:color w:val="auto"/>
                      <w:sz w:val="21"/>
                      <w:szCs w:val="21"/>
                    </w:rPr>
                  </w:pPr>
                </w:p>
              </w:tc>
              <w:tc>
                <w:tcPr>
                  <w:tcW w:w="272" w:type="pct"/>
                  <w:vMerge w:val="continue"/>
                  <w:noWrap w:val="0"/>
                  <w:vAlign w:val="center"/>
                </w:tcPr>
                <w:p w14:paraId="6D9C428B">
                  <w:pPr>
                    <w:pStyle w:val="66"/>
                    <w:spacing w:line="240" w:lineRule="auto"/>
                    <w:rPr>
                      <w:rFonts w:hint="default" w:ascii="Times New Roman" w:hAnsi="Times New Roman" w:cs="Times New Roman"/>
                      <w:color w:val="auto"/>
                      <w:sz w:val="21"/>
                      <w:szCs w:val="21"/>
                    </w:rPr>
                  </w:pPr>
                </w:p>
              </w:tc>
              <w:tc>
                <w:tcPr>
                  <w:tcW w:w="519" w:type="pct"/>
                  <w:gridSpan w:val="2"/>
                  <w:noWrap/>
                  <w:vAlign w:val="center"/>
                </w:tcPr>
                <w:p w14:paraId="6444D6C0">
                  <w:pPr>
                    <w:pStyle w:val="66"/>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捕集措施</w:t>
                  </w:r>
                </w:p>
              </w:tc>
              <w:tc>
                <w:tcPr>
                  <w:tcW w:w="1833" w:type="pct"/>
                  <w:gridSpan w:val="5"/>
                  <w:noWrap/>
                  <w:vAlign w:val="center"/>
                </w:tcPr>
                <w:p w14:paraId="71A7A325">
                  <w:pPr>
                    <w:pStyle w:val="66"/>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处理措施</w:t>
                  </w:r>
                </w:p>
              </w:tc>
              <w:tc>
                <w:tcPr>
                  <w:tcW w:w="403" w:type="pct"/>
                  <w:vMerge w:val="continue"/>
                  <w:noWrap w:val="0"/>
                  <w:vAlign w:val="center"/>
                </w:tcPr>
                <w:p w14:paraId="503B01D3">
                  <w:pPr>
                    <w:pStyle w:val="66"/>
                    <w:spacing w:line="240" w:lineRule="auto"/>
                    <w:rPr>
                      <w:rFonts w:hint="default" w:ascii="Times New Roman" w:hAnsi="Times New Roman" w:cs="Times New Roman"/>
                      <w:color w:val="auto"/>
                      <w:sz w:val="21"/>
                      <w:szCs w:val="21"/>
                    </w:rPr>
                  </w:pPr>
                </w:p>
              </w:tc>
              <w:tc>
                <w:tcPr>
                  <w:tcW w:w="307" w:type="pct"/>
                  <w:vMerge w:val="continue"/>
                  <w:noWrap w:val="0"/>
                  <w:vAlign w:val="center"/>
                </w:tcPr>
                <w:p w14:paraId="410A7C69">
                  <w:pPr>
                    <w:pStyle w:val="66"/>
                    <w:spacing w:line="240" w:lineRule="auto"/>
                    <w:rPr>
                      <w:rFonts w:hint="default" w:ascii="Times New Roman" w:hAnsi="Times New Roman" w:cs="Times New Roman"/>
                      <w:color w:val="auto"/>
                      <w:sz w:val="21"/>
                      <w:szCs w:val="21"/>
                    </w:rPr>
                  </w:pPr>
                </w:p>
              </w:tc>
            </w:tr>
            <w:tr w14:paraId="2CB89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625" w:type="pct"/>
                  <w:vMerge w:val="continue"/>
                  <w:noWrap w:val="0"/>
                  <w:vAlign w:val="center"/>
                </w:tcPr>
                <w:p w14:paraId="7FE27E78">
                  <w:pPr>
                    <w:pStyle w:val="66"/>
                    <w:spacing w:line="240" w:lineRule="auto"/>
                    <w:rPr>
                      <w:rFonts w:hint="default" w:ascii="Times New Roman" w:hAnsi="Times New Roman" w:cs="Times New Roman"/>
                      <w:color w:val="auto"/>
                      <w:sz w:val="21"/>
                      <w:szCs w:val="21"/>
                    </w:rPr>
                  </w:pPr>
                </w:p>
              </w:tc>
              <w:tc>
                <w:tcPr>
                  <w:tcW w:w="351" w:type="pct"/>
                  <w:vMerge w:val="continue"/>
                  <w:noWrap w:val="0"/>
                  <w:vAlign w:val="center"/>
                </w:tcPr>
                <w:p w14:paraId="15EBBBF5">
                  <w:pPr>
                    <w:pStyle w:val="66"/>
                    <w:spacing w:line="240" w:lineRule="auto"/>
                    <w:rPr>
                      <w:rFonts w:hint="default" w:ascii="Times New Roman" w:hAnsi="Times New Roman" w:cs="Times New Roman"/>
                      <w:color w:val="auto"/>
                      <w:sz w:val="21"/>
                      <w:szCs w:val="21"/>
                    </w:rPr>
                  </w:pPr>
                </w:p>
              </w:tc>
              <w:tc>
                <w:tcPr>
                  <w:tcW w:w="341" w:type="pct"/>
                  <w:vMerge w:val="continue"/>
                  <w:noWrap w:val="0"/>
                  <w:vAlign w:val="center"/>
                </w:tcPr>
                <w:p w14:paraId="3A4BD89E">
                  <w:pPr>
                    <w:pStyle w:val="66"/>
                    <w:spacing w:line="240" w:lineRule="auto"/>
                    <w:rPr>
                      <w:rFonts w:hint="default" w:ascii="Times New Roman" w:hAnsi="Times New Roman" w:cs="Times New Roman"/>
                      <w:color w:val="auto"/>
                      <w:sz w:val="21"/>
                      <w:szCs w:val="21"/>
                    </w:rPr>
                  </w:pPr>
                </w:p>
              </w:tc>
              <w:tc>
                <w:tcPr>
                  <w:tcW w:w="345" w:type="pct"/>
                  <w:vMerge w:val="continue"/>
                  <w:noWrap w:val="0"/>
                  <w:vAlign w:val="center"/>
                </w:tcPr>
                <w:p w14:paraId="7F643FD1">
                  <w:pPr>
                    <w:pStyle w:val="66"/>
                    <w:spacing w:line="240" w:lineRule="auto"/>
                    <w:rPr>
                      <w:rFonts w:hint="default" w:ascii="Times New Roman" w:hAnsi="Times New Roman" w:cs="Times New Roman"/>
                      <w:color w:val="auto"/>
                      <w:sz w:val="21"/>
                      <w:szCs w:val="21"/>
                    </w:rPr>
                  </w:pPr>
                </w:p>
              </w:tc>
              <w:tc>
                <w:tcPr>
                  <w:tcW w:w="272" w:type="pct"/>
                  <w:vMerge w:val="continue"/>
                  <w:noWrap w:val="0"/>
                  <w:vAlign w:val="center"/>
                </w:tcPr>
                <w:p w14:paraId="69DA78C2">
                  <w:pPr>
                    <w:pStyle w:val="66"/>
                    <w:spacing w:line="240" w:lineRule="auto"/>
                    <w:rPr>
                      <w:rFonts w:hint="default" w:ascii="Times New Roman" w:hAnsi="Times New Roman" w:cs="Times New Roman"/>
                      <w:color w:val="auto"/>
                      <w:sz w:val="21"/>
                      <w:szCs w:val="21"/>
                    </w:rPr>
                  </w:pPr>
                </w:p>
              </w:tc>
              <w:tc>
                <w:tcPr>
                  <w:tcW w:w="238" w:type="pct"/>
                  <w:noWrap w:val="0"/>
                  <w:vAlign w:val="center"/>
                </w:tcPr>
                <w:p w14:paraId="72BEDB06">
                  <w:pPr>
                    <w:pStyle w:val="66"/>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措施</w:t>
                  </w:r>
                </w:p>
              </w:tc>
              <w:tc>
                <w:tcPr>
                  <w:tcW w:w="280" w:type="pct"/>
                  <w:noWrap w:val="0"/>
                  <w:vAlign w:val="center"/>
                </w:tcPr>
                <w:p w14:paraId="2D709A51">
                  <w:pPr>
                    <w:pStyle w:val="66"/>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效率</w:t>
                  </w:r>
                </w:p>
              </w:tc>
              <w:tc>
                <w:tcPr>
                  <w:tcW w:w="316" w:type="pct"/>
                  <w:noWrap w:val="0"/>
                  <w:vAlign w:val="center"/>
                </w:tcPr>
                <w:p w14:paraId="76173C25">
                  <w:pPr>
                    <w:pStyle w:val="66"/>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编号</w:t>
                  </w:r>
                </w:p>
              </w:tc>
              <w:tc>
                <w:tcPr>
                  <w:tcW w:w="272" w:type="pct"/>
                  <w:noWrap w:val="0"/>
                  <w:vAlign w:val="center"/>
                </w:tcPr>
                <w:p w14:paraId="1A0ACBD7">
                  <w:pPr>
                    <w:pStyle w:val="66"/>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621" w:type="pct"/>
                  <w:noWrap w:val="0"/>
                  <w:vAlign w:val="center"/>
                </w:tcPr>
                <w:p w14:paraId="4C73F22F">
                  <w:pPr>
                    <w:pStyle w:val="66"/>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w:t>
                  </w:r>
                </w:p>
              </w:tc>
              <w:tc>
                <w:tcPr>
                  <w:tcW w:w="280" w:type="pct"/>
                  <w:noWrap w:val="0"/>
                  <w:vAlign w:val="center"/>
                </w:tcPr>
                <w:p w14:paraId="32D543F1">
                  <w:pPr>
                    <w:pStyle w:val="66"/>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效率</w:t>
                  </w:r>
                </w:p>
              </w:tc>
              <w:tc>
                <w:tcPr>
                  <w:tcW w:w="341" w:type="pct"/>
                  <w:noWrap w:val="0"/>
                  <w:vAlign w:val="center"/>
                </w:tcPr>
                <w:p w14:paraId="7B79B8A2">
                  <w:pPr>
                    <w:pStyle w:val="66"/>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是否可行技术</w:t>
                  </w:r>
                </w:p>
              </w:tc>
              <w:tc>
                <w:tcPr>
                  <w:tcW w:w="403" w:type="pct"/>
                  <w:vMerge w:val="continue"/>
                  <w:noWrap w:val="0"/>
                  <w:vAlign w:val="center"/>
                </w:tcPr>
                <w:p w14:paraId="09018459">
                  <w:pPr>
                    <w:pStyle w:val="66"/>
                    <w:spacing w:line="240" w:lineRule="auto"/>
                    <w:rPr>
                      <w:rFonts w:hint="default" w:ascii="Times New Roman" w:hAnsi="Times New Roman" w:cs="Times New Roman"/>
                      <w:color w:val="auto"/>
                      <w:sz w:val="21"/>
                      <w:szCs w:val="21"/>
                    </w:rPr>
                  </w:pPr>
                </w:p>
              </w:tc>
              <w:tc>
                <w:tcPr>
                  <w:tcW w:w="307" w:type="pct"/>
                  <w:vMerge w:val="continue"/>
                  <w:noWrap w:val="0"/>
                  <w:vAlign w:val="center"/>
                </w:tcPr>
                <w:p w14:paraId="23A516F4">
                  <w:pPr>
                    <w:pStyle w:val="66"/>
                    <w:spacing w:line="240" w:lineRule="auto"/>
                    <w:rPr>
                      <w:rFonts w:hint="default" w:ascii="Times New Roman" w:hAnsi="Times New Roman" w:cs="Times New Roman"/>
                      <w:color w:val="auto"/>
                      <w:sz w:val="21"/>
                      <w:szCs w:val="21"/>
                    </w:rPr>
                  </w:pPr>
                </w:p>
              </w:tc>
            </w:tr>
            <w:tr w14:paraId="26FB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25" w:type="pct"/>
                  <w:vMerge w:val="restart"/>
                  <w:noWrap w:val="0"/>
                  <w:vAlign w:val="center"/>
                </w:tcPr>
                <w:p w14:paraId="2103551D">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5000t/d水泥窑熟料生产线</w:t>
                  </w:r>
                </w:p>
              </w:tc>
              <w:tc>
                <w:tcPr>
                  <w:tcW w:w="351" w:type="pct"/>
                  <w:vMerge w:val="restart"/>
                  <w:noWrap w:val="0"/>
                  <w:vAlign w:val="center"/>
                </w:tcPr>
                <w:p w14:paraId="21280564">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熟料生产线</w:t>
                  </w:r>
                </w:p>
              </w:tc>
              <w:tc>
                <w:tcPr>
                  <w:tcW w:w="341" w:type="pct"/>
                  <w:vMerge w:val="restart"/>
                  <w:noWrap w:val="0"/>
                  <w:vAlign w:val="center"/>
                </w:tcPr>
                <w:p w14:paraId="414776C7">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窑尾烟囱</w:t>
                  </w:r>
                </w:p>
              </w:tc>
              <w:tc>
                <w:tcPr>
                  <w:tcW w:w="345" w:type="pct"/>
                  <w:noWrap w:val="0"/>
                  <w:vAlign w:val="center"/>
                </w:tcPr>
                <w:p w14:paraId="2B8D1378">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eastAsia" w:cs="Times New Roman"/>
                      <w:color w:val="auto"/>
                      <w:sz w:val="21"/>
                      <w:szCs w:val="21"/>
                      <w:lang w:val="en-US" w:eastAsia="zh-CN"/>
                    </w:rPr>
                    <w:t>SO</w:t>
                  </w:r>
                  <w:r>
                    <w:rPr>
                      <w:rFonts w:hint="eastAsia" w:cs="Times New Roman"/>
                      <w:color w:val="auto"/>
                      <w:sz w:val="21"/>
                      <w:szCs w:val="21"/>
                      <w:vertAlign w:val="subscript"/>
                      <w:lang w:val="en-US" w:eastAsia="zh-CN"/>
                    </w:rPr>
                    <w:t>2</w:t>
                  </w:r>
                </w:p>
              </w:tc>
              <w:tc>
                <w:tcPr>
                  <w:tcW w:w="272" w:type="pct"/>
                  <w:vMerge w:val="restart"/>
                  <w:noWrap w:val="0"/>
                  <w:vAlign w:val="center"/>
                </w:tcPr>
                <w:p w14:paraId="695DBD95">
                  <w:pPr>
                    <w:pStyle w:val="66"/>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有组织</w:t>
                  </w:r>
                </w:p>
              </w:tc>
              <w:tc>
                <w:tcPr>
                  <w:tcW w:w="238" w:type="pct"/>
                  <w:vMerge w:val="restart"/>
                  <w:noWrap w:val="0"/>
                  <w:vAlign w:val="center"/>
                </w:tcPr>
                <w:p w14:paraId="1A553EA9">
                  <w:pPr>
                    <w:pStyle w:val="66"/>
                    <w:spacing w:line="240" w:lineRule="auto"/>
                    <w:rPr>
                      <w:rFonts w:hint="eastAsia" w:ascii="Times New Roman" w:hAnsi="Times New Roman" w:eastAsia="宋体" w:cs="Times New Roman"/>
                      <w:color w:val="auto"/>
                      <w:kern w:val="2"/>
                      <w:sz w:val="21"/>
                      <w:szCs w:val="21"/>
                      <w:lang w:eastAsia="zh-CN"/>
                    </w:rPr>
                  </w:pPr>
                  <w:r>
                    <w:rPr>
                      <w:rFonts w:hint="eastAsia" w:ascii="Times New Roman" w:hAnsi="Times New Roman" w:cs="Times New Roman"/>
                      <w:color w:val="auto"/>
                      <w:sz w:val="21"/>
                      <w:szCs w:val="21"/>
                      <w:lang w:eastAsia="zh-CN"/>
                    </w:rPr>
                    <w:t>排气口</w:t>
                  </w:r>
                </w:p>
              </w:tc>
              <w:tc>
                <w:tcPr>
                  <w:tcW w:w="280" w:type="pct"/>
                  <w:vMerge w:val="restart"/>
                  <w:noWrap w:val="0"/>
                  <w:vAlign w:val="center"/>
                </w:tcPr>
                <w:p w14:paraId="389DEF09">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eastAsia" w:cs="Times New Roman"/>
                      <w:color w:val="auto"/>
                      <w:sz w:val="21"/>
                      <w:szCs w:val="21"/>
                      <w:lang w:val="en-US" w:eastAsia="zh-CN"/>
                    </w:rPr>
                    <w:t>100%</w:t>
                  </w:r>
                </w:p>
              </w:tc>
              <w:tc>
                <w:tcPr>
                  <w:tcW w:w="316" w:type="pct"/>
                  <w:vMerge w:val="restart"/>
                  <w:noWrap w:val="0"/>
                  <w:vAlign w:val="center"/>
                </w:tcPr>
                <w:p w14:paraId="2D3342E4">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eastAsia" w:cs="Times New Roman"/>
                      <w:color w:val="auto"/>
                      <w:sz w:val="21"/>
                      <w:szCs w:val="21"/>
                      <w:lang w:val="en-US" w:eastAsia="zh-CN"/>
                    </w:rPr>
                    <w:t>TA001</w:t>
                  </w:r>
                </w:p>
              </w:tc>
              <w:tc>
                <w:tcPr>
                  <w:tcW w:w="272" w:type="pct"/>
                  <w:vMerge w:val="restart"/>
                  <w:noWrap w:val="0"/>
                  <w:vAlign w:val="center"/>
                </w:tcPr>
                <w:p w14:paraId="3E44E76A">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一线窑尾</w:t>
                  </w:r>
                </w:p>
              </w:tc>
              <w:tc>
                <w:tcPr>
                  <w:tcW w:w="621" w:type="pct"/>
                  <w:vMerge w:val="restart"/>
                  <w:noWrap w:val="0"/>
                  <w:vAlign w:val="center"/>
                </w:tcPr>
                <w:p w14:paraId="2018611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eastAsia" w:cs="Times New Roman"/>
                      <w:color w:val="auto"/>
                      <w:sz w:val="21"/>
                      <w:szCs w:val="21"/>
                      <w:lang w:val="en-US" w:eastAsia="zh-CN"/>
                    </w:rPr>
                    <w:t>“低氮燃烧+SNCR+高效袋式除尘器除尘（覆膜滤料袋式除尘器）脱销窑磨一体化”</w:t>
                  </w:r>
                </w:p>
              </w:tc>
              <w:tc>
                <w:tcPr>
                  <w:tcW w:w="280" w:type="pct"/>
                  <w:vMerge w:val="restart"/>
                  <w:noWrap w:val="0"/>
                  <w:vAlign w:val="center"/>
                </w:tcPr>
                <w:p w14:paraId="057C4ACA">
                  <w:pPr>
                    <w:pStyle w:val="66"/>
                    <w:spacing w:line="240" w:lineRule="auto"/>
                    <w:rPr>
                      <w:rFonts w:hint="default" w:ascii="Times New Roman" w:hAnsi="Times New Roman" w:cs="Times New Roman"/>
                      <w:color w:val="auto"/>
                      <w:sz w:val="21"/>
                      <w:szCs w:val="21"/>
                    </w:rPr>
                  </w:pPr>
                  <w:r>
                    <w:rPr>
                      <w:rFonts w:hint="eastAsia" w:ascii="Times New Roman" w:cs="Times New Roman"/>
                      <w:color w:val="auto"/>
                      <w:sz w:val="21"/>
                      <w:szCs w:val="21"/>
                      <w:lang w:val="en-US" w:eastAsia="zh-CN"/>
                    </w:rPr>
                    <w:t>98</w:t>
                  </w:r>
                  <w:r>
                    <w:rPr>
                      <w:rFonts w:hint="default" w:ascii="Times New Roman" w:hAnsi="Times New Roman" w:cs="Times New Roman"/>
                      <w:color w:val="auto"/>
                      <w:sz w:val="21"/>
                      <w:szCs w:val="21"/>
                    </w:rPr>
                    <w:t>%</w:t>
                  </w:r>
                </w:p>
              </w:tc>
              <w:tc>
                <w:tcPr>
                  <w:tcW w:w="341" w:type="pct"/>
                  <w:vMerge w:val="restart"/>
                  <w:noWrap w:val="0"/>
                  <w:vAlign w:val="center"/>
                </w:tcPr>
                <w:p w14:paraId="39A2DA09">
                  <w:pPr>
                    <w:pStyle w:val="66"/>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c>
                <w:tcPr>
                  <w:tcW w:w="403" w:type="pct"/>
                  <w:vMerge w:val="restart"/>
                  <w:noWrap w:val="0"/>
                  <w:vAlign w:val="center"/>
                </w:tcPr>
                <w:p w14:paraId="4312706A">
                  <w:pPr>
                    <w:pStyle w:val="66"/>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DA0</w:t>
                  </w:r>
                  <w:r>
                    <w:rPr>
                      <w:rFonts w:hint="eastAsia" w:ascii="Times New Roman" w:hAnsi="Times New Roman" w:cs="Times New Roman"/>
                      <w:color w:val="auto"/>
                      <w:sz w:val="21"/>
                      <w:szCs w:val="21"/>
                      <w:lang w:val="en-US" w:eastAsia="zh-CN"/>
                    </w:rPr>
                    <w:t>46</w:t>
                  </w:r>
                </w:p>
              </w:tc>
              <w:tc>
                <w:tcPr>
                  <w:tcW w:w="307" w:type="pct"/>
                  <w:vMerge w:val="restart"/>
                  <w:noWrap w:val="0"/>
                  <w:vAlign w:val="center"/>
                </w:tcPr>
                <w:p w14:paraId="439CF845">
                  <w:pPr>
                    <w:pStyle w:val="66"/>
                    <w:spacing w:line="240" w:lineRule="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主要</w:t>
                  </w:r>
                  <w:r>
                    <w:rPr>
                      <w:rFonts w:hint="default" w:ascii="Times New Roman" w:hAnsi="Times New Roman" w:cs="Times New Roman"/>
                      <w:color w:val="auto"/>
                      <w:sz w:val="21"/>
                      <w:szCs w:val="21"/>
                    </w:rPr>
                    <w:t>排放口</w:t>
                  </w:r>
                </w:p>
              </w:tc>
            </w:tr>
            <w:tr w14:paraId="5E7F5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25" w:type="pct"/>
                  <w:vMerge w:val="continue"/>
                  <w:noWrap w:val="0"/>
                  <w:vAlign w:val="center"/>
                </w:tcPr>
                <w:p w14:paraId="1465A1EF">
                  <w:pPr>
                    <w:pStyle w:val="66"/>
                    <w:spacing w:line="240" w:lineRule="auto"/>
                    <w:rPr>
                      <w:rFonts w:hint="default" w:ascii="Times New Roman" w:hAnsi="Times New Roman" w:cs="Times New Roman"/>
                      <w:color w:val="auto"/>
                      <w:sz w:val="21"/>
                      <w:szCs w:val="21"/>
                      <w:lang w:val="en-US" w:eastAsia="zh-CN"/>
                    </w:rPr>
                  </w:pPr>
                </w:p>
              </w:tc>
              <w:tc>
                <w:tcPr>
                  <w:tcW w:w="351" w:type="pct"/>
                  <w:vMerge w:val="continue"/>
                  <w:noWrap w:val="0"/>
                  <w:vAlign w:val="center"/>
                </w:tcPr>
                <w:p w14:paraId="3E21D030">
                  <w:pPr>
                    <w:pStyle w:val="66"/>
                    <w:spacing w:line="240" w:lineRule="auto"/>
                    <w:rPr>
                      <w:rFonts w:hint="default" w:ascii="Times New Roman" w:hAnsi="Times New Roman" w:cs="Times New Roman"/>
                      <w:color w:val="auto"/>
                      <w:sz w:val="21"/>
                      <w:szCs w:val="21"/>
                      <w:lang w:val="en-US" w:eastAsia="zh-CN"/>
                    </w:rPr>
                  </w:pPr>
                </w:p>
              </w:tc>
              <w:tc>
                <w:tcPr>
                  <w:tcW w:w="341" w:type="pct"/>
                  <w:vMerge w:val="continue"/>
                  <w:noWrap w:val="0"/>
                  <w:vAlign w:val="center"/>
                </w:tcPr>
                <w:p w14:paraId="07429D01">
                  <w:pPr>
                    <w:pStyle w:val="66"/>
                    <w:spacing w:line="240" w:lineRule="auto"/>
                    <w:rPr>
                      <w:rFonts w:hint="default" w:ascii="Times New Roman" w:hAnsi="Times New Roman" w:cs="Times New Roman"/>
                      <w:color w:val="auto"/>
                      <w:sz w:val="21"/>
                      <w:szCs w:val="21"/>
                      <w:lang w:val="en-US" w:eastAsia="zh-CN"/>
                    </w:rPr>
                  </w:pPr>
                </w:p>
              </w:tc>
              <w:tc>
                <w:tcPr>
                  <w:tcW w:w="345" w:type="pct"/>
                  <w:noWrap w:val="0"/>
                  <w:vAlign w:val="center"/>
                </w:tcPr>
                <w:p w14:paraId="37E2D112">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eastAsia" w:cs="Times New Roman"/>
                      <w:color w:val="auto"/>
                      <w:sz w:val="21"/>
                      <w:szCs w:val="21"/>
                      <w:lang w:val="en-US" w:eastAsia="zh-CN"/>
                    </w:rPr>
                    <w:t>颗粒物</w:t>
                  </w:r>
                </w:p>
              </w:tc>
              <w:tc>
                <w:tcPr>
                  <w:tcW w:w="272" w:type="pct"/>
                  <w:vMerge w:val="continue"/>
                  <w:noWrap w:val="0"/>
                  <w:vAlign w:val="center"/>
                </w:tcPr>
                <w:p w14:paraId="1373C9F1">
                  <w:pPr>
                    <w:pStyle w:val="66"/>
                    <w:spacing w:line="240" w:lineRule="auto"/>
                    <w:rPr>
                      <w:rFonts w:hint="default" w:ascii="Times New Roman" w:hAnsi="Times New Roman" w:cs="Times New Roman"/>
                      <w:color w:val="auto"/>
                      <w:sz w:val="21"/>
                      <w:szCs w:val="21"/>
                    </w:rPr>
                  </w:pPr>
                </w:p>
              </w:tc>
              <w:tc>
                <w:tcPr>
                  <w:tcW w:w="238" w:type="pct"/>
                  <w:vMerge w:val="continue"/>
                  <w:noWrap w:val="0"/>
                  <w:vAlign w:val="center"/>
                </w:tcPr>
                <w:p w14:paraId="519AEA65">
                  <w:pPr>
                    <w:pStyle w:val="66"/>
                    <w:spacing w:line="240" w:lineRule="auto"/>
                    <w:rPr>
                      <w:rFonts w:hint="default" w:ascii="Times New Roman" w:hAnsi="Times New Roman" w:cs="Times New Roman"/>
                      <w:color w:val="auto"/>
                      <w:sz w:val="21"/>
                      <w:szCs w:val="21"/>
                    </w:rPr>
                  </w:pPr>
                </w:p>
              </w:tc>
              <w:tc>
                <w:tcPr>
                  <w:tcW w:w="280" w:type="pct"/>
                  <w:vMerge w:val="continue"/>
                  <w:noWrap w:val="0"/>
                  <w:vAlign w:val="center"/>
                </w:tcPr>
                <w:p w14:paraId="06322435">
                  <w:pPr>
                    <w:pStyle w:val="66"/>
                    <w:spacing w:line="240" w:lineRule="auto"/>
                    <w:rPr>
                      <w:rFonts w:hint="default" w:ascii="Times New Roman" w:hAnsi="Times New Roman" w:cs="Times New Roman"/>
                      <w:color w:val="auto"/>
                      <w:sz w:val="21"/>
                      <w:szCs w:val="21"/>
                    </w:rPr>
                  </w:pPr>
                </w:p>
              </w:tc>
              <w:tc>
                <w:tcPr>
                  <w:tcW w:w="316" w:type="pct"/>
                  <w:vMerge w:val="continue"/>
                  <w:noWrap w:val="0"/>
                  <w:vAlign w:val="center"/>
                </w:tcPr>
                <w:p w14:paraId="17F65A1D">
                  <w:pPr>
                    <w:pStyle w:val="66"/>
                    <w:spacing w:line="240" w:lineRule="auto"/>
                    <w:rPr>
                      <w:rFonts w:hint="default" w:ascii="Times New Roman" w:hAnsi="Times New Roman" w:cs="Times New Roman"/>
                      <w:color w:val="auto"/>
                      <w:sz w:val="21"/>
                      <w:szCs w:val="21"/>
                    </w:rPr>
                  </w:pPr>
                </w:p>
              </w:tc>
              <w:tc>
                <w:tcPr>
                  <w:tcW w:w="272" w:type="pct"/>
                  <w:vMerge w:val="continue"/>
                  <w:noWrap w:val="0"/>
                  <w:vAlign w:val="center"/>
                </w:tcPr>
                <w:p w14:paraId="32E40F86">
                  <w:pPr>
                    <w:pStyle w:val="66"/>
                    <w:spacing w:line="240" w:lineRule="auto"/>
                    <w:rPr>
                      <w:rFonts w:hint="default" w:ascii="Times New Roman" w:hAnsi="Times New Roman" w:cs="Times New Roman"/>
                      <w:color w:val="auto"/>
                      <w:sz w:val="21"/>
                      <w:szCs w:val="21"/>
                      <w:lang w:val="en-US" w:eastAsia="zh-CN"/>
                    </w:rPr>
                  </w:pPr>
                </w:p>
              </w:tc>
              <w:tc>
                <w:tcPr>
                  <w:tcW w:w="621" w:type="pct"/>
                  <w:vMerge w:val="continue"/>
                  <w:noWrap w:val="0"/>
                  <w:vAlign w:val="center"/>
                </w:tcPr>
                <w:p w14:paraId="746BAE62">
                  <w:pPr>
                    <w:pStyle w:val="66"/>
                    <w:spacing w:line="240" w:lineRule="auto"/>
                    <w:rPr>
                      <w:rFonts w:hint="default" w:ascii="Times New Roman" w:hAnsi="Times New Roman" w:cs="Times New Roman"/>
                      <w:color w:val="auto"/>
                      <w:sz w:val="21"/>
                      <w:szCs w:val="21"/>
                    </w:rPr>
                  </w:pPr>
                </w:p>
              </w:tc>
              <w:tc>
                <w:tcPr>
                  <w:tcW w:w="280" w:type="pct"/>
                  <w:vMerge w:val="continue"/>
                  <w:noWrap w:val="0"/>
                  <w:vAlign w:val="center"/>
                </w:tcPr>
                <w:p w14:paraId="3467829E">
                  <w:pPr>
                    <w:pStyle w:val="66"/>
                    <w:spacing w:line="240" w:lineRule="auto"/>
                    <w:rPr>
                      <w:rFonts w:hint="default" w:ascii="Times New Roman" w:hAnsi="Times New Roman" w:cs="Times New Roman"/>
                      <w:color w:val="auto"/>
                      <w:sz w:val="21"/>
                      <w:szCs w:val="21"/>
                    </w:rPr>
                  </w:pPr>
                </w:p>
              </w:tc>
              <w:tc>
                <w:tcPr>
                  <w:tcW w:w="341" w:type="pct"/>
                  <w:vMerge w:val="continue"/>
                  <w:noWrap w:val="0"/>
                  <w:vAlign w:val="center"/>
                </w:tcPr>
                <w:p w14:paraId="500AA55E">
                  <w:pPr>
                    <w:pStyle w:val="66"/>
                    <w:spacing w:line="240" w:lineRule="auto"/>
                    <w:rPr>
                      <w:rFonts w:hint="default" w:ascii="Times New Roman" w:hAnsi="Times New Roman" w:cs="Times New Roman"/>
                      <w:color w:val="auto"/>
                      <w:sz w:val="21"/>
                      <w:szCs w:val="21"/>
                    </w:rPr>
                  </w:pPr>
                </w:p>
              </w:tc>
              <w:tc>
                <w:tcPr>
                  <w:tcW w:w="403" w:type="pct"/>
                  <w:vMerge w:val="continue"/>
                  <w:noWrap w:val="0"/>
                  <w:vAlign w:val="center"/>
                </w:tcPr>
                <w:p w14:paraId="54EFD1B3">
                  <w:pPr>
                    <w:pStyle w:val="66"/>
                    <w:spacing w:line="240" w:lineRule="auto"/>
                    <w:rPr>
                      <w:rFonts w:hint="default" w:ascii="Times New Roman" w:hAnsi="Times New Roman" w:cs="Times New Roman"/>
                      <w:color w:val="auto"/>
                      <w:sz w:val="21"/>
                      <w:szCs w:val="21"/>
                    </w:rPr>
                  </w:pPr>
                </w:p>
              </w:tc>
              <w:tc>
                <w:tcPr>
                  <w:tcW w:w="307" w:type="pct"/>
                  <w:vMerge w:val="continue"/>
                  <w:noWrap w:val="0"/>
                  <w:vAlign w:val="center"/>
                </w:tcPr>
                <w:p w14:paraId="597DE773">
                  <w:pPr>
                    <w:pStyle w:val="66"/>
                    <w:spacing w:line="240" w:lineRule="auto"/>
                    <w:rPr>
                      <w:rFonts w:hint="default" w:ascii="Times New Roman" w:hAnsi="Times New Roman" w:cs="Times New Roman"/>
                      <w:color w:val="auto"/>
                      <w:sz w:val="21"/>
                      <w:szCs w:val="21"/>
                    </w:rPr>
                  </w:pPr>
                </w:p>
              </w:tc>
            </w:tr>
            <w:tr w14:paraId="1832A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25" w:type="pct"/>
                  <w:vMerge w:val="continue"/>
                  <w:noWrap w:val="0"/>
                  <w:vAlign w:val="center"/>
                </w:tcPr>
                <w:p w14:paraId="03CFF7FE">
                  <w:pPr>
                    <w:pStyle w:val="66"/>
                    <w:spacing w:line="240" w:lineRule="auto"/>
                    <w:rPr>
                      <w:rFonts w:hint="default" w:ascii="Times New Roman" w:hAnsi="Times New Roman" w:cs="Times New Roman"/>
                      <w:color w:val="auto"/>
                      <w:sz w:val="21"/>
                      <w:szCs w:val="21"/>
                      <w:lang w:val="en-US" w:eastAsia="zh-CN"/>
                    </w:rPr>
                  </w:pPr>
                </w:p>
              </w:tc>
              <w:tc>
                <w:tcPr>
                  <w:tcW w:w="351" w:type="pct"/>
                  <w:vMerge w:val="continue"/>
                  <w:noWrap w:val="0"/>
                  <w:vAlign w:val="center"/>
                </w:tcPr>
                <w:p w14:paraId="6A5BF200">
                  <w:pPr>
                    <w:pStyle w:val="66"/>
                    <w:spacing w:line="240" w:lineRule="auto"/>
                    <w:rPr>
                      <w:rFonts w:hint="default" w:ascii="Times New Roman" w:hAnsi="Times New Roman" w:cs="Times New Roman"/>
                      <w:color w:val="auto"/>
                      <w:sz w:val="21"/>
                      <w:szCs w:val="21"/>
                      <w:lang w:val="en-US" w:eastAsia="zh-CN"/>
                    </w:rPr>
                  </w:pPr>
                </w:p>
              </w:tc>
              <w:tc>
                <w:tcPr>
                  <w:tcW w:w="341" w:type="pct"/>
                  <w:vMerge w:val="continue"/>
                  <w:noWrap w:val="0"/>
                  <w:vAlign w:val="center"/>
                </w:tcPr>
                <w:p w14:paraId="72EB34E6">
                  <w:pPr>
                    <w:pStyle w:val="66"/>
                    <w:spacing w:line="240" w:lineRule="auto"/>
                    <w:rPr>
                      <w:rFonts w:hint="default" w:ascii="Times New Roman" w:hAnsi="Times New Roman" w:cs="Times New Roman"/>
                      <w:color w:val="auto"/>
                      <w:sz w:val="21"/>
                      <w:szCs w:val="21"/>
                      <w:lang w:val="en-US" w:eastAsia="zh-CN"/>
                    </w:rPr>
                  </w:pPr>
                </w:p>
              </w:tc>
              <w:tc>
                <w:tcPr>
                  <w:tcW w:w="345" w:type="pct"/>
                  <w:noWrap w:val="0"/>
                  <w:vAlign w:val="center"/>
                </w:tcPr>
                <w:p w14:paraId="55FF476E">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eastAsia" w:cs="Times New Roman"/>
                      <w:color w:val="auto"/>
                      <w:sz w:val="21"/>
                      <w:szCs w:val="21"/>
                      <w:lang w:val="en-US" w:eastAsia="zh-CN"/>
                    </w:rPr>
                    <w:t>NO</w:t>
                  </w:r>
                  <w:r>
                    <w:rPr>
                      <w:rFonts w:hint="eastAsia" w:cs="Times New Roman"/>
                      <w:color w:val="auto"/>
                      <w:sz w:val="21"/>
                      <w:szCs w:val="21"/>
                      <w:vertAlign w:val="baseline"/>
                      <w:lang w:val="en-US" w:eastAsia="zh-CN"/>
                    </w:rPr>
                    <w:t>x</w:t>
                  </w:r>
                </w:p>
              </w:tc>
              <w:tc>
                <w:tcPr>
                  <w:tcW w:w="272" w:type="pct"/>
                  <w:vMerge w:val="continue"/>
                  <w:noWrap w:val="0"/>
                  <w:vAlign w:val="center"/>
                </w:tcPr>
                <w:p w14:paraId="02272316">
                  <w:pPr>
                    <w:pStyle w:val="66"/>
                    <w:spacing w:line="240" w:lineRule="auto"/>
                    <w:rPr>
                      <w:rFonts w:hint="default" w:ascii="Times New Roman" w:hAnsi="Times New Roman" w:cs="Times New Roman"/>
                      <w:color w:val="auto"/>
                      <w:sz w:val="21"/>
                      <w:szCs w:val="21"/>
                    </w:rPr>
                  </w:pPr>
                </w:p>
              </w:tc>
              <w:tc>
                <w:tcPr>
                  <w:tcW w:w="238" w:type="pct"/>
                  <w:vMerge w:val="continue"/>
                  <w:noWrap w:val="0"/>
                  <w:vAlign w:val="center"/>
                </w:tcPr>
                <w:p w14:paraId="5FE17E25">
                  <w:pPr>
                    <w:pStyle w:val="66"/>
                    <w:spacing w:line="240" w:lineRule="auto"/>
                    <w:rPr>
                      <w:rFonts w:hint="default" w:ascii="Times New Roman" w:hAnsi="Times New Roman" w:cs="Times New Roman"/>
                      <w:color w:val="auto"/>
                      <w:sz w:val="21"/>
                      <w:szCs w:val="21"/>
                    </w:rPr>
                  </w:pPr>
                </w:p>
              </w:tc>
              <w:tc>
                <w:tcPr>
                  <w:tcW w:w="280" w:type="pct"/>
                  <w:vMerge w:val="continue"/>
                  <w:noWrap w:val="0"/>
                  <w:vAlign w:val="center"/>
                </w:tcPr>
                <w:p w14:paraId="32708F7A">
                  <w:pPr>
                    <w:pStyle w:val="66"/>
                    <w:spacing w:line="240" w:lineRule="auto"/>
                    <w:rPr>
                      <w:rFonts w:hint="default" w:ascii="Times New Roman" w:hAnsi="Times New Roman" w:cs="Times New Roman"/>
                      <w:color w:val="auto"/>
                      <w:sz w:val="21"/>
                      <w:szCs w:val="21"/>
                    </w:rPr>
                  </w:pPr>
                </w:p>
              </w:tc>
              <w:tc>
                <w:tcPr>
                  <w:tcW w:w="316" w:type="pct"/>
                  <w:vMerge w:val="continue"/>
                  <w:noWrap w:val="0"/>
                  <w:vAlign w:val="center"/>
                </w:tcPr>
                <w:p w14:paraId="432CE290">
                  <w:pPr>
                    <w:pStyle w:val="66"/>
                    <w:spacing w:line="240" w:lineRule="auto"/>
                    <w:rPr>
                      <w:rFonts w:hint="default" w:ascii="Times New Roman" w:hAnsi="Times New Roman" w:cs="Times New Roman"/>
                      <w:color w:val="auto"/>
                      <w:sz w:val="21"/>
                      <w:szCs w:val="21"/>
                    </w:rPr>
                  </w:pPr>
                </w:p>
              </w:tc>
              <w:tc>
                <w:tcPr>
                  <w:tcW w:w="272" w:type="pct"/>
                  <w:vMerge w:val="continue"/>
                  <w:noWrap w:val="0"/>
                  <w:vAlign w:val="center"/>
                </w:tcPr>
                <w:p w14:paraId="32041241">
                  <w:pPr>
                    <w:pStyle w:val="66"/>
                    <w:spacing w:line="240" w:lineRule="auto"/>
                    <w:rPr>
                      <w:rFonts w:hint="default" w:ascii="Times New Roman" w:hAnsi="Times New Roman" w:cs="Times New Roman"/>
                      <w:color w:val="auto"/>
                      <w:sz w:val="21"/>
                      <w:szCs w:val="21"/>
                      <w:lang w:val="en-US" w:eastAsia="zh-CN"/>
                    </w:rPr>
                  </w:pPr>
                </w:p>
              </w:tc>
              <w:tc>
                <w:tcPr>
                  <w:tcW w:w="621" w:type="pct"/>
                  <w:vMerge w:val="continue"/>
                  <w:noWrap w:val="0"/>
                  <w:vAlign w:val="center"/>
                </w:tcPr>
                <w:p w14:paraId="5C7BBBDB">
                  <w:pPr>
                    <w:pStyle w:val="66"/>
                    <w:spacing w:line="240" w:lineRule="auto"/>
                    <w:rPr>
                      <w:rFonts w:hint="default" w:ascii="Times New Roman" w:hAnsi="Times New Roman" w:cs="Times New Roman"/>
                      <w:color w:val="auto"/>
                      <w:sz w:val="21"/>
                      <w:szCs w:val="21"/>
                    </w:rPr>
                  </w:pPr>
                </w:p>
              </w:tc>
              <w:tc>
                <w:tcPr>
                  <w:tcW w:w="280" w:type="pct"/>
                  <w:vMerge w:val="continue"/>
                  <w:noWrap w:val="0"/>
                  <w:vAlign w:val="center"/>
                </w:tcPr>
                <w:p w14:paraId="12B8CA15">
                  <w:pPr>
                    <w:pStyle w:val="66"/>
                    <w:spacing w:line="240" w:lineRule="auto"/>
                    <w:rPr>
                      <w:rFonts w:hint="default" w:ascii="Times New Roman" w:hAnsi="Times New Roman" w:cs="Times New Roman"/>
                      <w:color w:val="auto"/>
                      <w:sz w:val="21"/>
                      <w:szCs w:val="21"/>
                    </w:rPr>
                  </w:pPr>
                </w:p>
              </w:tc>
              <w:tc>
                <w:tcPr>
                  <w:tcW w:w="341" w:type="pct"/>
                  <w:vMerge w:val="continue"/>
                  <w:noWrap w:val="0"/>
                  <w:vAlign w:val="center"/>
                </w:tcPr>
                <w:p w14:paraId="0DF11474">
                  <w:pPr>
                    <w:pStyle w:val="66"/>
                    <w:spacing w:line="240" w:lineRule="auto"/>
                    <w:rPr>
                      <w:rFonts w:hint="default" w:ascii="Times New Roman" w:hAnsi="Times New Roman" w:cs="Times New Roman"/>
                      <w:color w:val="auto"/>
                      <w:sz w:val="21"/>
                      <w:szCs w:val="21"/>
                    </w:rPr>
                  </w:pPr>
                </w:p>
              </w:tc>
              <w:tc>
                <w:tcPr>
                  <w:tcW w:w="403" w:type="pct"/>
                  <w:vMerge w:val="continue"/>
                  <w:noWrap w:val="0"/>
                  <w:vAlign w:val="center"/>
                </w:tcPr>
                <w:p w14:paraId="5EEA8352">
                  <w:pPr>
                    <w:pStyle w:val="66"/>
                    <w:spacing w:line="240" w:lineRule="auto"/>
                    <w:rPr>
                      <w:rFonts w:hint="default" w:ascii="Times New Roman" w:hAnsi="Times New Roman" w:cs="Times New Roman"/>
                      <w:color w:val="auto"/>
                      <w:sz w:val="21"/>
                      <w:szCs w:val="21"/>
                    </w:rPr>
                  </w:pPr>
                </w:p>
              </w:tc>
              <w:tc>
                <w:tcPr>
                  <w:tcW w:w="307" w:type="pct"/>
                  <w:vMerge w:val="continue"/>
                  <w:noWrap w:val="0"/>
                  <w:vAlign w:val="center"/>
                </w:tcPr>
                <w:p w14:paraId="726720DF">
                  <w:pPr>
                    <w:pStyle w:val="66"/>
                    <w:spacing w:line="240" w:lineRule="auto"/>
                    <w:rPr>
                      <w:rFonts w:hint="default" w:ascii="Times New Roman" w:hAnsi="Times New Roman" w:cs="Times New Roman"/>
                      <w:color w:val="auto"/>
                      <w:sz w:val="21"/>
                      <w:szCs w:val="21"/>
                    </w:rPr>
                  </w:pPr>
                </w:p>
              </w:tc>
            </w:tr>
            <w:tr w14:paraId="7A748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25" w:type="pct"/>
                  <w:vMerge w:val="continue"/>
                  <w:noWrap w:val="0"/>
                  <w:vAlign w:val="center"/>
                </w:tcPr>
                <w:p w14:paraId="654E3927">
                  <w:pPr>
                    <w:pStyle w:val="66"/>
                    <w:spacing w:line="240" w:lineRule="auto"/>
                    <w:rPr>
                      <w:rFonts w:hint="default" w:ascii="Times New Roman" w:hAnsi="Times New Roman" w:cs="Times New Roman"/>
                      <w:color w:val="auto"/>
                      <w:sz w:val="21"/>
                      <w:szCs w:val="21"/>
                      <w:lang w:val="en-US" w:eastAsia="zh-CN"/>
                    </w:rPr>
                  </w:pPr>
                </w:p>
              </w:tc>
              <w:tc>
                <w:tcPr>
                  <w:tcW w:w="351" w:type="pct"/>
                  <w:vMerge w:val="continue"/>
                  <w:noWrap w:val="0"/>
                  <w:vAlign w:val="center"/>
                </w:tcPr>
                <w:p w14:paraId="294A03C3">
                  <w:pPr>
                    <w:pStyle w:val="66"/>
                    <w:spacing w:line="240" w:lineRule="auto"/>
                    <w:rPr>
                      <w:rFonts w:hint="default" w:ascii="Times New Roman" w:hAnsi="Times New Roman" w:cs="Times New Roman"/>
                      <w:color w:val="auto"/>
                      <w:sz w:val="21"/>
                      <w:szCs w:val="21"/>
                      <w:lang w:val="en-US" w:eastAsia="zh-CN"/>
                    </w:rPr>
                  </w:pPr>
                </w:p>
              </w:tc>
              <w:tc>
                <w:tcPr>
                  <w:tcW w:w="341" w:type="pct"/>
                  <w:vMerge w:val="continue"/>
                  <w:noWrap w:val="0"/>
                  <w:vAlign w:val="center"/>
                </w:tcPr>
                <w:p w14:paraId="1937D35A">
                  <w:pPr>
                    <w:pStyle w:val="66"/>
                    <w:spacing w:line="240" w:lineRule="auto"/>
                    <w:rPr>
                      <w:rFonts w:hint="default" w:ascii="Times New Roman" w:hAnsi="Times New Roman" w:cs="Times New Roman"/>
                      <w:color w:val="auto"/>
                      <w:sz w:val="21"/>
                      <w:szCs w:val="21"/>
                      <w:lang w:val="en-US" w:eastAsia="zh-CN"/>
                    </w:rPr>
                  </w:pPr>
                </w:p>
              </w:tc>
              <w:tc>
                <w:tcPr>
                  <w:tcW w:w="345" w:type="pct"/>
                  <w:noWrap w:val="0"/>
                  <w:vAlign w:val="center"/>
                </w:tcPr>
                <w:p w14:paraId="3496CB9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eastAsia" w:cs="Times New Roman"/>
                      <w:color w:val="auto"/>
                      <w:sz w:val="21"/>
                      <w:szCs w:val="21"/>
                      <w:lang w:val="en-US" w:eastAsia="zh-CN"/>
                    </w:rPr>
                    <w:t>NH</w:t>
                  </w:r>
                  <w:r>
                    <w:rPr>
                      <w:rFonts w:hint="eastAsia" w:cs="Times New Roman"/>
                      <w:color w:val="auto"/>
                      <w:sz w:val="21"/>
                      <w:szCs w:val="21"/>
                      <w:vertAlign w:val="subscript"/>
                      <w:lang w:val="en-US" w:eastAsia="zh-CN"/>
                    </w:rPr>
                    <w:t>3</w:t>
                  </w:r>
                </w:p>
              </w:tc>
              <w:tc>
                <w:tcPr>
                  <w:tcW w:w="272" w:type="pct"/>
                  <w:vMerge w:val="continue"/>
                  <w:noWrap w:val="0"/>
                  <w:vAlign w:val="center"/>
                </w:tcPr>
                <w:p w14:paraId="3C5222CD">
                  <w:pPr>
                    <w:pStyle w:val="66"/>
                    <w:spacing w:line="240" w:lineRule="auto"/>
                    <w:rPr>
                      <w:rFonts w:hint="default" w:ascii="Times New Roman" w:hAnsi="Times New Roman" w:cs="Times New Roman"/>
                      <w:color w:val="auto"/>
                      <w:sz w:val="21"/>
                      <w:szCs w:val="21"/>
                    </w:rPr>
                  </w:pPr>
                </w:p>
              </w:tc>
              <w:tc>
                <w:tcPr>
                  <w:tcW w:w="238" w:type="pct"/>
                  <w:vMerge w:val="continue"/>
                  <w:noWrap w:val="0"/>
                  <w:vAlign w:val="center"/>
                </w:tcPr>
                <w:p w14:paraId="79E7AFC0">
                  <w:pPr>
                    <w:pStyle w:val="66"/>
                    <w:spacing w:line="240" w:lineRule="auto"/>
                    <w:rPr>
                      <w:rFonts w:hint="default" w:ascii="Times New Roman" w:hAnsi="Times New Roman" w:cs="Times New Roman"/>
                      <w:color w:val="auto"/>
                      <w:sz w:val="21"/>
                      <w:szCs w:val="21"/>
                    </w:rPr>
                  </w:pPr>
                </w:p>
              </w:tc>
              <w:tc>
                <w:tcPr>
                  <w:tcW w:w="280" w:type="pct"/>
                  <w:vMerge w:val="continue"/>
                  <w:noWrap w:val="0"/>
                  <w:vAlign w:val="center"/>
                </w:tcPr>
                <w:p w14:paraId="284526CF">
                  <w:pPr>
                    <w:pStyle w:val="66"/>
                    <w:spacing w:line="240" w:lineRule="auto"/>
                    <w:rPr>
                      <w:rFonts w:hint="default" w:ascii="Times New Roman" w:hAnsi="Times New Roman" w:cs="Times New Roman"/>
                      <w:color w:val="auto"/>
                      <w:sz w:val="21"/>
                      <w:szCs w:val="21"/>
                    </w:rPr>
                  </w:pPr>
                </w:p>
              </w:tc>
              <w:tc>
                <w:tcPr>
                  <w:tcW w:w="316" w:type="pct"/>
                  <w:vMerge w:val="continue"/>
                  <w:noWrap w:val="0"/>
                  <w:vAlign w:val="center"/>
                </w:tcPr>
                <w:p w14:paraId="36D33390">
                  <w:pPr>
                    <w:pStyle w:val="66"/>
                    <w:spacing w:line="240" w:lineRule="auto"/>
                    <w:rPr>
                      <w:rFonts w:hint="default" w:ascii="Times New Roman" w:hAnsi="Times New Roman" w:cs="Times New Roman"/>
                      <w:color w:val="auto"/>
                      <w:sz w:val="21"/>
                      <w:szCs w:val="21"/>
                    </w:rPr>
                  </w:pPr>
                </w:p>
              </w:tc>
              <w:tc>
                <w:tcPr>
                  <w:tcW w:w="272" w:type="pct"/>
                  <w:vMerge w:val="continue"/>
                  <w:noWrap w:val="0"/>
                  <w:vAlign w:val="center"/>
                </w:tcPr>
                <w:p w14:paraId="1906A43E">
                  <w:pPr>
                    <w:pStyle w:val="66"/>
                    <w:spacing w:line="240" w:lineRule="auto"/>
                    <w:rPr>
                      <w:rFonts w:hint="default" w:ascii="Times New Roman" w:hAnsi="Times New Roman" w:cs="Times New Roman"/>
                      <w:color w:val="auto"/>
                      <w:sz w:val="21"/>
                      <w:szCs w:val="21"/>
                      <w:lang w:val="en-US" w:eastAsia="zh-CN"/>
                    </w:rPr>
                  </w:pPr>
                </w:p>
              </w:tc>
              <w:tc>
                <w:tcPr>
                  <w:tcW w:w="621" w:type="pct"/>
                  <w:vMerge w:val="continue"/>
                  <w:noWrap w:val="0"/>
                  <w:vAlign w:val="center"/>
                </w:tcPr>
                <w:p w14:paraId="1015F23C">
                  <w:pPr>
                    <w:pStyle w:val="66"/>
                    <w:spacing w:line="240" w:lineRule="auto"/>
                    <w:rPr>
                      <w:rFonts w:hint="default" w:ascii="Times New Roman" w:hAnsi="Times New Roman" w:cs="Times New Roman"/>
                      <w:color w:val="auto"/>
                      <w:sz w:val="21"/>
                      <w:szCs w:val="21"/>
                    </w:rPr>
                  </w:pPr>
                </w:p>
              </w:tc>
              <w:tc>
                <w:tcPr>
                  <w:tcW w:w="280" w:type="pct"/>
                  <w:vMerge w:val="continue"/>
                  <w:noWrap w:val="0"/>
                  <w:vAlign w:val="center"/>
                </w:tcPr>
                <w:p w14:paraId="3764B795">
                  <w:pPr>
                    <w:pStyle w:val="66"/>
                    <w:spacing w:line="240" w:lineRule="auto"/>
                    <w:rPr>
                      <w:rFonts w:hint="default" w:ascii="Times New Roman" w:hAnsi="Times New Roman" w:cs="Times New Roman"/>
                      <w:color w:val="auto"/>
                      <w:sz w:val="21"/>
                      <w:szCs w:val="21"/>
                    </w:rPr>
                  </w:pPr>
                </w:p>
              </w:tc>
              <w:tc>
                <w:tcPr>
                  <w:tcW w:w="341" w:type="pct"/>
                  <w:vMerge w:val="continue"/>
                  <w:noWrap w:val="0"/>
                  <w:vAlign w:val="center"/>
                </w:tcPr>
                <w:p w14:paraId="649E2869">
                  <w:pPr>
                    <w:pStyle w:val="66"/>
                    <w:spacing w:line="240" w:lineRule="auto"/>
                    <w:rPr>
                      <w:rFonts w:hint="default" w:ascii="Times New Roman" w:hAnsi="Times New Roman" w:cs="Times New Roman"/>
                      <w:color w:val="auto"/>
                      <w:sz w:val="21"/>
                      <w:szCs w:val="21"/>
                    </w:rPr>
                  </w:pPr>
                </w:p>
              </w:tc>
              <w:tc>
                <w:tcPr>
                  <w:tcW w:w="403" w:type="pct"/>
                  <w:vMerge w:val="continue"/>
                  <w:noWrap w:val="0"/>
                  <w:vAlign w:val="center"/>
                </w:tcPr>
                <w:p w14:paraId="7A49F052">
                  <w:pPr>
                    <w:pStyle w:val="66"/>
                    <w:spacing w:line="240" w:lineRule="auto"/>
                    <w:rPr>
                      <w:rFonts w:hint="default" w:ascii="Times New Roman" w:hAnsi="Times New Roman" w:cs="Times New Roman"/>
                      <w:color w:val="auto"/>
                      <w:sz w:val="21"/>
                      <w:szCs w:val="21"/>
                    </w:rPr>
                  </w:pPr>
                </w:p>
              </w:tc>
              <w:tc>
                <w:tcPr>
                  <w:tcW w:w="307" w:type="pct"/>
                  <w:vMerge w:val="continue"/>
                  <w:noWrap w:val="0"/>
                  <w:vAlign w:val="center"/>
                </w:tcPr>
                <w:p w14:paraId="1C4A7AD4">
                  <w:pPr>
                    <w:pStyle w:val="66"/>
                    <w:spacing w:line="240" w:lineRule="auto"/>
                    <w:rPr>
                      <w:rFonts w:hint="default" w:ascii="Times New Roman" w:hAnsi="Times New Roman" w:cs="Times New Roman"/>
                      <w:color w:val="auto"/>
                      <w:sz w:val="21"/>
                      <w:szCs w:val="21"/>
                    </w:rPr>
                  </w:pPr>
                </w:p>
              </w:tc>
            </w:tr>
            <w:tr w14:paraId="28F96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25" w:type="pct"/>
                  <w:vMerge w:val="continue"/>
                  <w:noWrap w:val="0"/>
                  <w:vAlign w:val="center"/>
                </w:tcPr>
                <w:p w14:paraId="602167E1">
                  <w:pPr>
                    <w:pStyle w:val="66"/>
                    <w:spacing w:line="240" w:lineRule="auto"/>
                    <w:rPr>
                      <w:rFonts w:hint="default" w:ascii="Times New Roman" w:hAnsi="Times New Roman" w:cs="Times New Roman"/>
                      <w:color w:val="auto"/>
                      <w:sz w:val="21"/>
                      <w:szCs w:val="21"/>
                      <w:lang w:val="en-US" w:eastAsia="zh-CN"/>
                    </w:rPr>
                  </w:pPr>
                </w:p>
              </w:tc>
              <w:tc>
                <w:tcPr>
                  <w:tcW w:w="351" w:type="pct"/>
                  <w:vMerge w:val="continue"/>
                  <w:noWrap w:val="0"/>
                  <w:vAlign w:val="center"/>
                </w:tcPr>
                <w:p w14:paraId="7DE20509">
                  <w:pPr>
                    <w:pStyle w:val="66"/>
                    <w:spacing w:line="240" w:lineRule="auto"/>
                    <w:rPr>
                      <w:rFonts w:hint="default" w:ascii="Times New Roman" w:hAnsi="Times New Roman" w:cs="Times New Roman"/>
                      <w:color w:val="auto"/>
                      <w:sz w:val="21"/>
                      <w:szCs w:val="21"/>
                      <w:lang w:val="en-US" w:eastAsia="zh-CN"/>
                    </w:rPr>
                  </w:pPr>
                </w:p>
              </w:tc>
              <w:tc>
                <w:tcPr>
                  <w:tcW w:w="341" w:type="pct"/>
                  <w:vMerge w:val="continue"/>
                  <w:noWrap w:val="0"/>
                  <w:vAlign w:val="center"/>
                </w:tcPr>
                <w:p w14:paraId="41611B41">
                  <w:pPr>
                    <w:pStyle w:val="66"/>
                    <w:spacing w:line="240" w:lineRule="auto"/>
                    <w:rPr>
                      <w:rFonts w:hint="default" w:ascii="Times New Roman" w:hAnsi="Times New Roman" w:cs="Times New Roman"/>
                      <w:color w:val="auto"/>
                      <w:sz w:val="21"/>
                      <w:szCs w:val="21"/>
                      <w:lang w:val="en-US" w:eastAsia="zh-CN"/>
                    </w:rPr>
                  </w:pPr>
                </w:p>
              </w:tc>
              <w:tc>
                <w:tcPr>
                  <w:tcW w:w="345" w:type="pct"/>
                  <w:noWrap w:val="0"/>
                  <w:vAlign w:val="center"/>
                </w:tcPr>
                <w:p w14:paraId="64EE8AEC">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eastAsia" w:cs="Times New Roman"/>
                      <w:color w:val="auto"/>
                      <w:sz w:val="21"/>
                      <w:szCs w:val="21"/>
                      <w:lang w:val="en-US" w:eastAsia="zh-CN"/>
                    </w:rPr>
                    <w:t>HCl</w:t>
                  </w:r>
                </w:p>
              </w:tc>
              <w:tc>
                <w:tcPr>
                  <w:tcW w:w="272" w:type="pct"/>
                  <w:vMerge w:val="continue"/>
                  <w:noWrap w:val="0"/>
                  <w:vAlign w:val="center"/>
                </w:tcPr>
                <w:p w14:paraId="26BBF69E">
                  <w:pPr>
                    <w:pStyle w:val="66"/>
                    <w:spacing w:line="240" w:lineRule="auto"/>
                    <w:rPr>
                      <w:rFonts w:hint="default" w:ascii="Times New Roman" w:hAnsi="Times New Roman" w:cs="Times New Roman"/>
                      <w:color w:val="auto"/>
                      <w:sz w:val="21"/>
                      <w:szCs w:val="21"/>
                    </w:rPr>
                  </w:pPr>
                </w:p>
              </w:tc>
              <w:tc>
                <w:tcPr>
                  <w:tcW w:w="238" w:type="pct"/>
                  <w:vMerge w:val="continue"/>
                  <w:noWrap w:val="0"/>
                  <w:vAlign w:val="center"/>
                </w:tcPr>
                <w:p w14:paraId="393B8EBE">
                  <w:pPr>
                    <w:pStyle w:val="66"/>
                    <w:spacing w:line="240" w:lineRule="auto"/>
                    <w:rPr>
                      <w:rFonts w:hint="default" w:ascii="Times New Roman" w:hAnsi="Times New Roman" w:cs="Times New Roman"/>
                      <w:color w:val="auto"/>
                      <w:sz w:val="21"/>
                      <w:szCs w:val="21"/>
                    </w:rPr>
                  </w:pPr>
                </w:p>
              </w:tc>
              <w:tc>
                <w:tcPr>
                  <w:tcW w:w="280" w:type="pct"/>
                  <w:vMerge w:val="continue"/>
                  <w:noWrap w:val="0"/>
                  <w:vAlign w:val="center"/>
                </w:tcPr>
                <w:p w14:paraId="38B07156">
                  <w:pPr>
                    <w:pStyle w:val="66"/>
                    <w:spacing w:line="240" w:lineRule="auto"/>
                    <w:rPr>
                      <w:rFonts w:hint="default" w:ascii="Times New Roman" w:hAnsi="Times New Roman" w:cs="Times New Roman"/>
                      <w:color w:val="auto"/>
                      <w:sz w:val="21"/>
                      <w:szCs w:val="21"/>
                    </w:rPr>
                  </w:pPr>
                </w:p>
              </w:tc>
              <w:tc>
                <w:tcPr>
                  <w:tcW w:w="316" w:type="pct"/>
                  <w:vMerge w:val="continue"/>
                  <w:noWrap w:val="0"/>
                  <w:vAlign w:val="center"/>
                </w:tcPr>
                <w:p w14:paraId="6B4F0223">
                  <w:pPr>
                    <w:pStyle w:val="66"/>
                    <w:spacing w:line="240" w:lineRule="auto"/>
                    <w:rPr>
                      <w:rFonts w:hint="default" w:ascii="Times New Roman" w:hAnsi="Times New Roman" w:cs="Times New Roman"/>
                      <w:color w:val="auto"/>
                      <w:sz w:val="21"/>
                      <w:szCs w:val="21"/>
                    </w:rPr>
                  </w:pPr>
                </w:p>
              </w:tc>
              <w:tc>
                <w:tcPr>
                  <w:tcW w:w="272" w:type="pct"/>
                  <w:vMerge w:val="continue"/>
                  <w:noWrap w:val="0"/>
                  <w:vAlign w:val="center"/>
                </w:tcPr>
                <w:p w14:paraId="6DF9E6D7">
                  <w:pPr>
                    <w:pStyle w:val="66"/>
                    <w:spacing w:line="240" w:lineRule="auto"/>
                    <w:rPr>
                      <w:rFonts w:hint="default" w:ascii="Times New Roman" w:hAnsi="Times New Roman" w:cs="Times New Roman"/>
                      <w:color w:val="auto"/>
                      <w:sz w:val="21"/>
                      <w:szCs w:val="21"/>
                      <w:lang w:val="en-US" w:eastAsia="zh-CN"/>
                    </w:rPr>
                  </w:pPr>
                </w:p>
              </w:tc>
              <w:tc>
                <w:tcPr>
                  <w:tcW w:w="621" w:type="pct"/>
                  <w:vMerge w:val="continue"/>
                  <w:noWrap w:val="0"/>
                  <w:vAlign w:val="center"/>
                </w:tcPr>
                <w:p w14:paraId="37C7ADA4">
                  <w:pPr>
                    <w:pStyle w:val="66"/>
                    <w:spacing w:line="240" w:lineRule="auto"/>
                    <w:rPr>
                      <w:rFonts w:hint="default" w:ascii="Times New Roman" w:hAnsi="Times New Roman" w:cs="Times New Roman"/>
                      <w:color w:val="auto"/>
                      <w:sz w:val="21"/>
                      <w:szCs w:val="21"/>
                    </w:rPr>
                  </w:pPr>
                </w:p>
              </w:tc>
              <w:tc>
                <w:tcPr>
                  <w:tcW w:w="280" w:type="pct"/>
                  <w:vMerge w:val="continue"/>
                  <w:noWrap w:val="0"/>
                  <w:vAlign w:val="center"/>
                </w:tcPr>
                <w:p w14:paraId="5BD13252">
                  <w:pPr>
                    <w:pStyle w:val="66"/>
                    <w:spacing w:line="240" w:lineRule="auto"/>
                    <w:rPr>
                      <w:rFonts w:hint="default" w:ascii="Times New Roman" w:hAnsi="Times New Roman" w:cs="Times New Roman"/>
                      <w:color w:val="auto"/>
                      <w:sz w:val="21"/>
                      <w:szCs w:val="21"/>
                    </w:rPr>
                  </w:pPr>
                </w:p>
              </w:tc>
              <w:tc>
                <w:tcPr>
                  <w:tcW w:w="341" w:type="pct"/>
                  <w:vMerge w:val="continue"/>
                  <w:noWrap w:val="0"/>
                  <w:vAlign w:val="center"/>
                </w:tcPr>
                <w:p w14:paraId="3EA77AE6">
                  <w:pPr>
                    <w:pStyle w:val="66"/>
                    <w:spacing w:line="240" w:lineRule="auto"/>
                    <w:rPr>
                      <w:rFonts w:hint="default" w:ascii="Times New Roman" w:hAnsi="Times New Roman" w:cs="Times New Roman"/>
                      <w:color w:val="auto"/>
                      <w:sz w:val="21"/>
                      <w:szCs w:val="21"/>
                    </w:rPr>
                  </w:pPr>
                </w:p>
              </w:tc>
              <w:tc>
                <w:tcPr>
                  <w:tcW w:w="403" w:type="pct"/>
                  <w:vMerge w:val="continue"/>
                  <w:noWrap w:val="0"/>
                  <w:vAlign w:val="center"/>
                </w:tcPr>
                <w:p w14:paraId="1646C386">
                  <w:pPr>
                    <w:pStyle w:val="66"/>
                    <w:spacing w:line="240" w:lineRule="auto"/>
                    <w:rPr>
                      <w:rFonts w:hint="default" w:ascii="Times New Roman" w:hAnsi="Times New Roman" w:cs="Times New Roman"/>
                      <w:color w:val="auto"/>
                      <w:sz w:val="21"/>
                      <w:szCs w:val="21"/>
                    </w:rPr>
                  </w:pPr>
                </w:p>
              </w:tc>
              <w:tc>
                <w:tcPr>
                  <w:tcW w:w="307" w:type="pct"/>
                  <w:vMerge w:val="continue"/>
                  <w:noWrap w:val="0"/>
                  <w:vAlign w:val="center"/>
                </w:tcPr>
                <w:p w14:paraId="02E732F3">
                  <w:pPr>
                    <w:pStyle w:val="66"/>
                    <w:spacing w:line="240" w:lineRule="auto"/>
                    <w:rPr>
                      <w:rFonts w:hint="default" w:ascii="Times New Roman" w:hAnsi="Times New Roman" w:cs="Times New Roman"/>
                      <w:color w:val="auto"/>
                      <w:sz w:val="21"/>
                      <w:szCs w:val="21"/>
                    </w:rPr>
                  </w:pPr>
                </w:p>
              </w:tc>
            </w:tr>
            <w:tr w14:paraId="4A417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25" w:type="pct"/>
                  <w:vMerge w:val="continue"/>
                  <w:noWrap w:val="0"/>
                  <w:vAlign w:val="center"/>
                </w:tcPr>
                <w:p w14:paraId="1CF72467">
                  <w:pPr>
                    <w:pStyle w:val="66"/>
                    <w:spacing w:line="240" w:lineRule="auto"/>
                    <w:rPr>
                      <w:rFonts w:hint="default" w:ascii="Times New Roman" w:hAnsi="Times New Roman" w:cs="Times New Roman"/>
                      <w:color w:val="auto"/>
                      <w:sz w:val="21"/>
                      <w:szCs w:val="21"/>
                      <w:lang w:val="en-US" w:eastAsia="zh-CN"/>
                    </w:rPr>
                  </w:pPr>
                </w:p>
              </w:tc>
              <w:tc>
                <w:tcPr>
                  <w:tcW w:w="351" w:type="pct"/>
                  <w:vMerge w:val="continue"/>
                  <w:noWrap w:val="0"/>
                  <w:vAlign w:val="center"/>
                </w:tcPr>
                <w:p w14:paraId="300F5323">
                  <w:pPr>
                    <w:pStyle w:val="66"/>
                    <w:spacing w:line="240" w:lineRule="auto"/>
                    <w:rPr>
                      <w:rFonts w:hint="default" w:ascii="Times New Roman" w:hAnsi="Times New Roman" w:cs="Times New Roman"/>
                      <w:color w:val="auto"/>
                      <w:sz w:val="21"/>
                      <w:szCs w:val="21"/>
                      <w:lang w:val="en-US" w:eastAsia="zh-CN"/>
                    </w:rPr>
                  </w:pPr>
                </w:p>
              </w:tc>
              <w:tc>
                <w:tcPr>
                  <w:tcW w:w="341" w:type="pct"/>
                  <w:vMerge w:val="continue"/>
                  <w:noWrap w:val="0"/>
                  <w:vAlign w:val="center"/>
                </w:tcPr>
                <w:p w14:paraId="0589A105">
                  <w:pPr>
                    <w:pStyle w:val="66"/>
                    <w:spacing w:line="240" w:lineRule="auto"/>
                    <w:rPr>
                      <w:rFonts w:hint="default" w:ascii="Times New Roman" w:hAnsi="Times New Roman" w:cs="Times New Roman"/>
                      <w:color w:val="auto"/>
                      <w:sz w:val="21"/>
                      <w:szCs w:val="21"/>
                      <w:lang w:val="en-US" w:eastAsia="zh-CN"/>
                    </w:rPr>
                  </w:pPr>
                </w:p>
              </w:tc>
              <w:tc>
                <w:tcPr>
                  <w:tcW w:w="345" w:type="pct"/>
                  <w:noWrap w:val="0"/>
                  <w:vAlign w:val="center"/>
                </w:tcPr>
                <w:p w14:paraId="021B64CD">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eastAsia" w:cs="Times New Roman"/>
                      <w:color w:val="auto"/>
                      <w:sz w:val="21"/>
                      <w:szCs w:val="21"/>
                      <w:lang w:val="en-US" w:eastAsia="zh-CN"/>
                    </w:rPr>
                    <w:t>HF</w:t>
                  </w:r>
                </w:p>
              </w:tc>
              <w:tc>
                <w:tcPr>
                  <w:tcW w:w="272" w:type="pct"/>
                  <w:vMerge w:val="continue"/>
                  <w:noWrap w:val="0"/>
                  <w:vAlign w:val="center"/>
                </w:tcPr>
                <w:p w14:paraId="4062A170">
                  <w:pPr>
                    <w:pStyle w:val="66"/>
                    <w:spacing w:line="240" w:lineRule="auto"/>
                    <w:rPr>
                      <w:rFonts w:hint="default" w:ascii="Times New Roman" w:hAnsi="Times New Roman" w:cs="Times New Roman"/>
                      <w:color w:val="auto"/>
                      <w:sz w:val="21"/>
                      <w:szCs w:val="21"/>
                    </w:rPr>
                  </w:pPr>
                </w:p>
              </w:tc>
              <w:tc>
                <w:tcPr>
                  <w:tcW w:w="238" w:type="pct"/>
                  <w:vMerge w:val="continue"/>
                  <w:noWrap w:val="0"/>
                  <w:vAlign w:val="center"/>
                </w:tcPr>
                <w:p w14:paraId="75F5A003">
                  <w:pPr>
                    <w:pStyle w:val="66"/>
                    <w:spacing w:line="240" w:lineRule="auto"/>
                    <w:rPr>
                      <w:rFonts w:hint="default" w:ascii="Times New Roman" w:hAnsi="Times New Roman" w:cs="Times New Roman"/>
                      <w:color w:val="auto"/>
                      <w:sz w:val="21"/>
                      <w:szCs w:val="21"/>
                    </w:rPr>
                  </w:pPr>
                </w:p>
              </w:tc>
              <w:tc>
                <w:tcPr>
                  <w:tcW w:w="280" w:type="pct"/>
                  <w:vMerge w:val="continue"/>
                  <w:noWrap w:val="0"/>
                  <w:vAlign w:val="center"/>
                </w:tcPr>
                <w:p w14:paraId="4174E2E1">
                  <w:pPr>
                    <w:pStyle w:val="66"/>
                    <w:spacing w:line="240" w:lineRule="auto"/>
                    <w:rPr>
                      <w:rFonts w:hint="default" w:ascii="Times New Roman" w:hAnsi="Times New Roman" w:cs="Times New Roman"/>
                      <w:color w:val="auto"/>
                      <w:sz w:val="21"/>
                      <w:szCs w:val="21"/>
                    </w:rPr>
                  </w:pPr>
                </w:p>
              </w:tc>
              <w:tc>
                <w:tcPr>
                  <w:tcW w:w="316" w:type="pct"/>
                  <w:vMerge w:val="continue"/>
                  <w:noWrap w:val="0"/>
                  <w:vAlign w:val="center"/>
                </w:tcPr>
                <w:p w14:paraId="570C76BD">
                  <w:pPr>
                    <w:pStyle w:val="66"/>
                    <w:spacing w:line="240" w:lineRule="auto"/>
                    <w:rPr>
                      <w:rFonts w:hint="default" w:ascii="Times New Roman" w:hAnsi="Times New Roman" w:cs="Times New Roman"/>
                      <w:color w:val="auto"/>
                      <w:sz w:val="21"/>
                      <w:szCs w:val="21"/>
                    </w:rPr>
                  </w:pPr>
                </w:p>
              </w:tc>
              <w:tc>
                <w:tcPr>
                  <w:tcW w:w="272" w:type="pct"/>
                  <w:vMerge w:val="continue"/>
                  <w:noWrap w:val="0"/>
                  <w:vAlign w:val="center"/>
                </w:tcPr>
                <w:p w14:paraId="6A817DC9">
                  <w:pPr>
                    <w:pStyle w:val="66"/>
                    <w:spacing w:line="240" w:lineRule="auto"/>
                    <w:rPr>
                      <w:rFonts w:hint="default" w:ascii="Times New Roman" w:hAnsi="Times New Roman" w:cs="Times New Roman"/>
                      <w:color w:val="auto"/>
                      <w:sz w:val="21"/>
                      <w:szCs w:val="21"/>
                      <w:lang w:val="en-US" w:eastAsia="zh-CN"/>
                    </w:rPr>
                  </w:pPr>
                </w:p>
              </w:tc>
              <w:tc>
                <w:tcPr>
                  <w:tcW w:w="621" w:type="pct"/>
                  <w:vMerge w:val="continue"/>
                  <w:noWrap w:val="0"/>
                  <w:vAlign w:val="center"/>
                </w:tcPr>
                <w:p w14:paraId="68ECC21E">
                  <w:pPr>
                    <w:pStyle w:val="66"/>
                    <w:spacing w:line="240" w:lineRule="auto"/>
                    <w:rPr>
                      <w:rFonts w:hint="default" w:ascii="Times New Roman" w:hAnsi="Times New Roman" w:cs="Times New Roman"/>
                      <w:color w:val="auto"/>
                      <w:sz w:val="21"/>
                      <w:szCs w:val="21"/>
                    </w:rPr>
                  </w:pPr>
                </w:p>
              </w:tc>
              <w:tc>
                <w:tcPr>
                  <w:tcW w:w="280" w:type="pct"/>
                  <w:vMerge w:val="continue"/>
                  <w:noWrap w:val="0"/>
                  <w:vAlign w:val="center"/>
                </w:tcPr>
                <w:p w14:paraId="5A1015E5">
                  <w:pPr>
                    <w:pStyle w:val="66"/>
                    <w:spacing w:line="240" w:lineRule="auto"/>
                    <w:rPr>
                      <w:rFonts w:hint="default" w:ascii="Times New Roman" w:hAnsi="Times New Roman" w:cs="Times New Roman"/>
                      <w:color w:val="auto"/>
                      <w:sz w:val="21"/>
                      <w:szCs w:val="21"/>
                    </w:rPr>
                  </w:pPr>
                </w:p>
              </w:tc>
              <w:tc>
                <w:tcPr>
                  <w:tcW w:w="341" w:type="pct"/>
                  <w:vMerge w:val="continue"/>
                  <w:noWrap w:val="0"/>
                  <w:vAlign w:val="center"/>
                </w:tcPr>
                <w:p w14:paraId="1D7CDF00">
                  <w:pPr>
                    <w:pStyle w:val="66"/>
                    <w:spacing w:line="240" w:lineRule="auto"/>
                    <w:rPr>
                      <w:rFonts w:hint="default" w:ascii="Times New Roman" w:hAnsi="Times New Roman" w:cs="Times New Roman"/>
                      <w:color w:val="auto"/>
                      <w:sz w:val="21"/>
                      <w:szCs w:val="21"/>
                    </w:rPr>
                  </w:pPr>
                </w:p>
              </w:tc>
              <w:tc>
                <w:tcPr>
                  <w:tcW w:w="403" w:type="pct"/>
                  <w:vMerge w:val="continue"/>
                  <w:noWrap w:val="0"/>
                  <w:vAlign w:val="center"/>
                </w:tcPr>
                <w:p w14:paraId="67E18287">
                  <w:pPr>
                    <w:pStyle w:val="66"/>
                    <w:spacing w:line="240" w:lineRule="auto"/>
                    <w:rPr>
                      <w:rFonts w:hint="default" w:ascii="Times New Roman" w:hAnsi="Times New Roman" w:cs="Times New Roman"/>
                      <w:color w:val="auto"/>
                      <w:sz w:val="21"/>
                      <w:szCs w:val="21"/>
                    </w:rPr>
                  </w:pPr>
                </w:p>
              </w:tc>
              <w:tc>
                <w:tcPr>
                  <w:tcW w:w="307" w:type="pct"/>
                  <w:vMerge w:val="continue"/>
                  <w:noWrap w:val="0"/>
                  <w:vAlign w:val="center"/>
                </w:tcPr>
                <w:p w14:paraId="727000B3">
                  <w:pPr>
                    <w:pStyle w:val="66"/>
                    <w:spacing w:line="240" w:lineRule="auto"/>
                    <w:rPr>
                      <w:rFonts w:hint="default" w:ascii="Times New Roman" w:hAnsi="Times New Roman" w:cs="Times New Roman"/>
                      <w:color w:val="auto"/>
                      <w:sz w:val="21"/>
                      <w:szCs w:val="21"/>
                    </w:rPr>
                  </w:pPr>
                </w:p>
              </w:tc>
            </w:tr>
            <w:tr w14:paraId="1ED20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25" w:type="pct"/>
                  <w:vMerge w:val="continue"/>
                  <w:noWrap w:val="0"/>
                  <w:vAlign w:val="center"/>
                </w:tcPr>
                <w:p w14:paraId="7C2E2417">
                  <w:pPr>
                    <w:pStyle w:val="66"/>
                    <w:spacing w:line="240" w:lineRule="auto"/>
                    <w:rPr>
                      <w:rFonts w:hint="default" w:ascii="Times New Roman" w:hAnsi="Times New Roman" w:cs="Times New Roman"/>
                      <w:color w:val="auto"/>
                      <w:sz w:val="21"/>
                      <w:szCs w:val="21"/>
                      <w:lang w:val="en-US" w:eastAsia="zh-CN"/>
                    </w:rPr>
                  </w:pPr>
                </w:p>
              </w:tc>
              <w:tc>
                <w:tcPr>
                  <w:tcW w:w="351" w:type="pct"/>
                  <w:vMerge w:val="continue"/>
                  <w:noWrap w:val="0"/>
                  <w:vAlign w:val="center"/>
                </w:tcPr>
                <w:p w14:paraId="566BB2EA">
                  <w:pPr>
                    <w:pStyle w:val="66"/>
                    <w:spacing w:line="240" w:lineRule="auto"/>
                    <w:rPr>
                      <w:rFonts w:hint="default" w:ascii="Times New Roman" w:hAnsi="Times New Roman" w:cs="Times New Roman"/>
                      <w:color w:val="auto"/>
                      <w:sz w:val="21"/>
                      <w:szCs w:val="21"/>
                      <w:lang w:val="en-US" w:eastAsia="zh-CN"/>
                    </w:rPr>
                  </w:pPr>
                </w:p>
              </w:tc>
              <w:tc>
                <w:tcPr>
                  <w:tcW w:w="341" w:type="pct"/>
                  <w:vMerge w:val="continue"/>
                  <w:noWrap w:val="0"/>
                  <w:vAlign w:val="center"/>
                </w:tcPr>
                <w:p w14:paraId="794FA94F">
                  <w:pPr>
                    <w:pStyle w:val="66"/>
                    <w:spacing w:line="240" w:lineRule="auto"/>
                    <w:rPr>
                      <w:rFonts w:hint="default" w:ascii="Times New Roman" w:hAnsi="Times New Roman" w:cs="Times New Roman"/>
                      <w:color w:val="auto"/>
                      <w:sz w:val="21"/>
                      <w:szCs w:val="21"/>
                      <w:lang w:val="en-US" w:eastAsia="zh-CN"/>
                    </w:rPr>
                  </w:pPr>
                </w:p>
              </w:tc>
              <w:tc>
                <w:tcPr>
                  <w:tcW w:w="345" w:type="pct"/>
                  <w:noWrap w:val="0"/>
                  <w:vAlign w:val="center"/>
                </w:tcPr>
                <w:p w14:paraId="7D7AE1F8">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eastAsia" w:cs="Times New Roman"/>
                      <w:color w:val="auto"/>
                      <w:sz w:val="21"/>
                      <w:szCs w:val="21"/>
                      <w:lang w:val="en-US" w:eastAsia="zh-CN"/>
                    </w:rPr>
                    <w:t>Hg</w:t>
                  </w:r>
                </w:p>
              </w:tc>
              <w:tc>
                <w:tcPr>
                  <w:tcW w:w="272" w:type="pct"/>
                  <w:vMerge w:val="continue"/>
                  <w:noWrap w:val="0"/>
                  <w:vAlign w:val="center"/>
                </w:tcPr>
                <w:p w14:paraId="3B7115C4">
                  <w:pPr>
                    <w:pStyle w:val="66"/>
                    <w:spacing w:line="240" w:lineRule="auto"/>
                    <w:rPr>
                      <w:rFonts w:hint="default" w:ascii="Times New Roman" w:hAnsi="Times New Roman" w:cs="Times New Roman"/>
                      <w:color w:val="auto"/>
                      <w:sz w:val="21"/>
                      <w:szCs w:val="21"/>
                    </w:rPr>
                  </w:pPr>
                </w:p>
              </w:tc>
              <w:tc>
                <w:tcPr>
                  <w:tcW w:w="238" w:type="pct"/>
                  <w:vMerge w:val="continue"/>
                  <w:noWrap w:val="0"/>
                  <w:vAlign w:val="center"/>
                </w:tcPr>
                <w:p w14:paraId="4BE4D82E">
                  <w:pPr>
                    <w:pStyle w:val="66"/>
                    <w:spacing w:line="240" w:lineRule="auto"/>
                    <w:rPr>
                      <w:rFonts w:hint="default" w:ascii="Times New Roman" w:hAnsi="Times New Roman" w:cs="Times New Roman"/>
                      <w:color w:val="auto"/>
                      <w:sz w:val="21"/>
                      <w:szCs w:val="21"/>
                    </w:rPr>
                  </w:pPr>
                </w:p>
              </w:tc>
              <w:tc>
                <w:tcPr>
                  <w:tcW w:w="280" w:type="pct"/>
                  <w:vMerge w:val="continue"/>
                  <w:noWrap w:val="0"/>
                  <w:vAlign w:val="center"/>
                </w:tcPr>
                <w:p w14:paraId="5DAC95BE">
                  <w:pPr>
                    <w:pStyle w:val="66"/>
                    <w:spacing w:line="240" w:lineRule="auto"/>
                    <w:rPr>
                      <w:rFonts w:hint="default" w:ascii="Times New Roman" w:hAnsi="Times New Roman" w:cs="Times New Roman"/>
                      <w:color w:val="auto"/>
                      <w:sz w:val="21"/>
                      <w:szCs w:val="21"/>
                    </w:rPr>
                  </w:pPr>
                </w:p>
              </w:tc>
              <w:tc>
                <w:tcPr>
                  <w:tcW w:w="316" w:type="pct"/>
                  <w:vMerge w:val="continue"/>
                  <w:noWrap w:val="0"/>
                  <w:vAlign w:val="center"/>
                </w:tcPr>
                <w:p w14:paraId="3370C18B">
                  <w:pPr>
                    <w:pStyle w:val="66"/>
                    <w:spacing w:line="240" w:lineRule="auto"/>
                    <w:rPr>
                      <w:rFonts w:hint="default" w:ascii="Times New Roman" w:hAnsi="Times New Roman" w:cs="Times New Roman"/>
                      <w:color w:val="auto"/>
                      <w:sz w:val="21"/>
                      <w:szCs w:val="21"/>
                    </w:rPr>
                  </w:pPr>
                </w:p>
              </w:tc>
              <w:tc>
                <w:tcPr>
                  <w:tcW w:w="272" w:type="pct"/>
                  <w:vMerge w:val="continue"/>
                  <w:noWrap w:val="0"/>
                  <w:vAlign w:val="center"/>
                </w:tcPr>
                <w:p w14:paraId="0E6DB290">
                  <w:pPr>
                    <w:pStyle w:val="66"/>
                    <w:spacing w:line="240" w:lineRule="auto"/>
                    <w:rPr>
                      <w:rFonts w:hint="default" w:ascii="Times New Roman" w:hAnsi="Times New Roman" w:cs="Times New Roman"/>
                      <w:color w:val="auto"/>
                      <w:sz w:val="21"/>
                      <w:szCs w:val="21"/>
                      <w:lang w:val="en-US" w:eastAsia="zh-CN"/>
                    </w:rPr>
                  </w:pPr>
                </w:p>
              </w:tc>
              <w:tc>
                <w:tcPr>
                  <w:tcW w:w="621" w:type="pct"/>
                  <w:vMerge w:val="continue"/>
                  <w:noWrap w:val="0"/>
                  <w:vAlign w:val="center"/>
                </w:tcPr>
                <w:p w14:paraId="315B7A51">
                  <w:pPr>
                    <w:pStyle w:val="66"/>
                    <w:spacing w:line="240" w:lineRule="auto"/>
                    <w:rPr>
                      <w:rFonts w:hint="default" w:ascii="Times New Roman" w:hAnsi="Times New Roman" w:cs="Times New Roman"/>
                      <w:color w:val="auto"/>
                      <w:sz w:val="21"/>
                      <w:szCs w:val="21"/>
                    </w:rPr>
                  </w:pPr>
                </w:p>
              </w:tc>
              <w:tc>
                <w:tcPr>
                  <w:tcW w:w="280" w:type="pct"/>
                  <w:vMerge w:val="continue"/>
                  <w:noWrap w:val="0"/>
                  <w:vAlign w:val="center"/>
                </w:tcPr>
                <w:p w14:paraId="754AA1CA">
                  <w:pPr>
                    <w:pStyle w:val="66"/>
                    <w:spacing w:line="240" w:lineRule="auto"/>
                    <w:rPr>
                      <w:rFonts w:hint="default" w:ascii="Times New Roman" w:hAnsi="Times New Roman" w:cs="Times New Roman"/>
                      <w:color w:val="auto"/>
                      <w:sz w:val="21"/>
                      <w:szCs w:val="21"/>
                    </w:rPr>
                  </w:pPr>
                </w:p>
              </w:tc>
              <w:tc>
                <w:tcPr>
                  <w:tcW w:w="341" w:type="pct"/>
                  <w:vMerge w:val="continue"/>
                  <w:noWrap w:val="0"/>
                  <w:vAlign w:val="center"/>
                </w:tcPr>
                <w:p w14:paraId="5AD83373">
                  <w:pPr>
                    <w:pStyle w:val="66"/>
                    <w:spacing w:line="240" w:lineRule="auto"/>
                    <w:rPr>
                      <w:rFonts w:hint="default" w:ascii="Times New Roman" w:hAnsi="Times New Roman" w:cs="Times New Roman"/>
                      <w:color w:val="auto"/>
                      <w:sz w:val="21"/>
                      <w:szCs w:val="21"/>
                    </w:rPr>
                  </w:pPr>
                </w:p>
              </w:tc>
              <w:tc>
                <w:tcPr>
                  <w:tcW w:w="403" w:type="pct"/>
                  <w:vMerge w:val="continue"/>
                  <w:noWrap w:val="0"/>
                  <w:vAlign w:val="center"/>
                </w:tcPr>
                <w:p w14:paraId="5C54DAC3">
                  <w:pPr>
                    <w:pStyle w:val="66"/>
                    <w:spacing w:line="240" w:lineRule="auto"/>
                    <w:rPr>
                      <w:rFonts w:hint="default" w:ascii="Times New Roman" w:hAnsi="Times New Roman" w:cs="Times New Roman"/>
                      <w:color w:val="auto"/>
                      <w:sz w:val="21"/>
                      <w:szCs w:val="21"/>
                    </w:rPr>
                  </w:pPr>
                </w:p>
              </w:tc>
              <w:tc>
                <w:tcPr>
                  <w:tcW w:w="307" w:type="pct"/>
                  <w:vMerge w:val="continue"/>
                  <w:noWrap w:val="0"/>
                  <w:vAlign w:val="center"/>
                </w:tcPr>
                <w:p w14:paraId="19D01F83">
                  <w:pPr>
                    <w:pStyle w:val="66"/>
                    <w:spacing w:line="240" w:lineRule="auto"/>
                    <w:rPr>
                      <w:rFonts w:hint="default" w:ascii="Times New Roman" w:hAnsi="Times New Roman" w:cs="Times New Roman"/>
                      <w:color w:val="auto"/>
                      <w:sz w:val="21"/>
                      <w:szCs w:val="21"/>
                    </w:rPr>
                  </w:pPr>
                </w:p>
              </w:tc>
            </w:tr>
            <w:tr w14:paraId="5C94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25" w:type="pct"/>
                  <w:vMerge w:val="continue"/>
                  <w:noWrap w:val="0"/>
                  <w:vAlign w:val="center"/>
                </w:tcPr>
                <w:p w14:paraId="795FFE8C">
                  <w:pPr>
                    <w:pStyle w:val="66"/>
                    <w:spacing w:line="240" w:lineRule="auto"/>
                    <w:rPr>
                      <w:rFonts w:hint="default" w:ascii="Times New Roman" w:hAnsi="Times New Roman" w:cs="Times New Roman"/>
                      <w:color w:val="auto"/>
                      <w:sz w:val="21"/>
                      <w:szCs w:val="21"/>
                      <w:lang w:val="en-US" w:eastAsia="zh-CN"/>
                    </w:rPr>
                  </w:pPr>
                </w:p>
              </w:tc>
              <w:tc>
                <w:tcPr>
                  <w:tcW w:w="351" w:type="pct"/>
                  <w:vMerge w:val="continue"/>
                  <w:noWrap w:val="0"/>
                  <w:vAlign w:val="center"/>
                </w:tcPr>
                <w:p w14:paraId="18BF382D">
                  <w:pPr>
                    <w:pStyle w:val="66"/>
                    <w:spacing w:line="240" w:lineRule="auto"/>
                    <w:rPr>
                      <w:rFonts w:hint="default" w:ascii="Times New Roman" w:hAnsi="Times New Roman" w:cs="Times New Roman"/>
                      <w:color w:val="auto"/>
                      <w:sz w:val="21"/>
                      <w:szCs w:val="21"/>
                      <w:lang w:val="en-US" w:eastAsia="zh-CN"/>
                    </w:rPr>
                  </w:pPr>
                </w:p>
              </w:tc>
              <w:tc>
                <w:tcPr>
                  <w:tcW w:w="341" w:type="pct"/>
                  <w:vMerge w:val="continue"/>
                  <w:noWrap w:val="0"/>
                  <w:vAlign w:val="center"/>
                </w:tcPr>
                <w:p w14:paraId="7BD53890">
                  <w:pPr>
                    <w:pStyle w:val="66"/>
                    <w:spacing w:line="240" w:lineRule="auto"/>
                    <w:rPr>
                      <w:rFonts w:hint="default" w:ascii="Times New Roman" w:hAnsi="Times New Roman" w:cs="Times New Roman"/>
                      <w:color w:val="auto"/>
                      <w:sz w:val="21"/>
                      <w:szCs w:val="21"/>
                      <w:lang w:val="en-US" w:eastAsia="zh-CN"/>
                    </w:rPr>
                  </w:pPr>
                </w:p>
              </w:tc>
              <w:tc>
                <w:tcPr>
                  <w:tcW w:w="345" w:type="pct"/>
                  <w:noWrap w:val="0"/>
                  <w:vAlign w:val="center"/>
                </w:tcPr>
                <w:p w14:paraId="5631F45D">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eastAsia" w:cs="Times New Roman"/>
                      <w:color w:val="auto"/>
                      <w:sz w:val="21"/>
                      <w:szCs w:val="21"/>
                      <w:lang w:val="en-US" w:eastAsia="zh-CN"/>
                    </w:rPr>
                    <w:t>Cd</w:t>
                  </w:r>
                </w:p>
              </w:tc>
              <w:tc>
                <w:tcPr>
                  <w:tcW w:w="272" w:type="pct"/>
                  <w:vMerge w:val="continue"/>
                  <w:noWrap w:val="0"/>
                  <w:vAlign w:val="center"/>
                </w:tcPr>
                <w:p w14:paraId="6914D0D8">
                  <w:pPr>
                    <w:pStyle w:val="66"/>
                    <w:spacing w:line="240" w:lineRule="auto"/>
                    <w:rPr>
                      <w:rFonts w:hint="default" w:ascii="Times New Roman" w:hAnsi="Times New Roman" w:cs="Times New Roman"/>
                      <w:color w:val="auto"/>
                      <w:sz w:val="21"/>
                      <w:szCs w:val="21"/>
                    </w:rPr>
                  </w:pPr>
                </w:p>
              </w:tc>
              <w:tc>
                <w:tcPr>
                  <w:tcW w:w="238" w:type="pct"/>
                  <w:vMerge w:val="continue"/>
                  <w:noWrap w:val="0"/>
                  <w:vAlign w:val="center"/>
                </w:tcPr>
                <w:p w14:paraId="69880BF7">
                  <w:pPr>
                    <w:pStyle w:val="66"/>
                    <w:spacing w:line="240" w:lineRule="auto"/>
                    <w:rPr>
                      <w:rFonts w:hint="default" w:ascii="Times New Roman" w:hAnsi="Times New Roman" w:cs="Times New Roman"/>
                      <w:color w:val="auto"/>
                      <w:sz w:val="21"/>
                      <w:szCs w:val="21"/>
                    </w:rPr>
                  </w:pPr>
                </w:p>
              </w:tc>
              <w:tc>
                <w:tcPr>
                  <w:tcW w:w="280" w:type="pct"/>
                  <w:vMerge w:val="continue"/>
                  <w:noWrap w:val="0"/>
                  <w:vAlign w:val="center"/>
                </w:tcPr>
                <w:p w14:paraId="54DF3AD5">
                  <w:pPr>
                    <w:pStyle w:val="66"/>
                    <w:spacing w:line="240" w:lineRule="auto"/>
                    <w:rPr>
                      <w:rFonts w:hint="default" w:ascii="Times New Roman" w:hAnsi="Times New Roman" w:cs="Times New Roman"/>
                      <w:color w:val="auto"/>
                      <w:sz w:val="21"/>
                      <w:szCs w:val="21"/>
                    </w:rPr>
                  </w:pPr>
                </w:p>
              </w:tc>
              <w:tc>
                <w:tcPr>
                  <w:tcW w:w="316" w:type="pct"/>
                  <w:vMerge w:val="continue"/>
                  <w:noWrap w:val="0"/>
                  <w:vAlign w:val="center"/>
                </w:tcPr>
                <w:p w14:paraId="02FE543A">
                  <w:pPr>
                    <w:pStyle w:val="66"/>
                    <w:spacing w:line="240" w:lineRule="auto"/>
                    <w:rPr>
                      <w:rFonts w:hint="default" w:ascii="Times New Roman" w:hAnsi="Times New Roman" w:cs="Times New Roman"/>
                      <w:color w:val="auto"/>
                      <w:sz w:val="21"/>
                      <w:szCs w:val="21"/>
                    </w:rPr>
                  </w:pPr>
                </w:p>
              </w:tc>
              <w:tc>
                <w:tcPr>
                  <w:tcW w:w="272" w:type="pct"/>
                  <w:vMerge w:val="continue"/>
                  <w:noWrap w:val="0"/>
                  <w:vAlign w:val="center"/>
                </w:tcPr>
                <w:p w14:paraId="324EB41B">
                  <w:pPr>
                    <w:pStyle w:val="66"/>
                    <w:spacing w:line="240" w:lineRule="auto"/>
                    <w:rPr>
                      <w:rFonts w:hint="default" w:ascii="Times New Roman" w:hAnsi="Times New Roman" w:cs="Times New Roman"/>
                      <w:color w:val="auto"/>
                      <w:sz w:val="21"/>
                      <w:szCs w:val="21"/>
                      <w:lang w:val="en-US" w:eastAsia="zh-CN"/>
                    </w:rPr>
                  </w:pPr>
                </w:p>
              </w:tc>
              <w:tc>
                <w:tcPr>
                  <w:tcW w:w="621" w:type="pct"/>
                  <w:vMerge w:val="continue"/>
                  <w:noWrap w:val="0"/>
                  <w:vAlign w:val="center"/>
                </w:tcPr>
                <w:p w14:paraId="59D828B8">
                  <w:pPr>
                    <w:pStyle w:val="66"/>
                    <w:spacing w:line="240" w:lineRule="auto"/>
                    <w:rPr>
                      <w:rFonts w:hint="default" w:ascii="Times New Roman" w:hAnsi="Times New Roman" w:cs="Times New Roman"/>
                      <w:color w:val="auto"/>
                      <w:sz w:val="21"/>
                      <w:szCs w:val="21"/>
                    </w:rPr>
                  </w:pPr>
                </w:p>
              </w:tc>
              <w:tc>
                <w:tcPr>
                  <w:tcW w:w="280" w:type="pct"/>
                  <w:vMerge w:val="continue"/>
                  <w:noWrap w:val="0"/>
                  <w:vAlign w:val="center"/>
                </w:tcPr>
                <w:p w14:paraId="3B92F007">
                  <w:pPr>
                    <w:pStyle w:val="66"/>
                    <w:spacing w:line="240" w:lineRule="auto"/>
                    <w:rPr>
                      <w:rFonts w:hint="default" w:ascii="Times New Roman" w:hAnsi="Times New Roman" w:cs="Times New Roman"/>
                      <w:color w:val="auto"/>
                      <w:sz w:val="21"/>
                      <w:szCs w:val="21"/>
                    </w:rPr>
                  </w:pPr>
                </w:p>
              </w:tc>
              <w:tc>
                <w:tcPr>
                  <w:tcW w:w="341" w:type="pct"/>
                  <w:vMerge w:val="continue"/>
                  <w:noWrap w:val="0"/>
                  <w:vAlign w:val="center"/>
                </w:tcPr>
                <w:p w14:paraId="6DA6C264">
                  <w:pPr>
                    <w:pStyle w:val="66"/>
                    <w:spacing w:line="240" w:lineRule="auto"/>
                    <w:rPr>
                      <w:rFonts w:hint="default" w:ascii="Times New Roman" w:hAnsi="Times New Roman" w:cs="Times New Roman"/>
                      <w:color w:val="auto"/>
                      <w:sz w:val="21"/>
                      <w:szCs w:val="21"/>
                    </w:rPr>
                  </w:pPr>
                </w:p>
              </w:tc>
              <w:tc>
                <w:tcPr>
                  <w:tcW w:w="403" w:type="pct"/>
                  <w:vMerge w:val="continue"/>
                  <w:noWrap w:val="0"/>
                  <w:vAlign w:val="center"/>
                </w:tcPr>
                <w:p w14:paraId="59024938">
                  <w:pPr>
                    <w:pStyle w:val="66"/>
                    <w:spacing w:line="240" w:lineRule="auto"/>
                    <w:rPr>
                      <w:rFonts w:hint="default" w:ascii="Times New Roman" w:hAnsi="Times New Roman" w:cs="Times New Roman"/>
                      <w:color w:val="auto"/>
                      <w:sz w:val="21"/>
                      <w:szCs w:val="21"/>
                    </w:rPr>
                  </w:pPr>
                </w:p>
              </w:tc>
              <w:tc>
                <w:tcPr>
                  <w:tcW w:w="307" w:type="pct"/>
                  <w:vMerge w:val="continue"/>
                  <w:noWrap w:val="0"/>
                  <w:vAlign w:val="center"/>
                </w:tcPr>
                <w:p w14:paraId="3077125E">
                  <w:pPr>
                    <w:pStyle w:val="66"/>
                    <w:spacing w:line="240" w:lineRule="auto"/>
                    <w:rPr>
                      <w:rFonts w:hint="default" w:ascii="Times New Roman" w:hAnsi="Times New Roman" w:cs="Times New Roman"/>
                      <w:color w:val="auto"/>
                      <w:sz w:val="21"/>
                      <w:szCs w:val="21"/>
                    </w:rPr>
                  </w:pPr>
                </w:p>
              </w:tc>
            </w:tr>
            <w:tr w14:paraId="3B156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25" w:type="pct"/>
                  <w:vMerge w:val="continue"/>
                  <w:noWrap w:val="0"/>
                  <w:vAlign w:val="center"/>
                </w:tcPr>
                <w:p w14:paraId="3E1C1E56">
                  <w:pPr>
                    <w:pStyle w:val="66"/>
                    <w:spacing w:line="240" w:lineRule="auto"/>
                    <w:rPr>
                      <w:rFonts w:hint="default" w:ascii="Times New Roman" w:hAnsi="Times New Roman" w:cs="Times New Roman"/>
                      <w:color w:val="auto"/>
                      <w:sz w:val="21"/>
                      <w:szCs w:val="21"/>
                      <w:lang w:val="en-US" w:eastAsia="zh-CN"/>
                    </w:rPr>
                  </w:pPr>
                </w:p>
              </w:tc>
              <w:tc>
                <w:tcPr>
                  <w:tcW w:w="351" w:type="pct"/>
                  <w:vMerge w:val="continue"/>
                  <w:noWrap w:val="0"/>
                  <w:vAlign w:val="center"/>
                </w:tcPr>
                <w:p w14:paraId="15546E18">
                  <w:pPr>
                    <w:pStyle w:val="66"/>
                    <w:spacing w:line="240" w:lineRule="auto"/>
                    <w:rPr>
                      <w:rFonts w:hint="default" w:ascii="Times New Roman" w:hAnsi="Times New Roman" w:cs="Times New Roman"/>
                      <w:color w:val="auto"/>
                      <w:sz w:val="21"/>
                      <w:szCs w:val="21"/>
                      <w:lang w:val="en-US" w:eastAsia="zh-CN"/>
                    </w:rPr>
                  </w:pPr>
                </w:p>
              </w:tc>
              <w:tc>
                <w:tcPr>
                  <w:tcW w:w="341" w:type="pct"/>
                  <w:vMerge w:val="continue"/>
                  <w:noWrap w:val="0"/>
                  <w:vAlign w:val="center"/>
                </w:tcPr>
                <w:p w14:paraId="039D881D">
                  <w:pPr>
                    <w:pStyle w:val="66"/>
                    <w:spacing w:line="240" w:lineRule="auto"/>
                    <w:rPr>
                      <w:rFonts w:hint="default" w:ascii="Times New Roman" w:hAnsi="Times New Roman" w:cs="Times New Roman"/>
                      <w:color w:val="auto"/>
                      <w:sz w:val="21"/>
                      <w:szCs w:val="21"/>
                      <w:lang w:val="en-US" w:eastAsia="zh-CN"/>
                    </w:rPr>
                  </w:pPr>
                </w:p>
              </w:tc>
              <w:tc>
                <w:tcPr>
                  <w:tcW w:w="345" w:type="pct"/>
                  <w:noWrap w:val="0"/>
                  <w:vAlign w:val="center"/>
                </w:tcPr>
                <w:p w14:paraId="1AB5889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eastAsia" w:cs="Times New Roman"/>
                      <w:color w:val="auto"/>
                      <w:sz w:val="21"/>
                      <w:szCs w:val="21"/>
                      <w:lang w:val="en-US" w:eastAsia="zh-CN"/>
                    </w:rPr>
                    <w:t>As</w:t>
                  </w:r>
                </w:p>
              </w:tc>
              <w:tc>
                <w:tcPr>
                  <w:tcW w:w="272" w:type="pct"/>
                  <w:vMerge w:val="continue"/>
                  <w:noWrap w:val="0"/>
                  <w:vAlign w:val="center"/>
                </w:tcPr>
                <w:p w14:paraId="629A4830">
                  <w:pPr>
                    <w:pStyle w:val="66"/>
                    <w:spacing w:line="240" w:lineRule="auto"/>
                    <w:rPr>
                      <w:rFonts w:hint="default" w:ascii="Times New Roman" w:hAnsi="Times New Roman" w:cs="Times New Roman"/>
                      <w:color w:val="auto"/>
                      <w:sz w:val="21"/>
                      <w:szCs w:val="21"/>
                    </w:rPr>
                  </w:pPr>
                </w:p>
              </w:tc>
              <w:tc>
                <w:tcPr>
                  <w:tcW w:w="238" w:type="pct"/>
                  <w:vMerge w:val="continue"/>
                  <w:noWrap w:val="0"/>
                  <w:vAlign w:val="center"/>
                </w:tcPr>
                <w:p w14:paraId="4D2AF04B">
                  <w:pPr>
                    <w:pStyle w:val="66"/>
                    <w:spacing w:line="240" w:lineRule="auto"/>
                    <w:rPr>
                      <w:rFonts w:hint="default" w:ascii="Times New Roman" w:hAnsi="Times New Roman" w:cs="Times New Roman"/>
                      <w:color w:val="auto"/>
                      <w:sz w:val="21"/>
                      <w:szCs w:val="21"/>
                    </w:rPr>
                  </w:pPr>
                </w:p>
              </w:tc>
              <w:tc>
                <w:tcPr>
                  <w:tcW w:w="280" w:type="pct"/>
                  <w:vMerge w:val="continue"/>
                  <w:noWrap w:val="0"/>
                  <w:vAlign w:val="center"/>
                </w:tcPr>
                <w:p w14:paraId="1382796B">
                  <w:pPr>
                    <w:pStyle w:val="66"/>
                    <w:spacing w:line="240" w:lineRule="auto"/>
                    <w:rPr>
                      <w:rFonts w:hint="default" w:ascii="Times New Roman" w:hAnsi="Times New Roman" w:cs="Times New Roman"/>
                      <w:color w:val="auto"/>
                      <w:sz w:val="21"/>
                      <w:szCs w:val="21"/>
                    </w:rPr>
                  </w:pPr>
                </w:p>
              </w:tc>
              <w:tc>
                <w:tcPr>
                  <w:tcW w:w="316" w:type="pct"/>
                  <w:vMerge w:val="continue"/>
                  <w:noWrap w:val="0"/>
                  <w:vAlign w:val="center"/>
                </w:tcPr>
                <w:p w14:paraId="4B2F98EE">
                  <w:pPr>
                    <w:pStyle w:val="66"/>
                    <w:spacing w:line="240" w:lineRule="auto"/>
                    <w:rPr>
                      <w:rFonts w:hint="default" w:ascii="Times New Roman" w:hAnsi="Times New Roman" w:cs="Times New Roman"/>
                      <w:color w:val="auto"/>
                      <w:sz w:val="21"/>
                      <w:szCs w:val="21"/>
                    </w:rPr>
                  </w:pPr>
                </w:p>
              </w:tc>
              <w:tc>
                <w:tcPr>
                  <w:tcW w:w="272" w:type="pct"/>
                  <w:vMerge w:val="continue"/>
                  <w:noWrap w:val="0"/>
                  <w:vAlign w:val="center"/>
                </w:tcPr>
                <w:p w14:paraId="695A3170">
                  <w:pPr>
                    <w:pStyle w:val="66"/>
                    <w:spacing w:line="240" w:lineRule="auto"/>
                    <w:rPr>
                      <w:rFonts w:hint="default" w:ascii="Times New Roman" w:hAnsi="Times New Roman" w:cs="Times New Roman"/>
                      <w:color w:val="auto"/>
                      <w:sz w:val="21"/>
                      <w:szCs w:val="21"/>
                      <w:lang w:val="en-US" w:eastAsia="zh-CN"/>
                    </w:rPr>
                  </w:pPr>
                </w:p>
              </w:tc>
              <w:tc>
                <w:tcPr>
                  <w:tcW w:w="621" w:type="pct"/>
                  <w:vMerge w:val="continue"/>
                  <w:noWrap w:val="0"/>
                  <w:vAlign w:val="center"/>
                </w:tcPr>
                <w:p w14:paraId="431E08C9">
                  <w:pPr>
                    <w:pStyle w:val="66"/>
                    <w:spacing w:line="240" w:lineRule="auto"/>
                    <w:rPr>
                      <w:rFonts w:hint="default" w:ascii="Times New Roman" w:hAnsi="Times New Roman" w:cs="Times New Roman"/>
                      <w:color w:val="auto"/>
                      <w:sz w:val="21"/>
                      <w:szCs w:val="21"/>
                    </w:rPr>
                  </w:pPr>
                </w:p>
              </w:tc>
              <w:tc>
                <w:tcPr>
                  <w:tcW w:w="280" w:type="pct"/>
                  <w:vMerge w:val="continue"/>
                  <w:noWrap w:val="0"/>
                  <w:vAlign w:val="center"/>
                </w:tcPr>
                <w:p w14:paraId="36A7A45D">
                  <w:pPr>
                    <w:pStyle w:val="66"/>
                    <w:spacing w:line="240" w:lineRule="auto"/>
                    <w:rPr>
                      <w:rFonts w:hint="default" w:ascii="Times New Roman" w:hAnsi="Times New Roman" w:cs="Times New Roman"/>
                      <w:color w:val="auto"/>
                      <w:sz w:val="21"/>
                      <w:szCs w:val="21"/>
                    </w:rPr>
                  </w:pPr>
                </w:p>
              </w:tc>
              <w:tc>
                <w:tcPr>
                  <w:tcW w:w="341" w:type="pct"/>
                  <w:vMerge w:val="continue"/>
                  <w:noWrap w:val="0"/>
                  <w:vAlign w:val="center"/>
                </w:tcPr>
                <w:p w14:paraId="73FEA7FD">
                  <w:pPr>
                    <w:pStyle w:val="66"/>
                    <w:spacing w:line="240" w:lineRule="auto"/>
                    <w:rPr>
                      <w:rFonts w:hint="default" w:ascii="Times New Roman" w:hAnsi="Times New Roman" w:cs="Times New Roman"/>
                      <w:color w:val="auto"/>
                      <w:sz w:val="21"/>
                      <w:szCs w:val="21"/>
                    </w:rPr>
                  </w:pPr>
                </w:p>
              </w:tc>
              <w:tc>
                <w:tcPr>
                  <w:tcW w:w="403" w:type="pct"/>
                  <w:vMerge w:val="continue"/>
                  <w:noWrap w:val="0"/>
                  <w:vAlign w:val="center"/>
                </w:tcPr>
                <w:p w14:paraId="25AD1ECE">
                  <w:pPr>
                    <w:pStyle w:val="66"/>
                    <w:spacing w:line="240" w:lineRule="auto"/>
                    <w:rPr>
                      <w:rFonts w:hint="default" w:ascii="Times New Roman" w:hAnsi="Times New Roman" w:cs="Times New Roman"/>
                      <w:color w:val="auto"/>
                      <w:sz w:val="21"/>
                      <w:szCs w:val="21"/>
                    </w:rPr>
                  </w:pPr>
                </w:p>
              </w:tc>
              <w:tc>
                <w:tcPr>
                  <w:tcW w:w="307" w:type="pct"/>
                  <w:vMerge w:val="continue"/>
                  <w:noWrap w:val="0"/>
                  <w:vAlign w:val="center"/>
                </w:tcPr>
                <w:p w14:paraId="2C1E5D53">
                  <w:pPr>
                    <w:pStyle w:val="66"/>
                    <w:spacing w:line="240" w:lineRule="auto"/>
                    <w:rPr>
                      <w:rFonts w:hint="default" w:ascii="Times New Roman" w:hAnsi="Times New Roman" w:cs="Times New Roman"/>
                      <w:color w:val="auto"/>
                      <w:sz w:val="21"/>
                      <w:szCs w:val="21"/>
                    </w:rPr>
                  </w:pPr>
                </w:p>
              </w:tc>
            </w:tr>
            <w:tr w14:paraId="38466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25" w:type="pct"/>
                  <w:vMerge w:val="continue"/>
                  <w:noWrap w:val="0"/>
                  <w:vAlign w:val="center"/>
                </w:tcPr>
                <w:p w14:paraId="3147BFD9">
                  <w:pPr>
                    <w:pStyle w:val="66"/>
                    <w:spacing w:line="240" w:lineRule="auto"/>
                    <w:rPr>
                      <w:rFonts w:hint="default" w:ascii="Times New Roman" w:hAnsi="Times New Roman" w:cs="Times New Roman"/>
                      <w:color w:val="auto"/>
                      <w:sz w:val="21"/>
                      <w:szCs w:val="21"/>
                      <w:lang w:val="en-US" w:eastAsia="zh-CN"/>
                    </w:rPr>
                  </w:pPr>
                </w:p>
              </w:tc>
              <w:tc>
                <w:tcPr>
                  <w:tcW w:w="351" w:type="pct"/>
                  <w:vMerge w:val="continue"/>
                  <w:noWrap w:val="0"/>
                  <w:vAlign w:val="center"/>
                </w:tcPr>
                <w:p w14:paraId="3F4CDC14">
                  <w:pPr>
                    <w:pStyle w:val="66"/>
                    <w:spacing w:line="240" w:lineRule="auto"/>
                    <w:rPr>
                      <w:rFonts w:hint="default" w:ascii="Times New Roman" w:hAnsi="Times New Roman" w:cs="Times New Roman"/>
                      <w:color w:val="auto"/>
                      <w:sz w:val="21"/>
                      <w:szCs w:val="21"/>
                      <w:lang w:val="en-US" w:eastAsia="zh-CN"/>
                    </w:rPr>
                  </w:pPr>
                </w:p>
              </w:tc>
              <w:tc>
                <w:tcPr>
                  <w:tcW w:w="341" w:type="pct"/>
                  <w:vMerge w:val="continue"/>
                  <w:noWrap w:val="0"/>
                  <w:vAlign w:val="center"/>
                </w:tcPr>
                <w:p w14:paraId="4D1EFE25">
                  <w:pPr>
                    <w:pStyle w:val="66"/>
                    <w:spacing w:line="240" w:lineRule="auto"/>
                    <w:rPr>
                      <w:rFonts w:hint="default" w:ascii="Times New Roman" w:hAnsi="Times New Roman" w:cs="Times New Roman"/>
                      <w:color w:val="auto"/>
                      <w:sz w:val="21"/>
                      <w:szCs w:val="21"/>
                      <w:lang w:val="en-US" w:eastAsia="zh-CN"/>
                    </w:rPr>
                  </w:pPr>
                </w:p>
              </w:tc>
              <w:tc>
                <w:tcPr>
                  <w:tcW w:w="345" w:type="pct"/>
                  <w:noWrap w:val="0"/>
                  <w:vAlign w:val="center"/>
                </w:tcPr>
                <w:p w14:paraId="0D20E984">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eastAsia" w:cs="Times New Roman"/>
                      <w:color w:val="auto"/>
                      <w:sz w:val="21"/>
                      <w:szCs w:val="21"/>
                      <w:lang w:val="en-US" w:eastAsia="zh-CN"/>
                    </w:rPr>
                    <w:t>Pb</w:t>
                  </w:r>
                </w:p>
              </w:tc>
              <w:tc>
                <w:tcPr>
                  <w:tcW w:w="272" w:type="pct"/>
                  <w:vMerge w:val="continue"/>
                  <w:noWrap w:val="0"/>
                  <w:vAlign w:val="center"/>
                </w:tcPr>
                <w:p w14:paraId="4B2D7405">
                  <w:pPr>
                    <w:pStyle w:val="66"/>
                    <w:spacing w:line="240" w:lineRule="auto"/>
                    <w:rPr>
                      <w:rFonts w:hint="default" w:ascii="Times New Roman" w:hAnsi="Times New Roman" w:cs="Times New Roman"/>
                      <w:color w:val="auto"/>
                      <w:sz w:val="21"/>
                      <w:szCs w:val="21"/>
                    </w:rPr>
                  </w:pPr>
                </w:p>
              </w:tc>
              <w:tc>
                <w:tcPr>
                  <w:tcW w:w="238" w:type="pct"/>
                  <w:vMerge w:val="continue"/>
                  <w:noWrap w:val="0"/>
                  <w:vAlign w:val="center"/>
                </w:tcPr>
                <w:p w14:paraId="1E16F322">
                  <w:pPr>
                    <w:pStyle w:val="66"/>
                    <w:spacing w:line="240" w:lineRule="auto"/>
                    <w:rPr>
                      <w:rFonts w:hint="default" w:ascii="Times New Roman" w:hAnsi="Times New Roman" w:cs="Times New Roman"/>
                      <w:color w:val="auto"/>
                      <w:sz w:val="21"/>
                      <w:szCs w:val="21"/>
                    </w:rPr>
                  </w:pPr>
                </w:p>
              </w:tc>
              <w:tc>
                <w:tcPr>
                  <w:tcW w:w="280" w:type="pct"/>
                  <w:vMerge w:val="continue"/>
                  <w:noWrap w:val="0"/>
                  <w:vAlign w:val="center"/>
                </w:tcPr>
                <w:p w14:paraId="6516318B">
                  <w:pPr>
                    <w:pStyle w:val="66"/>
                    <w:spacing w:line="240" w:lineRule="auto"/>
                    <w:rPr>
                      <w:rFonts w:hint="default" w:ascii="Times New Roman" w:hAnsi="Times New Roman" w:cs="Times New Roman"/>
                      <w:color w:val="auto"/>
                      <w:sz w:val="21"/>
                      <w:szCs w:val="21"/>
                    </w:rPr>
                  </w:pPr>
                </w:p>
              </w:tc>
              <w:tc>
                <w:tcPr>
                  <w:tcW w:w="316" w:type="pct"/>
                  <w:vMerge w:val="continue"/>
                  <w:noWrap w:val="0"/>
                  <w:vAlign w:val="center"/>
                </w:tcPr>
                <w:p w14:paraId="2820414D">
                  <w:pPr>
                    <w:pStyle w:val="66"/>
                    <w:spacing w:line="240" w:lineRule="auto"/>
                    <w:rPr>
                      <w:rFonts w:hint="default" w:ascii="Times New Roman" w:hAnsi="Times New Roman" w:cs="Times New Roman"/>
                      <w:color w:val="auto"/>
                      <w:sz w:val="21"/>
                      <w:szCs w:val="21"/>
                    </w:rPr>
                  </w:pPr>
                </w:p>
              </w:tc>
              <w:tc>
                <w:tcPr>
                  <w:tcW w:w="272" w:type="pct"/>
                  <w:vMerge w:val="continue"/>
                  <w:noWrap w:val="0"/>
                  <w:vAlign w:val="center"/>
                </w:tcPr>
                <w:p w14:paraId="432BF2B3">
                  <w:pPr>
                    <w:pStyle w:val="66"/>
                    <w:spacing w:line="240" w:lineRule="auto"/>
                    <w:rPr>
                      <w:rFonts w:hint="default" w:ascii="Times New Roman" w:hAnsi="Times New Roman" w:cs="Times New Roman"/>
                      <w:color w:val="auto"/>
                      <w:sz w:val="21"/>
                      <w:szCs w:val="21"/>
                      <w:lang w:val="en-US" w:eastAsia="zh-CN"/>
                    </w:rPr>
                  </w:pPr>
                </w:p>
              </w:tc>
              <w:tc>
                <w:tcPr>
                  <w:tcW w:w="621" w:type="pct"/>
                  <w:vMerge w:val="continue"/>
                  <w:noWrap w:val="0"/>
                  <w:vAlign w:val="center"/>
                </w:tcPr>
                <w:p w14:paraId="59722F0A">
                  <w:pPr>
                    <w:pStyle w:val="66"/>
                    <w:spacing w:line="240" w:lineRule="auto"/>
                    <w:rPr>
                      <w:rFonts w:hint="default" w:ascii="Times New Roman" w:hAnsi="Times New Roman" w:cs="Times New Roman"/>
                      <w:color w:val="auto"/>
                      <w:sz w:val="21"/>
                      <w:szCs w:val="21"/>
                    </w:rPr>
                  </w:pPr>
                </w:p>
              </w:tc>
              <w:tc>
                <w:tcPr>
                  <w:tcW w:w="280" w:type="pct"/>
                  <w:vMerge w:val="continue"/>
                  <w:noWrap w:val="0"/>
                  <w:vAlign w:val="center"/>
                </w:tcPr>
                <w:p w14:paraId="71C7D794">
                  <w:pPr>
                    <w:pStyle w:val="66"/>
                    <w:spacing w:line="240" w:lineRule="auto"/>
                    <w:rPr>
                      <w:rFonts w:hint="default" w:ascii="Times New Roman" w:hAnsi="Times New Roman" w:cs="Times New Roman"/>
                      <w:color w:val="auto"/>
                      <w:sz w:val="21"/>
                      <w:szCs w:val="21"/>
                    </w:rPr>
                  </w:pPr>
                </w:p>
              </w:tc>
              <w:tc>
                <w:tcPr>
                  <w:tcW w:w="341" w:type="pct"/>
                  <w:vMerge w:val="continue"/>
                  <w:noWrap w:val="0"/>
                  <w:vAlign w:val="center"/>
                </w:tcPr>
                <w:p w14:paraId="0CA36963">
                  <w:pPr>
                    <w:pStyle w:val="66"/>
                    <w:spacing w:line="240" w:lineRule="auto"/>
                    <w:rPr>
                      <w:rFonts w:hint="default" w:ascii="Times New Roman" w:hAnsi="Times New Roman" w:cs="Times New Roman"/>
                      <w:color w:val="auto"/>
                      <w:sz w:val="21"/>
                      <w:szCs w:val="21"/>
                    </w:rPr>
                  </w:pPr>
                </w:p>
              </w:tc>
              <w:tc>
                <w:tcPr>
                  <w:tcW w:w="403" w:type="pct"/>
                  <w:vMerge w:val="continue"/>
                  <w:noWrap w:val="0"/>
                  <w:vAlign w:val="center"/>
                </w:tcPr>
                <w:p w14:paraId="198CCBD6">
                  <w:pPr>
                    <w:pStyle w:val="66"/>
                    <w:spacing w:line="240" w:lineRule="auto"/>
                    <w:rPr>
                      <w:rFonts w:hint="default" w:ascii="Times New Roman" w:hAnsi="Times New Roman" w:cs="Times New Roman"/>
                      <w:color w:val="auto"/>
                      <w:sz w:val="21"/>
                      <w:szCs w:val="21"/>
                    </w:rPr>
                  </w:pPr>
                </w:p>
              </w:tc>
              <w:tc>
                <w:tcPr>
                  <w:tcW w:w="307" w:type="pct"/>
                  <w:vMerge w:val="continue"/>
                  <w:noWrap w:val="0"/>
                  <w:vAlign w:val="center"/>
                </w:tcPr>
                <w:p w14:paraId="6DC78319">
                  <w:pPr>
                    <w:pStyle w:val="66"/>
                    <w:spacing w:line="240" w:lineRule="auto"/>
                    <w:rPr>
                      <w:rFonts w:hint="default" w:ascii="Times New Roman" w:hAnsi="Times New Roman" w:cs="Times New Roman"/>
                      <w:color w:val="auto"/>
                      <w:sz w:val="21"/>
                      <w:szCs w:val="21"/>
                    </w:rPr>
                  </w:pPr>
                </w:p>
              </w:tc>
            </w:tr>
            <w:tr w14:paraId="1CCA5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25" w:type="pct"/>
                  <w:vMerge w:val="continue"/>
                  <w:noWrap w:val="0"/>
                  <w:vAlign w:val="center"/>
                </w:tcPr>
                <w:p w14:paraId="36CDE8DA">
                  <w:pPr>
                    <w:pStyle w:val="66"/>
                    <w:spacing w:line="240" w:lineRule="auto"/>
                    <w:rPr>
                      <w:rFonts w:hint="default" w:ascii="Times New Roman" w:hAnsi="Times New Roman" w:cs="Times New Roman"/>
                      <w:color w:val="auto"/>
                      <w:sz w:val="21"/>
                      <w:szCs w:val="21"/>
                      <w:lang w:val="en-US" w:eastAsia="zh-CN"/>
                    </w:rPr>
                  </w:pPr>
                </w:p>
              </w:tc>
              <w:tc>
                <w:tcPr>
                  <w:tcW w:w="351" w:type="pct"/>
                  <w:vMerge w:val="continue"/>
                  <w:noWrap w:val="0"/>
                  <w:vAlign w:val="center"/>
                </w:tcPr>
                <w:p w14:paraId="5DEE31BE">
                  <w:pPr>
                    <w:pStyle w:val="66"/>
                    <w:spacing w:line="240" w:lineRule="auto"/>
                    <w:rPr>
                      <w:rFonts w:hint="default" w:ascii="Times New Roman" w:hAnsi="Times New Roman" w:cs="Times New Roman"/>
                      <w:color w:val="auto"/>
                      <w:sz w:val="21"/>
                      <w:szCs w:val="21"/>
                      <w:lang w:val="en-US" w:eastAsia="zh-CN"/>
                    </w:rPr>
                  </w:pPr>
                </w:p>
              </w:tc>
              <w:tc>
                <w:tcPr>
                  <w:tcW w:w="341" w:type="pct"/>
                  <w:vMerge w:val="continue"/>
                  <w:noWrap w:val="0"/>
                  <w:vAlign w:val="center"/>
                </w:tcPr>
                <w:p w14:paraId="6C94ACD9">
                  <w:pPr>
                    <w:pStyle w:val="66"/>
                    <w:spacing w:line="240" w:lineRule="auto"/>
                    <w:rPr>
                      <w:rFonts w:hint="default" w:ascii="Times New Roman" w:hAnsi="Times New Roman" w:cs="Times New Roman"/>
                      <w:color w:val="auto"/>
                      <w:sz w:val="21"/>
                      <w:szCs w:val="21"/>
                      <w:lang w:val="en-US" w:eastAsia="zh-CN"/>
                    </w:rPr>
                  </w:pPr>
                </w:p>
              </w:tc>
              <w:tc>
                <w:tcPr>
                  <w:tcW w:w="345" w:type="pct"/>
                  <w:noWrap w:val="0"/>
                  <w:vAlign w:val="center"/>
                </w:tcPr>
                <w:p w14:paraId="3428BA74">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eastAsia" w:cs="Times New Roman"/>
                      <w:color w:val="auto"/>
                      <w:sz w:val="21"/>
                      <w:szCs w:val="21"/>
                      <w:lang w:val="en-US" w:eastAsia="zh-CN"/>
                    </w:rPr>
                    <w:t>二噁英类</w:t>
                  </w:r>
                </w:p>
              </w:tc>
              <w:tc>
                <w:tcPr>
                  <w:tcW w:w="272" w:type="pct"/>
                  <w:vMerge w:val="continue"/>
                  <w:noWrap w:val="0"/>
                  <w:vAlign w:val="center"/>
                </w:tcPr>
                <w:p w14:paraId="0DC2DE9A">
                  <w:pPr>
                    <w:pStyle w:val="66"/>
                    <w:spacing w:line="240" w:lineRule="auto"/>
                    <w:rPr>
                      <w:rFonts w:hint="default" w:ascii="Times New Roman" w:hAnsi="Times New Roman" w:cs="Times New Roman"/>
                      <w:color w:val="auto"/>
                      <w:sz w:val="21"/>
                      <w:szCs w:val="21"/>
                    </w:rPr>
                  </w:pPr>
                </w:p>
              </w:tc>
              <w:tc>
                <w:tcPr>
                  <w:tcW w:w="238" w:type="pct"/>
                  <w:vMerge w:val="continue"/>
                  <w:noWrap w:val="0"/>
                  <w:vAlign w:val="center"/>
                </w:tcPr>
                <w:p w14:paraId="38C61406">
                  <w:pPr>
                    <w:pStyle w:val="66"/>
                    <w:spacing w:line="240" w:lineRule="auto"/>
                    <w:rPr>
                      <w:rFonts w:hint="default" w:ascii="Times New Roman" w:hAnsi="Times New Roman" w:cs="Times New Roman"/>
                      <w:color w:val="auto"/>
                      <w:sz w:val="21"/>
                      <w:szCs w:val="21"/>
                    </w:rPr>
                  </w:pPr>
                </w:p>
              </w:tc>
              <w:tc>
                <w:tcPr>
                  <w:tcW w:w="280" w:type="pct"/>
                  <w:vMerge w:val="continue"/>
                  <w:noWrap w:val="0"/>
                  <w:vAlign w:val="center"/>
                </w:tcPr>
                <w:p w14:paraId="4BE14576">
                  <w:pPr>
                    <w:pStyle w:val="66"/>
                    <w:spacing w:line="240" w:lineRule="auto"/>
                    <w:rPr>
                      <w:rFonts w:hint="default" w:ascii="Times New Roman" w:hAnsi="Times New Roman" w:cs="Times New Roman"/>
                      <w:color w:val="auto"/>
                      <w:sz w:val="21"/>
                      <w:szCs w:val="21"/>
                    </w:rPr>
                  </w:pPr>
                </w:p>
              </w:tc>
              <w:tc>
                <w:tcPr>
                  <w:tcW w:w="316" w:type="pct"/>
                  <w:vMerge w:val="continue"/>
                  <w:noWrap w:val="0"/>
                  <w:vAlign w:val="center"/>
                </w:tcPr>
                <w:p w14:paraId="32DD99E7">
                  <w:pPr>
                    <w:pStyle w:val="66"/>
                    <w:spacing w:line="240" w:lineRule="auto"/>
                    <w:rPr>
                      <w:rFonts w:hint="default" w:ascii="Times New Roman" w:hAnsi="Times New Roman" w:cs="Times New Roman"/>
                      <w:color w:val="auto"/>
                      <w:sz w:val="21"/>
                      <w:szCs w:val="21"/>
                    </w:rPr>
                  </w:pPr>
                </w:p>
              </w:tc>
              <w:tc>
                <w:tcPr>
                  <w:tcW w:w="272" w:type="pct"/>
                  <w:vMerge w:val="continue"/>
                  <w:noWrap w:val="0"/>
                  <w:vAlign w:val="center"/>
                </w:tcPr>
                <w:p w14:paraId="544E4943">
                  <w:pPr>
                    <w:pStyle w:val="66"/>
                    <w:spacing w:line="240" w:lineRule="auto"/>
                    <w:rPr>
                      <w:rFonts w:hint="default" w:ascii="Times New Roman" w:hAnsi="Times New Roman" w:cs="Times New Roman"/>
                      <w:color w:val="auto"/>
                      <w:sz w:val="21"/>
                      <w:szCs w:val="21"/>
                      <w:lang w:val="en-US" w:eastAsia="zh-CN"/>
                    </w:rPr>
                  </w:pPr>
                </w:p>
              </w:tc>
              <w:tc>
                <w:tcPr>
                  <w:tcW w:w="621" w:type="pct"/>
                  <w:vMerge w:val="continue"/>
                  <w:noWrap w:val="0"/>
                  <w:vAlign w:val="center"/>
                </w:tcPr>
                <w:p w14:paraId="6D4A87CE">
                  <w:pPr>
                    <w:pStyle w:val="66"/>
                    <w:spacing w:line="240" w:lineRule="auto"/>
                    <w:rPr>
                      <w:rFonts w:hint="default" w:ascii="Times New Roman" w:hAnsi="Times New Roman" w:cs="Times New Roman"/>
                      <w:color w:val="auto"/>
                      <w:sz w:val="21"/>
                      <w:szCs w:val="21"/>
                    </w:rPr>
                  </w:pPr>
                </w:p>
              </w:tc>
              <w:tc>
                <w:tcPr>
                  <w:tcW w:w="280" w:type="pct"/>
                  <w:vMerge w:val="continue"/>
                  <w:noWrap w:val="0"/>
                  <w:vAlign w:val="center"/>
                </w:tcPr>
                <w:p w14:paraId="507E4E01">
                  <w:pPr>
                    <w:pStyle w:val="66"/>
                    <w:spacing w:line="240" w:lineRule="auto"/>
                    <w:rPr>
                      <w:rFonts w:hint="default" w:ascii="Times New Roman" w:hAnsi="Times New Roman" w:cs="Times New Roman"/>
                      <w:color w:val="auto"/>
                      <w:sz w:val="21"/>
                      <w:szCs w:val="21"/>
                    </w:rPr>
                  </w:pPr>
                </w:p>
              </w:tc>
              <w:tc>
                <w:tcPr>
                  <w:tcW w:w="341" w:type="pct"/>
                  <w:vMerge w:val="continue"/>
                  <w:noWrap w:val="0"/>
                  <w:vAlign w:val="center"/>
                </w:tcPr>
                <w:p w14:paraId="745467F1">
                  <w:pPr>
                    <w:pStyle w:val="66"/>
                    <w:spacing w:line="240" w:lineRule="auto"/>
                    <w:rPr>
                      <w:rFonts w:hint="default" w:ascii="Times New Roman" w:hAnsi="Times New Roman" w:cs="Times New Roman"/>
                      <w:color w:val="auto"/>
                      <w:sz w:val="21"/>
                      <w:szCs w:val="21"/>
                    </w:rPr>
                  </w:pPr>
                </w:p>
              </w:tc>
              <w:tc>
                <w:tcPr>
                  <w:tcW w:w="403" w:type="pct"/>
                  <w:vMerge w:val="continue"/>
                  <w:noWrap w:val="0"/>
                  <w:vAlign w:val="center"/>
                </w:tcPr>
                <w:p w14:paraId="130BCAD6">
                  <w:pPr>
                    <w:pStyle w:val="66"/>
                    <w:spacing w:line="240" w:lineRule="auto"/>
                    <w:rPr>
                      <w:rFonts w:hint="default" w:ascii="Times New Roman" w:hAnsi="Times New Roman" w:cs="Times New Roman"/>
                      <w:color w:val="auto"/>
                      <w:sz w:val="21"/>
                      <w:szCs w:val="21"/>
                    </w:rPr>
                  </w:pPr>
                </w:p>
              </w:tc>
              <w:tc>
                <w:tcPr>
                  <w:tcW w:w="307" w:type="pct"/>
                  <w:vMerge w:val="continue"/>
                  <w:noWrap w:val="0"/>
                  <w:vAlign w:val="center"/>
                </w:tcPr>
                <w:p w14:paraId="3FAB1038">
                  <w:pPr>
                    <w:pStyle w:val="66"/>
                    <w:spacing w:line="240" w:lineRule="auto"/>
                    <w:rPr>
                      <w:rFonts w:hint="default" w:ascii="Times New Roman" w:hAnsi="Times New Roman" w:cs="Times New Roman"/>
                      <w:color w:val="auto"/>
                      <w:sz w:val="21"/>
                      <w:szCs w:val="21"/>
                    </w:rPr>
                  </w:pPr>
                </w:p>
              </w:tc>
            </w:tr>
          </w:tbl>
          <w:p w14:paraId="3614050E">
            <w:pPr>
              <w:pStyle w:val="12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表4-</w:t>
            </w:r>
            <w:r>
              <w:rPr>
                <w:rFonts w:hint="eastAsia" w:cs="Times New Roman"/>
                <w:b/>
                <w:bCs/>
                <w:color w:val="auto"/>
                <w:kern w:val="2"/>
                <w:sz w:val="21"/>
                <w:szCs w:val="21"/>
                <w:lang w:val="en-US" w:eastAsia="zh-CN" w:bidi="ar-SA"/>
              </w:rPr>
              <w:t xml:space="preserve">5 </w:t>
            </w:r>
            <w:r>
              <w:rPr>
                <w:rFonts w:hint="default" w:ascii="Times New Roman" w:hAnsi="Times New Roman" w:eastAsia="宋体" w:cs="Times New Roman"/>
                <w:b/>
                <w:bCs/>
                <w:color w:val="auto"/>
                <w:kern w:val="2"/>
                <w:sz w:val="21"/>
                <w:szCs w:val="21"/>
                <w:lang w:val="en-US" w:eastAsia="zh-CN" w:bidi="ar-SA"/>
              </w:rPr>
              <w:t>项目有组织废气产排情况</w:t>
            </w:r>
          </w:p>
          <w:tbl>
            <w:tblPr>
              <w:tblStyle w:val="28"/>
              <w:tblW w:w="49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435"/>
              <w:gridCol w:w="885"/>
              <w:gridCol w:w="1125"/>
              <w:gridCol w:w="1020"/>
              <w:gridCol w:w="600"/>
              <w:gridCol w:w="630"/>
              <w:gridCol w:w="765"/>
              <w:gridCol w:w="954"/>
              <w:gridCol w:w="1026"/>
              <w:gridCol w:w="1014"/>
              <w:gridCol w:w="1644"/>
              <w:gridCol w:w="1539"/>
            </w:tblGrid>
            <w:tr w14:paraId="26B58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5" w:type="dxa"/>
                  <w:vMerge w:val="restart"/>
                  <w:noWrap w:val="0"/>
                  <w:vAlign w:val="center"/>
                </w:tcPr>
                <w:p w14:paraId="7F7B37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排放口编号</w:t>
                  </w:r>
                </w:p>
              </w:tc>
              <w:tc>
                <w:tcPr>
                  <w:tcW w:w="435" w:type="dxa"/>
                  <w:vMerge w:val="restart"/>
                  <w:noWrap w:val="0"/>
                  <w:vAlign w:val="center"/>
                </w:tcPr>
                <w:p w14:paraId="39984C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产生环节</w:t>
                  </w:r>
                </w:p>
              </w:tc>
              <w:tc>
                <w:tcPr>
                  <w:tcW w:w="885" w:type="dxa"/>
                  <w:vMerge w:val="restart"/>
                  <w:noWrap w:val="0"/>
                  <w:vAlign w:val="center"/>
                </w:tcPr>
                <w:p w14:paraId="1AEB98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污染物种类</w:t>
                  </w:r>
                </w:p>
              </w:tc>
              <w:tc>
                <w:tcPr>
                  <w:tcW w:w="2145" w:type="dxa"/>
                  <w:gridSpan w:val="2"/>
                  <w:noWrap w:val="0"/>
                  <w:vAlign w:val="center"/>
                </w:tcPr>
                <w:p w14:paraId="15949F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排放口地理坐标</w:t>
                  </w:r>
                </w:p>
              </w:tc>
              <w:tc>
                <w:tcPr>
                  <w:tcW w:w="2949" w:type="dxa"/>
                  <w:gridSpan w:val="4"/>
                  <w:noWrap w:val="0"/>
                  <w:vAlign w:val="center"/>
                </w:tcPr>
                <w:p w14:paraId="3E5575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排气筒参数</w:t>
                  </w:r>
                </w:p>
              </w:tc>
              <w:tc>
                <w:tcPr>
                  <w:tcW w:w="3684" w:type="dxa"/>
                  <w:gridSpan w:val="3"/>
                  <w:noWrap w:val="0"/>
                  <w:vAlign w:val="center"/>
                </w:tcPr>
                <w:p w14:paraId="7B9B97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排放情况</w:t>
                  </w:r>
                </w:p>
              </w:tc>
              <w:tc>
                <w:tcPr>
                  <w:tcW w:w="1539" w:type="dxa"/>
                  <w:vMerge w:val="restart"/>
                  <w:noWrap w:val="0"/>
                  <w:vAlign w:val="center"/>
                </w:tcPr>
                <w:p w14:paraId="4686FE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排放标准（mg/m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w:t>
                  </w:r>
                </w:p>
              </w:tc>
            </w:tr>
            <w:tr w14:paraId="405B2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5" w:type="dxa"/>
                  <w:vMerge w:val="continue"/>
                  <w:noWrap w:val="0"/>
                  <w:vAlign w:val="center"/>
                </w:tcPr>
                <w:p w14:paraId="797D0B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435" w:type="dxa"/>
                  <w:vMerge w:val="continue"/>
                  <w:noWrap w:val="0"/>
                  <w:vAlign w:val="center"/>
                </w:tcPr>
                <w:p w14:paraId="1E6AAF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885" w:type="dxa"/>
                  <w:vMerge w:val="continue"/>
                  <w:noWrap w:val="0"/>
                  <w:vAlign w:val="center"/>
                </w:tcPr>
                <w:p w14:paraId="74EF37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125" w:type="dxa"/>
                  <w:noWrap w:val="0"/>
                  <w:vAlign w:val="center"/>
                </w:tcPr>
                <w:p w14:paraId="7C3FE1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经度</w:t>
                  </w:r>
                </w:p>
              </w:tc>
              <w:tc>
                <w:tcPr>
                  <w:tcW w:w="1020" w:type="dxa"/>
                  <w:noWrap w:val="0"/>
                  <w:vAlign w:val="center"/>
                </w:tcPr>
                <w:p w14:paraId="770E21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纬度</w:t>
                  </w:r>
                </w:p>
              </w:tc>
              <w:tc>
                <w:tcPr>
                  <w:tcW w:w="600" w:type="dxa"/>
                  <w:noWrap w:val="0"/>
                  <w:vAlign w:val="center"/>
                </w:tcPr>
                <w:p w14:paraId="228617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高度</w:t>
                  </w:r>
                </w:p>
              </w:tc>
              <w:tc>
                <w:tcPr>
                  <w:tcW w:w="630" w:type="dxa"/>
                  <w:noWrap w:val="0"/>
                  <w:vAlign w:val="center"/>
                </w:tcPr>
                <w:p w14:paraId="68671C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出口</w:t>
                  </w:r>
                  <w:r>
                    <w:rPr>
                      <w:rFonts w:hint="default" w:ascii="Times New Roman" w:hAnsi="Times New Roman" w:eastAsia="宋体" w:cs="Times New Roman"/>
                      <w:b w:val="0"/>
                      <w:bCs w:val="0"/>
                      <w:color w:val="auto"/>
                      <w:sz w:val="21"/>
                      <w:szCs w:val="21"/>
                      <w:lang w:val="en-US" w:eastAsia="zh-CN"/>
                    </w:rPr>
                    <w:t>内径</w:t>
                  </w:r>
                </w:p>
              </w:tc>
              <w:tc>
                <w:tcPr>
                  <w:tcW w:w="765" w:type="dxa"/>
                  <w:noWrap w:val="0"/>
                  <w:vAlign w:val="center"/>
                </w:tcPr>
                <w:p w14:paraId="093C4D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排气温度</w:t>
                  </w:r>
                </w:p>
              </w:tc>
              <w:tc>
                <w:tcPr>
                  <w:tcW w:w="954" w:type="dxa"/>
                  <w:noWrap w:val="0"/>
                  <w:vAlign w:val="center"/>
                </w:tcPr>
                <w:p w14:paraId="617ED16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风量（m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1026" w:type="dxa"/>
                  <w:noWrap w:val="0"/>
                  <w:vAlign w:val="center"/>
                </w:tcPr>
                <w:p w14:paraId="7C456F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排放量（t/a）</w:t>
                  </w:r>
                </w:p>
              </w:tc>
              <w:tc>
                <w:tcPr>
                  <w:tcW w:w="1014" w:type="dxa"/>
                  <w:noWrap w:val="0"/>
                  <w:vAlign w:val="center"/>
                </w:tcPr>
                <w:p w14:paraId="10DB76F4">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速率（kg/h）</w:t>
                  </w:r>
                </w:p>
              </w:tc>
              <w:tc>
                <w:tcPr>
                  <w:tcW w:w="1644" w:type="dxa"/>
                  <w:noWrap w:val="0"/>
                  <w:vAlign w:val="center"/>
                </w:tcPr>
                <w:p w14:paraId="4B460F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浓度（mg/m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w:t>
                  </w:r>
                </w:p>
              </w:tc>
              <w:tc>
                <w:tcPr>
                  <w:tcW w:w="1539" w:type="dxa"/>
                  <w:vMerge w:val="continue"/>
                  <w:noWrap w:val="0"/>
                  <w:vAlign w:val="center"/>
                </w:tcPr>
                <w:p w14:paraId="174CCA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r>
            <w:tr w14:paraId="25D57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5" w:type="dxa"/>
                  <w:vMerge w:val="restart"/>
                  <w:noWrap w:val="0"/>
                  <w:vAlign w:val="center"/>
                </w:tcPr>
                <w:p w14:paraId="0FE35A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DA0</w:t>
                  </w:r>
                  <w:r>
                    <w:rPr>
                      <w:rFonts w:hint="eastAsia" w:ascii="Times New Roman" w:hAnsi="Times New Roman" w:cs="Times New Roman"/>
                      <w:b w:val="0"/>
                      <w:bCs w:val="0"/>
                      <w:color w:val="auto"/>
                      <w:sz w:val="21"/>
                      <w:szCs w:val="21"/>
                      <w:lang w:val="en-US" w:eastAsia="zh-CN"/>
                    </w:rPr>
                    <w:t>46</w:t>
                  </w:r>
                </w:p>
              </w:tc>
              <w:tc>
                <w:tcPr>
                  <w:tcW w:w="435" w:type="dxa"/>
                  <w:vMerge w:val="restart"/>
                  <w:noWrap w:val="0"/>
                  <w:vAlign w:val="center"/>
                </w:tcPr>
                <w:p w14:paraId="4E21F98B">
                  <w:pPr>
                    <w:pStyle w:val="66"/>
                    <w:spacing w:line="240" w:lineRule="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窑尾烟囱</w:t>
                  </w:r>
                </w:p>
              </w:tc>
              <w:tc>
                <w:tcPr>
                  <w:tcW w:w="885" w:type="dxa"/>
                  <w:noWrap w:val="0"/>
                  <w:vAlign w:val="center"/>
                </w:tcPr>
                <w:p w14:paraId="151E9649">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color w:val="auto"/>
                      <w:sz w:val="21"/>
                      <w:szCs w:val="21"/>
                      <w:lang w:val="en-US" w:eastAsia="zh-CN"/>
                    </w:rPr>
                    <w:t>SO</w:t>
                  </w:r>
                  <w:r>
                    <w:rPr>
                      <w:rFonts w:hint="eastAsia" w:cs="Times New Roman"/>
                      <w:color w:val="auto"/>
                      <w:sz w:val="21"/>
                      <w:szCs w:val="21"/>
                      <w:vertAlign w:val="subscript"/>
                      <w:lang w:val="en-US" w:eastAsia="zh-CN"/>
                    </w:rPr>
                    <w:t>2</w:t>
                  </w:r>
                </w:p>
              </w:tc>
              <w:tc>
                <w:tcPr>
                  <w:tcW w:w="1125" w:type="dxa"/>
                  <w:vMerge w:val="restart"/>
                  <w:noWrap w:val="0"/>
                  <w:vAlign w:val="center"/>
                </w:tcPr>
                <w:p w14:paraId="495DA59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116.80713</w:t>
                  </w:r>
                </w:p>
              </w:tc>
              <w:tc>
                <w:tcPr>
                  <w:tcW w:w="1020" w:type="dxa"/>
                  <w:vMerge w:val="restart"/>
                  <w:noWrap w:val="0"/>
                  <w:vAlign w:val="center"/>
                </w:tcPr>
                <w:p w14:paraId="3368E6DE">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color w:val="auto"/>
                      <w:kern w:val="0"/>
                      <w:sz w:val="21"/>
                      <w:szCs w:val="21"/>
                      <w:u w:val="none"/>
                      <w:lang w:val="en-US" w:eastAsia="zh-CN" w:bidi="ar"/>
                    </w:rPr>
                  </w:pPr>
                  <w:r>
                    <w:rPr>
                      <w:rFonts w:hint="default" w:ascii="Times New Roman" w:hAnsi="Times New Roman" w:cs="Times New Roman"/>
                      <w:color w:val="auto"/>
                      <w:sz w:val="21"/>
                      <w:szCs w:val="21"/>
                    </w:rPr>
                    <w:t>34.03129</w:t>
                  </w:r>
                </w:p>
              </w:tc>
              <w:tc>
                <w:tcPr>
                  <w:tcW w:w="600" w:type="dxa"/>
                  <w:vMerge w:val="restart"/>
                  <w:noWrap w:val="0"/>
                  <w:vAlign w:val="center"/>
                </w:tcPr>
                <w:p w14:paraId="424090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95</w:t>
                  </w:r>
                  <w:r>
                    <w:rPr>
                      <w:rFonts w:hint="eastAsia" w:ascii="Times New Roman" w:hAnsi="Times New Roman" w:cs="Times New Roman"/>
                      <w:b w:val="0"/>
                      <w:bCs w:val="0"/>
                      <w:color w:val="auto"/>
                      <w:sz w:val="21"/>
                      <w:szCs w:val="21"/>
                      <w:lang w:val="en-US" w:eastAsia="zh-CN"/>
                    </w:rPr>
                    <w:t>m</w:t>
                  </w:r>
                </w:p>
              </w:tc>
              <w:tc>
                <w:tcPr>
                  <w:tcW w:w="630" w:type="dxa"/>
                  <w:vMerge w:val="restart"/>
                  <w:noWrap w:val="0"/>
                  <w:vAlign w:val="center"/>
                </w:tcPr>
                <w:p w14:paraId="3D14DD43">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4m</w:t>
                  </w:r>
                </w:p>
              </w:tc>
              <w:tc>
                <w:tcPr>
                  <w:tcW w:w="765" w:type="dxa"/>
                  <w:vMerge w:val="restart"/>
                  <w:noWrap w:val="0"/>
                  <w:vAlign w:val="center"/>
                </w:tcPr>
                <w:p w14:paraId="2D8D29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100℃</w:t>
                  </w:r>
                </w:p>
              </w:tc>
              <w:tc>
                <w:tcPr>
                  <w:tcW w:w="954" w:type="dxa"/>
                  <w:vMerge w:val="restart"/>
                  <w:noWrap w:val="0"/>
                  <w:vAlign w:val="center"/>
                </w:tcPr>
                <w:p w14:paraId="09BB4D86">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790000</w:t>
                  </w:r>
                </w:p>
              </w:tc>
              <w:tc>
                <w:tcPr>
                  <w:tcW w:w="1026" w:type="dxa"/>
                  <w:noWrap w:val="0"/>
                  <w:vAlign w:val="center"/>
                </w:tcPr>
                <w:p w14:paraId="65D122CD">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FF0000"/>
                      <w:spacing w:val="-3"/>
                      <w:kern w:val="2"/>
                      <w:sz w:val="21"/>
                      <w:szCs w:val="21"/>
                      <w:lang w:val="en-US" w:eastAsia="zh-CN" w:bidi="ar-SA"/>
                    </w:rPr>
                  </w:pPr>
                  <w:r>
                    <w:rPr>
                      <w:rFonts w:hint="eastAsia" w:cs="Times New Roman"/>
                      <w:color w:val="auto"/>
                      <w:sz w:val="21"/>
                      <w:szCs w:val="21"/>
                      <w:lang w:val="en-US" w:eastAsia="zh-CN"/>
                    </w:rPr>
                    <w:t>46.288</w:t>
                  </w:r>
                </w:p>
              </w:tc>
              <w:tc>
                <w:tcPr>
                  <w:tcW w:w="1014" w:type="dxa"/>
                  <w:noWrap w:val="0"/>
                  <w:vAlign w:val="center"/>
                </w:tcPr>
                <w:p w14:paraId="6493F77C">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5.84444</w:t>
                  </w:r>
                </w:p>
              </w:tc>
              <w:tc>
                <w:tcPr>
                  <w:tcW w:w="1644" w:type="dxa"/>
                  <w:noWrap w:val="0"/>
                  <w:vAlign w:val="center"/>
                </w:tcPr>
                <w:p w14:paraId="7FDBD07D">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FF0000"/>
                      <w:spacing w:val="-3"/>
                      <w:kern w:val="2"/>
                      <w:sz w:val="21"/>
                      <w:szCs w:val="21"/>
                      <w:lang w:val="en-US" w:eastAsia="zh-CN" w:bidi="ar-SA"/>
                    </w:rPr>
                  </w:pPr>
                  <w:r>
                    <w:rPr>
                      <w:rFonts w:hint="eastAsia" w:cs="Times New Roman"/>
                      <w:color w:val="auto"/>
                      <w:sz w:val="21"/>
                      <w:szCs w:val="21"/>
                      <w:lang w:val="en-US" w:eastAsia="zh-CN"/>
                    </w:rPr>
                    <w:t>10.61</w:t>
                  </w:r>
                </w:p>
              </w:tc>
              <w:tc>
                <w:tcPr>
                  <w:tcW w:w="1539" w:type="dxa"/>
                  <w:noWrap w:val="0"/>
                  <w:vAlign w:val="center"/>
                </w:tcPr>
                <w:p w14:paraId="56921F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50</w:t>
                  </w:r>
                </w:p>
              </w:tc>
            </w:tr>
            <w:tr w14:paraId="1AEF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65" w:type="dxa"/>
                  <w:vMerge w:val="continue"/>
                  <w:noWrap w:val="0"/>
                  <w:vAlign w:val="center"/>
                </w:tcPr>
                <w:p w14:paraId="5C8E03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435" w:type="dxa"/>
                  <w:vMerge w:val="continue"/>
                  <w:noWrap w:val="0"/>
                  <w:vAlign w:val="center"/>
                </w:tcPr>
                <w:p w14:paraId="68A641F6">
                  <w:pPr>
                    <w:pStyle w:val="66"/>
                    <w:spacing w:line="240" w:lineRule="auto"/>
                    <w:rPr>
                      <w:rFonts w:hint="eastAsia" w:ascii="Times New Roman" w:hAnsi="Times New Roman" w:cs="Times New Roman"/>
                      <w:color w:val="auto"/>
                      <w:sz w:val="21"/>
                      <w:szCs w:val="21"/>
                      <w:lang w:val="en-US" w:eastAsia="zh-CN"/>
                    </w:rPr>
                  </w:pPr>
                </w:p>
              </w:tc>
              <w:tc>
                <w:tcPr>
                  <w:tcW w:w="885" w:type="dxa"/>
                  <w:noWrap w:val="0"/>
                  <w:vAlign w:val="center"/>
                </w:tcPr>
                <w:p w14:paraId="482AA7CA">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kern w:val="0"/>
                      <w:sz w:val="21"/>
                      <w:szCs w:val="21"/>
                      <w:u w:val="none"/>
                      <w:lang w:val="en-US" w:eastAsia="zh-CN" w:bidi="ar"/>
                    </w:rPr>
                  </w:pPr>
                  <w:r>
                    <w:rPr>
                      <w:rFonts w:hint="eastAsia" w:cs="Times New Roman"/>
                      <w:color w:val="auto"/>
                      <w:sz w:val="21"/>
                      <w:szCs w:val="21"/>
                      <w:lang w:val="en-US" w:eastAsia="zh-CN"/>
                    </w:rPr>
                    <w:t>颗粒物</w:t>
                  </w:r>
                </w:p>
              </w:tc>
              <w:tc>
                <w:tcPr>
                  <w:tcW w:w="1125" w:type="dxa"/>
                  <w:vMerge w:val="continue"/>
                  <w:noWrap w:val="0"/>
                  <w:vAlign w:val="center"/>
                </w:tcPr>
                <w:p w14:paraId="346755A6">
                  <w:pPr>
                    <w:jc w:val="center"/>
                    <w:rPr>
                      <w:rFonts w:hint="default" w:ascii="Times New Roman" w:hAnsi="Times New Roman" w:cs="Times New Roman"/>
                      <w:color w:val="auto"/>
                      <w:sz w:val="21"/>
                      <w:szCs w:val="21"/>
                    </w:rPr>
                  </w:pPr>
                </w:p>
              </w:tc>
              <w:tc>
                <w:tcPr>
                  <w:tcW w:w="1020" w:type="dxa"/>
                  <w:vMerge w:val="continue"/>
                  <w:noWrap w:val="0"/>
                  <w:vAlign w:val="center"/>
                </w:tcPr>
                <w:p w14:paraId="4D99DE12">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p>
              </w:tc>
              <w:tc>
                <w:tcPr>
                  <w:tcW w:w="600" w:type="dxa"/>
                  <w:vMerge w:val="continue"/>
                  <w:noWrap w:val="0"/>
                  <w:vAlign w:val="center"/>
                </w:tcPr>
                <w:p w14:paraId="4277E4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630" w:type="dxa"/>
                  <w:vMerge w:val="continue"/>
                  <w:noWrap w:val="0"/>
                  <w:vAlign w:val="center"/>
                </w:tcPr>
                <w:p w14:paraId="7A59D121">
                  <w:pPr>
                    <w:jc w:val="center"/>
                    <w:rPr>
                      <w:rFonts w:hint="default" w:ascii="Times New Roman" w:hAnsi="Times New Roman" w:cs="Times New Roman"/>
                      <w:color w:val="auto"/>
                      <w:sz w:val="21"/>
                      <w:szCs w:val="21"/>
                    </w:rPr>
                  </w:pPr>
                </w:p>
              </w:tc>
              <w:tc>
                <w:tcPr>
                  <w:tcW w:w="765" w:type="dxa"/>
                  <w:vMerge w:val="continue"/>
                  <w:noWrap w:val="0"/>
                  <w:vAlign w:val="center"/>
                </w:tcPr>
                <w:p w14:paraId="010CF6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954" w:type="dxa"/>
                  <w:vMerge w:val="continue"/>
                  <w:noWrap w:val="0"/>
                  <w:vAlign w:val="center"/>
                </w:tcPr>
                <w:p w14:paraId="3BE24473">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p>
              </w:tc>
              <w:tc>
                <w:tcPr>
                  <w:tcW w:w="1026" w:type="dxa"/>
                  <w:noWrap w:val="0"/>
                  <w:vAlign w:val="center"/>
                </w:tcPr>
                <w:p w14:paraId="73A1147E">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eastAsia" w:cs="Times New Roman"/>
                      <w:color w:val="auto"/>
                      <w:spacing w:val="-3"/>
                      <w:sz w:val="21"/>
                      <w:szCs w:val="21"/>
                      <w:lang w:val="en-US" w:eastAsia="zh-CN"/>
                    </w:rPr>
                  </w:pPr>
                  <w:r>
                    <w:rPr>
                      <w:rFonts w:hint="eastAsia" w:cs="Times New Roman"/>
                      <w:color w:val="auto"/>
                      <w:sz w:val="21"/>
                      <w:szCs w:val="21"/>
                      <w:lang w:val="en-US" w:eastAsia="zh-CN"/>
                    </w:rPr>
                    <w:t>30.99</w:t>
                  </w:r>
                </w:p>
              </w:tc>
              <w:tc>
                <w:tcPr>
                  <w:tcW w:w="1014" w:type="dxa"/>
                  <w:noWrap w:val="0"/>
                  <w:vAlign w:val="center"/>
                </w:tcPr>
                <w:p w14:paraId="14CB0D6C">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3.91288</w:t>
                  </w:r>
                </w:p>
              </w:tc>
              <w:tc>
                <w:tcPr>
                  <w:tcW w:w="1644" w:type="dxa"/>
                  <w:noWrap w:val="0"/>
                  <w:vAlign w:val="center"/>
                </w:tcPr>
                <w:p w14:paraId="3E6ED1B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pacing w:val="-3"/>
                      <w:sz w:val="21"/>
                      <w:szCs w:val="21"/>
                      <w:lang w:val="en-US" w:eastAsia="zh-CN"/>
                    </w:rPr>
                  </w:pPr>
                  <w:r>
                    <w:rPr>
                      <w:rFonts w:hint="eastAsia" w:cs="Times New Roman"/>
                      <w:color w:val="auto"/>
                      <w:sz w:val="21"/>
                      <w:szCs w:val="21"/>
                      <w:lang w:val="en-US" w:eastAsia="zh-CN"/>
                    </w:rPr>
                    <w:t>7.11</w:t>
                  </w:r>
                </w:p>
              </w:tc>
              <w:tc>
                <w:tcPr>
                  <w:tcW w:w="1539" w:type="dxa"/>
                  <w:noWrap w:val="0"/>
                  <w:vAlign w:val="center"/>
                </w:tcPr>
                <w:p w14:paraId="34FB34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w:t>
                  </w:r>
                </w:p>
              </w:tc>
            </w:tr>
            <w:tr w14:paraId="13866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5" w:type="dxa"/>
                  <w:vMerge w:val="continue"/>
                  <w:noWrap w:val="0"/>
                  <w:vAlign w:val="center"/>
                </w:tcPr>
                <w:p w14:paraId="593995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435" w:type="dxa"/>
                  <w:vMerge w:val="continue"/>
                  <w:noWrap w:val="0"/>
                  <w:vAlign w:val="center"/>
                </w:tcPr>
                <w:p w14:paraId="4AA14A00">
                  <w:pPr>
                    <w:pStyle w:val="66"/>
                    <w:spacing w:line="240" w:lineRule="auto"/>
                    <w:rPr>
                      <w:rFonts w:hint="eastAsia" w:ascii="Times New Roman" w:hAnsi="Times New Roman" w:cs="Times New Roman"/>
                      <w:color w:val="auto"/>
                      <w:sz w:val="21"/>
                      <w:szCs w:val="21"/>
                      <w:lang w:val="en-US" w:eastAsia="zh-CN"/>
                    </w:rPr>
                  </w:pPr>
                </w:p>
              </w:tc>
              <w:tc>
                <w:tcPr>
                  <w:tcW w:w="885" w:type="dxa"/>
                  <w:noWrap w:val="0"/>
                  <w:vAlign w:val="center"/>
                </w:tcPr>
                <w:p w14:paraId="50852582">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kern w:val="0"/>
                      <w:sz w:val="21"/>
                      <w:szCs w:val="21"/>
                      <w:u w:val="none"/>
                      <w:lang w:val="en-US" w:eastAsia="zh-CN" w:bidi="ar"/>
                    </w:rPr>
                  </w:pPr>
                  <w:r>
                    <w:rPr>
                      <w:rFonts w:hint="eastAsia" w:cs="Times New Roman"/>
                      <w:color w:val="auto"/>
                      <w:sz w:val="21"/>
                      <w:szCs w:val="21"/>
                      <w:lang w:val="en-US" w:eastAsia="zh-CN"/>
                    </w:rPr>
                    <w:t>NO</w:t>
                  </w:r>
                  <w:r>
                    <w:rPr>
                      <w:rFonts w:hint="eastAsia" w:cs="Times New Roman"/>
                      <w:color w:val="auto"/>
                      <w:sz w:val="21"/>
                      <w:szCs w:val="21"/>
                      <w:vertAlign w:val="baseline"/>
                      <w:lang w:val="en-US" w:eastAsia="zh-CN"/>
                    </w:rPr>
                    <w:t>x</w:t>
                  </w:r>
                </w:p>
              </w:tc>
              <w:tc>
                <w:tcPr>
                  <w:tcW w:w="1125" w:type="dxa"/>
                  <w:vMerge w:val="continue"/>
                  <w:noWrap w:val="0"/>
                  <w:vAlign w:val="center"/>
                </w:tcPr>
                <w:p w14:paraId="210FE6D1">
                  <w:pPr>
                    <w:jc w:val="center"/>
                    <w:rPr>
                      <w:rFonts w:hint="default" w:ascii="Times New Roman" w:hAnsi="Times New Roman" w:cs="Times New Roman"/>
                      <w:color w:val="auto"/>
                      <w:sz w:val="21"/>
                      <w:szCs w:val="21"/>
                    </w:rPr>
                  </w:pPr>
                </w:p>
              </w:tc>
              <w:tc>
                <w:tcPr>
                  <w:tcW w:w="1020" w:type="dxa"/>
                  <w:vMerge w:val="continue"/>
                  <w:noWrap w:val="0"/>
                  <w:vAlign w:val="center"/>
                </w:tcPr>
                <w:p w14:paraId="08CC8052">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p>
              </w:tc>
              <w:tc>
                <w:tcPr>
                  <w:tcW w:w="600" w:type="dxa"/>
                  <w:vMerge w:val="continue"/>
                  <w:noWrap w:val="0"/>
                  <w:vAlign w:val="center"/>
                </w:tcPr>
                <w:p w14:paraId="366657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630" w:type="dxa"/>
                  <w:vMerge w:val="continue"/>
                  <w:noWrap w:val="0"/>
                  <w:vAlign w:val="center"/>
                </w:tcPr>
                <w:p w14:paraId="646CA38F">
                  <w:pPr>
                    <w:jc w:val="center"/>
                    <w:rPr>
                      <w:rFonts w:hint="default" w:ascii="Times New Roman" w:hAnsi="Times New Roman" w:cs="Times New Roman"/>
                      <w:color w:val="auto"/>
                      <w:sz w:val="21"/>
                      <w:szCs w:val="21"/>
                    </w:rPr>
                  </w:pPr>
                </w:p>
              </w:tc>
              <w:tc>
                <w:tcPr>
                  <w:tcW w:w="765" w:type="dxa"/>
                  <w:vMerge w:val="continue"/>
                  <w:noWrap w:val="0"/>
                  <w:vAlign w:val="center"/>
                </w:tcPr>
                <w:p w14:paraId="10D4E2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954" w:type="dxa"/>
                  <w:vMerge w:val="continue"/>
                  <w:noWrap w:val="0"/>
                  <w:vAlign w:val="center"/>
                </w:tcPr>
                <w:p w14:paraId="2FE557FF">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p>
              </w:tc>
              <w:tc>
                <w:tcPr>
                  <w:tcW w:w="1026" w:type="dxa"/>
                  <w:noWrap w:val="0"/>
                  <w:vAlign w:val="center"/>
                </w:tcPr>
                <w:p w14:paraId="7A47AF39">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eastAsia" w:cs="Times New Roman"/>
                      <w:color w:val="auto"/>
                      <w:spacing w:val="-3"/>
                      <w:sz w:val="21"/>
                      <w:szCs w:val="21"/>
                      <w:lang w:val="en-US" w:eastAsia="zh-CN"/>
                    </w:rPr>
                  </w:pPr>
                  <w:r>
                    <w:rPr>
                      <w:rFonts w:hint="eastAsia" w:cs="Times New Roman"/>
                      <w:color w:val="auto"/>
                      <w:sz w:val="21"/>
                      <w:szCs w:val="21"/>
                      <w:lang w:val="en-US" w:eastAsia="zh-CN"/>
                    </w:rPr>
                    <w:t>415.72</w:t>
                  </w:r>
                </w:p>
              </w:tc>
              <w:tc>
                <w:tcPr>
                  <w:tcW w:w="1014" w:type="dxa"/>
                  <w:noWrap w:val="0"/>
                  <w:vAlign w:val="center"/>
                </w:tcPr>
                <w:p w14:paraId="74395FB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52.48990</w:t>
                  </w:r>
                </w:p>
              </w:tc>
              <w:tc>
                <w:tcPr>
                  <w:tcW w:w="1644" w:type="dxa"/>
                  <w:noWrap w:val="0"/>
                  <w:vAlign w:val="center"/>
                </w:tcPr>
                <w:p w14:paraId="6CBBCBB1">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pacing w:val="-3"/>
                      <w:sz w:val="21"/>
                      <w:szCs w:val="21"/>
                      <w:lang w:val="en-US" w:eastAsia="zh-CN"/>
                    </w:rPr>
                  </w:pPr>
                  <w:r>
                    <w:rPr>
                      <w:rFonts w:hint="eastAsia" w:cs="Times New Roman"/>
                      <w:color w:val="auto"/>
                      <w:sz w:val="21"/>
                      <w:szCs w:val="21"/>
                      <w:lang w:val="en-US" w:eastAsia="zh-CN"/>
                    </w:rPr>
                    <w:t>95.34</w:t>
                  </w:r>
                </w:p>
              </w:tc>
              <w:tc>
                <w:tcPr>
                  <w:tcW w:w="1539" w:type="dxa"/>
                  <w:noWrap w:val="0"/>
                  <w:vAlign w:val="center"/>
                </w:tcPr>
                <w:p w14:paraId="7888D2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100</w:t>
                  </w:r>
                </w:p>
              </w:tc>
            </w:tr>
            <w:tr w14:paraId="058E7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5" w:type="dxa"/>
                  <w:vMerge w:val="continue"/>
                  <w:noWrap w:val="0"/>
                  <w:vAlign w:val="center"/>
                </w:tcPr>
                <w:p w14:paraId="111244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435" w:type="dxa"/>
                  <w:vMerge w:val="continue"/>
                  <w:noWrap w:val="0"/>
                  <w:vAlign w:val="center"/>
                </w:tcPr>
                <w:p w14:paraId="38878775">
                  <w:pPr>
                    <w:pStyle w:val="66"/>
                    <w:spacing w:line="240" w:lineRule="auto"/>
                    <w:rPr>
                      <w:rFonts w:hint="eastAsia" w:ascii="Times New Roman" w:hAnsi="Times New Roman" w:cs="Times New Roman"/>
                      <w:color w:val="auto"/>
                      <w:sz w:val="21"/>
                      <w:szCs w:val="21"/>
                      <w:lang w:val="en-US" w:eastAsia="zh-CN"/>
                    </w:rPr>
                  </w:pPr>
                </w:p>
              </w:tc>
              <w:tc>
                <w:tcPr>
                  <w:tcW w:w="885" w:type="dxa"/>
                  <w:noWrap w:val="0"/>
                  <w:vAlign w:val="center"/>
                </w:tcPr>
                <w:p w14:paraId="22C6E4FA">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kern w:val="0"/>
                      <w:sz w:val="21"/>
                      <w:szCs w:val="21"/>
                      <w:u w:val="none"/>
                      <w:lang w:val="en-US" w:eastAsia="zh-CN" w:bidi="ar"/>
                    </w:rPr>
                  </w:pPr>
                  <w:r>
                    <w:rPr>
                      <w:rFonts w:hint="eastAsia" w:cs="Times New Roman"/>
                      <w:color w:val="auto"/>
                      <w:sz w:val="21"/>
                      <w:szCs w:val="21"/>
                      <w:lang w:val="en-US" w:eastAsia="zh-CN"/>
                    </w:rPr>
                    <w:t>NH</w:t>
                  </w:r>
                  <w:r>
                    <w:rPr>
                      <w:rFonts w:hint="eastAsia" w:cs="Times New Roman"/>
                      <w:color w:val="auto"/>
                      <w:sz w:val="21"/>
                      <w:szCs w:val="21"/>
                      <w:vertAlign w:val="subscript"/>
                      <w:lang w:val="en-US" w:eastAsia="zh-CN"/>
                    </w:rPr>
                    <w:t>3</w:t>
                  </w:r>
                </w:p>
              </w:tc>
              <w:tc>
                <w:tcPr>
                  <w:tcW w:w="1125" w:type="dxa"/>
                  <w:vMerge w:val="continue"/>
                  <w:noWrap w:val="0"/>
                  <w:vAlign w:val="center"/>
                </w:tcPr>
                <w:p w14:paraId="5C30A9BA">
                  <w:pPr>
                    <w:jc w:val="center"/>
                    <w:rPr>
                      <w:rFonts w:hint="default" w:ascii="Times New Roman" w:hAnsi="Times New Roman" w:cs="Times New Roman"/>
                      <w:color w:val="auto"/>
                      <w:sz w:val="21"/>
                      <w:szCs w:val="21"/>
                    </w:rPr>
                  </w:pPr>
                </w:p>
              </w:tc>
              <w:tc>
                <w:tcPr>
                  <w:tcW w:w="1020" w:type="dxa"/>
                  <w:vMerge w:val="continue"/>
                  <w:noWrap w:val="0"/>
                  <w:vAlign w:val="center"/>
                </w:tcPr>
                <w:p w14:paraId="01403E0C">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p>
              </w:tc>
              <w:tc>
                <w:tcPr>
                  <w:tcW w:w="600" w:type="dxa"/>
                  <w:vMerge w:val="continue"/>
                  <w:noWrap w:val="0"/>
                  <w:vAlign w:val="center"/>
                </w:tcPr>
                <w:p w14:paraId="4980FF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630" w:type="dxa"/>
                  <w:vMerge w:val="continue"/>
                  <w:noWrap w:val="0"/>
                  <w:vAlign w:val="center"/>
                </w:tcPr>
                <w:p w14:paraId="6F880449">
                  <w:pPr>
                    <w:jc w:val="center"/>
                    <w:rPr>
                      <w:rFonts w:hint="default" w:ascii="Times New Roman" w:hAnsi="Times New Roman" w:cs="Times New Roman"/>
                      <w:color w:val="auto"/>
                      <w:sz w:val="21"/>
                      <w:szCs w:val="21"/>
                    </w:rPr>
                  </w:pPr>
                </w:p>
              </w:tc>
              <w:tc>
                <w:tcPr>
                  <w:tcW w:w="765" w:type="dxa"/>
                  <w:vMerge w:val="continue"/>
                  <w:noWrap w:val="0"/>
                  <w:vAlign w:val="center"/>
                </w:tcPr>
                <w:p w14:paraId="5C16C4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954" w:type="dxa"/>
                  <w:vMerge w:val="continue"/>
                  <w:noWrap w:val="0"/>
                  <w:vAlign w:val="center"/>
                </w:tcPr>
                <w:p w14:paraId="49CA2962">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p>
              </w:tc>
              <w:tc>
                <w:tcPr>
                  <w:tcW w:w="1026" w:type="dxa"/>
                  <w:noWrap w:val="0"/>
                  <w:vAlign w:val="center"/>
                </w:tcPr>
                <w:p w14:paraId="067F4507">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eastAsia" w:cs="Times New Roman"/>
                      <w:color w:val="auto"/>
                      <w:spacing w:val="-3"/>
                      <w:sz w:val="21"/>
                      <w:szCs w:val="21"/>
                      <w:lang w:val="en-US" w:eastAsia="zh-CN"/>
                    </w:rPr>
                  </w:pPr>
                  <w:r>
                    <w:rPr>
                      <w:rFonts w:hint="eastAsia" w:cs="Times New Roman"/>
                      <w:color w:val="auto"/>
                      <w:sz w:val="21"/>
                      <w:szCs w:val="21"/>
                      <w:lang w:val="en-US" w:eastAsia="zh-CN"/>
                    </w:rPr>
                    <w:t>2.942</w:t>
                  </w:r>
                </w:p>
              </w:tc>
              <w:tc>
                <w:tcPr>
                  <w:tcW w:w="1014" w:type="dxa"/>
                  <w:noWrap w:val="0"/>
                  <w:vAlign w:val="center"/>
                </w:tcPr>
                <w:p w14:paraId="338BBFBF">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0.37146</w:t>
                  </w:r>
                </w:p>
              </w:tc>
              <w:tc>
                <w:tcPr>
                  <w:tcW w:w="1644" w:type="dxa"/>
                  <w:noWrap w:val="0"/>
                  <w:vAlign w:val="center"/>
                </w:tcPr>
                <w:p w14:paraId="0B3BBC4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0.67</w:t>
                  </w:r>
                </w:p>
              </w:tc>
              <w:tc>
                <w:tcPr>
                  <w:tcW w:w="1539" w:type="dxa"/>
                  <w:noWrap w:val="0"/>
                  <w:vAlign w:val="center"/>
                </w:tcPr>
                <w:p w14:paraId="61B9CDDE">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5AFA6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5" w:type="dxa"/>
                  <w:vMerge w:val="continue"/>
                  <w:noWrap w:val="0"/>
                  <w:vAlign w:val="center"/>
                </w:tcPr>
                <w:p w14:paraId="074B80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435" w:type="dxa"/>
                  <w:vMerge w:val="continue"/>
                  <w:noWrap w:val="0"/>
                  <w:vAlign w:val="center"/>
                </w:tcPr>
                <w:p w14:paraId="1643F8B6">
                  <w:pPr>
                    <w:pStyle w:val="66"/>
                    <w:spacing w:line="240" w:lineRule="auto"/>
                    <w:rPr>
                      <w:rFonts w:hint="eastAsia" w:ascii="Times New Roman" w:hAnsi="Times New Roman" w:cs="Times New Roman"/>
                      <w:color w:val="auto"/>
                      <w:sz w:val="21"/>
                      <w:szCs w:val="21"/>
                      <w:lang w:val="en-US" w:eastAsia="zh-CN"/>
                    </w:rPr>
                  </w:pPr>
                </w:p>
              </w:tc>
              <w:tc>
                <w:tcPr>
                  <w:tcW w:w="885" w:type="dxa"/>
                  <w:noWrap w:val="0"/>
                  <w:vAlign w:val="center"/>
                </w:tcPr>
                <w:p w14:paraId="655BDE0E">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kern w:val="0"/>
                      <w:sz w:val="21"/>
                      <w:szCs w:val="21"/>
                      <w:u w:val="none"/>
                      <w:lang w:val="en-US" w:eastAsia="zh-CN" w:bidi="ar"/>
                    </w:rPr>
                  </w:pPr>
                  <w:r>
                    <w:rPr>
                      <w:rFonts w:hint="eastAsia" w:cs="Times New Roman"/>
                      <w:color w:val="auto"/>
                      <w:sz w:val="21"/>
                      <w:szCs w:val="21"/>
                      <w:lang w:val="en-US" w:eastAsia="zh-CN"/>
                    </w:rPr>
                    <w:t>HCl</w:t>
                  </w:r>
                </w:p>
              </w:tc>
              <w:tc>
                <w:tcPr>
                  <w:tcW w:w="1125" w:type="dxa"/>
                  <w:vMerge w:val="continue"/>
                  <w:noWrap w:val="0"/>
                  <w:vAlign w:val="center"/>
                </w:tcPr>
                <w:p w14:paraId="32A853BD">
                  <w:pPr>
                    <w:jc w:val="center"/>
                    <w:rPr>
                      <w:rFonts w:hint="default" w:ascii="Times New Roman" w:hAnsi="Times New Roman" w:cs="Times New Roman"/>
                      <w:color w:val="auto"/>
                      <w:sz w:val="21"/>
                      <w:szCs w:val="21"/>
                    </w:rPr>
                  </w:pPr>
                </w:p>
              </w:tc>
              <w:tc>
                <w:tcPr>
                  <w:tcW w:w="1020" w:type="dxa"/>
                  <w:vMerge w:val="continue"/>
                  <w:noWrap w:val="0"/>
                  <w:vAlign w:val="center"/>
                </w:tcPr>
                <w:p w14:paraId="7E1CCD78">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p>
              </w:tc>
              <w:tc>
                <w:tcPr>
                  <w:tcW w:w="600" w:type="dxa"/>
                  <w:vMerge w:val="continue"/>
                  <w:noWrap w:val="0"/>
                  <w:vAlign w:val="center"/>
                </w:tcPr>
                <w:p w14:paraId="14BAFA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630" w:type="dxa"/>
                  <w:vMerge w:val="continue"/>
                  <w:noWrap w:val="0"/>
                  <w:vAlign w:val="center"/>
                </w:tcPr>
                <w:p w14:paraId="4CA2C4EB">
                  <w:pPr>
                    <w:jc w:val="center"/>
                    <w:rPr>
                      <w:rFonts w:hint="default" w:ascii="Times New Roman" w:hAnsi="Times New Roman" w:cs="Times New Roman"/>
                      <w:color w:val="auto"/>
                      <w:sz w:val="21"/>
                      <w:szCs w:val="21"/>
                    </w:rPr>
                  </w:pPr>
                </w:p>
              </w:tc>
              <w:tc>
                <w:tcPr>
                  <w:tcW w:w="765" w:type="dxa"/>
                  <w:vMerge w:val="continue"/>
                  <w:noWrap w:val="0"/>
                  <w:vAlign w:val="center"/>
                </w:tcPr>
                <w:p w14:paraId="6F7126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954" w:type="dxa"/>
                  <w:vMerge w:val="continue"/>
                  <w:noWrap w:val="0"/>
                  <w:vAlign w:val="center"/>
                </w:tcPr>
                <w:p w14:paraId="212567D8">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p>
              </w:tc>
              <w:tc>
                <w:tcPr>
                  <w:tcW w:w="1026" w:type="dxa"/>
                  <w:noWrap w:val="0"/>
                  <w:vAlign w:val="center"/>
                </w:tcPr>
                <w:p w14:paraId="7650E1A1">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eastAsia" w:cs="Times New Roman"/>
                      <w:color w:val="auto"/>
                      <w:spacing w:val="-3"/>
                      <w:sz w:val="21"/>
                      <w:szCs w:val="21"/>
                      <w:lang w:val="en-US" w:eastAsia="zh-CN"/>
                    </w:rPr>
                  </w:pPr>
                  <w:r>
                    <w:rPr>
                      <w:rFonts w:hint="eastAsia" w:cs="Times New Roman"/>
                      <w:color w:val="auto"/>
                      <w:sz w:val="21"/>
                      <w:szCs w:val="21"/>
                      <w:lang w:val="en-US" w:eastAsia="zh-CN"/>
                    </w:rPr>
                    <w:t>35.877</w:t>
                  </w:r>
                </w:p>
              </w:tc>
              <w:tc>
                <w:tcPr>
                  <w:tcW w:w="1014" w:type="dxa"/>
                  <w:noWrap w:val="0"/>
                  <w:vAlign w:val="center"/>
                </w:tcPr>
                <w:p w14:paraId="3AB9CE54">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4.52992</w:t>
                  </w:r>
                </w:p>
              </w:tc>
              <w:tc>
                <w:tcPr>
                  <w:tcW w:w="1644" w:type="dxa"/>
                  <w:noWrap w:val="0"/>
                  <w:vAlign w:val="center"/>
                </w:tcPr>
                <w:p w14:paraId="681C8AB6">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8.228</w:t>
                  </w:r>
                </w:p>
              </w:tc>
              <w:tc>
                <w:tcPr>
                  <w:tcW w:w="1539" w:type="dxa"/>
                  <w:noWrap w:val="0"/>
                  <w:vAlign w:val="center"/>
                </w:tcPr>
                <w:p w14:paraId="2AC5DC2D">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r>
            <w:tr w14:paraId="1F7C7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5" w:type="dxa"/>
                  <w:vMerge w:val="continue"/>
                  <w:noWrap w:val="0"/>
                  <w:vAlign w:val="center"/>
                </w:tcPr>
                <w:p w14:paraId="7C5B59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435" w:type="dxa"/>
                  <w:vMerge w:val="continue"/>
                  <w:noWrap w:val="0"/>
                  <w:vAlign w:val="center"/>
                </w:tcPr>
                <w:p w14:paraId="13144C0D">
                  <w:pPr>
                    <w:pStyle w:val="66"/>
                    <w:spacing w:line="240" w:lineRule="auto"/>
                    <w:rPr>
                      <w:rFonts w:hint="eastAsia" w:ascii="Times New Roman" w:hAnsi="Times New Roman" w:cs="Times New Roman"/>
                      <w:color w:val="auto"/>
                      <w:sz w:val="21"/>
                      <w:szCs w:val="21"/>
                      <w:lang w:val="en-US" w:eastAsia="zh-CN"/>
                    </w:rPr>
                  </w:pPr>
                </w:p>
              </w:tc>
              <w:tc>
                <w:tcPr>
                  <w:tcW w:w="885" w:type="dxa"/>
                  <w:noWrap w:val="0"/>
                  <w:vAlign w:val="center"/>
                </w:tcPr>
                <w:p w14:paraId="3FE76E9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kern w:val="0"/>
                      <w:sz w:val="21"/>
                      <w:szCs w:val="21"/>
                      <w:u w:val="none"/>
                      <w:lang w:val="en-US" w:eastAsia="zh-CN" w:bidi="ar"/>
                    </w:rPr>
                  </w:pPr>
                  <w:r>
                    <w:rPr>
                      <w:rFonts w:hint="eastAsia" w:cs="Times New Roman"/>
                      <w:color w:val="auto"/>
                      <w:sz w:val="21"/>
                      <w:szCs w:val="21"/>
                      <w:lang w:val="en-US" w:eastAsia="zh-CN"/>
                    </w:rPr>
                    <w:t>HF</w:t>
                  </w:r>
                </w:p>
              </w:tc>
              <w:tc>
                <w:tcPr>
                  <w:tcW w:w="1125" w:type="dxa"/>
                  <w:vMerge w:val="continue"/>
                  <w:noWrap w:val="0"/>
                  <w:vAlign w:val="center"/>
                </w:tcPr>
                <w:p w14:paraId="240DF1F3">
                  <w:pPr>
                    <w:jc w:val="center"/>
                    <w:rPr>
                      <w:rFonts w:hint="default" w:ascii="Times New Roman" w:hAnsi="Times New Roman" w:cs="Times New Roman"/>
                      <w:color w:val="auto"/>
                      <w:sz w:val="21"/>
                      <w:szCs w:val="21"/>
                    </w:rPr>
                  </w:pPr>
                </w:p>
              </w:tc>
              <w:tc>
                <w:tcPr>
                  <w:tcW w:w="1020" w:type="dxa"/>
                  <w:vMerge w:val="continue"/>
                  <w:noWrap w:val="0"/>
                  <w:vAlign w:val="center"/>
                </w:tcPr>
                <w:p w14:paraId="26C23B17">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p>
              </w:tc>
              <w:tc>
                <w:tcPr>
                  <w:tcW w:w="600" w:type="dxa"/>
                  <w:vMerge w:val="continue"/>
                  <w:noWrap w:val="0"/>
                  <w:vAlign w:val="center"/>
                </w:tcPr>
                <w:p w14:paraId="72D795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630" w:type="dxa"/>
                  <w:vMerge w:val="continue"/>
                  <w:noWrap w:val="0"/>
                  <w:vAlign w:val="center"/>
                </w:tcPr>
                <w:p w14:paraId="758DCF4F">
                  <w:pPr>
                    <w:jc w:val="center"/>
                    <w:rPr>
                      <w:rFonts w:hint="default" w:ascii="Times New Roman" w:hAnsi="Times New Roman" w:cs="Times New Roman"/>
                      <w:color w:val="auto"/>
                      <w:sz w:val="21"/>
                      <w:szCs w:val="21"/>
                    </w:rPr>
                  </w:pPr>
                </w:p>
              </w:tc>
              <w:tc>
                <w:tcPr>
                  <w:tcW w:w="765" w:type="dxa"/>
                  <w:vMerge w:val="continue"/>
                  <w:noWrap w:val="0"/>
                  <w:vAlign w:val="center"/>
                </w:tcPr>
                <w:p w14:paraId="4C0E4C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954" w:type="dxa"/>
                  <w:vMerge w:val="continue"/>
                  <w:noWrap w:val="0"/>
                  <w:vAlign w:val="center"/>
                </w:tcPr>
                <w:p w14:paraId="1477C200">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val="en-US" w:eastAsia="zh-CN"/>
                    </w:rPr>
                  </w:pPr>
                </w:p>
              </w:tc>
              <w:tc>
                <w:tcPr>
                  <w:tcW w:w="1026" w:type="dxa"/>
                  <w:noWrap w:val="0"/>
                  <w:vAlign w:val="center"/>
                </w:tcPr>
                <w:p w14:paraId="751B8DC1">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eastAsia" w:cs="Times New Roman"/>
                      <w:color w:val="auto"/>
                      <w:spacing w:val="-3"/>
                      <w:sz w:val="21"/>
                      <w:szCs w:val="21"/>
                      <w:lang w:val="en-US" w:eastAsia="zh-CN"/>
                    </w:rPr>
                  </w:pPr>
                  <w:r>
                    <w:rPr>
                      <w:rFonts w:hint="eastAsia" w:cs="Times New Roman"/>
                      <w:color w:val="auto"/>
                      <w:sz w:val="21"/>
                      <w:szCs w:val="21"/>
                      <w:lang w:val="en-US" w:eastAsia="zh-CN"/>
                    </w:rPr>
                    <w:t>3.345</w:t>
                  </w:r>
                </w:p>
              </w:tc>
              <w:tc>
                <w:tcPr>
                  <w:tcW w:w="1014" w:type="dxa"/>
                  <w:noWrap w:val="0"/>
                  <w:vAlign w:val="center"/>
                </w:tcPr>
                <w:p w14:paraId="7F8EBB68">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0.42235</w:t>
                  </w:r>
                </w:p>
              </w:tc>
              <w:tc>
                <w:tcPr>
                  <w:tcW w:w="1644" w:type="dxa"/>
                  <w:noWrap w:val="0"/>
                  <w:vAlign w:val="center"/>
                </w:tcPr>
                <w:p w14:paraId="67A894D6">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0.77</w:t>
                  </w:r>
                </w:p>
              </w:tc>
              <w:tc>
                <w:tcPr>
                  <w:tcW w:w="1539" w:type="dxa"/>
                  <w:noWrap w:val="0"/>
                  <w:vAlign w:val="center"/>
                </w:tcPr>
                <w:p w14:paraId="661DE48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r>
            <w:tr w14:paraId="7BE42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5" w:type="dxa"/>
                  <w:vMerge w:val="continue"/>
                  <w:noWrap w:val="0"/>
                  <w:vAlign w:val="center"/>
                </w:tcPr>
                <w:p w14:paraId="63218D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435" w:type="dxa"/>
                  <w:vMerge w:val="continue"/>
                  <w:noWrap w:val="0"/>
                  <w:vAlign w:val="center"/>
                </w:tcPr>
                <w:p w14:paraId="0E097A90">
                  <w:pPr>
                    <w:pStyle w:val="66"/>
                    <w:spacing w:line="240" w:lineRule="auto"/>
                    <w:rPr>
                      <w:rFonts w:hint="eastAsia" w:ascii="Times New Roman" w:hAnsi="Times New Roman" w:cs="Times New Roman"/>
                      <w:color w:val="auto"/>
                      <w:sz w:val="21"/>
                      <w:szCs w:val="21"/>
                      <w:lang w:val="en-US" w:eastAsia="zh-CN"/>
                    </w:rPr>
                  </w:pPr>
                </w:p>
              </w:tc>
              <w:tc>
                <w:tcPr>
                  <w:tcW w:w="885" w:type="dxa"/>
                  <w:noWrap w:val="0"/>
                  <w:vAlign w:val="center"/>
                </w:tcPr>
                <w:p w14:paraId="36731443">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kern w:val="0"/>
                      <w:sz w:val="21"/>
                      <w:szCs w:val="21"/>
                      <w:u w:val="none"/>
                      <w:lang w:val="en-US" w:eastAsia="zh-CN" w:bidi="ar"/>
                    </w:rPr>
                  </w:pPr>
                  <w:r>
                    <w:rPr>
                      <w:rFonts w:hint="eastAsia" w:cs="Times New Roman"/>
                      <w:color w:val="auto"/>
                      <w:sz w:val="21"/>
                      <w:szCs w:val="21"/>
                      <w:lang w:val="en-US" w:eastAsia="zh-CN"/>
                    </w:rPr>
                    <w:t>Hg</w:t>
                  </w:r>
                </w:p>
              </w:tc>
              <w:tc>
                <w:tcPr>
                  <w:tcW w:w="1125" w:type="dxa"/>
                  <w:vMerge w:val="continue"/>
                  <w:noWrap w:val="0"/>
                  <w:vAlign w:val="center"/>
                </w:tcPr>
                <w:p w14:paraId="3FDBD53F">
                  <w:pPr>
                    <w:jc w:val="center"/>
                    <w:rPr>
                      <w:rFonts w:hint="default" w:ascii="Times New Roman" w:hAnsi="Times New Roman" w:cs="Times New Roman"/>
                      <w:color w:val="auto"/>
                      <w:sz w:val="21"/>
                      <w:szCs w:val="21"/>
                    </w:rPr>
                  </w:pPr>
                </w:p>
              </w:tc>
              <w:tc>
                <w:tcPr>
                  <w:tcW w:w="1020" w:type="dxa"/>
                  <w:vMerge w:val="continue"/>
                  <w:noWrap w:val="0"/>
                  <w:vAlign w:val="center"/>
                </w:tcPr>
                <w:p w14:paraId="4CA3A0D1">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p>
              </w:tc>
              <w:tc>
                <w:tcPr>
                  <w:tcW w:w="600" w:type="dxa"/>
                  <w:vMerge w:val="continue"/>
                  <w:noWrap w:val="0"/>
                  <w:vAlign w:val="center"/>
                </w:tcPr>
                <w:p w14:paraId="770C41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630" w:type="dxa"/>
                  <w:vMerge w:val="continue"/>
                  <w:noWrap w:val="0"/>
                  <w:vAlign w:val="center"/>
                </w:tcPr>
                <w:p w14:paraId="773F4702">
                  <w:pPr>
                    <w:jc w:val="center"/>
                    <w:rPr>
                      <w:rFonts w:hint="default" w:ascii="Times New Roman" w:hAnsi="Times New Roman" w:cs="Times New Roman"/>
                      <w:color w:val="auto"/>
                      <w:sz w:val="21"/>
                      <w:szCs w:val="21"/>
                    </w:rPr>
                  </w:pPr>
                </w:p>
              </w:tc>
              <w:tc>
                <w:tcPr>
                  <w:tcW w:w="765" w:type="dxa"/>
                  <w:vMerge w:val="continue"/>
                  <w:noWrap w:val="0"/>
                  <w:vAlign w:val="center"/>
                </w:tcPr>
                <w:p w14:paraId="42BF4A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954" w:type="dxa"/>
                  <w:vMerge w:val="continue"/>
                  <w:noWrap w:val="0"/>
                  <w:vAlign w:val="center"/>
                </w:tcPr>
                <w:p w14:paraId="55F04BEA">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val="en-US" w:eastAsia="zh-CN"/>
                    </w:rPr>
                  </w:pPr>
                </w:p>
              </w:tc>
              <w:tc>
                <w:tcPr>
                  <w:tcW w:w="1026" w:type="dxa"/>
                  <w:noWrap w:val="0"/>
                  <w:vAlign w:val="center"/>
                </w:tcPr>
                <w:p w14:paraId="677EC3F7">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eastAsia" w:cs="Times New Roman"/>
                      <w:color w:val="auto"/>
                      <w:spacing w:val="-3"/>
                      <w:sz w:val="21"/>
                      <w:szCs w:val="21"/>
                      <w:lang w:val="en-US" w:eastAsia="zh-CN"/>
                    </w:rPr>
                  </w:pPr>
                  <w:r>
                    <w:rPr>
                      <w:rFonts w:hint="eastAsia" w:cs="Times New Roman"/>
                      <w:color w:val="auto"/>
                      <w:sz w:val="21"/>
                      <w:szCs w:val="21"/>
                      <w:lang w:val="en-US" w:eastAsia="zh-CN"/>
                    </w:rPr>
                    <w:t>0.00303</w:t>
                  </w:r>
                </w:p>
              </w:tc>
              <w:tc>
                <w:tcPr>
                  <w:tcW w:w="1014" w:type="dxa"/>
                  <w:noWrap w:val="0"/>
                  <w:vAlign w:val="center"/>
                </w:tcPr>
                <w:p w14:paraId="5109576C">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0.00038</w:t>
                  </w:r>
                </w:p>
              </w:tc>
              <w:tc>
                <w:tcPr>
                  <w:tcW w:w="1644" w:type="dxa"/>
                  <w:noWrap w:val="0"/>
                  <w:vAlign w:val="center"/>
                </w:tcPr>
                <w:p w14:paraId="1F75908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0.00069</w:t>
                  </w:r>
                </w:p>
              </w:tc>
              <w:tc>
                <w:tcPr>
                  <w:tcW w:w="1539" w:type="dxa"/>
                  <w:noWrap w:val="0"/>
                  <w:vAlign w:val="center"/>
                </w:tcPr>
                <w:p w14:paraId="496AAF06">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w:t>
                  </w:r>
                </w:p>
              </w:tc>
            </w:tr>
            <w:tr w14:paraId="2BEC0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5" w:type="dxa"/>
                  <w:vMerge w:val="continue"/>
                  <w:noWrap w:val="0"/>
                  <w:vAlign w:val="center"/>
                </w:tcPr>
                <w:p w14:paraId="3BB4FA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435" w:type="dxa"/>
                  <w:vMerge w:val="continue"/>
                  <w:noWrap w:val="0"/>
                  <w:vAlign w:val="center"/>
                </w:tcPr>
                <w:p w14:paraId="203C450E">
                  <w:pPr>
                    <w:pStyle w:val="66"/>
                    <w:spacing w:line="240" w:lineRule="auto"/>
                    <w:rPr>
                      <w:rFonts w:hint="eastAsia" w:ascii="Times New Roman" w:hAnsi="Times New Roman" w:cs="Times New Roman"/>
                      <w:color w:val="auto"/>
                      <w:sz w:val="21"/>
                      <w:szCs w:val="21"/>
                      <w:lang w:val="en-US" w:eastAsia="zh-CN"/>
                    </w:rPr>
                  </w:pPr>
                </w:p>
              </w:tc>
              <w:tc>
                <w:tcPr>
                  <w:tcW w:w="885" w:type="dxa"/>
                  <w:noWrap w:val="0"/>
                  <w:vAlign w:val="center"/>
                </w:tcPr>
                <w:p w14:paraId="7D049CCC">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kern w:val="0"/>
                      <w:sz w:val="21"/>
                      <w:szCs w:val="21"/>
                      <w:u w:val="none"/>
                      <w:lang w:val="en-US" w:eastAsia="zh-CN" w:bidi="ar"/>
                    </w:rPr>
                  </w:pPr>
                  <w:r>
                    <w:rPr>
                      <w:rFonts w:hint="eastAsia" w:cs="Times New Roman"/>
                      <w:color w:val="auto"/>
                      <w:sz w:val="21"/>
                      <w:szCs w:val="21"/>
                      <w:lang w:val="en-US" w:eastAsia="zh-CN"/>
                    </w:rPr>
                    <w:t>Cd</w:t>
                  </w:r>
                </w:p>
              </w:tc>
              <w:tc>
                <w:tcPr>
                  <w:tcW w:w="1125" w:type="dxa"/>
                  <w:vMerge w:val="continue"/>
                  <w:noWrap w:val="0"/>
                  <w:vAlign w:val="center"/>
                </w:tcPr>
                <w:p w14:paraId="645B571B">
                  <w:pPr>
                    <w:jc w:val="center"/>
                    <w:rPr>
                      <w:rFonts w:hint="default" w:ascii="Times New Roman" w:hAnsi="Times New Roman" w:cs="Times New Roman"/>
                      <w:color w:val="auto"/>
                      <w:sz w:val="21"/>
                      <w:szCs w:val="21"/>
                    </w:rPr>
                  </w:pPr>
                </w:p>
              </w:tc>
              <w:tc>
                <w:tcPr>
                  <w:tcW w:w="1020" w:type="dxa"/>
                  <w:vMerge w:val="continue"/>
                  <w:noWrap w:val="0"/>
                  <w:vAlign w:val="center"/>
                </w:tcPr>
                <w:p w14:paraId="46ACF565">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p>
              </w:tc>
              <w:tc>
                <w:tcPr>
                  <w:tcW w:w="600" w:type="dxa"/>
                  <w:vMerge w:val="continue"/>
                  <w:noWrap w:val="0"/>
                  <w:vAlign w:val="center"/>
                </w:tcPr>
                <w:p w14:paraId="68AC81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630" w:type="dxa"/>
                  <w:vMerge w:val="continue"/>
                  <w:noWrap w:val="0"/>
                  <w:vAlign w:val="center"/>
                </w:tcPr>
                <w:p w14:paraId="78ED2E27">
                  <w:pPr>
                    <w:jc w:val="center"/>
                    <w:rPr>
                      <w:rFonts w:hint="default" w:ascii="Times New Roman" w:hAnsi="Times New Roman" w:cs="Times New Roman"/>
                      <w:color w:val="auto"/>
                      <w:sz w:val="21"/>
                      <w:szCs w:val="21"/>
                    </w:rPr>
                  </w:pPr>
                </w:p>
              </w:tc>
              <w:tc>
                <w:tcPr>
                  <w:tcW w:w="765" w:type="dxa"/>
                  <w:vMerge w:val="continue"/>
                  <w:noWrap w:val="0"/>
                  <w:vAlign w:val="center"/>
                </w:tcPr>
                <w:p w14:paraId="6D0B7C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954" w:type="dxa"/>
                  <w:vMerge w:val="continue"/>
                  <w:noWrap w:val="0"/>
                  <w:vAlign w:val="center"/>
                </w:tcPr>
                <w:p w14:paraId="57D61872">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val="en-US" w:eastAsia="zh-CN"/>
                    </w:rPr>
                  </w:pPr>
                </w:p>
              </w:tc>
              <w:tc>
                <w:tcPr>
                  <w:tcW w:w="1026" w:type="dxa"/>
                  <w:noWrap w:val="0"/>
                  <w:vAlign w:val="center"/>
                </w:tcPr>
                <w:p w14:paraId="57620942">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eastAsia" w:cs="Times New Roman"/>
                      <w:color w:val="auto"/>
                      <w:spacing w:val="-3"/>
                      <w:sz w:val="21"/>
                      <w:szCs w:val="21"/>
                      <w:lang w:val="en-US" w:eastAsia="zh-CN"/>
                    </w:rPr>
                  </w:pPr>
                  <w:r>
                    <w:rPr>
                      <w:rFonts w:hint="eastAsia" w:cs="Times New Roman"/>
                      <w:color w:val="auto"/>
                      <w:sz w:val="21"/>
                      <w:szCs w:val="21"/>
                      <w:lang w:val="en-US" w:eastAsia="zh-CN"/>
                    </w:rPr>
                    <w:t>0.00126</w:t>
                  </w:r>
                </w:p>
              </w:tc>
              <w:tc>
                <w:tcPr>
                  <w:tcW w:w="1014" w:type="dxa"/>
                  <w:noWrap w:val="0"/>
                  <w:vAlign w:val="center"/>
                </w:tcPr>
                <w:p w14:paraId="2D104441">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0.00016</w:t>
                  </w:r>
                </w:p>
              </w:tc>
              <w:tc>
                <w:tcPr>
                  <w:tcW w:w="1644" w:type="dxa"/>
                  <w:noWrap w:val="0"/>
                  <w:vAlign w:val="center"/>
                </w:tcPr>
                <w:p w14:paraId="1EC54D6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0.00029</w:t>
                  </w:r>
                </w:p>
              </w:tc>
              <w:tc>
                <w:tcPr>
                  <w:tcW w:w="1539" w:type="dxa"/>
                  <w:vMerge w:val="restart"/>
                  <w:noWrap w:val="0"/>
                  <w:vAlign w:val="center"/>
                </w:tcPr>
                <w:p w14:paraId="6332D187">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5725C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5" w:type="dxa"/>
                  <w:vMerge w:val="continue"/>
                  <w:noWrap w:val="0"/>
                  <w:vAlign w:val="center"/>
                </w:tcPr>
                <w:p w14:paraId="46A515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435" w:type="dxa"/>
                  <w:vMerge w:val="continue"/>
                  <w:noWrap w:val="0"/>
                  <w:vAlign w:val="center"/>
                </w:tcPr>
                <w:p w14:paraId="5856F1AD">
                  <w:pPr>
                    <w:pStyle w:val="66"/>
                    <w:spacing w:line="240" w:lineRule="auto"/>
                    <w:rPr>
                      <w:rFonts w:hint="eastAsia" w:ascii="Times New Roman" w:hAnsi="Times New Roman" w:cs="Times New Roman"/>
                      <w:color w:val="auto"/>
                      <w:sz w:val="21"/>
                      <w:szCs w:val="21"/>
                      <w:lang w:val="en-US" w:eastAsia="zh-CN"/>
                    </w:rPr>
                  </w:pPr>
                </w:p>
              </w:tc>
              <w:tc>
                <w:tcPr>
                  <w:tcW w:w="885" w:type="dxa"/>
                  <w:noWrap w:val="0"/>
                  <w:vAlign w:val="center"/>
                </w:tcPr>
                <w:p w14:paraId="6AF206E2">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kern w:val="0"/>
                      <w:sz w:val="21"/>
                      <w:szCs w:val="21"/>
                      <w:u w:val="none"/>
                      <w:lang w:val="en-US" w:eastAsia="zh-CN" w:bidi="ar"/>
                    </w:rPr>
                  </w:pPr>
                  <w:r>
                    <w:rPr>
                      <w:rFonts w:hint="eastAsia" w:cs="Times New Roman"/>
                      <w:color w:val="auto"/>
                      <w:sz w:val="21"/>
                      <w:szCs w:val="21"/>
                      <w:lang w:val="en-US" w:eastAsia="zh-CN"/>
                    </w:rPr>
                    <w:t>As</w:t>
                  </w:r>
                </w:p>
              </w:tc>
              <w:tc>
                <w:tcPr>
                  <w:tcW w:w="1125" w:type="dxa"/>
                  <w:vMerge w:val="continue"/>
                  <w:noWrap w:val="0"/>
                  <w:vAlign w:val="center"/>
                </w:tcPr>
                <w:p w14:paraId="4A4962FC">
                  <w:pPr>
                    <w:jc w:val="center"/>
                    <w:rPr>
                      <w:rFonts w:hint="default" w:ascii="Times New Roman" w:hAnsi="Times New Roman" w:cs="Times New Roman"/>
                      <w:color w:val="auto"/>
                      <w:sz w:val="21"/>
                      <w:szCs w:val="21"/>
                    </w:rPr>
                  </w:pPr>
                </w:p>
              </w:tc>
              <w:tc>
                <w:tcPr>
                  <w:tcW w:w="1020" w:type="dxa"/>
                  <w:vMerge w:val="continue"/>
                  <w:noWrap w:val="0"/>
                  <w:vAlign w:val="center"/>
                </w:tcPr>
                <w:p w14:paraId="0EC78B23">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p>
              </w:tc>
              <w:tc>
                <w:tcPr>
                  <w:tcW w:w="600" w:type="dxa"/>
                  <w:vMerge w:val="continue"/>
                  <w:noWrap w:val="0"/>
                  <w:vAlign w:val="center"/>
                </w:tcPr>
                <w:p w14:paraId="695E67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630" w:type="dxa"/>
                  <w:vMerge w:val="continue"/>
                  <w:noWrap w:val="0"/>
                  <w:vAlign w:val="center"/>
                </w:tcPr>
                <w:p w14:paraId="7E685AB8">
                  <w:pPr>
                    <w:jc w:val="center"/>
                    <w:rPr>
                      <w:rFonts w:hint="default" w:ascii="Times New Roman" w:hAnsi="Times New Roman" w:cs="Times New Roman"/>
                      <w:color w:val="auto"/>
                      <w:sz w:val="21"/>
                      <w:szCs w:val="21"/>
                    </w:rPr>
                  </w:pPr>
                </w:p>
              </w:tc>
              <w:tc>
                <w:tcPr>
                  <w:tcW w:w="765" w:type="dxa"/>
                  <w:vMerge w:val="continue"/>
                  <w:noWrap w:val="0"/>
                  <w:vAlign w:val="center"/>
                </w:tcPr>
                <w:p w14:paraId="23200E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954" w:type="dxa"/>
                  <w:vMerge w:val="continue"/>
                  <w:noWrap w:val="0"/>
                  <w:vAlign w:val="center"/>
                </w:tcPr>
                <w:p w14:paraId="376C225E">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val="en-US" w:eastAsia="zh-CN"/>
                    </w:rPr>
                  </w:pPr>
                </w:p>
              </w:tc>
              <w:tc>
                <w:tcPr>
                  <w:tcW w:w="1026" w:type="dxa"/>
                  <w:noWrap w:val="0"/>
                  <w:vAlign w:val="center"/>
                </w:tcPr>
                <w:p w14:paraId="2DB68156">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eastAsia" w:cs="Times New Roman"/>
                      <w:color w:val="auto"/>
                      <w:spacing w:val="-3"/>
                      <w:sz w:val="21"/>
                      <w:szCs w:val="21"/>
                      <w:lang w:val="en-US" w:eastAsia="zh-CN"/>
                    </w:rPr>
                  </w:pPr>
                  <w:r>
                    <w:rPr>
                      <w:rFonts w:hint="eastAsia" w:cs="Times New Roman"/>
                      <w:color w:val="auto"/>
                      <w:sz w:val="21"/>
                      <w:szCs w:val="21"/>
                      <w:lang w:val="en-US" w:eastAsia="zh-CN"/>
                    </w:rPr>
                    <w:t>0.002408</w:t>
                  </w:r>
                </w:p>
              </w:tc>
              <w:tc>
                <w:tcPr>
                  <w:tcW w:w="1014" w:type="dxa"/>
                  <w:noWrap w:val="0"/>
                  <w:vAlign w:val="center"/>
                </w:tcPr>
                <w:p w14:paraId="7CBAFD3B">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0.00030</w:t>
                  </w:r>
                </w:p>
              </w:tc>
              <w:tc>
                <w:tcPr>
                  <w:tcW w:w="1644" w:type="dxa"/>
                  <w:noWrap w:val="0"/>
                  <w:vAlign w:val="center"/>
                </w:tcPr>
                <w:p w14:paraId="0A629AB9">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0.00055</w:t>
                  </w:r>
                </w:p>
              </w:tc>
              <w:tc>
                <w:tcPr>
                  <w:tcW w:w="1539" w:type="dxa"/>
                  <w:vMerge w:val="continue"/>
                  <w:noWrap w:val="0"/>
                  <w:vAlign w:val="center"/>
                </w:tcPr>
                <w:p w14:paraId="555C34E8">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p>
              </w:tc>
            </w:tr>
            <w:tr w14:paraId="2A5BA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5" w:type="dxa"/>
                  <w:vMerge w:val="continue"/>
                  <w:noWrap w:val="0"/>
                  <w:vAlign w:val="center"/>
                </w:tcPr>
                <w:p w14:paraId="310AE1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435" w:type="dxa"/>
                  <w:vMerge w:val="continue"/>
                  <w:noWrap w:val="0"/>
                  <w:vAlign w:val="center"/>
                </w:tcPr>
                <w:p w14:paraId="6AC3D91A">
                  <w:pPr>
                    <w:pStyle w:val="66"/>
                    <w:spacing w:line="240" w:lineRule="auto"/>
                    <w:rPr>
                      <w:rFonts w:hint="eastAsia" w:ascii="Times New Roman" w:hAnsi="Times New Roman" w:cs="Times New Roman"/>
                      <w:color w:val="auto"/>
                      <w:sz w:val="21"/>
                      <w:szCs w:val="21"/>
                      <w:lang w:val="en-US" w:eastAsia="zh-CN"/>
                    </w:rPr>
                  </w:pPr>
                </w:p>
              </w:tc>
              <w:tc>
                <w:tcPr>
                  <w:tcW w:w="885" w:type="dxa"/>
                  <w:noWrap w:val="0"/>
                  <w:vAlign w:val="center"/>
                </w:tcPr>
                <w:p w14:paraId="00446B12">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kern w:val="0"/>
                      <w:sz w:val="21"/>
                      <w:szCs w:val="21"/>
                      <w:u w:val="none"/>
                      <w:lang w:val="en-US" w:eastAsia="zh-CN" w:bidi="ar"/>
                    </w:rPr>
                  </w:pPr>
                  <w:r>
                    <w:rPr>
                      <w:rFonts w:hint="eastAsia" w:cs="Times New Roman"/>
                      <w:color w:val="auto"/>
                      <w:sz w:val="21"/>
                      <w:szCs w:val="21"/>
                      <w:lang w:val="en-US" w:eastAsia="zh-CN"/>
                    </w:rPr>
                    <w:t>Pb</w:t>
                  </w:r>
                </w:p>
              </w:tc>
              <w:tc>
                <w:tcPr>
                  <w:tcW w:w="1125" w:type="dxa"/>
                  <w:vMerge w:val="continue"/>
                  <w:noWrap w:val="0"/>
                  <w:vAlign w:val="center"/>
                </w:tcPr>
                <w:p w14:paraId="2DC5FA6C">
                  <w:pPr>
                    <w:jc w:val="center"/>
                    <w:rPr>
                      <w:rFonts w:hint="default" w:ascii="Times New Roman" w:hAnsi="Times New Roman" w:cs="Times New Roman"/>
                      <w:color w:val="auto"/>
                      <w:sz w:val="21"/>
                      <w:szCs w:val="21"/>
                    </w:rPr>
                  </w:pPr>
                </w:p>
              </w:tc>
              <w:tc>
                <w:tcPr>
                  <w:tcW w:w="1020" w:type="dxa"/>
                  <w:vMerge w:val="continue"/>
                  <w:noWrap w:val="0"/>
                  <w:vAlign w:val="center"/>
                </w:tcPr>
                <w:p w14:paraId="7C083089">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p>
              </w:tc>
              <w:tc>
                <w:tcPr>
                  <w:tcW w:w="600" w:type="dxa"/>
                  <w:vMerge w:val="continue"/>
                  <w:noWrap w:val="0"/>
                  <w:vAlign w:val="center"/>
                </w:tcPr>
                <w:p w14:paraId="207F70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630" w:type="dxa"/>
                  <w:vMerge w:val="continue"/>
                  <w:noWrap w:val="0"/>
                  <w:vAlign w:val="center"/>
                </w:tcPr>
                <w:p w14:paraId="22D05AD1">
                  <w:pPr>
                    <w:jc w:val="center"/>
                    <w:rPr>
                      <w:rFonts w:hint="default" w:ascii="Times New Roman" w:hAnsi="Times New Roman" w:cs="Times New Roman"/>
                      <w:color w:val="auto"/>
                      <w:sz w:val="21"/>
                      <w:szCs w:val="21"/>
                    </w:rPr>
                  </w:pPr>
                </w:p>
              </w:tc>
              <w:tc>
                <w:tcPr>
                  <w:tcW w:w="765" w:type="dxa"/>
                  <w:vMerge w:val="continue"/>
                  <w:noWrap w:val="0"/>
                  <w:vAlign w:val="center"/>
                </w:tcPr>
                <w:p w14:paraId="658590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954" w:type="dxa"/>
                  <w:vMerge w:val="continue"/>
                  <w:noWrap w:val="0"/>
                  <w:vAlign w:val="center"/>
                </w:tcPr>
                <w:p w14:paraId="74AFB221">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val="en-US" w:eastAsia="zh-CN"/>
                    </w:rPr>
                  </w:pPr>
                </w:p>
              </w:tc>
              <w:tc>
                <w:tcPr>
                  <w:tcW w:w="1026" w:type="dxa"/>
                  <w:noWrap w:val="0"/>
                  <w:vAlign w:val="center"/>
                </w:tcPr>
                <w:p w14:paraId="3275B5DD">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eastAsia" w:cs="Times New Roman"/>
                      <w:color w:val="auto"/>
                      <w:spacing w:val="-3"/>
                      <w:sz w:val="21"/>
                      <w:szCs w:val="21"/>
                      <w:lang w:val="en-US" w:eastAsia="zh-CN"/>
                    </w:rPr>
                  </w:pPr>
                  <w:r>
                    <w:rPr>
                      <w:rFonts w:hint="eastAsia" w:cs="Times New Roman"/>
                      <w:color w:val="auto"/>
                      <w:sz w:val="21"/>
                      <w:szCs w:val="21"/>
                      <w:lang w:val="en-US" w:eastAsia="zh-CN"/>
                    </w:rPr>
                    <w:t>0.0322</w:t>
                  </w:r>
                </w:p>
              </w:tc>
              <w:tc>
                <w:tcPr>
                  <w:tcW w:w="1014" w:type="dxa"/>
                  <w:noWrap w:val="0"/>
                  <w:vAlign w:val="center"/>
                </w:tcPr>
                <w:p w14:paraId="6B8296BA">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0.00407</w:t>
                  </w:r>
                </w:p>
              </w:tc>
              <w:tc>
                <w:tcPr>
                  <w:tcW w:w="1644" w:type="dxa"/>
                  <w:noWrap w:val="0"/>
                  <w:vAlign w:val="center"/>
                </w:tcPr>
                <w:p w14:paraId="1787128B">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0.00738</w:t>
                  </w:r>
                </w:p>
              </w:tc>
              <w:tc>
                <w:tcPr>
                  <w:tcW w:w="1539" w:type="dxa"/>
                  <w:vMerge w:val="continue"/>
                  <w:noWrap w:val="0"/>
                  <w:vAlign w:val="center"/>
                </w:tcPr>
                <w:p w14:paraId="652E16C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p>
              </w:tc>
            </w:tr>
            <w:tr w14:paraId="4E092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5" w:type="dxa"/>
                  <w:vMerge w:val="continue"/>
                  <w:noWrap w:val="0"/>
                  <w:vAlign w:val="center"/>
                </w:tcPr>
                <w:p w14:paraId="279B54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435" w:type="dxa"/>
                  <w:vMerge w:val="continue"/>
                  <w:noWrap w:val="0"/>
                  <w:vAlign w:val="center"/>
                </w:tcPr>
                <w:p w14:paraId="47B36254">
                  <w:pPr>
                    <w:pStyle w:val="66"/>
                    <w:spacing w:line="240" w:lineRule="auto"/>
                    <w:rPr>
                      <w:rFonts w:hint="eastAsia" w:ascii="Times New Roman" w:hAnsi="Times New Roman" w:cs="Times New Roman"/>
                      <w:color w:val="auto"/>
                      <w:sz w:val="21"/>
                      <w:szCs w:val="21"/>
                      <w:lang w:val="en-US" w:eastAsia="zh-CN"/>
                    </w:rPr>
                  </w:pPr>
                </w:p>
              </w:tc>
              <w:tc>
                <w:tcPr>
                  <w:tcW w:w="885" w:type="dxa"/>
                  <w:noWrap w:val="0"/>
                  <w:vAlign w:val="center"/>
                </w:tcPr>
                <w:p w14:paraId="1F516EEA">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kern w:val="0"/>
                      <w:sz w:val="21"/>
                      <w:szCs w:val="21"/>
                      <w:u w:val="none"/>
                      <w:lang w:val="en-US" w:eastAsia="zh-CN" w:bidi="ar"/>
                    </w:rPr>
                  </w:pPr>
                  <w:r>
                    <w:rPr>
                      <w:rFonts w:hint="eastAsia" w:cs="Times New Roman"/>
                      <w:color w:val="auto"/>
                      <w:sz w:val="21"/>
                      <w:szCs w:val="21"/>
                      <w:lang w:val="en-US" w:eastAsia="zh-CN"/>
                    </w:rPr>
                    <w:t>二噁英类</w:t>
                  </w:r>
                </w:p>
              </w:tc>
              <w:tc>
                <w:tcPr>
                  <w:tcW w:w="1125" w:type="dxa"/>
                  <w:vMerge w:val="continue"/>
                  <w:noWrap w:val="0"/>
                  <w:vAlign w:val="center"/>
                </w:tcPr>
                <w:p w14:paraId="62BE9F78">
                  <w:pPr>
                    <w:jc w:val="center"/>
                    <w:rPr>
                      <w:rFonts w:hint="default" w:ascii="Times New Roman" w:hAnsi="Times New Roman" w:cs="Times New Roman"/>
                      <w:color w:val="auto"/>
                      <w:sz w:val="21"/>
                      <w:szCs w:val="21"/>
                    </w:rPr>
                  </w:pPr>
                </w:p>
              </w:tc>
              <w:tc>
                <w:tcPr>
                  <w:tcW w:w="1020" w:type="dxa"/>
                  <w:vMerge w:val="continue"/>
                  <w:noWrap w:val="0"/>
                  <w:vAlign w:val="center"/>
                </w:tcPr>
                <w:p w14:paraId="55960FD5">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rPr>
                  </w:pPr>
                </w:p>
              </w:tc>
              <w:tc>
                <w:tcPr>
                  <w:tcW w:w="600" w:type="dxa"/>
                  <w:vMerge w:val="continue"/>
                  <w:noWrap w:val="0"/>
                  <w:vAlign w:val="center"/>
                </w:tcPr>
                <w:p w14:paraId="6E71ED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630" w:type="dxa"/>
                  <w:vMerge w:val="continue"/>
                  <w:noWrap w:val="0"/>
                  <w:vAlign w:val="center"/>
                </w:tcPr>
                <w:p w14:paraId="4B6413D4">
                  <w:pPr>
                    <w:jc w:val="center"/>
                    <w:rPr>
                      <w:rFonts w:hint="default" w:ascii="Times New Roman" w:hAnsi="Times New Roman" w:cs="Times New Roman"/>
                      <w:color w:val="auto"/>
                      <w:sz w:val="21"/>
                      <w:szCs w:val="21"/>
                    </w:rPr>
                  </w:pPr>
                </w:p>
              </w:tc>
              <w:tc>
                <w:tcPr>
                  <w:tcW w:w="765" w:type="dxa"/>
                  <w:vMerge w:val="continue"/>
                  <w:noWrap w:val="0"/>
                  <w:vAlign w:val="center"/>
                </w:tcPr>
                <w:p w14:paraId="51A9E2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954" w:type="dxa"/>
                  <w:vMerge w:val="continue"/>
                  <w:noWrap w:val="0"/>
                  <w:vAlign w:val="center"/>
                </w:tcPr>
                <w:p w14:paraId="486C0D17">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val="en-US" w:eastAsia="zh-CN"/>
                    </w:rPr>
                  </w:pPr>
                </w:p>
              </w:tc>
              <w:tc>
                <w:tcPr>
                  <w:tcW w:w="1026" w:type="dxa"/>
                  <w:noWrap w:val="0"/>
                  <w:vAlign w:val="center"/>
                </w:tcPr>
                <w:p w14:paraId="51F95D01">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eastAsia" w:cs="Times New Roman"/>
                      <w:color w:val="auto"/>
                      <w:spacing w:val="-3"/>
                      <w:sz w:val="21"/>
                      <w:szCs w:val="21"/>
                      <w:lang w:val="en-US" w:eastAsia="zh-CN"/>
                    </w:rPr>
                  </w:pPr>
                  <w:r>
                    <w:rPr>
                      <w:rFonts w:hint="eastAsia" w:cs="Times New Roman"/>
                      <w:color w:val="auto"/>
                      <w:sz w:val="21"/>
                      <w:szCs w:val="21"/>
                      <w:lang w:val="en-US" w:eastAsia="zh-CN"/>
                    </w:rPr>
                    <w:t>8.72×10</w:t>
                  </w:r>
                  <w:r>
                    <w:rPr>
                      <w:rFonts w:hint="eastAsia" w:cs="Times New Roman"/>
                      <w:color w:val="auto"/>
                      <w:sz w:val="21"/>
                      <w:szCs w:val="21"/>
                      <w:vertAlign w:val="superscript"/>
                      <w:lang w:val="en-US" w:eastAsia="zh-CN"/>
                    </w:rPr>
                    <w:t>-8</w:t>
                  </w:r>
                </w:p>
              </w:tc>
              <w:tc>
                <w:tcPr>
                  <w:tcW w:w="1014" w:type="dxa"/>
                  <w:noWrap w:val="0"/>
                  <w:vAlign w:val="center"/>
                </w:tcPr>
                <w:p w14:paraId="3C247065">
                  <w:pPr>
                    <w:jc w:val="center"/>
                    <w:rPr>
                      <w:rFonts w:hint="default" w:ascii="Times New Roman" w:hAnsi="Times New Roman" w:cs="Times New Roman"/>
                      <w:color w:val="auto"/>
                      <w:spacing w:val="-3"/>
                      <w:sz w:val="21"/>
                      <w:szCs w:val="21"/>
                      <w:lang w:val="en-US" w:eastAsia="zh-CN"/>
                    </w:rPr>
                  </w:pPr>
                  <w:r>
                    <w:rPr>
                      <w:rFonts w:hint="eastAsia" w:cs="Times New Roman"/>
                      <w:color w:val="auto"/>
                      <w:spacing w:val="-3"/>
                      <w:sz w:val="21"/>
                      <w:szCs w:val="21"/>
                      <w:lang w:val="en-US" w:eastAsia="zh-CN"/>
                    </w:rPr>
                    <w:t>1.10</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10</w:t>
                  </w:r>
                  <w:r>
                    <w:rPr>
                      <w:rFonts w:hint="eastAsia" w:cs="Times New Roman"/>
                      <w:color w:val="auto"/>
                      <w:sz w:val="21"/>
                      <w:szCs w:val="21"/>
                      <w:vertAlign w:val="superscript"/>
                      <w:lang w:val="en-US" w:eastAsia="zh-CN"/>
                    </w:rPr>
                    <w:t>-8</w:t>
                  </w:r>
                </w:p>
              </w:tc>
              <w:tc>
                <w:tcPr>
                  <w:tcW w:w="1644" w:type="dxa"/>
                  <w:noWrap w:val="0"/>
                  <w:vAlign w:val="center"/>
                </w:tcPr>
                <w:p w14:paraId="219A79D2">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0.02ngTEQ/Nm</w:t>
                  </w:r>
                  <w:r>
                    <w:rPr>
                      <w:rFonts w:hint="eastAsia" w:ascii="Times New Roman" w:hAnsi="Times New Roman" w:eastAsia="宋体" w:cs="Times New Roman"/>
                      <w:color w:val="auto"/>
                      <w:sz w:val="21"/>
                      <w:szCs w:val="21"/>
                      <w:vertAlign w:val="superscript"/>
                      <w:lang w:val="en-US" w:eastAsia="zh-CN"/>
                    </w:rPr>
                    <w:t>3</w:t>
                  </w:r>
                </w:p>
              </w:tc>
              <w:tc>
                <w:tcPr>
                  <w:tcW w:w="1539" w:type="dxa"/>
                  <w:noWrap w:val="0"/>
                  <w:vAlign w:val="center"/>
                </w:tcPr>
                <w:p w14:paraId="017BBD32">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0.1ngTEQ/Nm</w:t>
                  </w:r>
                  <w:r>
                    <w:rPr>
                      <w:rFonts w:hint="eastAsia" w:ascii="Times New Roman" w:hAnsi="Times New Roman" w:eastAsia="宋体" w:cs="Times New Roman"/>
                      <w:color w:val="auto"/>
                      <w:sz w:val="21"/>
                      <w:szCs w:val="21"/>
                      <w:vertAlign w:val="superscript"/>
                      <w:lang w:val="en-US" w:eastAsia="zh-CN"/>
                    </w:rPr>
                    <w:t>3</w:t>
                  </w:r>
                </w:p>
              </w:tc>
            </w:tr>
          </w:tbl>
          <w:p w14:paraId="4CE023A6">
            <w:pPr>
              <w:pStyle w:val="12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表4-</w:t>
            </w:r>
            <w:r>
              <w:rPr>
                <w:rFonts w:hint="eastAsia" w:cs="Times New Roman"/>
                <w:b/>
                <w:bCs/>
                <w:color w:val="auto"/>
                <w:kern w:val="2"/>
                <w:sz w:val="21"/>
                <w:szCs w:val="21"/>
                <w:lang w:val="en-US" w:eastAsia="zh-CN" w:bidi="ar-SA"/>
              </w:rPr>
              <w:t xml:space="preserve">6 </w:t>
            </w:r>
            <w:r>
              <w:rPr>
                <w:rFonts w:hint="default" w:ascii="Times New Roman" w:hAnsi="Times New Roman" w:eastAsia="宋体" w:cs="Times New Roman"/>
                <w:b/>
                <w:bCs/>
                <w:color w:val="auto"/>
                <w:kern w:val="2"/>
                <w:sz w:val="21"/>
                <w:szCs w:val="21"/>
                <w:lang w:val="en-US" w:eastAsia="zh-CN" w:bidi="ar-SA"/>
              </w:rPr>
              <w:t>项目无组织废气产排情况</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554"/>
              <w:gridCol w:w="1070"/>
              <w:gridCol w:w="942"/>
              <w:gridCol w:w="1233"/>
              <w:gridCol w:w="1328"/>
              <w:gridCol w:w="1233"/>
              <w:gridCol w:w="559"/>
              <w:gridCol w:w="559"/>
              <w:gridCol w:w="559"/>
              <w:gridCol w:w="813"/>
              <w:gridCol w:w="1195"/>
              <w:gridCol w:w="1195"/>
            </w:tblGrid>
            <w:tr w14:paraId="5381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27" w:type="dxa"/>
                  <w:vMerge w:val="restart"/>
                  <w:noWrap w:val="0"/>
                  <w:vAlign w:val="center"/>
                </w:tcPr>
                <w:p w14:paraId="6F2F521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主要生产单元名称</w:t>
                  </w:r>
                </w:p>
              </w:tc>
              <w:tc>
                <w:tcPr>
                  <w:tcW w:w="554" w:type="dxa"/>
                  <w:vMerge w:val="restart"/>
                  <w:noWrap w:val="0"/>
                  <w:vAlign w:val="center"/>
                </w:tcPr>
                <w:p w14:paraId="1EF95FF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类别</w:t>
                  </w:r>
                </w:p>
              </w:tc>
              <w:tc>
                <w:tcPr>
                  <w:tcW w:w="1070" w:type="dxa"/>
                  <w:vMerge w:val="restart"/>
                  <w:noWrap w:val="0"/>
                  <w:vAlign w:val="center"/>
                </w:tcPr>
                <w:p w14:paraId="0C8A98E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产污环节名称</w:t>
                  </w:r>
                </w:p>
              </w:tc>
              <w:tc>
                <w:tcPr>
                  <w:tcW w:w="942" w:type="dxa"/>
                  <w:vMerge w:val="restart"/>
                  <w:noWrap w:val="0"/>
                  <w:vAlign w:val="center"/>
                </w:tcPr>
                <w:p w14:paraId="33452BA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污染物种类</w:t>
                  </w:r>
                </w:p>
              </w:tc>
              <w:tc>
                <w:tcPr>
                  <w:tcW w:w="1233" w:type="dxa"/>
                  <w:vMerge w:val="restart"/>
                  <w:noWrap w:val="0"/>
                  <w:vAlign w:val="center"/>
                </w:tcPr>
                <w:p w14:paraId="6ACFE93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产生量（t/a）</w:t>
                  </w:r>
                </w:p>
              </w:tc>
              <w:tc>
                <w:tcPr>
                  <w:tcW w:w="1328" w:type="dxa"/>
                  <w:vMerge w:val="restart"/>
                  <w:noWrap w:val="0"/>
                  <w:vAlign w:val="center"/>
                </w:tcPr>
                <w:p w14:paraId="167791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主要污染防治措施</w:t>
                  </w:r>
                </w:p>
              </w:tc>
              <w:tc>
                <w:tcPr>
                  <w:tcW w:w="1233" w:type="dxa"/>
                  <w:vMerge w:val="restart"/>
                  <w:noWrap w:val="0"/>
                  <w:vAlign w:val="center"/>
                </w:tcPr>
                <w:p w14:paraId="2EF8AE9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排放量（t/a）</w:t>
                  </w:r>
                </w:p>
              </w:tc>
              <w:tc>
                <w:tcPr>
                  <w:tcW w:w="1677" w:type="dxa"/>
                  <w:gridSpan w:val="3"/>
                  <w:noWrap w:val="0"/>
                  <w:vAlign w:val="center"/>
                </w:tcPr>
                <w:p w14:paraId="472BBDC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排放源参数</w:t>
                  </w:r>
                </w:p>
              </w:tc>
              <w:tc>
                <w:tcPr>
                  <w:tcW w:w="3203" w:type="dxa"/>
                  <w:gridSpan w:val="3"/>
                  <w:noWrap w:val="0"/>
                  <w:vAlign w:val="center"/>
                </w:tcPr>
                <w:p w14:paraId="0B7B8A1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排放标准及限值</w:t>
                  </w:r>
                </w:p>
              </w:tc>
            </w:tr>
            <w:tr w14:paraId="48091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27" w:type="dxa"/>
                  <w:vMerge w:val="continue"/>
                  <w:noWrap w:val="0"/>
                  <w:vAlign w:val="center"/>
                </w:tcPr>
                <w:p w14:paraId="0170EE3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554" w:type="dxa"/>
                  <w:vMerge w:val="continue"/>
                  <w:noWrap w:val="0"/>
                  <w:vAlign w:val="center"/>
                </w:tcPr>
                <w:p w14:paraId="2BB7F8E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070" w:type="dxa"/>
                  <w:vMerge w:val="continue"/>
                  <w:noWrap w:val="0"/>
                  <w:vAlign w:val="center"/>
                </w:tcPr>
                <w:p w14:paraId="6F456ED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942" w:type="dxa"/>
                  <w:vMerge w:val="continue"/>
                  <w:noWrap w:val="0"/>
                  <w:vAlign w:val="center"/>
                </w:tcPr>
                <w:p w14:paraId="43F68A4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233" w:type="dxa"/>
                  <w:vMerge w:val="continue"/>
                  <w:noWrap w:val="0"/>
                  <w:vAlign w:val="center"/>
                </w:tcPr>
                <w:p w14:paraId="6A25DBE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328" w:type="dxa"/>
                  <w:vMerge w:val="continue"/>
                  <w:noWrap w:val="0"/>
                  <w:vAlign w:val="center"/>
                </w:tcPr>
                <w:p w14:paraId="2BBC05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233" w:type="dxa"/>
                  <w:vMerge w:val="continue"/>
                  <w:noWrap w:val="0"/>
                  <w:vAlign w:val="center"/>
                </w:tcPr>
                <w:p w14:paraId="5A110D1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559" w:type="dxa"/>
                  <w:vMerge w:val="restart"/>
                  <w:noWrap w:val="0"/>
                  <w:vAlign w:val="center"/>
                </w:tcPr>
                <w:p w14:paraId="7354CCC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长m</w:t>
                  </w:r>
                </w:p>
              </w:tc>
              <w:tc>
                <w:tcPr>
                  <w:tcW w:w="559" w:type="dxa"/>
                  <w:vMerge w:val="restart"/>
                  <w:noWrap w:val="0"/>
                  <w:vAlign w:val="center"/>
                </w:tcPr>
                <w:p w14:paraId="4EC8AE8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宽m</w:t>
                  </w:r>
                </w:p>
              </w:tc>
              <w:tc>
                <w:tcPr>
                  <w:tcW w:w="559" w:type="dxa"/>
                  <w:vMerge w:val="restart"/>
                  <w:noWrap w:val="0"/>
                  <w:vAlign w:val="center"/>
                </w:tcPr>
                <w:p w14:paraId="154A5D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高m</w:t>
                  </w:r>
                </w:p>
              </w:tc>
              <w:tc>
                <w:tcPr>
                  <w:tcW w:w="813" w:type="dxa"/>
                  <w:vMerge w:val="restart"/>
                  <w:noWrap w:val="0"/>
                  <w:vAlign w:val="center"/>
                </w:tcPr>
                <w:p w14:paraId="3D46059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标准名称</w:t>
                  </w:r>
                </w:p>
              </w:tc>
              <w:tc>
                <w:tcPr>
                  <w:tcW w:w="2390" w:type="dxa"/>
                  <w:gridSpan w:val="2"/>
                  <w:noWrap w:val="0"/>
                  <w:vAlign w:val="center"/>
                </w:tcPr>
                <w:p w14:paraId="1F610A6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浓度限值</w:t>
                  </w:r>
                </w:p>
              </w:tc>
            </w:tr>
            <w:tr w14:paraId="5AD9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27" w:type="dxa"/>
                  <w:vMerge w:val="continue"/>
                  <w:noWrap w:val="0"/>
                  <w:vAlign w:val="center"/>
                </w:tcPr>
                <w:p w14:paraId="6254D16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554" w:type="dxa"/>
                  <w:vMerge w:val="continue"/>
                  <w:noWrap w:val="0"/>
                  <w:vAlign w:val="center"/>
                </w:tcPr>
                <w:p w14:paraId="48C1D93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070" w:type="dxa"/>
                  <w:vMerge w:val="continue"/>
                  <w:noWrap w:val="0"/>
                  <w:vAlign w:val="center"/>
                </w:tcPr>
                <w:p w14:paraId="29D2C97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942" w:type="dxa"/>
                  <w:vMerge w:val="continue"/>
                  <w:noWrap w:val="0"/>
                  <w:vAlign w:val="center"/>
                </w:tcPr>
                <w:p w14:paraId="0FA1C23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233" w:type="dxa"/>
                  <w:vMerge w:val="continue"/>
                  <w:noWrap w:val="0"/>
                  <w:vAlign w:val="center"/>
                </w:tcPr>
                <w:p w14:paraId="56738F0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328" w:type="dxa"/>
                  <w:vMerge w:val="continue"/>
                  <w:noWrap w:val="0"/>
                  <w:vAlign w:val="center"/>
                </w:tcPr>
                <w:p w14:paraId="29DEB5A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233" w:type="dxa"/>
                  <w:vMerge w:val="continue"/>
                  <w:noWrap w:val="0"/>
                  <w:vAlign w:val="center"/>
                </w:tcPr>
                <w:p w14:paraId="31A7F7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559" w:type="dxa"/>
                  <w:vMerge w:val="continue"/>
                  <w:noWrap w:val="0"/>
                  <w:vAlign w:val="center"/>
                </w:tcPr>
                <w:p w14:paraId="17E1C25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559" w:type="dxa"/>
                  <w:vMerge w:val="continue"/>
                  <w:noWrap w:val="0"/>
                  <w:vAlign w:val="center"/>
                </w:tcPr>
                <w:p w14:paraId="10A31AE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559" w:type="dxa"/>
                  <w:vMerge w:val="continue"/>
                  <w:noWrap w:val="0"/>
                  <w:vAlign w:val="center"/>
                </w:tcPr>
                <w:p w14:paraId="373E0C3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813" w:type="dxa"/>
                  <w:vMerge w:val="continue"/>
                  <w:noWrap w:val="0"/>
                  <w:vAlign w:val="center"/>
                </w:tcPr>
                <w:p w14:paraId="021DD45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195" w:type="dxa"/>
                  <w:noWrap w:val="0"/>
                  <w:vAlign w:val="center"/>
                </w:tcPr>
                <w:p w14:paraId="5C88A9D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厂界</w:t>
                  </w:r>
                </w:p>
                <w:p w14:paraId="04039E3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（mg/m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w:t>
                  </w:r>
                </w:p>
              </w:tc>
              <w:tc>
                <w:tcPr>
                  <w:tcW w:w="1195" w:type="dxa"/>
                  <w:noWrap w:val="0"/>
                  <w:vAlign w:val="center"/>
                </w:tcPr>
                <w:p w14:paraId="007150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厂内</w:t>
                  </w:r>
                </w:p>
                <w:p w14:paraId="54AE368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（mg/m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w:t>
                  </w:r>
                </w:p>
              </w:tc>
            </w:tr>
            <w:tr w14:paraId="440A4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27" w:type="dxa"/>
                  <w:vMerge w:val="continue"/>
                  <w:noWrap w:val="0"/>
                  <w:vAlign w:val="center"/>
                </w:tcPr>
                <w:p w14:paraId="779E37B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624" w:type="dxa"/>
                  <w:gridSpan w:val="2"/>
                  <w:noWrap w:val="0"/>
                  <w:vAlign w:val="center"/>
                </w:tcPr>
                <w:p w14:paraId="1CD0A3A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w:t>
                  </w:r>
                </w:p>
              </w:tc>
              <w:tc>
                <w:tcPr>
                  <w:tcW w:w="942" w:type="dxa"/>
                  <w:noWrap w:val="0"/>
                  <w:vAlign w:val="center"/>
                </w:tcPr>
                <w:p w14:paraId="569709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w:t>
                  </w:r>
                </w:p>
              </w:tc>
              <w:tc>
                <w:tcPr>
                  <w:tcW w:w="1233" w:type="dxa"/>
                  <w:noWrap w:val="0"/>
                  <w:vAlign w:val="center"/>
                </w:tcPr>
                <w:p w14:paraId="693313A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1328" w:type="dxa"/>
                  <w:noWrap w:val="0"/>
                  <w:vAlign w:val="center"/>
                </w:tcPr>
                <w:p w14:paraId="5CF7FB0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w:t>
                  </w:r>
                </w:p>
              </w:tc>
              <w:tc>
                <w:tcPr>
                  <w:tcW w:w="1233" w:type="dxa"/>
                  <w:noWrap w:val="0"/>
                  <w:vAlign w:val="center"/>
                </w:tcPr>
                <w:p w14:paraId="12D6FF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559" w:type="dxa"/>
                  <w:noWrap w:val="0"/>
                  <w:vAlign w:val="center"/>
                </w:tcPr>
                <w:p w14:paraId="4E79EFA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559" w:type="dxa"/>
                  <w:noWrap w:val="0"/>
                  <w:vAlign w:val="center"/>
                </w:tcPr>
                <w:p w14:paraId="5AD01D3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559" w:type="dxa"/>
                  <w:noWrap w:val="0"/>
                  <w:vAlign w:val="center"/>
                </w:tcPr>
                <w:p w14:paraId="56B6B71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813" w:type="dxa"/>
                  <w:noWrap w:val="0"/>
                  <w:vAlign w:val="center"/>
                </w:tcPr>
                <w:p w14:paraId="1E23DAD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w:t>
                  </w:r>
                </w:p>
              </w:tc>
              <w:tc>
                <w:tcPr>
                  <w:tcW w:w="1195" w:type="dxa"/>
                  <w:noWrap w:val="0"/>
                  <w:vAlign w:val="center"/>
                </w:tcPr>
                <w:p w14:paraId="4CD4DB1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w:t>
                  </w:r>
                </w:p>
              </w:tc>
              <w:tc>
                <w:tcPr>
                  <w:tcW w:w="1195" w:type="dxa"/>
                  <w:noWrap w:val="0"/>
                  <w:vAlign w:val="center"/>
                </w:tcPr>
                <w:p w14:paraId="52EFE2D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r>
          </w:tbl>
          <w:p w14:paraId="13BF39B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p>
        </w:tc>
      </w:tr>
    </w:tbl>
    <w:p w14:paraId="4B170417">
      <w:pPr>
        <w:tabs>
          <w:tab w:val="left" w:pos="1415"/>
        </w:tabs>
        <w:bidi w:val="0"/>
        <w:jc w:val="left"/>
        <w:rPr>
          <w:rFonts w:hint="eastAsia"/>
          <w:lang w:eastAsia="zh-CN"/>
        </w:rPr>
        <w:sectPr>
          <w:pgSz w:w="16840" w:h="11907" w:orient="landscape"/>
          <w:pgMar w:top="1531" w:right="1644"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8"/>
        <w:tblW w:w="93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9127"/>
      </w:tblGrid>
      <w:tr w14:paraId="1E7563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8" w:type="dxa"/>
            <w:tcBorders>
              <w:top w:val="single" w:color="auto" w:sz="8" w:space="0"/>
            </w:tcBorders>
            <w:tcMar>
              <w:left w:w="28" w:type="dxa"/>
              <w:right w:w="28" w:type="dxa"/>
            </w:tcMar>
            <w:vAlign w:val="center"/>
          </w:tcPr>
          <w:p w14:paraId="6DC771D9">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460" w:lineRule="exact"/>
              <w:jc w:val="center"/>
              <w:textAlignment w:val="auto"/>
              <w:rPr>
                <w:rFonts w:hint="default" w:ascii="Times New Roman" w:hAnsi="Times New Roman" w:cs="Times New Roman"/>
                <w:color w:val="auto"/>
                <w:kern w:val="2"/>
              </w:rPr>
            </w:pPr>
            <w:r>
              <w:rPr>
                <w:rFonts w:hint="eastAsia" w:ascii="Times New Roman" w:hAnsi="Times New Roman" w:cs="Times New Roman"/>
                <w:color w:val="auto"/>
                <w:kern w:val="2"/>
                <w:lang w:eastAsia="zh-CN"/>
              </w:rPr>
              <w:t>运营期</w:t>
            </w:r>
            <w:r>
              <w:rPr>
                <w:rFonts w:hint="default" w:ascii="Times New Roman" w:hAnsi="Times New Roman" w:cs="Times New Roman"/>
                <w:color w:val="auto"/>
                <w:kern w:val="2"/>
              </w:rPr>
              <w:t>环</w:t>
            </w:r>
          </w:p>
          <w:p w14:paraId="09391EDF">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460" w:lineRule="exact"/>
              <w:jc w:val="center"/>
              <w:textAlignment w:val="auto"/>
              <w:rPr>
                <w:rFonts w:hint="default" w:ascii="Times New Roman" w:hAnsi="Times New Roman" w:cs="Times New Roman"/>
                <w:color w:val="auto"/>
                <w:kern w:val="2"/>
              </w:rPr>
            </w:pPr>
            <w:r>
              <w:rPr>
                <w:rFonts w:hint="default" w:ascii="Times New Roman" w:hAnsi="Times New Roman" w:cs="Times New Roman"/>
                <w:color w:val="auto"/>
                <w:kern w:val="2"/>
              </w:rPr>
              <w:t>境保</w:t>
            </w:r>
          </w:p>
          <w:p w14:paraId="70759A1B">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460" w:lineRule="exact"/>
              <w:jc w:val="center"/>
              <w:textAlignment w:val="auto"/>
              <w:rPr>
                <w:rFonts w:hint="default" w:ascii="Times New Roman" w:hAnsi="Times New Roman" w:cs="Times New Roman"/>
                <w:color w:val="auto"/>
                <w:kern w:val="2"/>
              </w:rPr>
            </w:pPr>
            <w:r>
              <w:rPr>
                <w:rFonts w:hint="default" w:ascii="Times New Roman" w:hAnsi="Times New Roman" w:cs="Times New Roman"/>
                <w:color w:val="auto"/>
                <w:kern w:val="2"/>
              </w:rPr>
              <w:t>护措</w:t>
            </w:r>
          </w:p>
          <w:p w14:paraId="59C4DE01">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460" w:lineRule="exact"/>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rPr>
              <w:t>施</w:t>
            </w:r>
          </w:p>
        </w:tc>
        <w:tc>
          <w:tcPr>
            <w:tcW w:w="8915" w:type="dxa"/>
            <w:tcBorders>
              <w:top w:val="single" w:color="auto" w:sz="8" w:space="0"/>
            </w:tcBorders>
            <w:vAlign w:val="center"/>
          </w:tcPr>
          <w:p w14:paraId="6D467947">
            <w:pPr>
              <w:pStyle w:val="12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0000FF"/>
                <w:kern w:val="2"/>
                <w:sz w:val="24"/>
                <w:szCs w:val="24"/>
                <w:lang w:val="en-US" w:eastAsia="zh-CN" w:bidi="ar-SA"/>
              </w:rPr>
            </w:pPr>
            <w:r>
              <w:rPr>
                <w:rFonts w:hint="eastAsia" w:cs="Times New Roman"/>
                <w:b/>
                <w:bCs/>
                <w:color w:val="0000FF"/>
                <w:kern w:val="2"/>
                <w:sz w:val="24"/>
                <w:szCs w:val="24"/>
                <w:lang w:val="en-US" w:eastAsia="zh-CN" w:bidi="ar-SA"/>
              </w:rPr>
              <w:t>3</w:t>
            </w:r>
            <w:r>
              <w:rPr>
                <w:rFonts w:hint="eastAsia" w:ascii="Times New Roman" w:hAnsi="Times New Roman" w:eastAsia="宋体" w:cs="Times New Roman"/>
                <w:b/>
                <w:bCs/>
                <w:color w:val="0000FF"/>
                <w:kern w:val="2"/>
                <w:sz w:val="24"/>
                <w:szCs w:val="24"/>
                <w:lang w:val="en-US" w:eastAsia="zh-CN" w:bidi="ar-SA"/>
              </w:rPr>
              <w:t>、</w:t>
            </w:r>
            <w:r>
              <w:rPr>
                <w:rFonts w:hint="eastAsia" w:cs="Times New Roman"/>
                <w:b/>
                <w:bCs/>
                <w:color w:val="0000FF"/>
                <w:kern w:val="2"/>
                <w:sz w:val="24"/>
                <w:szCs w:val="24"/>
                <w:lang w:val="en-US" w:eastAsia="zh-CN" w:bidi="ar-SA"/>
              </w:rPr>
              <w:t>监测计划</w:t>
            </w:r>
          </w:p>
          <w:p w14:paraId="7B136ACA">
            <w:pPr>
              <w:pStyle w:val="12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b w:val="0"/>
                <w:bCs w:val="0"/>
                <w:color w:val="0000FF"/>
                <w:sz w:val="24"/>
                <w:szCs w:val="24"/>
                <w:vertAlign w:val="baseline"/>
                <w:lang w:val="en-US" w:eastAsia="zh-CN"/>
              </w:rPr>
            </w:pPr>
            <w:r>
              <w:rPr>
                <w:rFonts w:hint="eastAsia" w:cs="Times New Roman"/>
                <w:b w:val="0"/>
                <w:bCs w:val="0"/>
                <w:color w:val="0000FF"/>
                <w:sz w:val="24"/>
                <w:szCs w:val="24"/>
                <w:vertAlign w:val="baseline"/>
                <w:lang w:val="en-US" w:eastAsia="zh-CN"/>
              </w:rPr>
              <w:t>根据《建设项目环境影响报告表编制技术指南（污染影响类）（试行）》、《排污单位自行监测技术指南 水泥工业》（HJ 848-2017）及《排污许可证申请与核发技术规范 水泥工业》（HJ 847-2017）并结合本项目实际制定如下自行监测计划</w:t>
            </w:r>
            <w:bookmarkStart w:id="147" w:name="OLE_LINK222"/>
            <w:r>
              <w:rPr>
                <w:rFonts w:hint="eastAsia" w:cs="Times New Roman"/>
                <w:b w:val="0"/>
                <w:bCs w:val="0"/>
                <w:color w:val="0000FF"/>
                <w:sz w:val="24"/>
                <w:szCs w:val="24"/>
                <w:vertAlign w:val="baseline"/>
                <w:lang w:val="en-US" w:eastAsia="zh-CN"/>
              </w:rPr>
              <w:t>。</w:t>
            </w:r>
          </w:p>
          <w:p w14:paraId="4D10F2B7">
            <w:pPr>
              <w:pStyle w:val="12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center"/>
              <w:textAlignment w:val="auto"/>
              <w:rPr>
                <w:rFonts w:hint="eastAsia" w:ascii="Times New Roman" w:hAnsi="Times New Roman" w:eastAsia="宋体" w:cs="Times New Roman"/>
                <w:b/>
                <w:bCs/>
                <w:color w:val="0000FF"/>
                <w:kern w:val="2"/>
                <w:sz w:val="21"/>
                <w:szCs w:val="21"/>
                <w:lang w:val="en-US" w:eastAsia="zh-CN" w:bidi="ar-SA"/>
              </w:rPr>
            </w:pPr>
            <w:bookmarkStart w:id="148" w:name="OLE_LINK221"/>
            <w:r>
              <w:rPr>
                <w:rFonts w:hint="eastAsia" w:ascii="Times New Roman" w:hAnsi="Times New Roman" w:eastAsia="宋体" w:cs="Times New Roman"/>
                <w:b/>
                <w:bCs/>
                <w:color w:val="0000FF"/>
                <w:kern w:val="2"/>
                <w:sz w:val="21"/>
                <w:szCs w:val="21"/>
                <w:lang w:val="en-US" w:eastAsia="zh-CN" w:bidi="ar-SA"/>
              </w:rPr>
              <w:t>表4</w:t>
            </w:r>
            <w:bookmarkEnd w:id="147"/>
            <w:r>
              <w:rPr>
                <w:rFonts w:hint="eastAsia" w:ascii="Times New Roman" w:hAnsi="Times New Roman" w:eastAsia="宋体" w:cs="Times New Roman"/>
                <w:b/>
                <w:bCs/>
                <w:color w:val="0000FF"/>
                <w:kern w:val="2"/>
                <w:sz w:val="21"/>
                <w:szCs w:val="21"/>
                <w:lang w:val="en-US" w:eastAsia="zh-CN" w:bidi="ar-SA"/>
              </w:rPr>
              <w:t>-</w:t>
            </w:r>
            <w:r>
              <w:rPr>
                <w:rFonts w:hint="eastAsia" w:cs="Times New Roman"/>
                <w:b/>
                <w:bCs/>
                <w:color w:val="0000FF"/>
                <w:kern w:val="2"/>
                <w:sz w:val="21"/>
                <w:szCs w:val="21"/>
                <w:lang w:val="en-US" w:eastAsia="zh-CN" w:bidi="ar-SA"/>
              </w:rPr>
              <w:t>7</w:t>
            </w:r>
            <w:r>
              <w:rPr>
                <w:rFonts w:hint="eastAsia" w:ascii="Times New Roman" w:hAnsi="Times New Roman" w:eastAsia="宋体" w:cs="Times New Roman"/>
                <w:b/>
                <w:bCs/>
                <w:color w:val="0000FF"/>
                <w:kern w:val="2"/>
                <w:sz w:val="21"/>
                <w:szCs w:val="21"/>
                <w:lang w:val="en-US" w:eastAsia="zh-CN" w:bidi="ar-SA"/>
              </w:rPr>
              <w:t xml:space="preserve"> 废气监测计划一览表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1442"/>
              <w:gridCol w:w="1965"/>
              <w:gridCol w:w="3720"/>
              <w:gridCol w:w="1107"/>
            </w:tblGrid>
            <w:tr w14:paraId="3EA8C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2" w:type="pct"/>
                  <w:vAlign w:val="center"/>
                </w:tcPr>
                <w:p w14:paraId="781CE46A">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r>
                    <w:rPr>
                      <w:rFonts w:hint="eastAsia" w:ascii="Times New Roman" w:hAnsi="Times New Roman" w:cs="Times New Roman"/>
                      <w:color w:val="0000FF"/>
                      <w:sz w:val="21"/>
                      <w:szCs w:val="21"/>
                      <w:lang w:val="en-US" w:eastAsia="zh-CN"/>
                    </w:rPr>
                    <w:t>类别</w:t>
                  </w:r>
                </w:p>
              </w:tc>
              <w:tc>
                <w:tcPr>
                  <w:tcW w:w="1914" w:type="pct"/>
                  <w:gridSpan w:val="2"/>
                  <w:vAlign w:val="center"/>
                </w:tcPr>
                <w:p w14:paraId="5E98CF1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r>
                    <w:rPr>
                      <w:rFonts w:hint="eastAsia" w:ascii="Times New Roman" w:hAnsi="Times New Roman" w:cs="Times New Roman"/>
                      <w:color w:val="0000FF"/>
                      <w:sz w:val="21"/>
                      <w:szCs w:val="21"/>
                      <w:lang w:val="en-US" w:eastAsia="zh-CN"/>
                    </w:rPr>
                    <w:t>监测项目</w:t>
                  </w:r>
                </w:p>
              </w:tc>
              <w:tc>
                <w:tcPr>
                  <w:tcW w:w="2090" w:type="pct"/>
                  <w:vAlign w:val="center"/>
                </w:tcPr>
                <w:p w14:paraId="2FEA42E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r>
                    <w:rPr>
                      <w:rFonts w:hint="eastAsia" w:ascii="Times New Roman" w:hAnsi="Times New Roman" w:cs="Times New Roman"/>
                      <w:color w:val="0000FF"/>
                      <w:sz w:val="21"/>
                      <w:szCs w:val="21"/>
                      <w:lang w:val="en-US" w:eastAsia="zh-CN"/>
                    </w:rPr>
                    <w:t>监测点位</w:t>
                  </w:r>
                </w:p>
              </w:tc>
              <w:tc>
                <w:tcPr>
                  <w:tcW w:w="622" w:type="pct"/>
                  <w:vAlign w:val="center"/>
                </w:tcPr>
                <w:p w14:paraId="20D7C26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r>
                    <w:rPr>
                      <w:rFonts w:hint="eastAsia" w:ascii="Times New Roman" w:hAnsi="Times New Roman" w:cs="Times New Roman"/>
                      <w:color w:val="0000FF"/>
                      <w:sz w:val="21"/>
                      <w:szCs w:val="21"/>
                      <w:lang w:val="en-US" w:eastAsia="zh-CN"/>
                    </w:rPr>
                    <w:t>检测频次</w:t>
                  </w:r>
                </w:p>
              </w:tc>
            </w:tr>
            <w:tr w14:paraId="34E8E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2" w:type="pct"/>
                  <w:vMerge w:val="restart"/>
                  <w:vAlign w:val="center"/>
                </w:tcPr>
                <w:p w14:paraId="55E4D0CE">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r>
                    <w:rPr>
                      <w:rFonts w:hint="eastAsia" w:ascii="Times New Roman" w:hAnsi="Times New Roman" w:cs="Times New Roman"/>
                      <w:color w:val="0000FF"/>
                      <w:sz w:val="21"/>
                      <w:szCs w:val="21"/>
                      <w:lang w:val="en-US" w:eastAsia="zh-CN"/>
                    </w:rPr>
                    <w:t>废气</w:t>
                  </w:r>
                </w:p>
              </w:tc>
              <w:tc>
                <w:tcPr>
                  <w:tcW w:w="810" w:type="pct"/>
                  <w:vMerge w:val="restart"/>
                  <w:vAlign w:val="center"/>
                </w:tcPr>
                <w:p w14:paraId="5E275886">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r>
                    <w:rPr>
                      <w:rFonts w:hint="eastAsia" w:ascii="Times New Roman" w:hAnsi="Times New Roman" w:cs="Times New Roman"/>
                      <w:color w:val="0000FF"/>
                      <w:sz w:val="21"/>
                      <w:szCs w:val="21"/>
                      <w:lang w:val="en-US" w:eastAsia="zh-CN"/>
                    </w:rPr>
                    <w:t>有组织废气</w:t>
                  </w:r>
                </w:p>
              </w:tc>
              <w:tc>
                <w:tcPr>
                  <w:tcW w:w="1104" w:type="pct"/>
                  <w:vAlign w:val="center"/>
                </w:tcPr>
                <w:p w14:paraId="03DB474E">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r>
                    <w:rPr>
                      <w:rFonts w:hint="eastAsia" w:ascii="Times New Roman" w:hAnsi="Times New Roman" w:cs="Times New Roman"/>
                      <w:color w:val="0000FF"/>
                      <w:sz w:val="21"/>
                      <w:szCs w:val="21"/>
                      <w:lang w:val="en-US" w:eastAsia="zh-CN"/>
                    </w:rPr>
                    <w:t>颗粒物</w:t>
                  </w:r>
                </w:p>
              </w:tc>
              <w:tc>
                <w:tcPr>
                  <w:tcW w:w="2090" w:type="pct"/>
                  <w:vMerge w:val="restart"/>
                  <w:vAlign w:val="center"/>
                </w:tcPr>
                <w:p w14:paraId="60C7A52D">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r>
                    <w:rPr>
                      <w:rFonts w:hint="eastAsia" w:cs="Times New Roman"/>
                      <w:color w:val="0000FF"/>
                      <w:sz w:val="21"/>
                      <w:szCs w:val="21"/>
                      <w:lang w:val="en-US" w:eastAsia="zh-CN"/>
                    </w:rPr>
                    <w:t>一线窑尾烟囱DA046</w:t>
                  </w:r>
                </w:p>
              </w:tc>
              <w:tc>
                <w:tcPr>
                  <w:tcW w:w="622" w:type="pct"/>
                  <w:vMerge w:val="restart"/>
                  <w:vAlign w:val="center"/>
                </w:tcPr>
                <w:p w14:paraId="2446B97E">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r>
                    <w:rPr>
                      <w:rFonts w:hint="eastAsia" w:cs="Times New Roman"/>
                      <w:color w:val="0000FF"/>
                      <w:sz w:val="21"/>
                      <w:szCs w:val="21"/>
                      <w:lang w:val="en-US" w:eastAsia="zh-CN"/>
                    </w:rPr>
                    <w:t>自动监测</w:t>
                  </w:r>
                </w:p>
              </w:tc>
            </w:tr>
            <w:tr w14:paraId="1941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2" w:type="pct"/>
                  <w:vMerge w:val="continue"/>
                  <w:vAlign w:val="center"/>
                </w:tcPr>
                <w:p w14:paraId="51314503">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810" w:type="pct"/>
                  <w:vMerge w:val="continue"/>
                  <w:vAlign w:val="center"/>
                </w:tcPr>
                <w:p w14:paraId="0198DE32">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1104" w:type="pct"/>
                  <w:vAlign w:val="center"/>
                </w:tcPr>
                <w:p w14:paraId="1D539017">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r>
                    <w:rPr>
                      <w:rFonts w:hint="eastAsia" w:ascii="Times New Roman" w:hAnsi="Times New Roman" w:cs="Times New Roman"/>
                      <w:color w:val="0000FF"/>
                      <w:sz w:val="21"/>
                      <w:szCs w:val="21"/>
                      <w:lang w:val="en-US" w:eastAsia="zh-CN"/>
                    </w:rPr>
                    <w:t>SO</w:t>
                  </w:r>
                  <w:r>
                    <w:rPr>
                      <w:rFonts w:hint="eastAsia" w:ascii="Times New Roman" w:hAnsi="Times New Roman" w:cs="Times New Roman"/>
                      <w:color w:val="0000FF"/>
                      <w:sz w:val="21"/>
                      <w:szCs w:val="21"/>
                      <w:vertAlign w:val="subscript"/>
                      <w:lang w:val="en-US" w:eastAsia="zh-CN"/>
                    </w:rPr>
                    <w:t>2</w:t>
                  </w:r>
                </w:p>
              </w:tc>
              <w:tc>
                <w:tcPr>
                  <w:tcW w:w="2090" w:type="pct"/>
                  <w:vMerge w:val="continue"/>
                  <w:vAlign w:val="center"/>
                </w:tcPr>
                <w:p w14:paraId="6F4DE091">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622" w:type="pct"/>
                  <w:vMerge w:val="continue"/>
                  <w:vAlign w:val="center"/>
                </w:tcPr>
                <w:p w14:paraId="1D36EAA7">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r>
            <w:tr w14:paraId="2F6BD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2" w:type="pct"/>
                  <w:vMerge w:val="continue"/>
                  <w:vAlign w:val="center"/>
                </w:tcPr>
                <w:p w14:paraId="4EFDE73C">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810" w:type="pct"/>
                  <w:vMerge w:val="continue"/>
                  <w:vAlign w:val="center"/>
                </w:tcPr>
                <w:p w14:paraId="5ACD6D4A">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1104" w:type="pct"/>
                  <w:vAlign w:val="center"/>
                </w:tcPr>
                <w:p w14:paraId="6C812864">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r>
                    <w:rPr>
                      <w:rFonts w:hint="eastAsia" w:ascii="Times New Roman" w:hAnsi="Times New Roman" w:cs="Times New Roman"/>
                      <w:color w:val="0000FF"/>
                      <w:sz w:val="21"/>
                      <w:szCs w:val="21"/>
                      <w:lang w:val="en-US" w:eastAsia="zh-CN"/>
                    </w:rPr>
                    <w:t>NO</w:t>
                  </w:r>
                  <w:r>
                    <w:rPr>
                      <w:rFonts w:hint="eastAsia" w:ascii="Times New Roman" w:hAnsi="Times New Roman" w:cs="Times New Roman"/>
                      <w:color w:val="0000FF"/>
                      <w:sz w:val="21"/>
                      <w:szCs w:val="21"/>
                      <w:vertAlign w:val="baseline"/>
                      <w:lang w:val="en-US" w:eastAsia="zh-CN"/>
                    </w:rPr>
                    <w:t>x</w:t>
                  </w:r>
                </w:p>
              </w:tc>
              <w:tc>
                <w:tcPr>
                  <w:tcW w:w="2090" w:type="pct"/>
                  <w:vMerge w:val="continue"/>
                  <w:vAlign w:val="center"/>
                </w:tcPr>
                <w:p w14:paraId="77EE1628">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622" w:type="pct"/>
                  <w:vMerge w:val="continue"/>
                  <w:vAlign w:val="center"/>
                </w:tcPr>
                <w:p w14:paraId="109EE8BB">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r>
            <w:tr w14:paraId="1DE4D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2" w:type="pct"/>
                  <w:vMerge w:val="continue"/>
                  <w:vAlign w:val="center"/>
                </w:tcPr>
                <w:p w14:paraId="349562C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810" w:type="pct"/>
                  <w:vMerge w:val="continue"/>
                  <w:vAlign w:val="center"/>
                </w:tcPr>
                <w:p w14:paraId="642D4A9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1104" w:type="pct"/>
                  <w:vAlign w:val="center"/>
                </w:tcPr>
                <w:p w14:paraId="7D18BCF9">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cs="Times New Roman"/>
                      <w:color w:val="0000FF"/>
                      <w:sz w:val="21"/>
                      <w:szCs w:val="21"/>
                      <w:lang w:val="en-US" w:eastAsia="zh-CN"/>
                    </w:rPr>
                  </w:pPr>
                  <w:r>
                    <w:rPr>
                      <w:rFonts w:hint="eastAsia" w:ascii="Times New Roman" w:hAnsi="Times New Roman" w:cs="Times New Roman"/>
                      <w:color w:val="0000FF"/>
                      <w:sz w:val="21"/>
                      <w:szCs w:val="21"/>
                      <w:lang w:val="en-US" w:eastAsia="zh-CN"/>
                    </w:rPr>
                    <w:t>氨</w:t>
                  </w:r>
                </w:p>
              </w:tc>
              <w:tc>
                <w:tcPr>
                  <w:tcW w:w="2090" w:type="pct"/>
                  <w:vMerge w:val="continue"/>
                  <w:vAlign w:val="center"/>
                </w:tcPr>
                <w:p w14:paraId="20469497">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622" w:type="pct"/>
                  <w:vAlign w:val="center"/>
                </w:tcPr>
                <w:p w14:paraId="0099846E">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bookmarkStart w:id="149" w:name="OLE_LINK216"/>
                  <w:r>
                    <w:rPr>
                      <w:rFonts w:hint="eastAsia" w:cs="Times New Roman"/>
                      <w:color w:val="0000FF"/>
                      <w:sz w:val="21"/>
                      <w:szCs w:val="21"/>
                      <w:lang w:val="en-US" w:eastAsia="zh-CN"/>
                    </w:rPr>
                    <w:t>1次/季度</w:t>
                  </w:r>
                  <w:bookmarkEnd w:id="149"/>
                </w:p>
              </w:tc>
            </w:tr>
            <w:tr w14:paraId="75139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2" w:type="pct"/>
                  <w:vMerge w:val="continue"/>
                  <w:vAlign w:val="center"/>
                </w:tcPr>
                <w:p w14:paraId="00C9035B">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810" w:type="pct"/>
                  <w:vMerge w:val="continue"/>
                  <w:vAlign w:val="center"/>
                </w:tcPr>
                <w:p w14:paraId="4961B1D3">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1104" w:type="pct"/>
                  <w:vAlign w:val="center"/>
                </w:tcPr>
                <w:p w14:paraId="051E709E">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r>
                    <w:rPr>
                      <w:rFonts w:hint="eastAsia" w:ascii="Times New Roman" w:hAnsi="Times New Roman" w:cs="Times New Roman"/>
                      <w:color w:val="0000FF"/>
                      <w:sz w:val="21"/>
                      <w:szCs w:val="21"/>
                      <w:lang w:val="en-US" w:eastAsia="zh-CN"/>
                    </w:rPr>
                    <w:t>HCl</w:t>
                  </w:r>
                </w:p>
              </w:tc>
              <w:tc>
                <w:tcPr>
                  <w:tcW w:w="2090" w:type="pct"/>
                  <w:vMerge w:val="continue"/>
                  <w:vAlign w:val="center"/>
                </w:tcPr>
                <w:p w14:paraId="4AB7F68A">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622" w:type="pct"/>
                  <w:vAlign w:val="center"/>
                </w:tcPr>
                <w:p w14:paraId="32DB1753">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bookmarkStart w:id="150" w:name="OLE_LINK215"/>
                  <w:r>
                    <w:rPr>
                      <w:rFonts w:hint="eastAsia" w:cs="Times New Roman"/>
                      <w:color w:val="0000FF"/>
                      <w:sz w:val="21"/>
                      <w:szCs w:val="21"/>
                      <w:lang w:val="en-US" w:eastAsia="zh-CN"/>
                    </w:rPr>
                    <w:t>1次/</w:t>
                  </w:r>
                  <w:bookmarkEnd w:id="150"/>
                  <w:r>
                    <w:rPr>
                      <w:rFonts w:hint="eastAsia" w:cs="Times New Roman"/>
                      <w:color w:val="0000FF"/>
                      <w:sz w:val="21"/>
                      <w:szCs w:val="21"/>
                      <w:lang w:val="en-US" w:eastAsia="zh-CN"/>
                    </w:rPr>
                    <w:t>半年</w:t>
                  </w:r>
                </w:p>
              </w:tc>
            </w:tr>
            <w:tr w14:paraId="3E1CA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2" w:type="pct"/>
                  <w:vMerge w:val="continue"/>
                  <w:vAlign w:val="center"/>
                </w:tcPr>
                <w:p w14:paraId="2A36C8D9">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810" w:type="pct"/>
                  <w:vMerge w:val="continue"/>
                  <w:vAlign w:val="center"/>
                </w:tcPr>
                <w:p w14:paraId="0DC0E27A">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1104" w:type="pct"/>
                  <w:vAlign w:val="center"/>
                </w:tcPr>
                <w:p w14:paraId="106D745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r>
                    <w:rPr>
                      <w:rFonts w:hint="eastAsia" w:ascii="Times New Roman" w:hAnsi="Times New Roman" w:cs="Times New Roman"/>
                      <w:color w:val="0000FF"/>
                      <w:sz w:val="21"/>
                      <w:szCs w:val="21"/>
                      <w:lang w:val="en-US" w:eastAsia="zh-CN"/>
                    </w:rPr>
                    <w:t>HF</w:t>
                  </w:r>
                </w:p>
              </w:tc>
              <w:tc>
                <w:tcPr>
                  <w:tcW w:w="2090" w:type="pct"/>
                  <w:vMerge w:val="continue"/>
                  <w:vAlign w:val="center"/>
                </w:tcPr>
                <w:p w14:paraId="032D784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622" w:type="pct"/>
                  <w:vAlign w:val="center"/>
                </w:tcPr>
                <w:p w14:paraId="0B2EB0DB">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bookmarkStart w:id="151" w:name="OLE_LINK217"/>
                  <w:r>
                    <w:rPr>
                      <w:rFonts w:hint="eastAsia" w:cs="Times New Roman"/>
                      <w:color w:val="0000FF"/>
                      <w:sz w:val="21"/>
                      <w:szCs w:val="21"/>
                      <w:lang w:val="en-US" w:eastAsia="zh-CN"/>
                    </w:rPr>
                    <w:t>1次/</w:t>
                  </w:r>
                  <w:bookmarkEnd w:id="151"/>
                  <w:r>
                    <w:rPr>
                      <w:rFonts w:hint="eastAsia" w:cs="Times New Roman"/>
                      <w:color w:val="0000FF"/>
                      <w:sz w:val="21"/>
                      <w:szCs w:val="21"/>
                      <w:lang w:val="en-US" w:eastAsia="zh-CN"/>
                    </w:rPr>
                    <w:t>半年</w:t>
                  </w:r>
                </w:p>
              </w:tc>
            </w:tr>
            <w:tr w14:paraId="306A9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2" w:type="pct"/>
                  <w:vMerge w:val="continue"/>
                  <w:vAlign w:val="center"/>
                </w:tcPr>
                <w:p w14:paraId="7EB53BC8">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810" w:type="pct"/>
                  <w:vMerge w:val="continue"/>
                  <w:vAlign w:val="center"/>
                </w:tcPr>
                <w:p w14:paraId="0452726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1104" w:type="pct"/>
                  <w:vAlign w:val="center"/>
                </w:tcPr>
                <w:p w14:paraId="36198F3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r>
                    <w:rPr>
                      <w:rFonts w:hint="eastAsia" w:ascii="Times New Roman" w:hAnsi="Times New Roman" w:cs="Times New Roman"/>
                      <w:color w:val="0000FF"/>
                      <w:sz w:val="21"/>
                      <w:szCs w:val="21"/>
                      <w:lang w:val="en-US" w:eastAsia="zh-CN"/>
                    </w:rPr>
                    <w:t>Hg及其化合物</w:t>
                  </w:r>
                </w:p>
              </w:tc>
              <w:tc>
                <w:tcPr>
                  <w:tcW w:w="2090" w:type="pct"/>
                  <w:vMerge w:val="continue"/>
                  <w:vAlign w:val="center"/>
                </w:tcPr>
                <w:p w14:paraId="71A71E41">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622" w:type="pct"/>
                  <w:vAlign w:val="center"/>
                </w:tcPr>
                <w:p w14:paraId="0591B714">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bookmarkStart w:id="152" w:name="OLE_LINK218"/>
                  <w:r>
                    <w:rPr>
                      <w:rFonts w:hint="eastAsia" w:cs="Times New Roman"/>
                      <w:color w:val="0000FF"/>
                      <w:sz w:val="21"/>
                      <w:szCs w:val="21"/>
                      <w:lang w:val="en-US" w:eastAsia="zh-CN"/>
                    </w:rPr>
                    <w:t>1次/</w:t>
                  </w:r>
                  <w:bookmarkEnd w:id="152"/>
                  <w:r>
                    <w:rPr>
                      <w:rFonts w:hint="eastAsia" w:cs="Times New Roman"/>
                      <w:color w:val="0000FF"/>
                      <w:sz w:val="21"/>
                      <w:szCs w:val="21"/>
                      <w:lang w:val="en-US" w:eastAsia="zh-CN"/>
                    </w:rPr>
                    <w:t>半年</w:t>
                  </w:r>
                </w:p>
              </w:tc>
            </w:tr>
            <w:tr w14:paraId="2DBDD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2" w:type="pct"/>
                  <w:vMerge w:val="continue"/>
                  <w:vAlign w:val="center"/>
                </w:tcPr>
                <w:p w14:paraId="1C64E7EF">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810" w:type="pct"/>
                  <w:vMerge w:val="continue"/>
                  <w:vAlign w:val="center"/>
                </w:tcPr>
                <w:p w14:paraId="2CD7649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1104" w:type="pct"/>
                  <w:vAlign w:val="center"/>
                </w:tcPr>
                <w:p w14:paraId="76FE9626">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r>
                    <w:rPr>
                      <w:rFonts w:hint="eastAsia" w:ascii="Times New Roman" w:hAnsi="Times New Roman" w:cs="Times New Roman"/>
                      <w:color w:val="0000FF"/>
                      <w:sz w:val="21"/>
                      <w:szCs w:val="21"/>
                      <w:lang w:val="en-US" w:eastAsia="zh-CN"/>
                    </w:rPr>
                    <w:t>Cd</w:t>
                  </w:r>
                </w:p>
              </w:tc>
              <w:tc>
                <w:tcPr>
                  <w:tcW w:w="2090" w:type="pct"/>
                  <w:vMerge w:val="continue"/>
                  <w:vAlign w:val="center"/>
                </w:tcPr>
                <w:p w14:paraId="20009A8A">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622" w:type="pct"/>
                  <w:vAlign w:val="center"/>
                </w:tcPr>
                <w:p w14:paraId="72F9BD8C">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r>
                    <w:rPr>
                      <w:rFonts w:hint="eastAsia" w:cs="Times New Roman"/>
                      <w:color w:val="0000FF"/>
                      <w:sz w:val="21"/>
                      <w:szCs w:val="21"/>
                      <w:lang w:val="en-US" w:eastAsia="zh-CN"/>
                    </w:rPr>
                    <w:t>1次/半年</w:t>
                  </w:r>
                </w:p>
              </w:tc>
            </w:tr>
            <w:tr w14:paraId="139CD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2" w:type="pct"/>
                  <w:vMerge w:val="continue"/>
                  <w:vAlign w:val="center"/>
                </w:tcPr>
                <w:p w14:paraId="04AA1D4C">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810" w:type="pct"/>
                  <w:vMerge w:val="continue"/>
                  <w:vAlign w:val="center"/>
                </w:tcPr>
                <w:p w14:paraId="1FFE09B4">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1104" w:type="pct"/>
                  <w:vAlign w:val="center"/>
                </w:tcPr>
                <w:p w14:paraId="68FB6DB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r>
                    <w:rPr>
                      <w:rFonts w:hint="eastAsia" w:cs="Times New Roman"/>
                      <w:color w:val="0000FF"/>
                      <w:sz w:val="21"/>
                      <w:szCs w:val="21"/>
                      <w:lang w:val="en-US" w:eastAsia="zh-CN"/>
                    </w:rPr>
                    <w:t>As</w:t>
                  </w:r>
                </w:p>
              </w:tc>
              <w:tc>
                <w:tcPr>
                  <w:tcW w:w="2090" w:type="pct"/>
                  <w:vMerge w:val="continue"/>
                  <w:vAlign w:val="center"/>
                </w:tcPr>
                <w:p w14:paraId="04A3218C">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622" w:type="pct"/>
                  <w:vAlign w:val="center"/>
                </w:tcPr>
                <w:p w14:paraId="34E552F6">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r>
                    <w:rPr>
                      <w:rFonts w:hint="eastAsia" w:cs="Times New Roman"/>
                      <w:color w:val="0000FF"/>
                      <w:sz w:val="21"/>
                      <w:szCs w:val="21"/>
                      <w:lang w:val="en-US" w:eastAsia="zh-CN"/>
                    </w:rPr>
                    <w:t>1次/半年</w:t>
                  </w:r>
                </w:p>
              </w:tc>
            </w:tr>
            <w:tr w14:paraId="6C10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2" w:type="pct"/>
                  <w:vMerge w:val="continue"/>
                  <w:vAlign w:val="center"/>
                </w:tcPr>
                <w:p w14:paraId="0BA2519A">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810" w:type="pct"/>
                  <w:vMerge w:val="continue"/>
                  <w:vAlign w:val="center"/>
                </w:tcPr>
                <w:p w14:paraId="3AE0E36A">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1104" w:type="pct"/>
                  <w:vAlign w:val="center"/>
                </w:tcPr>
                <w:p w14:paraId="628A23E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r>
                    <w:rPr>
                      <w:rFonts w:hint="eastAsia" w:ascii="Times New Roman" w:hAnsi="Times New Roman" w:cs="Times New Roman"/>
                      <w:color w:val="0000FF"/>
                      <w:sz w:val="21"/>
                      <w:szCs w:val="21"/>
                      <w:lang w:val="en-US" w:eastAsia="zh-CN"/>
                    </w:rPr>
                    <w:t>Pb</w:t>
                  </w:r>
                </w:p>
              </w:tc>
              <w:tc>
                <w:tcPr>
                  <w:tcW w:w="2090" w:type="pct"/>
                  <w:vMerge w:val="continue"/>
                  <w:vAlign w:val="center"/>
                </w:tcPr>
                <w:p w14:paraId="25C32DB7">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622" w:type="pct"/>
                  <w:vAlign w:val="center"/>
                </w:tcPr>
                <w:p w14:paraId="484F96E8">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r>
                    <w:rPr>
                      <w:rFonts w:hint="eastAsia" w:cs="Times New Roman"/>
                      <w:color w:val="0000FF"/>
                      <w:sz w:val="21"/>
                      <w:szCs w:val="21"/>
                      <w:lang w:val="en-US" w:eastAsia="zh-CN"/>
                    </w:rPr>
                    <w:t>1次/半年</w:t>
                  </w:r>
                </w:p>
              </w:tc>
            </w:tr>
            <w:tr w14:paraId="4580E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2" w:type="pct"/>
                  <w:vMerge w:val="continue"/>
                  <w:vAlign w:val="center"/>
                </w:tcPr>
                <w:p w14:paraId="3F921EB3">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810" w:type="pct"/>
                  <w:vMerge w:val="continue"/>
                  <w:vAlign w:val="center"/>
                </w:tcPr>
                <w:p w14:paraId="4B1DD0C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1104" w:type="pct"/>
                  <w:vAlign w:val="center"/>
                </w:tcPr>
                <w:p w14:paraId="31D32E33">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cs="Times New Roman"/>
                      <w:color w:val="0000FF"/>
                      <w:sz w:val="21"/>
                      <w:szCs w:val="21"/>
                      <w:lang w:val="en-US" w:eastAsia="zh-CN"/>
                    </w:rPr>
                  </w:pPr>
                  <w:r>
                    <w:rPr>
                      <w:rFonts w:hint="eastAsia" w:ascii="Times New Roman" w:hAnsi="Times New Roman" w:cs="Times New Roman"/>
                      <w:color w:val="0000FF"/>
                      <w:sz w:val="21"/>
                      <w:szCs w:val="21"/>
                      <w:lang w:val="en-US" w:eastAsia="zh-CN"/>
                    </w:rPr>
                    <w:t>二噁英类</w:t>
                  </w:r>
                </w:p>
              </w:tc>
              <w:tc>
                <w:tcPr>
                  <w:tcW w:w="2090" w:type="pct"/>
                  <w:vMerge w:val="continue"/>
                  <w:vAlign w:val="center"/>
                </w:tcPr>
                <w:p w14:paraId="0169592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622" w:type="pct"/>
                  <w:vAlign w:val="center"/>
                </w:tcPr>
                <w:p w14:paraId="55108908">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bookmarkStart w:id="153" w:name="OLE_LINK219"/>
                  <w:r>
                    <w:rPr>
                      <w:rFonts w:hint="eastAsia" w:cs="Times New Roman"/>
                      <w:color w:val="0000FF"/>
                      <w:sz w:val="21"/>
                      <w:szCs w:val="21"/>
                      <w:lang w:val="en-US" w:eastAsia="zh-CN"/>
                    </w:rPr>
                    <w:t>1次/年</w:t>
                  </w:r>
                  <w:bookmarkEnd w:id="153"/>
                </w:p>
              </w:tc>
            </w:tr>
            <w:tr w14:paraId="64CFD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2" w:type="pct"/>
                  <w:vMerge w:val="continue"/>
                  <w:vAlign w:val="center"/>
                </w:tcPr>
                <w:p w14:paraId="227CB961">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810" w:type="pct"/>
                  <w:vMerge w:val="restart"/>
                  <w:vAlign w:val="center"/>
                </w:tcPr>
                <w:p w14:paraId="2D93B60A">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r>
                    <w:rPr>
                      <w:rFonts w:hint="eastAsia" w:cs="Times New Roman"/>
                      <w:color w:val="0000FF"/>
                      <w:sz w:val="21"/>
                      <w:szCs w:val="21"/>
                      <w:lang w:val="en-US" w:eastAsia="zh-CN"/>
                    </w:rPr>
                    <w:t>无组织</w:t>
                  </w:r>
                </w:p>
              </w:tc>
              <w:tc>
                <w:tcPr>
                  <w:tcW w:w="1104" w:type="pct"/>
                  <w:vAlign w:val="center"/>
                </w:tcPr>
                <w:p w14:paraId="0CDAAC34">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cs="Times New Roman"/>
                      <w:color w:val="0000FF"/>
                      <w:sz w:val="21"/>
                      <w:szCs w:val="21"/>
                      <w:lang w:val="en-US" w:eastAsia="zh-CN"/>
                    </w:rPr>
                  </w:pPr>
                  <w:r>
                    <w:rPr>
                      <w:rFonts w:hint="eastAsia" w:cs="Times New Roman"/>
                      <w:color w:val="0000FF"/>
                      <w:sz w:val="21"/>
                      <w:szCs w:val="21"/>
                      <w:lang w:val="en-US" w:eastAsia="zh-CN"/>
                    </w:rPr>
                    <w:t>颗粒物</w:t>
                  </w:r>
                </w:p>
              </w:tc>
              <w:tc>
                <w:tcPr>
                  <w:tcW w:w="2090" w:type="pct"/>
                  <w:vMerge w:val="restart"/>
                  <w:vAlign w:val="center"/>
                </w:tcPr>
                <w:p w14:paraId="3138899D">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r>
                    <w:rPr>
                      <w:rFonts w:hint="eastAsia" w:cs="Times New Roman"/>
                      <w:color w:val="0000FF"/>
                      <w:sz w:val="21"/>
                      <w:szCs w:val="21"/>
                      <w:lang w:val="en-US" w:eastAsia="zh-CN"/>
                    </w:rPr>
                    <w:t>厂界设4个监测点位，上风向1个，下风向3个</w:t>
                  </w:r>
                </w:p>
              </w:tc>
              <w:tc>
                <w:tcPr>
                  <w:tcW w:w="622" w:type="pct"/>
                  <w:vAlign w:val="center"/>
                </w:tcPr>
                <w:p w14:paraId="5474E25F">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r>
                    <w:rPr>
                      <w:rFonts w:hint="eastAsia" w:cs="Times New Roman"/>
                      <w:color w:val="0000FF"/>
                      <w:sz w:val="21"/>
                      <w:szCs w:val="21"/>
                      <w:lang w:val="en-US" w:eastAsia="zh-CN"/>
                    </w:rPr>
                    <w:t>1次/季度</w:t>
                  </w:r>
                </w:p>
              </w:tc>
            </w:tr>
            <w:tr w14:paraId="1ED1D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2" w:type="pct"/>
                  <w:vMerge w:val="continue"/>
                  <w:vAlign w:val="center"/>
                </w:tcPr>
                <w:p w14:paraId="5EDEF423">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810" w:type="pct"/>
                  <w:vMerge w:val="continue"/>
                  <w:vAlign w:val="center"/>
                </w:tcPr>
                <w:p w14:paraId="79D21EAC">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1104" w:type="pct"/>
                  <w:vAlign w:val="center"/>
                </w:tcPr>
                <w:p w14:paraId="25BD47F7">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cs="Times New Roman"/>
                      <w:color w:val="0000FF"/>
                      <w:sz w:val="21"/>
                      <w:szCs w:val="21"/>
                      <w:lang w:val="en-US" w:eastAsia="zh-CN"/>
                    </w:rPr>
                  </w:pPr>
                  <w:r>
                    <w:rPr>
                      <w:rFonts w:hint="eastAsia" w:cs="Times New Roman"/>
                      <w:color w:val="0000FF"/>
                      <w:sz w:val="21"/>
                      <w:szCs w:val="21"/>
                      <w:lang w:val="en-US" w:eastAsia="zh-CN"/>
                    </w:rPr>
                    <w:t>硫化氢、臭气浓度</w:t>
                  </w:r>
                </w:p>
              </w:tc>
              <w:tc>
                <w:tcPr>
                  <w:tcW w:w="2090" w:type="pct"/>
                  <w:vMerge w:val="continue"/>
                  <w:vAlign w:val="center"/>
                </w:tcPr>
                <w:p w14:paraId="27696CB3">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622" w:type="pct"/>
                  <w:vAlign w:val="center"/>
                </w:tcPr>
                <w:p w14:paraId="00CBB334">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r>
                    <w:rPr>
                      <w:rFonts w:hint="eastAsia" w:cs="Times New Roman"/>
                      <w:color w:val="0000FF"/>
                      <w:sz w:val="21"/>
                      <w:szCs w:val="21"/>
                      <w:lang w:val="en-US" w:eastAsia="zh-CN"/>
                    </w:rPr>
                    <w:t>1次/年</w:t>
                  </w:r>
                </w:p>
              </w:tc>
            </w:tr>
            <w:tr w14:paraId="00076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2" w:type="pct"/>
                  <w:vMerge w:val="continue"/>
                  <w:vAlign w:val="center"/>
                </w:tcPr>
                <w:p w14:paraId="00ADA7B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810" w:type="pct"/>
                  <w:vMerge w:val="continue"/>
                  <w:vAlign w:val="center"/>
                </w:tcPr>
                <w:p w14:paraId="1816A1FA">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1104" w:type="pct"/>
                  <w:vAlign w:val="center"/>
                </w:tcPr>
                <w:p w14:paraId="2EE4F9FA">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cs="Times New Roman"/>
                      <w:color w:val="0000FF"/>
                      <w:sz w:val="21"/>
                      <w:szCs w:val="21"/>
                      <w:lang w:val="en-US" w:eastAsia="zh-CN"/>
                    </w:rPr>
                  </w:pPr>
                  <w:r>
                    <w:rPr>
                      <w:rFonts w:hint="eastAsia" w:cs="Times New Roman"/>
                      <w:color w:val="0000FF"/>
                      <w:sz w:val="21"/>
                      <w:szCs w:val="21"/>
                      <w:lang w:val="en-US" w:eastAsia="zh-CN"/>
                    </w:rPr>
                    <w:t>氨</w:t>
                  </w:r>
                </w:p>
              </w:tc>
              <w:tc>
                <w:tcPr>
                  <w:tcW w:w="2090" w:type="pct"/>
                  <w:vMerge w:val="continue"/>
                  <w:vAlign w:val="center"/>
                </w:tcPr>
                <w:p w14:paraId="3845BA6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p>
              </w:tc>
              <w:tc>
                <w:tcPr>
                  <w:tcW w:w="622" w:type="pct"/>
                  <w:vAlign w:val="center"/>
                </w:tcPr>
                <w:p w14:paraId="7EB71EAF">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0000FF"/>
                      <w:sz w:val="21"/>
                      <w:szCs w:val="21"/>
                      <w:lang w:val="en-US" w:eastAsia="zh-CN"/>
                    </w:rPr>
                  </w:pPr>
                  <w:r>
                    <w:rPr>
                      <w:rFonts w:hint="eastAsia" w:cs="Times New Roman"/>
                      <w:color w:val="0000FF"/>
                      <w:sz w:val="21"/>
                      <w:szCs w:val="21"/>
                      <w:lang w:val="en-US" w:eastAsia="zh-CN"/>
                    </w:rPr>
                    <w:t>1次/年</w:t>
                  </w:r>
                </w:p>
              </w:tc>
            </w:tr>
            <w:bookmarkEnd w:id="148"/>
          </w:tbl>
          <w:p w14:paraId="5F6687B8">
            <w:pPr>
              <w:pStyle w:val="12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4</w:t>
            </w:r>
            <w:r>
              <w:rPr>
                <w:rFonts w:hint="eastAsia" w:ascii="Times New Roman" w:hAnsi="Times New Roman" w:eastAsia="宋体" w:cs="Times New Roman"/>
                <w:b/>
                <w:bCs/>
                <w:color w:val="auto"/>
                <w:kern w:val="2"/>
                <w:sz w:val="24"/>
                <w:szCs w:val="24"/>
                <w:lang w:val="en-US" w:eastAsia="zh-CN" w:bidi="ar-SA"/>
              </w:rPr>
              <w:t>、措施可行性分析</w:t>
            </w:r>
          </w:p>
          <w:p w14:paraId="17A98238">
            <w:pPr>
              <w:pStyle w:val="12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对照《排污许可证申请与核发技术规范 水泥工业》（HJ 847-2017）附录B，本项目大气污染物环保治理措施均为可行技术。本项目主要大气污染物环保措施见下表。</w:t>
            </w:r>
          </w:p>
          <w:p w14:paraId="49F0ED45">
            <w:pPr>
              <w:pStyle w:val="12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center"/>
              <w:textAlignment w:val="auto"/>
              <w:rPr>
                <w:rFonts w:hint="eastAsia" w:ascii="Times New Roman" w:hAnsi="Times New Roman" w:eastAsia="宋体" w:cs="Times New Roman"/>
                <w:b/>
                <w:bCs/>
                <w:color w:val="auto"/>
                <w:kern w:val="2"/>
                <w:sz w:val="21"/>
                <w:szCs w:val="21"/>
                <w:lang w:val="en-US" w:eastAsia="zh-CN" w:bidi="ar-SA"/>
              </w:rPr>
            </w:pPr>
            <w:bookmarkStart w:id="154" w:name="OLE_LINK232"/>
            <w:r>
              <w:rPr>
                <w:rFonts w:hint="eastAsia" w:ascii="Times New Roman" w:hAnsi="Times New Roman" w:eastAsia="宋体" w:cs="Times New Roman"/>
                <w:b/>
                <w:bCs/>
                <w:color w:val="auto"/>
                <w:kern w:val="2"/>
                <w:sz w:val="21"/>
                <w:szCs w:val="21"/>
                <w:lang w:val="en-US" w:eastAsia="zh-CN" w:bidi="ar-SA"/>
              </w:rPr>
              <w:t>表4-</w:t>
            </w:r>
            <w:r>
              <w:rPr>
                <w:rFonts w:hint="eastAsia" w:cs="Times New Roman"/>
                <w:b/>
                <w:bCs/>
                <w:color w:val="auto"/>
                <w:kern w:val="2"/>
                <w:sz w:val="21"/>
                <w:szCs w:val="21"/>
                <w:lang w:val="en-US" w:eastAsia="zh-CN" w:bidi="ar-SA"/>
              </w:rPr>
              <w:t xml:space="preserve">8 </w:t>
            </w:r>
            <w:r>
              <w:rPr>
                <w:rFonts w:hint="eastAsia" w:ascii="Times New Roman" w:hAnsi="Times New Roman" w:eastAsia="宋体" w:cs="Times New Roman"/>
                <w:b/>
                <w:bCs/>
                <w:color w:val="auto"/>
                <w:kern w:val="2"/>
                <w:sz w:val="21"/>
                <w:szCs w:val="21"/>
                <w:lang w:val="en-US" w:eastAsia="zh-CN" w:bidi="ar-SA"/>
              </w:rPr>
              <w:t>本项目主要大气污染物环保措施一览表</w:t>
            </w:r>
            <w:bookmarkEnd w:id="154"/>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997"/>
              <w:gridCol w:w="1495"/>
              <w:gridCol w:w="3407"/>
              <w:gridCol w:w="1692"/>
            </w:tblGrid>
            <w:tr w14:paraId="44B1F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3" w:type="pct"/>
                  <w:vAlign w:val="center"/>
                </w:tcPr>
                <w:p w14:paraId="1CCFC83D">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bookmarkStart w:id="155" w:name="OLE_LINK224" w:colFirst="4" w:colLast="4"/>
                  <w:r>
                    <w:rPr>
                      <w:rFonts w:hint="eastAsia" w:ascii="Times New Roman" w:hAnsi="Times New Roman" w:cs="Times New Roman"/>
                      <w:color w:val="auto"/>
                      <w:sz w:val="21"/>
                      <w:szCs w:val="21"/>
                      <w:lang w:val="en-US" w:eastAsia="zh-CN"/>
                    </w:rPr>
                    <w:t>环境要素</w:t>
                  </w:r>
                </w:p>
              </w:tc>
              <w:tc>
                <w:tcPr>
                  <w:tcW w:w="560" w:type="pct"/>
                  <w:vAlign w:val="center"/>
                </w:tcPr>
                <w:p w14:paraId="290015EB">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排放口</w:t>
                  </w:r>
                </w:p>
              </w:tc>
              <w:tc>
                <w:tcPr>
                  <w:tcW w:w="840" w:type="pct"/>
                  <w:vAlign w:val="center"/>
                </w:tcPr>
                <w:p w14:paraId="6C078052">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污染因子</w:t>
                  </w:r>
                </w:p>
              </w:tc>
              <w:tc>
                <w:tcPr>
                  <w:tcW w:w="1914" w:type="pct"/>
                  <w:vAlign w:val="center"/>
                </w:tcPr>
                <w:p w14:paraId="46AEB316">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治理措施</w:t>
                  </w:r>
                </w:p>
              </w:tc>
              <w:tc>
                <w:tcPr>
                  <w:tcW w:w="950" w:type="pct"/>
                  <w:vAlign w:val="center"/>
                </w:tcPr>
                <w:p w14:paraId="3FBD31E2">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是否为可行技术</w:t>
                  </w:r>
                </w:p>
              </w:tc>
            </w:tr>
            <w:tr w14:paraId="09B2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3" w:type="pct"/>
                  <w:vMerge w:val="restart"/>
                  <w:vAlign w:val="center"/>
                </w:tcPr>
                <w:p w14:paraId="065DE8FD">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bookmarkStart w:id="156" w:name="OLE_LINK225" w:colFirst="4" w:colLast="4"/>
                  <w:r>
                    <w:rPr>
                      <w:rFonts w:hint="eastAsia" w:ascii="Times New Roman" w:hAnsi="Times New Roman" w:cs="Times New Roman"/>
                      <w:color w:val="auto"/>
                      <w:sz w:val="21"/>
                      <w:szCs w:val="21"/>
                      <w:lang w:val="en-US" w:eastAsia="zh-CN"/>
                    </w:rPr>
                    <w:t>一线窑尾有组织排口</w:t>
                  </w:r>
                </w:p>
              </w:tc>
              <w:tc>
                <w:tcPr>
                  <w:tcW w:w="560" w:type="pct"/>
                  <w:vMerge w:val="restart"/>
                  <w:vAlign w:val="center"/>
                </w:tcPr>
                <w:p w14:paraId="42DDC4F9">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DA046</w:t>
                  </w:r>
                </w:p>
              </w:tc>
              <w:tc>
                <w:tcPr>
                  <w:tcW w:w="840" w:type="pct"/>
                  <w:vAlign w:val="center"/>
                </w:tcPr>
                <w:p w14:paraId="0F6BD751">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颗粒物</w:t>
                  </w:r>
                </w:p>
              </w:tc>
              <w:tc>
                <w:tcPr>
                  <w:tcW w:w="1914" w:type="pct"/>
                  <w:vAlign w:val="center"/>
                </w:tcPr>
                <w:p w14:paraId="338E358C">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高效袋式除尘</w:t>
                  </w:r>
                </w:p>
              </w:tc>
              <w:tc>
                <w:tcPr>
                  <w:tcW w:w="950" w:type="pct"/>
                  <w:vAlign w:val="center"/>
                </w:tcPr>
                <w:p w14:paraId="68E350F2">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是</w:t>
                  </w:r>
                </w:p>
              </w:tc>
            </w:tr>
            <w:bookmarkEnd w:id="155"/>
            <w:bookmarkEnd w:id="156"/>
            <w:tr w14:paraId="34A53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3" w:type="pct"/>
                  <w:vMerge w:val="continue"/>
                  <w:vAlign w:val="center"/>
                </w:tcPr>
                <w:p w14:paraId="642BE11B">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560" w:type="pct"/>
                  <w:vMerge w:val="continue"/>
                  <w:vAlign w:val="center"/>
                </w:tcPr>
                <w:p w14:paraId="2D3C45CD">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840" w:type="pct"/>
                  <w:vAlign w:val="center"/>
                </w:tcPr>
                <w:p w14:paraId="14867EDF">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SO</w:t>
                  </w:r>
                  <w:r>
                    <w:rPr>
                      <w:rFonts w:hint="eastAsia" w:cs="Times New Roman"/>
                      <w:color w:val="auto"/>
                      <w:sz w:val="21"/>
                      <w:szCs w:val="21"/>
                      <w:vertAlign w:val="subscript"/>
                      <w:lang w:val="en-US" w:eastAsia="zh-CN"/>
                    </w:rPr>
                    <w:t>2</w:t>
                  </w:r>
                </w:p>
              </w:tc>
              <w:tc>
                <w:tcPr>
                  <w:tcW w:w="1914" w:type="pct"/>
                  <w:vAlign w:val="center"/>
                </w:tcPr>
                <w:p w14:paraId="3FCD80DB">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项目物料有机含硫量低，利用水泥窑碱性环境除硫</w:t>
                  </w:r>
                </w:p>
              </w:tc>
              <w:tc>
                <w:tcPr>
                  <w:tcW w:w="950" w:type="pct"/>
                  <w:shd w:val="clear" w:color="auto" w:fill="auto"/>
                  <w:vAlign w:val="center"/>
                </w:tcPr>
                <w:p w14:paraId="04CEFB33">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是</w:t>
                  </w:r>
                </w:p>
              </w:tc>
            </w:tr>
            <w:tr w14:paraId="1D067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3" w:type="pct"/>
                  <w:vMerge w:val="continue"/>
                  <w:vAlign w:val="center"/>
                </w:tcPr>
                <w:p w14:paraId="54477116">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560" w:type="pct"/>
                  <w:vMerge w:val="continue"/>
                  <w:vAlign w:val="center"/>
                </w:tcPr>
                <w:p w14:paraId="1DB13D1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840" w:type="pct"/>
                  <w:vAlign w:val="center"/>
                </w:tcPr>
                <w:p w14:paraId="5B5C664F">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NO</w:t>
                  </w:r>
                  <w:r>
                    <w:rPr>
                      <w:rFonts w:hint="eastAsia" w:cs="Times New Roman"/>
                      <w:color w:val="auto"/>
                      <w:sz w:val="21"/>
                      <w:szCs w:val="21"/>
                      <w:vertAlign w:val="baseline"/>
                      <w:lang w:val="en-US" w:eastAsia="zh-CN"/>
                    </w:rPr>
                    <w:t>x</w:t>
                  </w:r>
                </w:p>
              </w:tc>
              <w:tc>
                <w:tcPr>
                  <w:tcW w:w="1914" w:type="pct"/>
                  <w:vAlign w:val="center"/>
                </w:tcPr>
                <w:p w14:paraId="69F4236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采用选择性非催化还原（SNCR）脱除NO</w:t>
                  </w:r>
                  <w:r>
                    <w:rPr>
                      <w:rFonts w:hint="eastAsia" w:cs="Times New Roman"/>
                      <w:color w:val="auto"/>
                      <w:sz w:val="21"/>
                      <w:szCs w:val="21"/>
                      <w:vertAlign w:val="baseline"/>
                      <w:lang w:val="en-US" w:eastAsia="zh-CN"/>
                    </w:rPr>
                    <w:t>x，脱硝系统还原剂选用浓度为21%的氨水，分解炉分级燃烧</w:t>
                  </w:r>
                </w:p>
              </w:tc>
              <w:tc>
                <w:tcPr>
                  <w:tcW w:w="950" w:type="pct"/>
                  <w:shd w:val="clear" w:color="auto" w:fill="auto"/>
                  <w:vAlign w:val="center"/>
                </w:tcPr>
                <w:p w14:paraId="62A1817C">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是</w:t>
                  </w:r>
                </w:p>
              </w:tc>
            </w:tr>
            <w:tr w14:paraId="11C2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3" w:type="pct"/>
                  <w:vMerge w:val="continue"/>
                  <w:vAlign w:val="center"/>
                </w:tcPr>
                <w:p w14:paraId="5C8B918B">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560" w:type="pct"/>
                  <w:vMerge w:val="continue"/>
                  <w:vAlign w:val="center"/>
                </w:tcPr>
                <w:p w14:paraId="0AC5DCC8">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840" w:type="pct"/>
                  <w:vAlign w:val="center"/>
                </w:tcPr>
                <w:p w14:paraId="2A56E88B">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氨</w:t>
                  </w:r>
                </w:p>
              </w:tc>
              <w:tc>
                <w:tcPr>
                  <w:tcW w:w="1914" w:type="pct"/>
                  <w:vAlign w:val="center"/>
                </w:tcPr>
                <w:p w14:paraId="60FC31F2">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采取提高氨水雾化效果、稳定雾化压力、选择合适的脱硝反应温度以及延长脱硝反应时间等措施，从而提高氨水反应效率和降低氨水用量</w:t>
                  </w:r>
                </w:p>
              </w:tc>
              <w:tc>
                <w:tcPr>
                  <w:tcW w:w="950" w:type="pct"/>
                  <w:shd w:val="clear" w:color="auto" w:fill="auto"/>
                  <w:vAlign w:val="center"/>
                </w:tcPr>
                <w:p w14:paraId="74820D1C">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是</w:t>
                  </w:r>
                </w:p>
              </w:tc>
            </w:tr>
            <w:tr w14:paraId="229B6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3" w:type="pct"/>
                  <w:vMerge w:val="continue"/>
                  <w:vAlign w:val="center"/>
                </w:tcPr>
                <w:p w14:paraId="2CA71E36">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560" w:type="pct"/>
                  <w:vMerge w:val="continue"/>
                  <w:vAlign w:val="center"/>
                </w:tcPr>
                <w:p w14:paraId="121E91B3">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840" w:type="pct"/>
                  <w:vAlign w:val="center"/>
                </w:tcPr>
                <w:p w14:paraId="21D300F3">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HCl、HF、汞及其化合物</w:t>
                  </w:r>
                </w:p>
              </w:tc>
              <w:tc>
                <w:tcPr>
                  <w:tcW w:w="1914" w:type="pct"/>
                  <w:vAlign w:val="center"/>
                </w:tcPr>
                <w:p w14:paraId="579BE68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bookmarkStart w:id="157" w:name="OLE_LINK223"/>
                  <w:r>
                    <w:rPr>
                      <w:rFonts w:hint="eastAsia" w:cs="Times New Roman"/>
                      <w:color w:val="auto"/>
                      <w:sz w:val="21"/>
                      <w:szCs w:val="21"/>
                      <w:lang w:val="en-US" w:eastAsia="zh-CN"/>
                    </w:rPr>
                    <w:t>源头配料控制、入窑物料成分控制、水泥窑生产过程控制</w:t>
                  </w:r>
                  <w:bookmarkEnd w:id="157"/>
                </w:p>
              </w:tc>
              <w:tc>
                <w:tcPr>
                  <w:tcW w:w="950" w:type="pct"/>
                  <w:shd w:val="clear" w:color="auto" w:fill="auto"/>
                  <w:vAlign w:val="center"/>
                </w:tcPr>
                <w:p w14:paraId="790AAA9A">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是</w:t>
                  </w:r>
                </w:p>
              </w:tc>
            </w:tr>
            <w:tr w14:paraId="0CA5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3" w:type="pct"/>
                  <w:vMerge w:val="continue"/>
                  <w:vAlign w:val="center"/>
                </w:tcPr>
                <w:p w14:paraId="256CE6B2">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560" w:type="pct"/>
                  <w:vMerge w:val="continue"/>
                  <w:vAlign w:val="center"/>
                </w:tcPr>
                <w:p w14:paraId="731A40BF">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840" w:type="pct"/>
                  <w:vAlign w:val="center"/>
                </w:tcPr>
                <w:p w14:paraId="46404DB2">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其他重金属类</w:t>
                  </w:r>
                </w:p>
              </w:tc>
              <w:tc>
                <w:tcPr>
                  <w:tcW w:w="1914" w:type="pct"/>
                  <w:vAlign w:val="center"/>
                </w:tcPr>
                <w:p w14:paraId="6ACD4D1D">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源头配料控制、入窑物料成分控制、水泥窑生产过程控制</w:t>
                  </w:r>
                </w:p>
              </w:tc>
              <w:tc>
                <w:tcPr>
                  <w:tcW w:w="950" w:type="pct"/>
                  <w:shd w:val="clear" w:color="auto" w:fill="auto"/>
                  <w:vAlign w:val="center"/>
                </w:tcPr>
                <w:p w14:paraId="6C1623C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是</w:t>
                  </w:r>
                </w:p>
              </w:tc>
            </w:tr>
            <w:tr w14:paraId="6FB53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3" w:type="pct"/>
                  <w:vMerge w:val="continue"/>
                  <w:vAlign w:val="center"/>
                </w:tcPr>
                <w:p w14:paraId="3E8F3713">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560" w:type="pct"/>
                  <w:vMerge w:val="continue"/>
                  <w:vAlign w:val="center"/>
                </w:tcPr>
                <w:p w14:paraId="07F5059F">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p>
              </w:tc>
              <w:tc>
                <w:tcPr>
                  <w:tcW w:w="840" w:type="pct"/>
                  <w:vAlign w:val="center"/>
                </w:tcPr>
                <w:p w14:paraId="3F5644F6">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二噁英类</w:t>
                  </w:r>
                </w:p>
              </w:tc>
              <w:tc>
                <w:tcPr>
                  <w:tcW w:w="1914" w:type="pct"/>
                  <w:vAlign w:val="center"/>
                </w:tcPr>
                <w:p w14:paraId="5C2A556D">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源头配料控制、入窑物料成分控制、水泥窑生产过程控制</w:t>
                  </w:r>
                </w:p>
              </w:tc>
              <w:tc>
                <w:tcPr>
                  <w:tcW w:w="950" w:type="pct"/>
                  <w:shd w:val="clear" w:color="auto" w:fill="auto"/>
                  <w:vAlign w:val="center"/>
                </w:tcPr>
                <w:p w14:paraId="6E50BDB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是</w:t>
                  </w:r>
                </w:p>
              </w:tc>
            </w:tr>
          </w:tbl>
          <w:p w14:paraId="2ACF9066">
            <w:pPr>
              <w:pStyle w:val="12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color w:val="auto"/>
                <w:kern w:val="2"/>
                <w:sz w:val="24"/>
                <w:szCs w:val="24"/>
                <w:lang w:val="en-US" w:eastAsia="zh-CN" w:bidi="ar-SA"/>
              </w:rPr>
            </w:pPr>
            <w:bookmarkStart w:id="158" w:name="OLE_LINK226"/>
            <w:bookmarkStart w:id="159" w:name="OLE_LINK228"/>
            <w:r>
              <w:rPr>
                <w:rFonts w:hint="eastAsia" w:cs="Times New Roman"/>
                <w:b/>
                <w:bCs/>
                <w:color w:val="auto"/>
                <w:kern w:val="2"/>
                <w:sz w:val="24"/>
                <w:szCs w:val="24"/>
                <w:lang w:val="en-US" w:eastAsia="zh-CN" w:bidi="ar-SA"/>
              </w:rPr>
              <w:t>5</w:t>
            </w:r>
            <w:r>
              <w:rPr>
                <w:rFonts w:hint="eastAsia" w:ascii="Times New Roman" w:hAnsi="Times New Roman" w:eastAsia="宋体" w:cs="Times New Roman"/>
                <w:b/>
                <w:bCs/>
                <w:color w:val="auto"/>
                <w:kern w:val="2"/>
                <w:sz w:val="24"/>
                <w:szCs w:val="24"/>
                <w:lang w:val="en-US" w:eastAsia="zh-CN" w:bidi="ar-SA"/>
              </w:rPr>
              <w:t>、影响分析</w:t>
            </w:r>
            <w:bookmarkEnd w:id="158"/>
          </w:p>
          <w:bookmarkEnd w:id="159"/>
          <w:p w14:paraId="0A8E069F">
            <w:pPr>
              <w:pStyle w:val="12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kern w:val="2"/>
                <w:sz w:val="24"/>
                <w:szCs w:val="24"/>
                <w:lang w:val="en-US" w:eastAsia="zh-CN" w:bidi="ar-SA"/>
              </w:rPr>
            </w:pPr>
            <w:r>
              <w:rPr>
                <w:rFonts w:hint="eastAsia" w:cs="Times New Roman"/>
                <w:b w:val="0"/>
                <w:bCs w:val="0"/>
                <w:color w:val="auto"/>
                <w:kern w:val="2"/>
                <w:sz w:val="24"/>
                <w:szCs w:val="24"/>
                <w:lang w:val="en-US" w:eastAsia="zh-CN" w:bidi="ar-SA"/>
              </w:rPr>
              <w:t>本项目废气正常情况下可以做到达标排放，本项目周围500m范围内无大气环境保护目标。因此，本项目废气排放对周围环境影响可接受。</w:t>
            </w:r>
          </w:p>
          <w:p w14:paraId="0D0F8435">
            <w:pPr>
              <w:pStyle w:val="12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color w:val="0000FF"/>
                <w:kern w:val="2"/>
                <w:sz w:val="24"/>
                <w:szCs w:val="24"/>
                <w:lang w:val="en-US" w:eastAsia="zh-CN" w:bidi="ar-SA"/>
              </w:rPr>
            </w:pPr>
            <w:bookmarkStart w:id="160" w:name="OLE_LINK229"/>
            <w:r>
              <w:rPr>
                <w:rFonts w:hint="eastAsia" w:cs="Times New Roman"/>
                <w:b/>
                <w:bCs/>
                <w:color w:val="0000FF"/>
                <w:kern w:val="2"/>
                <w:sz w:val="24"/>
                <w:szCs w:val="24"/>
                <w:lang w:val="en-US" w:eastAsia="zh-CN" w:bidi="ar-SA"/>
              </w:rPr>
              <w:t>6</w:t>
            </w:r>
            <w:r>
              <w:rPr>
                <w:rFonts w:hint="eastAsia" w:ascii="Times New Roman" w:hAnsi="Times New Roman" w:eastAsia="宋体" w:cs="Times New Roman"/>
                <w:b/>
                <w:bCs/>
                <w:color w:val="0000FF"/>
                <w:kern w:val="2"/>
                <w:sz w:val="24"/>
                <w:szCs w:val="24"/>
                <w:lang w:val="en-US" w:eastAsia="zh-CN" w:bidi="ar-SA"/>
              </w:rPr>
              <w:t>、非正常排放影响分析</w:t>
            </w:r>
          </w:p>
          <w:bookmarkEnd w:id="160"/>
          <w:p w14:paraId="70023C6B">
            <w:pPr>
              <w:widowControl/>
              <w:spacing w:line="360" w:lineRule="auto"/>
              <w:ind w:firstLine="480" w:firstLineChars="200"/>
              <w:rPr>
                <w:rFonts w:hint="default" w:ascii="Times New Roman" w:hAnsi="Times New Roman" w:cs="Times New Roman"/>
                <w:color w:val="0000FF"/>
                <w:sz w:val="24"/>
              </w:rPr>
            </w:pPr>
            <w:r>
              <w:rPr>
                <w:rFonts w:hint="default" w:ascii="Times New Roman" w:hAnsi="Times New Roman" w:cs="Times New Roman"/>
                <w:color w:val="0000FF"/>
                <w:kern w:val="0"/>
                <w:sz w:val="24"/>
                <w:lang w:bidi="ar"/>
              </w:rPr>
              <w:t>本项目的非正常工况主要是污染物排放控制措施达不到应有效率，主要为生产工序中相关环保收集或处理措施失效造成颗粒物、二氧化硫、氮氧化物</w:t>
            </w:r>
            <w:r>
              <w:rPr>
                <w:rFonts w:hint="default" w:ascii="Times New Roman" w:hAnsi="Times New Roman" w:cs="Times New Roman"/>
                <w:color w:val="0000FF"/>
                <w:kern w:val="0"/>
                <w:sz w:val="24"/>
                <w:lang w:eastAsia="zh-CN" w:bidi="ar"/>
              </w:rPr>
              <w:t>等污染物</w:t>
            </w:r>
            <w:r>
              <w:rPr>
                <w:rFonts w:hint="default" w:ascii="Times New Roman" w:hAnsi="Times New Roman" w:cs="Times New Roman"/>
                <w:color w:val="0000FF"/>
                <w:kern w:val="0"/>
                <w:sz w:val="24"/>
                <w:lang w:bidi="ar"/>
              </w:rPr>
              <w:t>排放量增大。</w:t>
            </w:r>
          </w:p>
          <w:p w14:paraId="43EBF738">
            <w:pPr>
              <w:pStyle w:val="22"/>
              <w:keepNext w:val="0"/>
              <w:keepLines w:val="0"/>
              <w:pageBreakBefore w:val="0"/>
              <w:widowControl w:val="0"/>
              <w:kinsoku w:val="0"/>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mallCaps w:val="0"/>
                <w:color w:val="0000FF"/>
                <w:kern w:val="0"/>
                <w:sz w:val="21"/>
                <w:szCs w:val="21"/>
                <w:lang w:val="en-US" w:eastAsia="zh-CN" w:bidi="ar-SA"/>
              </w:rPr>
            </w:pPr>
            <w:r>
              <w:rPr>
                <w:rFonts w:hint="default" w:ascii="Times New Roman" w:hAnsi="Times New Roman" w:eastAsia="宋体" w:cs="Times New Roman"/>
                <w:b/>
                <w:bCs/>
                <w:smallCaps w:val="0"/>
                <w:color w:val="0000FF"/>
                <w:kern w:val="0"/>
                <w:sz w:val="21"/>
                <w:szCs w:val="21"/>
                <w:lang w:val="en-US" w:eastAsia="zh-CN" w:bidi="ar-SA"/>
              </w:rPr>
              <w:t>表</w:t>
            </w:r>
            <w:r>
              <w:rPr>
                <w:rFonts w:hint="eastAsia" w:ascii="Times New Roman" w:hAnsi="Times New Roman" w:eastAsia="宋体" w:cs="Times New Roman"/>
                <w:b/>
                <w:bCs/>
                <w:smallCaps w:val="0"/>
                <w:color w:val="0000FF"/>
                <w:kern w:val="0"/>
                <w:sz w:val="21"/>
                <w:szCs w:val="21"/>
                <w:lang w:val="en-US" w:eastAsia="zh-CN" w:bidi="ar-SA"/>
              </w:rPr>
              <w:t>4-</w:t>
            </w:r>
            <w:r>
              <w:rPr>
                <w:rFonts w:hint="eastAsia" w:cs="Times New Roman"/>
                <w:b/>
                <w:bCs/>
                <w:smallCaps w:val="0"/>
                <w:color w:val="0000FF"/>
                <w:kern w:val="0"/>
                <w:sz w:val="21"/>
                <w:szCs w:val="21"/>
                <w:lang w:val="en-US" w:eastAsia="zh-CN" w:bidi="ar-SA"/>
              </w:rPr>
              <w:t>9</w:t>
            </w:r>
            <w:r>
              <w:rPr>
                <w:rFonts w:hint="eastAsia" w:ascii="Times New Roman" w:hAnsi="Times New Roman" w:eastAsia="宋体" w:cs="Times New Roman"/>
                <w:b/>
                <w:bCs/>
                <w:smallCaps w:val="0"/>
                <w:color w:val="0000FF"/>
                <w:kern w:val="0"/>
                <w:sz w:val="21"/>
                <w:szCs w:val="21"/>
                <w:lang w:val="en-US" w:eastAsia="zh-CN" w:bidi="ar-SA"/>
              </w:rPr>
              <w:t xml:space="preserve"> </w:t>
            </w:r>
            <w:r>
              <w:rPr>
                <w:rFonts w:hint="default" w:ascii="Times New Roman" w:hAnsi="Times New Roman" w:eastAsia="宋体" w:cs="Times New Roman"/>
                <w:b/>
                <w:bCs/>
                <w:smallCaps w:val="0"/>
                <w:color w:val="0000FF"/>
                <w:kern w:val="0"/>
                <w:sz w:val="21"/>
                <w:szCs w:val="21"/>
                <w:lang w:val="en-US" w:eastAsia="zh-CN" w:bidi="ar-SA"/>
              </w:rPr>
              <w:t>非正常工况排放情况</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1065"/>
              <w:gridCol w:w="1350"/>
              <w:gridCol w:w="871"/>
              <w:gridCol w:w="675"/>
              <w:gridCol w:w="1922"/>
              <w:gridCol w:w="2129"/>
            </w:tblGrid>
            <w:tr w14:paraId="02645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9" w:type="pct"/>
                  <w:tcBorders>
                    <w:tl2br w:val="nil"/>
                    <w:tr2bl w:val="nil"/>
                  </w:tcBorders>
                  <w:noWrap w:val="0"/>
                  <w:vAlign w:val="center"/>
                </w:tcPr>
                <w:p w14:paraId="4F23185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污染源</w:t>
                  </w:r>
                </w:p>
              </w:tc>
              <w:tc>
                <w:tcPr>
                  <w:tcW w:w="598" w:type="pct"/>
                  <w:tcBorders>
                    <w:tl2br w:val="nil"/>
                    <w:tr2bl w:val="nil"/>
                  </w:tcBorders>
                  <w:noWrap w:val="0"/>
                  <w:vAlign w:val="center"/>
                </w:tcPr>
                <w:p w14:paraId="320E778E">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污染物</w:t>
                  </w:r>
                </w:p>
              </w:tc>
              <w:tc>
                <w:tcPr>
                  <w:tcW w:w="758" w:type="pct"/>
                  <w:tcBorders>
                    <w:tl2br w:val="nil"/>
                    <w:tr2bl w:val="nil"/>
                  </w:tcBorders>
                  <w:noWrap w:val="0"/>
                  <w:vAlign w:val="center"/>
                </w:tcPr>
                <w:p w14:paraId="7EBFD2AF">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非正常原因</w:t>
                  </w:r>
                </w:p>
              </w:tc>
              <w:tc>
                <w:tcPr>
                  <w:tcW w:w="489" w:type="pct"/>
                  <w:tcBorders>
                    <w:tl2br w:val="nil"/>
                    <w:tr2bl w:val="nil"/>
                  </w:tcBorders>
                  <w:noWrap w:val="0"/>
                  <w:vAlign w:val="center"/>
                </w:tcPr>
                <w:p w14:paraId="0DB8100F">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频次</w:t>
                  </w:r>
                </w:p>
              </w:tc>
              <w:tc>
                <w:tcPr>
                  <w:tcW w:w="379" w:type="pct"/>
                  <w:tcBorders>
                    <w:tl2br w:val="nil"/>
                    <w:tr2bl w:val="nil"/>
                  </w:tcBorders>
                  <w:noWrap w:val="0"/>
                  <w:vAlign w:val="center"/>
                </w:tcPr>
                <w:p w14:paraId="56AE9B5D">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持续时间</w:t>
                  </w:r>
                </w:p>
              </w:tc>
              <w:tc>
                <w:tcPr>
                  <w:tcW w:w="1079" w:type="pct"/>
                  <w:tcBorders>
                    <w:tl2br w:val="nil"/>
                    <w:tr2bl w:val="nil"/>
                  </w:tcBorders>
                  <w:noWrap w:val="0"/>
                  <w:vAlign w:val="center"/>
                </w:tcPr>
                <w:p w14:paraId="662B07AE">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排放浓度</w:t>
                  </w:r>
                  <w:r>
                    <w:rPr>
                      <w:rFonts w:hint="eastAsia" w:ascii="Times New Roman" w:hAnsi="Times New Roman" w:eastAsia="宋体" w:cs="Times New Roman"/>
                      <w:color w:val="0000FF"/>
                      <w:sz w:val="21"/>
                      <w:szCs w:val="21"/>
                      <w:lang w:val="en-US" w:eastAsia="zh-CN"/>
                    </w:rPr>
                    <w:t>（</w:t>
                  </w:r>
                  <w:r>
                    <w:rPr>
                      <w:rFonts w:hint="default" w:ascii="Times New Roman" w:hAnsi="Times New Roman" w:eastAsia="宋体" w:cs="Times New Roman"/>
                      <w:color w:val="0000FF"/>
                      <w:sz w:val="21"/>
                      <w:szCs w:val="21"/>
                      <w:lang w:val="en-US" w:eastAsia="zh-CN"/>
                    </w:rPr>
                    <w:t>mg/m</w:t>
                  </w:r>
                  <w:r>
                    <w:rPr>
                      <w:rFonts w:hint="default" w:ascii="Times New Roman" w:hAnsi="Times New Roman" w:eastAsia="宋体" w:cs="Times New Roman"/>
                      <w:color w:val="0000FF"/>
                      <w:sz w:val="21"/>
                      <w:szCs w:val="21"/>
                      <w:vertAlign w:val="superscript"/>
                      <w:lang w:val="en-US" w:eastAsia="zh-CN"/>
                    </w:rPr>
                    <w:t>3</w:t>
                  </w:r>
                  <w:r>
                    <w:rPr>
                      <w:rFonts w:hint="eastAsia" w:ascii="Times New Roman" w:hAnsi="Times New Roman" w:eastAsia="宋体" w:cs="Times New Roman"/>
                      <w:color w:val="0000FF"/>
                      <w:sz w:val="21"/>
                      <w:szCs w:val="21"/>
                      <w:lang w:val="en-US" w:eastAsia="zh-CN"/>
                    </w:rPr>
                    <w:t>）</w:t>
                  </w:r>
                </w:p>
              </w:tc>
              <w:tc>
                <w:tcPr>
                  <w:tcW w:w="1195" w:type="pct"/>
                  <w:tcBorders>
                    <w:tl2br w:val="nil"/>
                    <w:tr2bl w:val="nil"/>
                  </w:tcBorders>
                  <w:noWrap w:val="0"/>
                  <w:vAlign w:val="center"/>
                </w:tcPr>
                <w:p w14:paraId="2F35CED4">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有组织排放量</w:t>
                  </w:r>
                  <w:r>
                    <w:rPr>
                      <w:rFonts w:hint="eastAsia" w:ascii="Times New Roman" w:hAnsi="Times New Roman" w:eastAsia="宋体" w:cs="Times New Roman"/>
                      <w:color w:val="0000FF"/>
                      <w:sz w:val="21"/>
                      <w:szCs w:val="21"/>
                      <w:lang w:val="en-US" w:eastAsia="zh-CN"/>
                    </w:rPr>
                    <w:t>（</w:t>
                  </w:r>
                  <w:r>
                    <w:rPr>
                      <w:rFonts w:hint="default" w:ascii="Times New Roman" w:hAnsi="Times New Roman" w:eastAsia="宋体" w:cs="Times New Roman"/>
                      <w:color w:val="0000FF"/>
                      <w:sz w:val="21"/>
                      <w:szCs w:val="21"/>
                      <w:lang w:val="en-US" w:eastAsia="zh-CN"/>
                    </w:rPr>
                    <w:t>kg/h</w:t>
                  </w:r>
                  <w:r>
                    <w:rPr>
                      <w:rFonts w:hint="eastAsia" w:ascii="Times New Roman" w:hAnsi="Times New Roman" w:eastAsia="宋体" w:cs="Times New Roman"/>
                      <w:color w:val="0000FF"/>
                      <w:sz w:val="21"/>
                      <w:szCs w:val="21"/>
                      <w:lang w:val="en-US" w:eastAsia="zh-CN"/>
                    </w:rPr>
                    <w:t>）</w:t>
                  </w:r>
                </w:p>
              </w:tc>
            </w:tr>
            <w:tr w14:paraId="3F84D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9" w:type="pct"/>
                  <w:vMerge w:val="restart"/>
                  <w:tcBorders>
                    <w:tl2br w:val="nil"/>
                    <w:tr2bl w:val="nil"/>
                  </w:tcBorders>
                  <w:noWrap w:val="0"/>
                  <w:vAlign w:val="center"/>
                </w:tcPr>
                <w:p w14:paraId="6CC0CDC6">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水泥窑窑尾废气排气筒</w:t>
                  </w:r>
                </w:p>
              </w:tc>
              <w:tc>
                <w:tcPr>
                  <w:tcW w:w="598" w:type="pct"/>
                  <w:tcBorders>
                    <w:tl2br w:val="nil"/>
                    <w:tr2bl w:val="nil"/>
                  </w:tcBorders>
                  <w:noWrap w:val="0"/>
                  <w:vAlign w:val="center"/>
                </w:tcPr>
                <w:p w14:paraId="6FD95588">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en-US"/>
                    </w:rPr>
                  </w:pPr>
                  <w:r>
                    <w:rPr>
                      <w:rFonts w:hint="eastAsia" w:cs="Times New Roman"/>
                      <w:color w:val="0000FF"/>
                      <w:sz w:val="21"/>
                      <w:szCs w:val="21"/>
                      <w:lang w:val="en-US" w:eastAsia="zh-CN"/>
                    </w:rPr>
                    <w:t>SO</w:t>
                  </w:r>
                  <w:r>
                    <w:rPr>
                      <w:rFonts w:hint="eastAsia" w:cs="Times New Roman"/>
                      <w:color w:val="0000FF"/>
                      <w:sz w:val="21"/>
                      <w:szCs w:val="21"/>
                      <w:vertAlign w:val="subscript"/>
                      <w:lang w:val="en-US" w:eastAsia="zh-CN"/>
                    </w:rPr>
                    <w:t>2</w:t>
                  </w:r>
                </w:p>
              </w:tc>
              <w:tc>
                <w:tcPr>
                  <w:tcW w:w="758" w:type="pct"/>
                  <w:vMerge w:val="restart"/>
                  <w:tcBorders>
                    <w:tl2br w:val="nil"/>
                    <w:tr2bl w:val="nil"/>
                  </w:tcBorders>
                  <w:noWrap w:val="0"/>
                  <w:vAlign w:val="center"/>
                </w:tcPr>
                <w:p w14:paraId="0AD192BE">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处理措施失效</w:t>
                  </w:r>
                </w:p>
              </w:tc>
              <w:tc>
                <w:tcPr>
                  <w:tcW w:w="489" w:type="pct"/>
                  <w:tcBorders>
                    <w:tl2br w:val="nil"/>
                    <w:tr2bl w:val="nil"/>
                  </w:tcBorders>
                  <w:noWrap w:val="0"/>
                  <w:vAlign w:val="center"/>
                </w:tcPr>
                <w:p w14:paraId="31043142">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1次/年</w:t>
                  </w:r>
                </w:p>
              </w:tc>
              <w:tc>
                <w:tcPr>
                  <w:tcW w:w="379" w:type="pct"/>
                  <w:tcBorders>
                    <w:tl2br w:val="nil"/>
                    <w:tr2bl w:val="nil"/>
                  </w:tcBorders>
                  <w:noWrap w:val="0"/>
                  <w:vAlign w:val="center"/>
                </w:tcPr>
                <w:p w14:paraId="2284548C">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2h</w:t>
                  </w:r>
                </w:p>
              </w:tc>
              <w:tc>
                <w:tcPr>
                  <w:tcW w:w="1922" w:type="dxa"/>
                  <w:tcBorders>
                    <w:tl2br w:val="nil"/>
                    <w:tr2bl w:val="nil"/>
                  </w:tcBorders>
                  <w:noWrap w:val="0"/>
                  <w:vAlign w:val="center"/>
                </w:tcPr>
                <w:p w14:paraId="35203D12">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53.0763454</w:t>
                  </w:r>
                </w:p>
              </w:tc>
              <w:tc>
                <w:tcPr>
                  <w:tcW w:w="2129" w:type="dxa"/>
                  <w:tcBorders>
                    <w:tl2br w:val="nil"/>
                    <w:tr2bl w:val="nil"/>
                  </w:tcBorders>
                  <w:noWrap w:val="0"/>
                  <w:vAlign w:val="center"/>
                </w:tcPr>
                <w:p w14:paraId="288A6ADF">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292.2222222</w:t>
                  </w:r>
                </w:p>
              </w:tc>
            </w:tr>
            <w:tr w14:paraId="5A639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9" w:type="pct"/>
                  <w:vMerge w:val="continue"/>
                  <w:tcBorders>
                    <w:tl2br w:val="nil"/>
                    <w:tr2bl w:val="nil"/>
                  </w:tcBorders>
                  <w:noWrap w:val="0"/>
                  <w:vAlign w:val="center"/>
                </w:tcPr>
                <w:p w14:paraId="219D98B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p>
              </w:tc>
              <w:tc>
                <w:tcPr>
                  <w:tcW w:w="598" w:type="pct"/>
                  <w:tcBorders>
                    <w:tl2br w:val="nil"/>
                    <w:tr2bl w:val="nil"/>
                  </w:tcBorders>
                  <w:noWrap w:val="0"/>
                  <w:vAlign w:val="center"/>
                </w:tcPr>
                <w:p w14:paraId="341221F1">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cs="Times New Roman"/>
                      <w:color w:val="0000FF"/>
                      <w:sz w:val="21"/>
                      <w:szCs w:val="21"/>
                      <w:lang w:val="en-US" w:eastAsia="zh-CN"/>
                    </w:rPr>
                    <w:t>颗粒物</w:t>
                  </w:r>
                </w:p>
              </w:tc>
              <w:tc>
                <w:tcPr>
                  <w:tcW w:w="758" w:type="pct"/>
                  <w:vMerge w:val="continue"/>
                  <w:tcBorders>
                    <w:tl2br w:val="nil"/>
                    <w:tr2bl w:val="nil"/>
                  </w:tcBorders>
                  <w:noWrap w:val="0"/>
                  <w:vAlign w:val="center"/>
                </w:tcPr>
                <w:p w14:paraId="3988D587">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p>
              </w:tc>
              <w:tc>
                <w:tcPr>
                  <w:tcW w:w="489" w:type="pct"/>
                  <w:tcBorders>
                    <w:tl2br w:val="nil"/>
                    <w:tr2bl w:val="nil"/>
                  </w:tcBorders>
                  <w:noWrap w:val="0"/>
                  <w:vAlign w:val="center"/>
                </w:tcPr>
                <w:p w14:paraId="7176A40C">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1次/年</w:t>
                  </w:r>
                </w:p>
              </w:tc>
              <w:tc>
                <w:tcPr>
                  <w:tcW w:w="379" w:type="pct"/>
                  <w:tcBorders>
                    <w:tl2br w:val="nil"/>
                    <w:tr2bl w:val="nil"/>
                  </w:tcBorders>
                  <w:noWrap w:val="0"/>
                  <w:vAlign w:val="center"/>
                </w:tcPr>
                <w:p w14:paraId="092C027B">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2h</w:t>
                  </w:r>
                </w:p>
              </w:tc>
              <w:tc>
                <w:tcPr>
                  <w:tcW w:w="1922" w:type="dxa"/>
                  <w:tcBorders>
                    <w:tl2br w:val="nil"/>
                    <w:tr2bl w:val="nil"/>
                  </w:tcBorders>
                  <w:noWrap w:val="0"/>
                  <w:vAlign w:val="center"/>
                </w:tcPr>
                <w:p w14:paraId="68BD7689">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35.53482423</w:t>
                  </w:r>
                </w:p>
              </w:tc>
              <w:tc>
                <w:tcPr>
                  <w:tcW w:w="2129" w:type="dxa"/>
                  <w:tcBorders>
                    <w:tl2br w:val="nil"/>
                    <w:tr2bl w:val="nil"/>
                  </w:tcBorders>
                  <w:noWrap w:val="0"/>
                  <w:vAlign w:val="center"/>
                </w:tcPr>
                <w:p w14:paraId="68348CFC">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195.6439394</w:t>
                  </w:r>
                </w:p>
              </w:tc>
            </w:tr>
            <w:tr w14:paraId="55E10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9" w:type="pct"/>
                  <w:vMerge w:val="continue"/>
                  <w:tcBorders>
                    <w:tl2br w:val="nil"/>
                    <w:tr2bl w:val="nil"/>
                  </w:tcBorders>
                  <w:noWrap w:val="0"/>
                  <w:vAlign w:val="center"/>
                </w:tcPr>
                <w:p w14:paraId="6158BF3E">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p>
              </w:tc>
              <w:tc>
                <w:tcPr>
                  <w:tcW w:w="598" w:type="pct"/>
                  <w:tcBorders>
                    <w:tl2br w:val="nil"/>
                    <w:tr2bl w:val="nil"/>
                  </w:tcBorders>
                  <w:noWrap w:val="0"/>
                  <w:vAlign w:val="center"/>
                </w:tcPr>
                <w:p w14:paraId="58D0DE17">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cs="Times New Roman"/>
                      <w:color w:val="0000FF"/>
                      <w:sz w:val="21"/>
                      <w:szCs w:val="21"/>
                      <w:lang w:val="en-US" w:eastAsia="zh-CN"/>
                    </w:rPr>
                    <w:t>NO</w:t>
                  </w:r>
                  <w:r>
                    <w:rPr>
                      <w:rFonts w:hint="eastAsia" w:cs="Times New Roman"/>
                      <w:color w:val="0000FF"/>
                      <w:sz w:val="21"/>
                      <w:szCs w:val="21"/>
                      <w:vertAlign w:val="baseline"/>
                      <w:lang w:val="en-US" w:eastAsia="zh-CN"/>
                    </w:rPr>
                    <w:t>x</w:t>
                  </w:r>
                </w:p>
              </w:tc>
              <w:tc>
                <w:tcPr>
                  <w:tcW w:w="758" w:type="pct"/>
                  <w:vMerge w:val="continue"/>
                  <w:tcBorders>
                    <w:tl2br w:val="nil"/>
                    <w:tr2bl w:val="nil"/>
                  </w:tcBorders>
                  <w:noWrap w:val="0"/>
                  <w:vAlign w:val="center"/>
                </w:tcPr>
                <w:p w14:paraId="40408E04">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p>
              </w:tc>
              <w:tc>
                <w:tcPr>
                  <w:tcW w:w="489" w:type="pct"/>
                  <w:tcBorders>
                    <w:tl2br w:val="nil"/>
                    <w:tr2bl w:val="nil"/>
                  </w:tcBorders>
                  <w:noWrap w:val="0"/>
                  <w:vAlign w:val="center"/>
                </w:tcPr>
                <w:p w14:paraId="552E2ABC">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1次/年</w:t>
                  </w:r>
                </w:p>
              </w:tc>
              <w:tc>
                <w:tcPr>
                  <w:tcW w:w="379" w:type="pct"/>
                  <w:tcBorders>
                    <w:tl2br w:val="nil"/>
                    <w:tr2bl w:val="nil"/>
                  </w:tcBorders>
                  <w:noWrap w:val="0"/>
                  <w:vAlign w:val="center"/>
                </w:tcPr>
                <w:p w14:paraId="5568666B">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2h</w:t>
                  </w:r>
                </w:p>
              </w:tc>
              <w:tc>
                <w:tcPr>
                  <w:tcW w:w="1922" w:type="dxa"/>
                  <w:tcBorders>
                    <w:tl2br w:val="nil"/>
                    <w:tr2bl w:val="nil"/>
                  </w:tcBorders>
                  <w:noWrap w:val="0"/>
                  <w:vAlign w:val="center"/>
                </w:tcPr>
                <w:p w14:paraId="325BB191">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476.6872259</w:t>
                  </w:r>
                </w:p>
              </w:tc>
              <w:tc>
                <w:tcPr>
                  <w:tcW w:w="2129" w:type="dxa"/>
                  <w:tcBorders>
                    <w:tl2br w:val="nil"/>
                    <w:tr2bl w:val="nil"/>
                  </w:tcBorders>
                  <w:noWrap w:val="0"/>
                  <w:vAlign w:val="center"/>
                </w:tcPr>
                <w:p w14:paraId="35600EF4">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2624.494949</w:t>
                  </w:r>
                </w:p>
              </w:tc>
            </w:tr>
            <w:tr w14:paraId="4C3D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9" w:type="pct"/>
                  <w:vMerge w:val="continue"/>
                  <w:tcBorders>
                    <w:tl2br w:val="nil"/>
                    <w:tr2bl w:val="nil"/>
                  </w:tcBorders>
                  <w:noWrap w:val="0"/>
                  <w:vAlign w:val="center"/>
                </w:tcPr>
                <w:p w14:paraId="2666AED6">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p>
              </w:tc>
              <w:tc>
                <w:tcPr>
                  <w:tcW w:w="598" w:type="pct"/>
                  <w:tcBorders>
                    <w:tl2br w:val="nil"/>
                    <w:tr2bl w:val="nil"/>
                  </w:tcBorders>
                  <w:noWrap w:val="0"/>
                  <w:vAlign w:val="center"/>
                </w:tcPr>
                <w:p w14:paraId="38FCA3CA">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cs="Times New Roman"/>
                      <w:color w:val="0000FF"/>
                      <w:sz w:val="21"/>
                      <w:szCs w:val="21"/>
                      <w:lang w:val="en-US" w:eastAsia="zh-CN"/>
                    </w:rPr>
                    <w:t>NH</w:t>
                  </w:r>
                  <w:r>
                    <w:rPr>
                      <w:rFonts w:hint="eastAsia" w:cs="Times New Roman"/>
                      <w:color w:val="0000FF"/>
                      <w:sz w:val="21"/>
                      <w:szCs w:val="21"/>
                      <w:vertAlign w:val="subscript"/>
                      <w:lang w:val="en-US" w:eastAsia="zh-CN"/>
                    </w:rPr>
                    <w:t>3</w:t>
                  </w:r>
                </w:p>
              </w:tc>
              <w:tc>
                <w:tcPr>
                  <w:tcW w:w="758" w:type="pct"/>
                  <w:vMerge w:val="continue"/>
                  <w:tcBorders>
                    <w:tl2br w:val="nil"/>
                    <w:tr2bl w:val="nil"/>
                  </w:tcBorders>
                  <w:noWrap w:val="0"/>
                  <w:vAlign w:val="center"/>
                </w:tcPr>
                <w:p w14:paraId="69DAFF74">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p>
              </w:tc>
              <w:tc>
                <w:tcPr>
                  <w:tcW w:w="489" w:type="pct"/>
                  <w:tcBorders>
                    <w:tl2br w:val="nil"/>
                    <w:tr2bl w:val="nil"/>
                  </w:tcBorders>
                  <w:noWrap w:val="0"/>
                  <w:vAlign w:val="center"/>
                </w:tcPr>
                <w:p w14:paraId="23905864">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1次/年</w:t>
                  </w:r>
                </w:p>
              </w:tc>
              <w:tc>
                <w:tcPr>
                  <w:tcW w:w="379" w:type="pct"/>
                  <w:tcBorders>
                    <w:tl2br w:val="nil"/>
                    <w:tr2bl w:val="nil"/>
                  </w:tcBorders>
                  <w:noWrap w:val="0"/>
                  <w:vAlign w:val="center"/>
                </w:tcPr>
                <w:p w14:paraId="60B269DB">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2h</w:t>
                  </w:r>
                </w:p>
              </w:tc>
              <w:tc>
                <w:tcPr>
                  <w:tcW w:w="1922" w:type="dxa"/>
                  <w:tcBorders>
                    <w:tl2br w:val="nil"/>
                    <w:tr2bl w:val="nil"/>
                  </w:tcBorders>
                  <w:noWrap w:val="0"/>
                  <w:vAlign w:val="center"/>
                </w:tcPr>
                <w:p w14:paraId="5B729BCE">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3.37345766</w:t>
                  </w:r>
                </w:p>
              </w:tc>
              <w:tc>
                <w:tcPr>
                  <w:tcW w:w="2129" w:type="dxa"/>
                  <w:tcBorders>
                    <w:tl2br w:val="nil"/>
                    <w:tr2bl w:val="nil"/>
                  </w:tcBorders>
                  <w:noWrap w:val="0"/>
                  <w:vAlign w:val="center"/>
                </w:tcPr>
                <w:p w14:paraId="7DD20074">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18.57323232</w:t>
                  </w:r>
                </w:p>
              </w:tc>
            </w:tr>
            <w:tr w14:paraId="22305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9" w:type="pct"/>
                  <w:vMerge w:val="continue"/>
                  <w:tcBorders>
                    <w:tl2br w:val="nil"/>
                    <w:tr2bl w:val="nil"/>
                  </w:tcBorders>
                  <w:noWrap w:val="0"/>
                  <w:vAlign w:val="center"/>
                </w:tcPr>
                <w:p w14:paraId="650919C4">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p>
              </w:tc>
              <w:tc>
                <w:tcPr>
                  <w:tcW w:w="598" w:type="pct"/>
                  <w:tcBorders>
                    <w:tl2br w:val="nil"/>
                    <w:tr2bl w:val="nil"/>
                  </w:tcBorders>
                  <w:noWrap w:val="0"/>
                  <w:vAlign w:val="center"/>
                </w:tcPr>
                <w:p w14:paraId="51312F96">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cs="Times New Roman"/>
                      <w:color w:val="0000FF"/>
                      <w:sz w:val="21"/>
                      <w:szCs w:val="21"/>
                      <w:lang w:val="en-US" w:eastAsia="zh-CN"/>
                    </w:rPr>
                    <w:t>HCl</w:t>
                  </w:r>
                </w:p>
              </w:tc>
              <w:tc>
                <w:tcPr>
                  <w:tcW w:w="758" w:type="pct"/>
                  <w:vMerge w:val="continue"/>
                  <w:tcBorders>
                    <w:tl2br w:val="nil"/>
                    <w:tr2bl w:val="nil"/>
                  </w:tcBorders>
                  <w:noWrap w:val="0"/>
                  <w:vAlign w:val="center"/>
                </w:tcPr>
                <w:p w14:paraId="4D534A6E">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p>
              </w:tc>
              <w:tc>
                <w:tcPr>
                  <w:tcW w:w="489" w:type="pct"/>
                  <w:tcBorders>
                    <w:tl2br w:val="nil"/>
                    <w:tr2bl w:val="nil"/>
                  </w:tcBorders>
                  <w:noWrap w:val="0"/>
                  <w:vAlign w:val="center"/>
                </w:tcPr>
                <w:p w14:paraId="3FB95FD1">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1次/年</w:t>
                  </w:r>
                </w:p>
              </w:tc>
              <w:tc>
                <w:tcPr>
                  <w:tcW w:w="379" w:type="pct"/>
                  <w:tcBorders>
                    <w:tl2br w:val="nil"/>
                    <w:tr2bl w:val="nil"/>
                  </w:tcBorders>
                  <w:noWrap w:val="0"/>
                  <w:vAlign w:val="center"/>
                </w:tcPr>
                <w:p w14:paraId="0AA95E6D">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2h</w:t>
                  </w:r>
                </w:p>
              </w:tc>
              <w:tc>
                <w:tcPr>
                  <w:tcW w:w="1922" w:type="dxa"/>
                  <w:tcBorders>
                    <w:tl2br w:val="nil"/>
                    <w:tr2bl w:val="nil"/>
                  </w:tcBorders>
                  <w:noWrap w:val="0"/>
                  <w:vAlign w:val="center"/>
                </w:tcPr>
                <w:p w14:paraId="0F98D1A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41.13852498</w:t>
                  </w:r>
                </w:p>
              </w:tc>
              <w:tc>
                <w:tcPr>
                  <w:tcW w:w="2129" w:type="dxa"/>
                  <w:tcBorders>
                    <w:tl2br w:val="nil"/>
                    <w:tr2bl w:val="nil"/>
                  </w:tcBorders>
                  <w:noWrap w:val="0"/>
                  <w:vAlign w:val="center"/>
                </w:tcPr>
                <w:p w14:paraId="61C29E4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226.4962121</w:t>
                  </w:r>
                </w:p>
              </w:tc>
            </w:tr>
            <w:tr w14:paraId="1BCEC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9" w:type="pct"/>
                  <w:vMerge w:val="continue"/>
                  <w:tcBorders>
                    <w:tl2br w:val="nil"/>
                    <w:tr2bl w:val="nil"/>
                  </w:tcBorders>
                  <w:noWrap w:val="0"/>
                  <w:vAlign w:val="center"/>
                </w:tcPr>
                <w:p w14:paraId="3F9A90AB">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p>
              </w:tc>
              <w:tc>
                <w:tcPr>
                  <w:tcW w:w="598" w:type="pct"/>
                  <w:tcBorders>
                    <w:tl2br w:val="nil"/>
                    <w:tr2bl w:val="nil"/>
                  </w:tcBorders>
                  <w:noWrap w:val="0"/>
                  <w:vAlign w:val="center"/>
                </w:tcPr>
                <w:p w14:paraId="1F6C728D">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cs="Times New Roman"/>
                      <w:color w:val="0000FF"/>
                      <w:sz w:val="21"/>
                      <w:szCs w:val="21"/>
                      <w:lang w:val="en-US" w:eastAsia="zh-CN"/>
                    </w:rPr>
                    <w:t>HF</w:t>
                  </w:r>
                </w:p>
              </w:tc>
              <w:tc>
                <w:tcPr>
                  <w:tcW w:w="758" w:type="pct"/>
                  <w:vMerge w:val="continue"/>
                  <w:tcBorders>
                    <w:tl2br w:val="nil"/>
                    <w:tr2bl w:val="nil"/>
                  </w:tcBorders>
                  <w:noWrap w:val="0"/>
                  <w:vAlign w:val="center"/>
                </w:tcPr>
                <w:p w14:paraId="52750FF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p>
              </w:tc>
              <w:tc>
                <w:tcPr>
                  <w:tcW w:w="489" w:type="pct"/>
                  <w:tcBorders>
                    <w:tl2br w:val="nil"/>
                    <w:tr2bl w:val="nil"/>
                  </w:tcBorders>
                  <w:noWrap w:val="0"/>
                  <w:vAlign w:val="center"/>
                </w:tcPr>
                <w:p w14:paraId="2F7C2F46">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1次/年</w:t>
                  </w:r>
                </w:p>
              </w:tc>
              <w:tc>
                <w:tcPr>
                  <w:tcW w:w="379" w:type="pct"/>
                  <w:tcBorders>
                    <w:tl2br w:val="nil"/>
                    <w:tr2bl w:val="nil"/>
                  </w:tcBorders>
                  <w:noWrap w:val="0"/>
                  <w:vAlign w:val="center"/>
                </w:tcPr>
                <w:p w14:paraId="1F62FDE8">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2h</w:t>
                  </w:r>
                </w:p>
              </w:tc>
              <w:tc>
                <w:tcPr>
                  <w:tcW w:w="1922" w:type="dxa"/>
                  <w:tcBorders>
                    <w:tl2br w:val="nil"/>
                    <w:tr2bl w:val="nil"/>
                  </w:tcBorders>
                  <w:noWrap w:val="0"/>
                  <w:vAlign w:val="center"/>
                </w:tcPr>
                <w:p w14:paraId="5D40C698">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3.83555944</w:t>
                  </w:r>
                </w:p>
              </w:tc>
              <w:tc>
                <w:tcPr>
                  <w:tcW w:w="2129" w:type="dxa"/>
                  <w:tcBorders>
                    <w:tl2br w:val="nil"/>
                    <w:tr2bl w:val="nil"/>
                  </w:tcBorders>
                  <w:noWrap w:val="0"/>
                  <w:vAlign w:val="center"/>
                </w:tcPr>
                <w:p w14:paraId="6F484A16">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21.11742424</w:t>
                  </w:r>
                </w:p>
              </w:tc>
            </w:tr>
            <w:tr w14:paraId="53C2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9" w:type="pct"/>
                  <w:vMerge w:val="continue"/>
                  <w:tcBorders>
                    <w:tl2br w:val="nil"/>
                    <w:tr2bl w:val="nil"/>
                  </w:tcBorders>
                  <w:noWrap w:val="0"/>
                  <w:vAlign w:val="center"/>
                </w:tcPr>
                <w:p w14:paraId="3E1FB6E1">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p>
              </w:tc>
              <w:tc>
                <w:tcPr>
                  <w:tcW w:w="598" w:type="pct"/>
                  <w:tcBorders>
                    <w:tl2br w:val="nil"/>
                    <w:tr2bl w:val="nil"/>
                  </w:tcBorders>
                  <w:noWrap w:val="0"/>
                  <w:vAlign w:val="center"/>
                </w:tcPr>
                <w:p w14:paraId="1D905E77">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cs="Times New Roman"/>
                      <w:color w:val="0000FF"/>
                      <w:sz w:val="21"/>
                      <w:szCs w:val="21"/>
                      <w:lang w:val="en-US" w:eastAsia="zh-CN"/>
                    </w:rPr>
                    <w:t>Hg</w:t>
                  </w:r>
                </w:p>
              </w:tc>
              <w:tc>
                <w:tcPr>
                  <w:tcW w:w="758" w:type="pct"/>
                  <w:vMerge w:val="continue"/>
                  <w:tcBorders>
                    <w:tl2br w:val="nil"/>
                    <w:tr2bl w:val="nil"/>
                  </w:tcBorders>
                  <w:noWrap w:val="0"/>
                  <w:vAlign w:val="center"/>
                </w:tcPr>
                <w:p w14:paraId="0EB4503F">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p>
              </w:tc>
              <w:tc>
                <w:tcPr>
                  <w:tcW w:w="489" w:type="pct"/>
                  <w:tcBorders>
                    <w:tl2br w:val="nil"/>
                    <w:tr2bl w:val="nil"/>
                  </w:tcBorders>
                  <w:noWrap w:val="0"/>
                  <w:vAlign w:val="center"/>
                </w:tcPr>
                <w:p w14:paraId="4721C3BA">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1次/年</w:t>
                  </w:r>
                </w:p>
              </w:tc>
              <w:tc>
                <w:tcPr>
                  <w:tcW w:w="379" w:type="pct"/>
                  <w:tcBorders>
                    <w:tl2br w:val="nil"/>
                    <w:tr2bl w:val="nil"/>
                  </w:tcBorders>
                  <w:noWrap w:val="0"/>
                  <w:vAlign w:val="center"/>
                </w:tcPr>
                <w:p w14:paraId="3E7A6CF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2h</w:t>
                  </w:r>
                </w:p>
              </w:tc>
              <w:tc>
                <w:tcPr>
                  <w:tcW w:w="1922" w:type="dxa"/>
                  <w:tcBorders>
                    <w:tl2br w:val="nil"/>
                    <w:tr2bl w:val="nil"/>
                  </w:tcBorders>
                  <w:noWrap w:val="0"/>
                  <w:vAlign w:val="center"/>
                </w:tcPr>
                <w:p w14:paraId="7A9B7907">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0.003474363</w:t>
                  </w:r>
                </w:p>
              </w:tc>
              <w:tc>
                <w:tcPr>
                  <w:tcW w:w="2129" w:type="dxa"/>
                  <w:tcBorders>
                    <w:tl2br w:val="nil"/>
                    <w:tr2bl w:val="nil"/>
                  </w:tcBorders>
                  <w:noWrap w:val="0"/>
                  <w:vAlign w:val="center"/>
                </w:tcPr>
                <w:p w14:paraId="6325672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0.019128788</w:t>
                  </w:r>
                </w:p>
              </w:tc>
            </w:tr>
            <w:tr w14:paraId="45911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9" w:type="pct"/>
                  <w:vMerge w:val="continue"/>
                  <w:tcBorders>
                    <w:tl2br w:val="nil"/>
                    <w:tr2bl w:val="nil"/>
                  </w:tcBorders>
                  <w:noWrap w:val="0"/>
                  <w:vAlign w:val="center"/>
                </w:tcPr>
                <w:p w14:paraId="38C31738">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p>
              </w:tc>
              <w:tc>
                <w:tcPr>
                  <w:tcW w:w="598" w:type="pct"/>
                  <w:tcBorders>
                    <w:tl2br w:val="nil"/>
                    <w:tr2bl w:val="nil"/>
                  </w:tcBorders>
                  <w:noWrap w:val="0"/>
                  <w:vAlign w:val="center"/>
                </w:tcPr>
                <w:p w14:paraId="118D3EB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cs="Times New Roman"/>
                      <w:color w:val="0000FF"/>
                      <w:sz w:val="21"/>
                      <w:szCs w:val="21"/>
                      <w:lang w:val="en-US" w:eastAsia="zh-CN"/>
                    </w:rPr>
                    <w:t>Cd</w:t>
                  </w:r>
                </w:p>
              </w:tc>
              <w:tc>
                <w:tcPr>
                  <w:tcW w:w="758" w:type="pct"/>
                  <w:vMerge w:val="continue"/>
                  <w:tcBorders>
                    <w:tl2br w:val="nil"/>
                    <w:tr2bl w:val="nil"/>
                  </w:tcBorders>
                  <w:noWrap w:val="0"/>
                  <w:vAlign w:val="center"/>
                </w:tcPr>
                <w:p w14:paraId="7D3AFF9A">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p>
              </w:tc>
              <w:tc>
                <w:tcPr>
                  <w:tcW w:w="489" w:type="pct"/>
                  <w:tcBorders>
                    <w:tl2br w:val="nil"/>
                    <w:tr2bl w:val="nil"/>
                  </w:tcBorders>
                  <w:noWrap w:val="0"/>
                  <w:vAlign w:val="center"/>
                </w:tcPr>
                <w:p w14:paraId="6E488B4A">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1次/年</w:t>
                  </w:r>
                </w:p>
              </w:tc>
              <w:tc>
                <w:tcPr>
                  <w:tcW w:w="379" w:type="pct"/>
                  <w:tcBorders>
                    <w:tl2br w:val="nil"/>
                    <w:tr2bl w:val="nil"/>
                  </w:tcBorders>
                  <w:noWrap w:val="0"/>
                  <w:vAlign w:val="center"/>
                </w:tcPr>
                <w:p w14:paraId="7153B55F">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2h</w:t>
                  </w:r>
                </w:p>
              </w:tc>
              <w:tc>
                <w:tcPr>
                  <w:tcW w:w="1922" w:type="dxa"/>
                  <w:tcBorders>
                    <w:tl2br w:val="nil"/>
                    <w:tr2bl w:val="nil"/>
                  </w:tcBorders>
                  <w:noWrap w:val="0"/>
                  <w:vAlign w:val="center"/>
                </w:tcPr>
                <w:p w14:paraId="409B02B9">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0.001444785</w:t>
                  </w:r>
                </w:p>
              </w:tc>
              <w:tc>
                <w:tcPr>
                  <w:tcW w:w="2129" w:type="dxa"/>
                  <w:tcBorders>
                    <w:tl2br w:val="nil"/>
                    <w:tr2bl w:val="nil"/>
                  </w:tcBorders>
                  <w:noWrap w:val="0"/>
                  <w:vAlign w:val="center"/>
                </w:tcPr>
                <w:p w14:paraId="13BDDA56">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0.007954545</w:t>
                  </w:r>
                </w:p>
              </w:tc>
            </w:tr>
            <w:tr w14:paraId="7CB35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9" w:type="pct"/>
                  <w:vMerge w:val="continue"/>
                  <w:tcBorders>
                    <w:tl2br w:val="nil"/>
                    <w:tr2bl w:val="nil"/>
                  </w:tcBorders>
                  <w:noWrap w:val="0"/>
                  <w:vAlign w:val="center"/>
                </w:tcPr>
                <w:p w14:paraId="38EA82AF">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p>
              </w:tc>
              <w:tc>
                <w:tcPr>
                  <w:tcW w:w="598" w:type="pct"/>
                  <w:tcBorders>
                    <w:tl2br w:val="nil"/>
                    <w:tr2bl w:val="nil"/>
                  </w:tcBorders>
                  <w:noWrap w:val="0"/>
                  <w:vAlign w:val="center"/>
                </w:tcPr>
                <w:p w14:paraId="7C80D0A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cs="Times New Roman"/>
                      <w:color w:val="0000FF"/>
                      <w:sz w:val="21"/>
                      <w:szCs w:val="21"/>
                      <w:lang w:val="en-US" w:eastAsia="zh-CN"/>
                    </w:rPr>
                    <w:t>As</w:t>
                  </w:r>
                </w:p>
              </w:tc>
              <w:tc>
                <w:tcPr>
                  <w:tcW w:w="758" w:type="pct"/>
                  <w:vMerge w:val="continue"/>
                  <w:tcBorders>
                    <w:tl2br w:val="nil"/>
                    <w:tr2bl w:val="nil"/>
                  </w:tcBorders>
                  <w:noWrap w:val="0"/>
                  <w:vAlign w:val="center"/>
                </w:tcPr>
                <w:p w14:paraId="52FA7554">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p>
              </w:tc>
              <w:tc>
                <w:tcPr>
                  <w:tcW w:w="489" w:type="pct"/>
                  <w:tcBorders>
                    <w:tl2br w:val="nil"/>
                    <w:tr2bl w:val="nil"/>
                  </w:tcBorders>
                  <w:noWrap w:val="0"/>
                  <w:vAlign w:val="center"/>
                </w:tcPr>
                <w:p w14:paraId="26D6B93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1次/年</w:t>
                  </w:r>
                </w:p>
              </w:tc>
              <w:tc>
                <w:tcPr>
                  <w:tcW w:w="379" w:type="pct"/>
                  <w:tcBorders>
                    <w:tl2br w:val="nil"/>
                    <w:tr2bl w:val="nil"/>
                  </w:tcBorders>
                  <w:noWrap w:val="0"/>
                  <w:vAlign w:val="center"/>
                </w:tcPr>
                <w:p w14:paraId="12A25CFC">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2h</w:t>
                  </w:r>
                </w:p>
              </w:tc>
              <w:tc>
                <w:tcPr>
                  <w:tcW w:w="1922" w:type="dxa"/>
                  <w:tcBorders>
                    <w:tl2br w:val="nil"/>
                    <w:tr2bl w:val="nil"/>
                  </w:tcBorders>
                  <w:noWrap w:val="0"/>
                  <w:vAlign w:val="center"/>
                </w:tcPr>
                <w:p w14:paraId="6863294F">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0.002761144</w:t>
                  </w:r>
                </w:p>
              </w:tc>
              <w:tc>
                <w:tcPr>
                  <w:tcW w:w="2129" w:type="dxa"/>
                  <w:tcBorders>
                    <w:tl2br w:val="nil"/>
                    <w:tr2bl w:val="nil"/>
                  </w:tcBorders>
                  <w:noWrap w:val="0"/>
                  <w:vAlign w:val="center"/>
                </w:tcPr>
                <w:p w14:paraId="6FB38ECA">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0.01520202</w:t>
                  </w:r>
                </w:p>
              </w:tc>
            </w:tr>
            <w:tr w14:paraId="1AAB7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9" w:type="pct"/>
                  <w:vMerge w:val="continue"/>
                  <w:tcBorders>
                    <w:tl2br w:val="nil"/>
                    <w:tr2bl w:val="nil"/>
                  </w:tcBorders>
                  <w:noWrap w:val="0"/>
                  <w:vAlign w:val="center"/>
                </w:tcPr>
                <w:p w14:paraId="734FEF78">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p>
              </w:tc>
              <w:tc>
                <w:tcPr>
                  <w:tcW w:w="598" w:type="pct"/>
                  <w:tcBorders>
                    <w:tl2br w:val="nil"/>
                    <w:tr2bl w:val="nil"/>
                  </w:tcBorders>
                  <w:noWrap w:val="0"/>
                  <w:vAlign w:val="center"/>
                </w:tcPr>
                <w:p w14:paraId="48BD06C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cs="Times New Roman"/>
                      <w:color w:val="0000FF"/>
                      <w:sz w:val="21"/>
                      <w:szCs w:val="21"/>
                      <w:lang w:val="en-US" w:eastAsia="zh-CN"/>
                    </w:rPr>
                    <w:t>Pb</w:t>
                  </w:r>
                </w:p>
              </w:tc>
              <w:tc>
                <w:tcPr>
                  <w:tcW w:w="758" w:type="pct"/>
                  <w:vMerge w:val="continue"/>
                  <w:tcBorders>
                    <w:tl2br w:val="nil"/>
                    <w:tr2bl w:val="nil"/>
                  </w:tcBorders>
                  <w:noWrap w:val="0"/>
                  <w:vAlign w:val="center"/>
                </w:tcPr>
                <w:p w14:paraId="7BBAE08C">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p>
              </w:tc>
              <w:tc>
                <w:tcPr>
                  <w:tcW w:w="489" w:type="pct"/>
                  <w:tcBorders>
                    <w:tl2br w:val="nil"/>
                    <w:tr2bl w:val="nil"/>
                  </w:tcBorders>
                  <w:noWrap w:val="0"/>
                  <w:vAlign w:val="center"/>
                </w:tcPr>
                <w:p w14:paraId="180132E8">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1次/年</w:t>
                  </w:r>
                </w:p>
              </w:tc>
              <w:tc>
                <w:tcPr>
                  <w:tcW w:w="379" w:type="pct"/>
                  <w:tcBorders>
                    <w:tl2br w:val="nil"/>
                    <w:tr2bl w:val="nil"/>
                  </w:tcBorders>
                  <w:noWrap w:val="0"/>
                  <w:vAlign w:val="center"/>
                </w:tcPr>
                <w:p w14:paraId="6E24BA49">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2h</w:t>
                  </w:r>
                </w:p>
              </w:tc>
              <w:tc>
                <w:tcPr>
                  <w:tcW w:w="1922" w:type="dxa"/>
                  <w:tcBorders>
                    <w:tl2br w:val="nil"/>
                    <w:tr2bl w:val="nil"/>
                  </w:tcBorders>
                  <w:noWrap w:val="0"/>
                  <w:vAlign w:val="center"/>
                </w:tcPr>
                <w:p w14:paraId="5B246B1D">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0.036922276</w:t>
                  </w:r>
                </w:p>
              </w:tc>
              <w:tc>
                <w:tcPr>
                  <w:tcW w:w="2129" w:type="dxa"/>
                  <w:tcBorders>
                    <w:tl2br w:val="nil"/>
                    <w:tr2bl w:val="nil"/>
                  </w:tcBorders>
                  <w:noWrap w:val="0"/>
                  <w:vAlign w:val="center"/>
                </w:tcPr>
                <w:p w14:paraId="2F43B12C">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0.203282828</w:t>
                  </w:r>
                </w:p>
              </w:tc>
            </w:tr>
            <w:tr w14:paraId="57DB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9" w:type="pct"/>
                  <w:vMerge w:val="continue"/>
                  <w:tcBorders>
                    <w:tl2br w:val="nil"/>
                    <w:tr2bl w:val="nil"/>
                  </w:tcBorders>
                  <w:noWrap w:val="0"/>
                  <w:vAlign w:val="center"/>
                </w:tcPr>
                <w:p w14:paraId="7F932C71">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p>
              </w:tc>
              <w:tc>
                <w:tcPr>
                  <w:tcW w:w="598" w:type="pct"/>
                  <w:tcBorders>
                    <w:tl2br w:val="nil"/>
                    <w:tr2bl w:val="nil"/>
                  </w:tcBorders>
                  <w:noWrap w:val="0"/>
                  <w:vAlign w:val="center"/>
                </w:tcPr>
                <w:p w14:paraId="60C3F41E">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eastAsia" w:cs="Times New Roman"/>
                      <w:color w:val="0000FF"/>
                      <w:sz w:val="21"/>
                      <w:szCs w:val="21"/>
                      <w:lang w:val="en-US" w:eastAsia="zh-CN"/>
                    </w:rPr>
                    <w:t>二噁英类</w:t>
                  </w:r>
                </w:p>
              </w:tc>
              <w:tc>
                <w:tcPr>
                  <w:tcW w:w="758" w:type="pct"/>
                  <w:vMerge w:val="continue"/>
                  <w:tcBorders>
                    <w:tl2br w:val="nil"/>
                    <w:tr2bl w:val="nil"/>
                  </w:tcBorders>
                  <w:noWrap w:val="0"/>
                  <w:vAlign w:val="center"/>
                </w:tcPr>
                <w:p w14:paraId="7638F408">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p>
              </w:tc>
              <w:tc>
                <w:tcPr>
                  <w:tcW w:w="489" w:type="pct"/>
                  <w:tcBorders>
                    <w:tl2br w:val="nil"/>
                    <w:tr2bl w:val="nil"/>
                  </w:tcBorders>
                  <w:noWrap w:val="0"/>
                  <w:vAlign w:val="center"/>
                </w:tcPr>
                <w:p w14:paraId="55830B2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1次/年</w:t>
                  </w:r>
                </w:p>
              </w:tc>
              <w:tc>
                <w:tcPr>
                  <w:tcW w:w="379" w:type="pct"/>
                  <w:tcBorders>
                    <w:tl2br w:val="nil"/>
                    <w:tr2bl w:val="nil"/>
                  </w:tcBorders>
                  <w:noWrap w:val="0"/>
                  <w:vAlign w:val="center"/>
                </w:tcPr>
                <w:p w14:paraId="3C8F617F">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2h</w:t>
                  </w:r>
                </w:p>
              </w:tc>
              <w:tc>
                <w:tcPr>
                  <w:tcW w:w="1922" w:type="dxa"/>
                  <w:tcBorders>
                    <w:tl2br w:val="nil"/>
                    <w:tr2bl w:val="nil"/>
                  </w:tcBorders>
                  <w:noWrap w:val="0"/>
                  <w:vAlign w:val="center"/>
                </w:tcPr>
                <w:p w14:paraId="3DFA8579">
                  <w:pPr>
                    <w:keepNext w:val="0"/>
                    <w:keepLines w:val="0"/>
                    <w:pageBreakBefore w:val="0"/>
                    <w:widowControl w:val="0"/>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pacing w:val="0"/>
                      <w:sz w:val="21"/>
                      <w:szCs w:val="21"/>
                      <w:lang w:val="en-US" w:eastAsia="zh-CN"/>
                    </w:rPr>
                    <w:t>0.</w:t>
                  </w:r>
                  <w:r>
                    <w:rPr>
                      <w:rFonts w:hint="eastAsia" w:ascii="Times New Roman" w:hAnsi="Times New Roman" w:eastAsia="宋体" w:cs="Times New Roman"/>
                      <w:color w:val="0000FF"/>
                      <w:spacing w:val="0"/>
                      <w:sz w:val="21"/>
                      <w:szCs w:val="21"/>
                      <w:lang w:val="en-US" w:eastAsia="zh-CN"/>
                    </w:rPr>
                    <w:t>1</w:t>
                  </w:r>
                  <w:r>
                    <w:rPr>
                      <w:rFonts w:hint="default" w:ascii="Times New Roman" w:hAnsi="Times New Roman" w:eastAsia="宋体" w:cs="Times New Roman"/>
                      <w:color w:val="0000FF"/>
                      <w:spacing w:val="0"/>
                      <w:sz w:val="21"/>
                      <w:szCs w:val="21"/>
                    </w:rPr>
                    <w:t>ngTEQ/Nm</w:t>
                  </w:r>
                  <w:r>
                    <w:rPr>
                      <w:rFonts w:hint="default" w:ascii="Times New Roman" w:hAnsi="Times New Roman" w:eastAsia="宋体" w:cs="Times New Roman"/>
                      <w:color w:val="0000FF"/>
                      <w:spacing w:val="0"/>
                      <w:sz w:val="21"/>
                      <w:szCs w:val="21"/>
                      <w:vertAlign w:val="superscript"/>
                      <w:lang w:val="en-US" w:eastAsia="zh-CN"/>
                    </w:rPr>
                    <w:t>3</w:t>
                  </w:r>
                </w:p>
              </w:tc>
              <w:tc>
                <w:tcPr>
                  <w:tcW w:w="2129" w:type="dxa"/>
                  <w:tcBorders>
                    <w:tl2br w:val="nil"/>
                    <w:tr2bl w:val="nil"/>
                  </w:tcBorders>
                  <w:noWrap w:val="0"/>
                  <w:vAlign w:val="center"/>
                </w:tcPr>
                <w:p w14:paraId="27E96EE9">
                  <w:pPr>
                    <w:keepNext w:val="0"/>
                    <w:keepLines w:val="0"/>
                    <w:pageBreakBefore w:val="0"/>
                    <w:widowControl w:val="0"/>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pacing w:val="0"/>
                      <w:sz w:val="21"/>
                      <w:szCs w:val="21"/>
                      <w:lang w:val="en-US" w:eastAsia="zh-CN"/>
                    </w:rPr>
                    <w:t>5.5×10</w:t>
                  </w:r>
                  <w:r>
                    <w:rPr>
                      <w:rFonts w:hint="eastAsia" w:ascii="Times New Roman" w:hAnsi="Times New Roman" w:eastAsia="宋体" w:cs="Times New Roman"/>
                      <w:color w:val="0000FF"/>
                      <w:spacing w:val="0"/>
                      <w:sz w:val="21"/>
                      <w:szCs w:val="21"/>
                      <w:vertAlign w:val="superscript"/>
                      <w:lang w:val="en-US" w:eastAsia="zh-CN"/>
                    </w:rPr>
                    <w:t>-7</w:t>
                  </w:r>
                </w:p>
              </w:tc>
            </w:tr>
          </w:tbl>
          <w:p w14:paraId="2F99ADAE">
            <w:pPr>
              <w:widowControl/>
              <w:spacing w:line="360" w:lineRule="auto"/>
              <w:ind w:firstLine="480" w:firstLineChars="200"/>
              <w:rPr>
                <w:rFonts w:hint="default" w:ascii="Times New Roman" w:hAnsi="Times New Roman" w:cs="Times New Roman"/>
                <w:color w:val="0000FF"/>
              </w:rPr>
            </w:pPr>
            <w:r>
              <w:rPr>
                <w:rFonts w:hint="default" w:ascii="Times New Roman" w:hAnsi="Times New Roman" w:cs="Times New Roman"/>
                <w:color w:val="0000FF"/>
                <w:kern w:val="0"/>
                <w:sz w:val="24"/>
                <w:lang w:bidi="ar"/>
              </w:rPr>
              <w:t>由上表可知，非正常工况下，生产工序产生的颗粒物、二氧化硫、氮氧化物</w:t>
            </w:r>
            <w:r>
              <w:rPr>
                <w:rFonts w:hint="default" w:ascii="Times New Roman" w:hAnsi="Times New Roman" w:cs="Times New Roman"/>
                <w:color w:val="0000FF"/>
                <w:kern w:val="0"/>
                <w:sz w:val="24"/>
                <w:lang w:eastAsia="zh-CN" w:bidi="ar"/>
              </w:rPr>
              <w:t>等污染物</w:t>
            </w:r>
            <w:r>
              <w:rPr>
                <w:rFonts w:hint="default" w:ascii="Times New Roman" w:hAnsi="Times New Roman" w:cs="Times New Roman"/>
                <w:color w:val="0000FF"/>
                <w:kern w:val="0"/>
                <w:sz w:val="24"/>
                <w:lang w:bidi="ar"/>
              </w:rPr>
              <w:t>全部未经处理直接排放，将对周边环境产生一定的影响，应杜绝非正常排放情况的产生。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14:paraId="42DA6879">
            <w:pPr>
              <w:widowControl/>
              <w:spacing w:line="360" w:lineRule="auto"/>
              <w:ind w:firstLine="480" w:firstLineChars="200"/>
              <w:rPr>
                <w:rFonts w:hint="default" w:ascii="Times New Roman" w:hAnsi="Times New Roman" w:cs="Times New Roman"/>
                <w:color w:val="0000FF"/>
                <w:kern w:val="0"/>
                <w:sz w:val="24"/>
                <w:lang w:bidi="ar"/>
              </w:rPr>
            </w:pPr>
            <w:r>
              <w:rPr>
                <w:rFonts w:hint="default" w:ascii="Times New Roman" w:hAnsi="Times New Roman" w:cs="Times New Roman"/>
                <w:color w:val="0000FF"/>
                <w:kern w:val="0"/>
                <w:sz w:val="24"/>
                <w:lang w:bidi="ar"/>
              </w:rPr>
              <w:t>①安排专人负责环保设备的日常维护和管理，每隔固定时间检查、汇报情况，及时发现废气处理设备的隐患，确保废气处理系统正常运行；</w:t>
            </w:r>
          </w:p>
          <w:p w14:paraId="5EB25D80">
            <w:pPr>
              <w:widowControl/>
              <w:spacing w:line="360" w:lineRule="auto"/>
              <w:ind w:firstLine="480" w:firstLineChars="200"/>
              <w:rPr>
                <w:rFonts w:hint="default" w:ascii="Times New Roman" w:hAnsi="Times New Roman" w:cs="Times New Roman"/>
                <w:color w:val="0000FF"/>
                <w:kern w:val="0"/>
                <w:sz w:val="24"/>
                <w:lang w:bidi="ar"/>
              </w:rPr>
            </w:pPr>
            <w:r>
              <w:rPr>
                <w:rFonts w:hint="default" w:ascii="Times New Roman" w:hAnsi="Times New Roman" w:cs="Times New Roman"/>
                <w:color w:val="0000FF"/>
                <w:kern w:val="0"/>
                <w:sz w:val="24"/>
                <w:lang w:bidi="ar"/>
              </w:rPr>
              <w:t>②建立健全的环保管理机构，对环保管理人员和技术人员进行岗位培训，委托具有专业资质的环境检测单位对项目排放的各类污染物进行定期检测；</w:t>
            </w:r>
          </w:p>
          <w:p w14:paraId="55FBB461">
            <w:pPr>
              <w:widowControl/>
              <w:spacing w:line="360" w:lineRule="auto"/>
              <w:ind w:firstLine="480" w:firstLineChars="200"/>
              <w:rPr>
                <w:rFonts w:hint="eastAsia" w:cs="Times New Roman"/>
                <w:b w:val="0"/>
                <w:bCs w:val="0"/>
                <w:color w:val="0000FF"/>
                <w:kern w:val="2"/>
                <w:sz w:val="24"/>
                <w:szCs w:val="24"/>
                <w:lang w:val="en-US" w:eastAsia="zh-CN" w:bidi="ar-SA"/>
              </w:rPr>
            </w:pPr>
            <w:r>
              <w:rPr>
                <w:rFonts w:hint="default" w:ascii="Times New Roman" w:hAnsi="Times New Roman" w:cs="Times New Roman"/>
                <w:color w:val="0000FF"/>
                <w:kern w:val="0"/>
                <w:sz w:val="24"/>
                <w:lang w:bidi="ar"/>
              </w:rPr>
              <w:t>③应定期维护、检修废气净化装置，以保持废气处理装置的净化能力和净化容量。</w:t>
            </w:r>
          </w:p>
          <w:p w14:paraId="1510DDBD">
            <w:pPr>
              <w:pStyle w:val="12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0000FF"/>
                <w:kern w:val="2"/>
                <w:sz w:val="24"/>
                <w:szCs w:val="24"/>
                <w:lang w:val="en-US" w:eastAsia="zh-CN" w:bidi="ar-SA"/>
              </w:rPr>
            </w:pPr>
            <w:r>
              <w:rPr>
                <w:rFonts w:hint="eastAsia" w:ascii="Times New Roman" w:hAnsi="Times New Roman" w:eastAsia="宋体" w:cs="Times New Roman"/>
                <w:b/>
                <w:bCs/>
                <w:color w:val="0000FF"/>
                <w:kern w:val="2"/>
                <w:sz w:val="24"/>
                <w:szCs w:val="24"/>
                <w:lang w:val="en-US" w:eastAsia="zh-CN" w:bidi="ar-SA"/>
              </w:rPr>
              <w:t>二、</w:t>
            </w:r>
            <w:r>
              <w:rPr>
                <w:rFonts w:hint="eastAsia" w:cs="Times New Roman"/>
                <w:b/>
                <w:bCs/>
                <w:color w:val="0000FF"/>
                <w:kern w:val="2"/>
                <w:sz w:val="24"/>
                <w:szCs w:val="24"/>
                <w:lang w:val="en-US" w:eastAsia="zh-CN" w:bidi="ar-SA"/>
              </w:rPr>
              <w:t>废水</w:t>
            </w:r>
          </w:p>
          <w:p w14:paraId="6C140E24">
            <w:pPr>
              <w:pStyle w:val="12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cs="Times New Roman"/>
                <w:b w:val="0"/>
                <w:bCs w:val="0"/>
                <w:color w:val="0000FF"/>
                <w:kern w:val="2"/>
                <w:sz w:val="24"/>
                <w:szCs w:val="24"/>
                <w:lang w:val="en-US" w:eastAsia="zh-CN" w:bidi="ar-SA"/>
              </w:rPr>
            </w:pPr>
            <w:bookmarkStart w:id="161" w:name="OLE_LINK231"/>
            <w:r>
              <w:rPr>
                <w:rFonts w:hint="eastAsia" w:cs="Times New Roman"/>
                <w:b w:val="0"/>
                <w:bCs w:val="0"/>
                <w:color w:val="0000FF"/>
                <w:kern w:val="2"/>
                <w:sz w:val="24"/>
                <w:szCs w:val="24"/>
                <w:lang w:val="en-US" w:eastAsia="zh-CN" w:bidi="ar-SA"/>
              </w:rPr>
              <w:t>1、废水污染源强核算及污染物产排情况</w:t>
            </w:r>
          </w:p>
          <w:p w14:paraId="2ACF0CA3">
            <w:pPr>
              <w:pStyle w:val="12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b w:val="0"/>
                <w:bCs w:val="0"/>
                <w:color w:val="0000FF"/>
                <w:kern w:val="2"/>
                <w:sz w:val="24"/>
                <w:szCs w:val="24"/>
                <w:lang w:val="en-US" w:eastAsia="zh-CN" w:bidi="ar-SA"/>
              </w:rPr>
            </w:pPr>
            <w:r>
              <w:rPr>
                <w:rFonts w:hint="eastAsia" w:cs="Times New Roman"/>
                <w:b w:val="0"/>
                <w:bCs w:val="0"/>
                <w:color w:val="0000FF"/>
                <w:kern w:val="2"/>
                <w:sz w:val="24"/>
                <w:szCs w:val="24"/>
                <w:lang w:val="en-US" w:eastAsia="zh-CN" w:bidi="ar-SA"/>
              </w:rPr>
              <w:t>本项目为水泥窑协同处置固体废物项目，替代燃料为废纺及生物质（木屑），均为干燥物料，无生产废水产生，不新增员工，不新增生活污水。因此，本项目无生产废水产生，厂内现有员工所产生的生活污水依托原有污水处理设施进行处理后达标排放。</w:t>
            </w:r>
          </w:p>
          <w:p w14:paraId="52250C40">
            <w:pPr>
              <w:pStyle w:val="12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b/>
                <w:bCs/>
                <w:color w:val="0000FF"/>
                <w:kern w:val="2"/>
                <w:sz w:val="21"/>
                <w:szCs w:val="21"/>
                <w:lang w:val="en-US" w:eastAsia="zh-CN" w:bidi="ar-SA"/>
              </w:rPr>
            </w:pPr>
            <w:r>
              <w:rPr>
                <w:rFonts w:hint="default" w:ascii="Times New Roman" w:hAnsi="Times New Roman" w:eastAsia="宋体" w:cs="Times New Roman"/>
                <w:b/>
                <w:bCs/>
                <w:color w:val="0000FF"/>
                <w:kern w:val="2"/>
                <w:sz w:val="21"/>
                <w:szCs w:val="21"/>
                <w:lang w:val="en-US" w:eastAsia="zh-CN" w:bidi="ar-SA"/>
              </w:rPr>
              <w:t>表4-</w:t>
            </w:r>
            <w:r>
              <w:rPr>
                <w:rFonts w:hint="eastAsia" w:cs="Times New Roman"/>
                <w:b/>
                <w:bCs/>
                <w:color w:val="0000FF"/>
                <w:kern w:val="2"/>
                <w:sz w:val="21"/>
                <w:szCs w:val="21"/>
                <w:lang w:val="en-US" w:eastAsia="zh-CN" w:bidi="ar-SA"/>
              </w:rPr>
              <w:t xml:space="preserve">10 </w:t>
            </w:r>
            <w:r>
              <w:rPr>
                <w:rFonts w:hint="eastAsia" w:ascii="Times New Roman" w:hAnsi="Times New Roman" w:eastAsia="宋体" w:cs="Times New Roman"/>
                <w:b/>
                <w:bCs/>
                <w:color w:val="0000FF"/>
                <w:kern w:val="2"/>
                <w:sz w:val="21"/>
                <w:szCs w:val="21"/>
                <w:lang w:val="en-US" w:eastAsia="zh-CN" w:bidi="ar-SA"/>
              </w:rPr>
              <w:t>厂区现有项目废水污染物产生及排放情况一览表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855"/>
              <w:gridCol w:w="946"/>
              <w:gridCol w:w="1082"/>
              <w:gridCol w:w="827"/>
              <w:gridCol w:w="716"/>
              <w:gridCol w:w="1178"/>
              <w:gridCol w:w="1755"/>
              <w:gridCol w:w="827"/>
            </w:tblGrid>
            <w:tr w14:paraId="3314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14:paraId="47B987C3">
                  <w:pPr>
                    <w:jc w:val="center"/>
                    <w:rPr>
                      <w:rFonts w:hint="default" w:ascii="Times New Roman" w:hAnsi="Times New Roman" w:eastAsia="宋体" w:cs="Times New Roman"/>
                      <w:color w:val="0000FF"/>
                      <w:lang w:eastAsia="zh-CN"/>
                    </w:rPr>
                  </w:pPr>
                  <w:r>
                    <w:rPr>
                      <w:rFonts w:hint="default" w:ascii="Times New Roman" w:hAnsi="Times New Roman" w:eastAsia="宋体" w:cs="Times New Roman"/>
                      <w:color w:val="0000FF"/>
                      <w:lang w:eastAsia="zh-CN"/>
                    </w:rPr>
                    <w:t>废水类型</w:t>
                  </w:r>
                </w:p>
              </w:tc>
              <w:tc>
                <w:tcPr>
                  <w:tcW w:w="480" w:type="pct"/>
                  <w:tcBorders>
                    <w:top w:val="single" w:color="auto" w:sz="4" w:space="0"/>
                    <w:left w:val="single" w:color="auto" w:sz="4" w:space="0"/>
                    <w:bottom w:val="single" w:color="auto" w:sz="4" w:space="0"/>
                    <w:right w:val="single" w:color="auto" w:sz="4" w:space="0"/>
                  </w:tcBorders>
                  <w:vAlign w:val="center"/>
                </w:tcPr>
                <w:p w14:paraId="066D15A7">
                  <w:pPr>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eastAsia="zh-CN"/>
                    </w:rPr>
                    <w:t>废水量</w:t>
                  </w:r>
                  <w:r>
                    <w:rPr>
                      <w:rFonts w:hint="default" w:ascii="Times New Roman" w:hAnsi="Times New Roman" w:eastAsia="宋体" w:cs="Times New Roman"/>
                      <w:color w:val="0000FF"/>
                      <w:lang w:val="en-US" w:eastAsia="zh-CN"/>
                    </w:rPr>
                    <w:t>t/a</w:t>
                  </w:r>
                </w:p>
              </w:tc>
              <w:tc>
                <w:tcPr>
                  <w:tcW w:w="531" w:type="pct"/>
                  <w:tcBorders>
                    <w:top w:val="single" w:color="auto" w:sz="4" w:space="0"/>
                    <w:left w:val="single" w:color="auto" w:sz="4" w:space="0"/>
                    <w:bottom w:val="single" w:color="auto" w:sz="4" w:space="0"/>
                    <w:right w:val="single" w:color="auto" w:sz="4" w:space="0"/>
                  </w:tcBorders>
                  <w:vAlign w:val="center"/>
                </w:tcPr>
                <w:p w14:paraId="720A6E2E">
                  <w:pPr>
                    <w:jc w:val="center"/>
                    <w:rPr>
                      <w:rFonts w:hint="default" w:ascii="Times New Roman" w:hAnsi="Times New Roman" w:eastAsia="宋体" w:cs="Times New Roman"/>
                      <w:color w:val="0000FF"/>
                      <w:lang w:eastAsia="zh-CN"/>
                    </w:rPr>
                  </w:pPr>
                  <w:r>
                    <w:rPr>
                      <w:rFonts w:hint="default" w:ascii="Times New Roman" w:hAnsi="Times New Roman" w:eastAsia="宋体" w:cs="Times New Roman"/>
                      <w:color w:val="0000FF"/>
                      <w:lang w:eastAsia="zh-CN"/>
                    </w:rPr>
                    <w:t>污染因子</w:t>
                  </w:r>
                </w:p>
              </w:tc>
              <w:tc>
                <w:tcPr>
                  <w:tcW w:w="607" w:type="pct"/>
                  <w:tcBorders>
                    <w:top w:val="single" w:color="auto" w:sz="4" w:space="0"/>
                    <w:left w:val="single" w:color="auto" w:sz="4" w:space="0"/>
                    <w:bottom w:val="single" w:color="auto" w:sz="4" w:space="0"/>
                    <w:right w:val="single" w:color="auto" w:sz="4" w:space="0"/>
                  </w:tcBorders>
                  <w:vAlign w:val="center"/>
                </w:tcPr>
                <w:p w14:paraId="5CBDC03D">
                  <w:pPr>
                    <w:jc w:val="center"/>
                    <w:rPr>
                      <w:rFonts w:hint="default" w:ascii="Times New Roman" w:hAnsi="Times New Roman" w:eastAsia="宋体" w:cs="Times New Roman"/>
                      <w:color w:val="0000FF"/>
                      <w:lang w:eastAsia="zh-CN"/>
                    </w:rPr>
                  </w:pPr>
                  <w:r>
                    <w:rPr>
                      <w:rFonts w:hint="default" w:ascii="Times New Roman" w:hAnsi="Times New Roman" w:eastAsia="宋体" w:cs="Times New Roman"/>
                      <w:color w:val="0000FF"/>
                      <w:lang w:eastAsia="zh-CN"/>
                    </w:rPr>
                    <w:t>产生浓度</w:t>
                  </w:r>
                  <w:r>
                    <w:rPr>
                      <w:rFonts w:hint="default" w:ascii="Times New Roman" w:hAnsi="Times New Roman" w:eastAsia="宋体" w:cs="Times New Roman"/>
                      <w:color w:val="0000FF"/>
                    </w:rPr>
                    <w:t>mg/L</w:t>
                  </w:r>
                </w:p>
              </w:tc>
              <w:tc>
                <w:tcPr>
                  <w:tcW w:w="464" w:type="pct"/>
                  <w:tcBorders>
                    <w:top w:val="single" w:color="auto" w:sz="4" w:space="0"/>
                    <w:left w:val="single" w:color="auto" w:sz="4" w:space="0"/>
                    <w:bottom w:val="single" w:color="auto" w:sz="4" w:space="0"/>
                    <w:right w:val="single" w:color="auto" w:sz="4" w:space="0"/>
                  </w:tcBorders>
                  <w:vAlign w:val="center"/>
                </w:tcPr>
                <w:p w14:paraId="1C7A9F2B">
                  <w:pPr>
                    <w:jc w:val="center"/>
                    <w:rPr>
                      <w:rFonts w:hint="default" w:ascii="Times New Roman" w:hAnsi="Times New Roman" w:eastAsia="宋体" w:cs="Times New Roman"/>
                      <w:color w:val="0000FF"/>
                      <w:lang w:eastAsia="zh-CN"/>
                    </w:rPr>
                  </w:pPr>
                  <w:r>
                    <w:rPr>
                      <w:rFonts w:hint="default" w:ascii="Times New Roman" w:hAnsi="Times New Roman" w:eastAsia="宋体" w:cs="Times New Roman"/>
                      <w:color w:val="0000FF"/>
                      <w:lang w:eastAsia="zh-CN"/>
                    </w:rPr>
                    <w:t>产生量</w:t>
                  </w:r>
                  <w:r>
                    <w:rPr>
                      <w:rFonts w:hint="default" w:ascii="Times New Roman" w:hAnsi="Times New Roman" w:eastAsia="宋体" w:cs="Times New Roman"/>
                      <w:color w:val="0000FF"/>
                      <w:lang w:val="fr-FR"/>
                    </w:rPr>
                    <w:t>t/a</w:t>
                  </w:r>
                </w:p>
              </w:tc>
              <w:tc>
                <w:tcPr>
                  <w:tcW w:w="402" w:type="pct"/>
                  <w:tcBorders>
                    <w:top w:val="single" w:color="auto" w:sz="4" w:space="0"/>
                    <w:left w:val="single" w:color="auto" w:sz="4" w:space="0"/>
                    <w:bottom w:val="single" w:color="auto" w:sz="4" w:space="0"/>
                    <w:right w:val="single" w:color="auto" w:sz="4" w:space="0"/>
                  </w:tcBorders>
                  <w:vAlign w:val="center"/>
                </w:tcPr>
                <w:p w14:paraId="7AAE0960">
                  <w:pPr>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处理措施</w:t>
                  </w:r>
                </w:p>
              </w:tc>
              <w:tc>
                <w:tcPr>
                  <w:tcW w:w="661" w:type="pct"/>
                  <w:tcBorders>
                    <w:top w:val="single" w:color="auto" w:sz="4" w:space="0"/>
                    <w:left w:val="single" w:color="auto" w:sz="4" w:space="0"/>
                    <w:bottom w:val="single" w:color="auto" w:sz="4" w:space="0"/>
                    <w:right w:val="single" w:color="auto" w:sz="4" w:space="0"/>
                  </w:tcBorders>
                  <w:vAlign w:val="center"/>
                </w:tcPr>
                <w:p w14:paraId="0714378D">
                  <w:pPr>
                    <w:jc w:val="center"/>
                    <w:rPr>
                      <w:rFonts w:hint="default" w:ascii="Times New Roman" w:hAnsi="Times New Roman" w:eastAsia="宋体" w:cs="Times New Roman"/>
                      <w:color w:val="0000FF"/>
                      <w:lang w:eastAsia="zh-CN"/>
                    </w:rPr>
                  </w:pPr>
                  <w:r>
                    <w:rPr>
                      <w:rFonts w:hint="default" w:ascii="Times New Roman" w:hAnsi="Times New Roman" w:eastAsia="宋体" w:cs="Times New Roman"/>
                      <w:color w:val="0000FF"/>
                      <w:lang w:eastAsia="zh-CN"/>
                    </w:rPr>
                    <w:t>处理后浓度mg/L</w:t>
                  </w:r>
                </w:p>
              </w:tc>
              <w:tc>
                <w:tcPr>
                  <w:tcW w:w="985" w:type="pct"/>
                  <w:tcBorders>
                    <w:top w:val="single" w:color="auto" w:sz="4" w:space="0"/>
                    <w:left w:val="single" w:color="auto" w:sz="4" w:space="0"/>
                    <w:bottom w:val="single" w:color="auto" w:sz="4" w:space="0"/>
                    <w:right w:val="single" w:color="auto" w:sz="4" w:space="0"/>
                  </w:tcBorders>
                  <w:vAlign w:val="center"/>
                </w:tcPr>
                <w:p w14:paraId="45494516">
                  <w:pPr>
                    <w:jc w:val="center"/>
                    <w:rPr>
                      <w:rFonts w:hint="default" w:ascii="Times New Roman" w:hAnsi="Times New Roman" w:eastAsia="宋体" w:cs="Times New Roman"/>
                      <w:color w:val="0000FF"/>
                      <w:lang w:eastAsia="zh-CN"/>
                    </w:rPr>
                  </w:pPr>
                  <w:r>
                    <w:rPr>
                      <w:rFonts w:hint="default" w:ascii="Times New Roman" w:hAnsi="Times New Roman" w:eastAsia="宋体" w:cs="Times New Roman"/>
                      <w:color w:val="0000FF"/>
                      <w:lang w:eastAsia="zh-CN"/>
                    </w:rPr>
                    <w:t>污水处理厂废水排放浓度mg/L</w:t>
                  </w:r>
                </w:p>
              </w:tc>
              <w:tc>
                <w:tcPr>
                  <w:tcW w:w="464" w:type="pct"/>
                  <w:tcBorders>
                    <w:top w:val="single" w:color="auto" w:sz="4" w:space="0"/>
                    <w:left w:val="single" w:color="auto" w:sz="4" w:space="0"/>
                    <w:bottom w:val="single" w:color="auto" w:sz="4" w:space="0"/>
                    <w:right w:val="single" w:color="auto" w:sz="4" w:space="0"/>
                  </w:tcBorders>
                  <w:vAlign w:val="center"/>
                </w:tcPr>
                <w:p w14:paraId="6735BEB0">
                  <w:pPr>
                    <w:jc w:val="center"/>
                    <w:rPr>
                      <w:rFonts w:hint="default" w:ascii="Times New Roman" w:hAnsi="Times New Roman" w:eastAsia="宋体" w:cs="Times New Roman"/>
                      <w:color w:val="0000FF"/>
                      <w:lang w:eastAsia="zh-CN"/>
                    </w:rPr>
                  </w:pPr>
                  <w:r>
                    <w:rPr>
                      <w:rFonts w:hint="default" w:ascii="Times New Roman" w:hAnsi="Times New Roman" w:eastAsia="宋体" w:cs="Times New Roman"/>
                      <w:color w:val="0000FF"/>
                      <w:lang w:eastAsia="zh-CN"/>
                    </w:rPr>
                    <w:t>排放量</w:t>
                  </w:r>
                  <w:r>
                    <w:rPr>
                      <w:rFonts w:hint="default" w:ascii="Times New Roman" w:hAnsi="Times New Roman" w:eastAsia="宋体" w:cs="Times New Roman"/>
                      <w:color w:val="0000FF"/>
                      <w:lang w:val="fr-FR"/>
                    </w:rPr>
                    <w:t>t/a</w:t>
                  </w:r>
                </w:p>
              </w:tc>
            </w:tr>
            <w:tr w14:paraId="1563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01" w:type="pct"/>
                  <w:vMerge w:val="restart"/>
                  <w:tcBorders>
                    <w:top w:val="single" w:color="auto" w:sz="4" w:space="0"/>
                    <w:left w:val="single" w:color="auto" w:sz="4" w:space="0"/>
                    <w:bottom w:val="single" w:color="auto" w:sz="4" w:space="0"/>
                    <w:right w:val="single" w:color="auto" w:sz="4" w:space="0"/>
                  </w:tcBorders>
                  <w:vAlign w:val="center"/>
                </w:tcPr>
                <w:p w14:paraId="3B6139F3">
                  <w:pPr>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eastAsia="zh-CN"/>
                    </w:rPr>
                    <w:t>生活</w:t>
                  </w:r>
                  <w:r>
                    <w:rPr>
                      <w:rFonts w:hint="eastAsia" w:ascii="Times New Roman" w:hAnsi="Times New Roman" w:eastAsia="宋体" w:cs="Times New Roman"/>
                      <w:color w:val="0000FF"/>
                      <w:lang w:eastAsia="zh-CN"/>
                    </w:rPr>
                    <w:t>污水</w:t>
                  </w:r>
                </w:p>
              </w:tc>
              <w:tc>
                <w:tcPr>
                  <w:tcW w:w="480" w:type="pct"/>
                  <w:vMerge w:val="restart"/>
                  <w:tcBorders>
                    <w:top w:val="single" w:color="auto" w:sz="4" w:space="0"/>
                    <w:left w:val="single" w:color="auto" w:sz="4" w:space="0"/>
                    <w:bottom w:val="single" w:color="auto" w:sz="4" w:space="0"/>
                    <w:right w:val="single" w:color="auto" w:sz="4" w:space="0"/>
                  </w:tcBorders>
                  <w:vAlign w:val="center"/>
                </w:tcPr>
                <w:p w14:paraId="73943C53">
                  <w:pPr>
                    <w:jc w:val="center"/>
                    <w:rPr>
                      <w:rFonts w:hint="default"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8400</w:t>
                  </w:r>
                </w:p>
              </w:tc>
              <w:tc>
                <w:tcPr>
                  <w:tcW w:w="531" w:type="pct"/>
                  <w:tcBorders>
                    <w:top w:val="single" w:color="auto" w:sz="4" w:space="0"/>
                    <w:left w:val="single" w:color="auto" w:sz="4" w:space="0"/>
                    <w:bottom w:val="single" w:color="auto" w:sz="4" w:space="0"/>
                    <w:right w:val="single" w:color="auto" w:sz="4" w:space="0"/>
                  </w:tcBorders>
                  <w:vAlign w:val="center"/>
                </w:tcPr>
                <w:p w14:paraId="07499F45">
                  <w:pPr>
                    <w:jc w:val="center"/>
                    <w:rPr>
                      <w:rFonts w:hint="default" w:ascii="Times New Roman" w:hAnsi="Times New Roman" w:eastAsia="宋体" w:cs="Times New Roman"/>
                      <w:color w:val="0000FF"/>
                    </w:rPr>
                  </w:pPr>
                  <w:r>
                    <w:rPr>
                      <w:rFonts w:hint="default" w:ascii="Times New Roman" w:hAnsi="Times New Roman" w:eastAsia="宋体" w:cs="Times New Roman"/>
                      <w:color w:val="0000FF"/>
                    </w:rPr>
                    <w:t>pH</w:t>
                  </w:r>
                </w:p>
              </w:tc>
              <w:tc>
                <w:tcPr>
                  <w:tcW w:w="607" w:type="pct"/>
                  <w:tcBorders>
                    <w:top w:val="single" w:color="auto" w:sz="4" w:space="0"/>
                    <w:left w:val="single" w:color="auto" w:sz="4" w:space="0"/>
                    <w:bottom w:val="single" w:color="auto" w:sz="4" w:space="0"/>
                    <w:right w:val="single" w:color="auto" w:sz="4" w:space="0"/>
                  </w:tcBorders>
                  <w:vAlign w:val="top"/>
                </w:tcPr>
                <w:p w14:paraId="056D9762">
                  <w:pPr>
                    <w:jc w:val="center"/>
                    <w:rPr>
                      <w:rFonts w:hint="default" w:ascii="Times New Roman" w:hAnsi="Times New Roman" w:eastAsia="宋体" w:cs="Times New Roman"/>
                      <w:color w:val="0000FF"/>
                    </w:rPr>
                  </w:pPr>
                  <w:r>
                    <w:rPr>
                      <w:rFonts w:hint="eastAsia" w:ascii="Times New Roman" w:hAnsi="Times New Roman" w:eastAsia="宋体" w:cs="Times New Roman"/>
                      <w:color w:val="0000FF"/>
                    </w:rPr>
                    <w:t>260</w:t>
                  </w:r>
                </w:p>
              </w:tc>
              <w:tc>
                <w:tcPr>
                  <w:tcW w:w="464" w:type="pct"/>
                  <w:tcBorders>
                    <w:top w:val="single" w:color="auto" w:sz="4" w:space="0"/>
                    <w:left w:val="single" w:color="auto" w:sz="4" w:space="0"/>
                    <w:bottom w:val="single" w:color="auto" w:sz="4" w:space="0"/>
                    <w:right w:val="single" w:color="auto" w:sz="4" w:space="0"/>
                  </w:tcBorders>
                  <w:vAlign w:val="top"/>
                </w:tcPr>
                <w:p w14:paraId="4A522BC3">
                  <w:pPr>
                    <w:jc w:val="center"/>
                    <w:rPr>
                      <w:rFonts w:hint="default" w:ascii="Times New Roman" w:hAnsi="Times New Roman" w:eastAsia="宋体" w:cs="Times New Roman"/>
                      <w:color w:val="0000FF"/>
                    </w:rPr>
                  </w:pPr>
                  <w:r>
                    <w:rPr>
                      <w:rFonts w:hint="eastAsia" w:ascii="Times New Roman" w:hAnsi="Times New Roman" w:eastAsia="宋体" w:cs="Times New Roman"/>
                      <w:color w:val="0000FF"/>
                    </w:rPr>
                    <w:t>2.18</w:t>
                  </w:r>
                </w:p>
              </w:tc>
              <w:tc>
                <w:tcPr>
                  <w:tcW w:w="402" w:type="pct"/>
                  <w:vMerge w:val="restart"/>
                  <w:tcBorders>
                    <w:top w:val="single" w:color="auto" w:sz="4" w:space="0"/>
                    <w:left w:val="single" w:color="auto" w:sz="4" w:space="0"/>
                    <w:right w:val="single" w:color="auto" w:sz="4" w:space="0"/>
                  </w:tcBorders>
                  <w:vAlign w:val="center"/>
                </w:tcPr>
                <w:p w14:paraId="6E343C64">
                  <w:pPr>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化粪池</w:t>
                  </w:r>
                </w:p>
              </w:tc>
              <w:tc>
                <w:tcPr>
                  <w:tcW w:w="661" w:type="pct"/>
                  <w:tcBorders>
                    <w:top w:val="single" w:color="auto" w:sz="4" w:space="0"/>
                    <w:left w:val="single" w:color="auto" w:sz="4" w:space="0"/>
                    <w:bottom w:val="single" w:color="auto" w:sz="4" w:space="0"/>
                    <w:right w:val="single" w:color="auto" w:sz="4" w:space="0"/>
                  </w:tcBorders>
                  <w:vAlign w:val="top"/>
                </w:tcPr>
                <w:p w14:paraId="5A5516D8">
                  <w:pPr>
                    <w:jc w:val="center"/>
                    <w:rPr>
                      <w:rFonts w:hint="default" w:ascii="Times New Roman" w:hAnsi="Times New Roman" w:eastAsia="宋体" w:cs="Times New Roman"/>
                      <w:color w:val="0000FF"/>
                    </w:rPr>
                  </w:pPr>
                  <w:r>
                    <w:rPr>
                      <w:rFonts w:hint="eastAsia" w:ascii="Times New Roman" w:hAnsi="Times New Roman" w:eastAsia="宋体" w:cs="Times New Roman"/>
                      <w:color w:val="0000FF"/>
                    </w:rPr>
                    <w:t>100</w:t>
                  </w:r>
                </w:p>
              </w:tc>
              <w:tc>
                <w:tcPr>
                  <w:tcW w:w="985" w:type="pct"/>
                  <w:tcBorders>
                    <w:top w:val="single" w:color="auto" w:sz="4" w:space="0"/>
                    <w:left w:val="single" w:color="auto" w:sz="4" w:space="0"/>
                    <w:bottom w:val="single" w:color="auto" w:sz="4" w:space="0"/>
                    <w:right w:val="single" w:color="auto" w:sz="4" w:space="0"/>
                  </w:tcBorders>
                  <w:vAlign w:val="center"/>
                </w:tcPr>
                <w:p w14:paraId="0D0ADBCC">
                  <w:pPr>
                    <w:jc w:val="center"/>
                    <w:rPr>
                      <w:rFonts w:hint="default" w:ascii="Times New Roman" w:hAnsi="Times New Roman" w:eastAsia="宋体" w:cs="Times New Roman"/>
                      <w:color w:val="0000FF"/>
                    </w:rPr>
                  </w:pPr>
                  <w:r>
                    <w:rPr>
                      <w:rFonts w:hint="default" w:ascii="Times New Roman" w:hAnsi="Times New Roman" w:eastAsia="宋体" w:cs="Times New Roman"/>
                      <w:color w:val="0000FF"/>
                    </w:rPr>
                    <w:t>6-9</w:t>
                  </w:r>
                </w:p>
              </w:tc>
              <w:tc>
                <w:tcPr>
                  <w:tcW w:w="464" w:type="pct"/>
                  <w:tcBorders>
                    <w:top w:val="single" w:color="auto" w:sz="4" w:space="0"/>
                    <w:left w:val="single" w:color="auto" w:sz="4" w:space="0"/>
                    <w:bottom w:val="single" w:color="auto" w:sz="4" w:space="0"/>
                    <w:right w:val="single" w:color="auto" w:sz="4" w:space="0"/>
                  </w:tcBorders>
                  <w:vAlign w:val="top"/>
                </w:tcPr>
                <w:p w14:paraId="32158E5F">
                  <w:pPr>
                    <w:jc w:val="center"/>
                    <w:rPr>
                      <w:rFonts w:hint="eastAsia" w:ascii="Times New Roman" w:hAnsi="Times New Roman" w:eastAsia="宋体" w:cs="Times New Roman"/>
                      <w:color w:val="0000FF"/>
                      <w:lang w:eastAsia="zh-CN"/>
                    </w:rPr>
                  </w:pPr>
                  <w:r>
                    <w:rPr>
                      <w:rFonts w:hint="eastAsia" w:cs="Times New Roman"/>
                      <w:color w:val="0000FF"/>
                      <w:lang w:eastAsia="zh-CN"/>
                    </w:rPr>
                    <w:t>0.67</w:t>
                  </w:r>
                </w:p>
              </w:tc>
            </w:tr>
            <w:tr w14:paraId="38B95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01" w:type="pct"/>
                  <w:vMerge w:val="continue"/>
                  <w:tcBorders>
                    <w:top w:val="single" w:color="auto" w:sz="4" w:space="0"/>
                    <w:left w:val="single" w:color="auto" w:sz="4" w:space="0"/>
                    <w:bottom w:val="single" w:color="auto" w:sz="4" w:space="0"/>
                    <w:right w:val="single" w:color="auto" w:sz="4" w:space="0"/>
                  </w:tcBorders>
                  <w:vAlign w:val="center"/>
                </w:tcPr>
                <w:p w14:paraId="49F23003">
                  <w:pPr>
                    <w:jc w:val="center"/>
                    <w:rPr>
                      <w:rFonts w:hint="default" w:ascii="Times New Roman" w:hAnsi="Times New Roman" w:eastAsia="宋体" w:cs="Times New Roman"/>
                      <w:color w:val="0000FF"/>
                      <w:lang w:eastAsia="zh-CN"/>
                    </w:rPr>
                  </w:pPr>
                </w:p>
              </w:tc>
              <w:tc>
                <w:tcPr>
                  <w:tcW w:w="480" w:type="pct"/>
                  <w:vMerge w:val="continue"/>
                  <w:tcBorders>
                    <w:top w:val="single" w:color="auto" w:sz="4" w:space="0"/>
                    <w:left w:val="single" w:color="auto" w:sz="4" w:space="0"/>
                    <w:bottom w:val="single" w:color="auto" w:sz="4" w:space="0"/>
                    <w:right w:val="single" w:color="auto" w:sz="4" w:space="0"/>
                  </w:tcBorders>
                  <w:vAlign w:val="center"/>
                </w:tcPr>
                <w:p w14:paraId="4CC1C442">
                  <w:pPr>
                    <w:jc w:val="center"/>
                    <w:rPr>
                      <w:rFonts w:hint="default" w:ascii="Times New Roman" w:hAnsi="Times New Roman" w:eastAsia="宋体" w:cs="Times New Roman"/>
                      <w:color w:val="0000FF"/>
                      <w:lang w:eastAsia="zh-CN"/>
                    </w:rPr>
                  </w:pPr>
                </w:p>
              </w:tc>
              <w:tc>
                <w:tcPr>
                  <w:tcW w:w="531" w:type="pct"/>
                  <w:tcBorders>
                    <w:top w:val="single" w:color="auto" w:sz="4" w:space="0"/>
                    <w:left w:val="single" w:color="auto" w:sz="4" w:space="0"/>
                    <w:bottom w:val="single" w:color="auto" w:sz="4" w:space="0"/>
                    <w:right w:val="single" w:color="auto" w:sz="4" w:space="0"/>
                  </w:tcBorders>
                  <w:vAlign w:val="center"/>
                </w:tcPr>
                <w:p w14:paraId="4DF5D41D">
                  <w:pPr>
                    <w:jc w:val="center"/>
                    <w:rPr>
                      <w:rFonts w:hint="default" w:ascii="Times New Roman" w:hAnsi="Times New Roman" w:eastAsia="宋体" w:cs="Times New Roman"/>
                      <w:color w:val="0000FF"/>
                    </w:rPr>
                  </w:pPr>
                  <w:r>
                    <w:rPr>
                      <w:rFonts w:hint="default" w:ascii="Times New Roman" w:hAnsi="Times New Roman" w:eastAsia="宋体" w:cs="Times New Roman"/>
                      <w:color w:val="0000FF"/>
                    </w:rPr>
                    <w:t>COD</w:t>
                  </w:r>
                </w:p>
              </w:tc>
              <w:tc>
                <w:tcPr>
                  <w:tcW w:w="607" w:type="pct"/>
                  <w:tcBorders>
                    <w:top w:val="single" w:color="auto" w:sz="4" w:space="0"/>
                    <w:left w:val="single" w:color="auto" w:sz="4" w:space="0"/>
                    <w:bottom w:val="single" w:color="auto" w:sz="4" w:space="0"/>
                    <w:right w:val="single" w:color="auto" w:sz="4" w:space="0"/>
                  </w:tcBorders>
                  <w:vAlign w:val="top"/>
                </w:tcPr>
                <w:p w14:paraId="08771D23">
                  <w:pPr>
                    <w:jc w:val="center"/>
                    <w:rPr>
                      <w:rFonts w:hint="default" w:ascii="Times New Roman" w:hAnsi="Times New Roman" w:eastAsia="宋体" w:cs="Times New Roman"/>
                      <w:color w:val="0000FF"/>
                    </w:rPr>
                  </w:pPr>
                  <w:r>
                    <w:rPr>
                      <w:rFonts w:hint="eastAsia" w:ascii="Times New Roman" w:hAnsi="Times New Roman" w:eastAsia="宋体" w:cs="Times New Roman"/>
                      <w:color w:val="0000FF"/>
                    </w:rPr>
                    <w:t>140</w:t>
                  </w:r>
                </w:p>
              </w:tc>
              <w:tc>
                <w:tcPr>
                  <w:tcW w:w="464" w:type="pct"/>
                  <w:tcBorders>
                    <w:top w:val="single" w:color="auto" w:sz="4" w:space="0"/>
                    <w:left w:val="single" w:color="auto" w:sz="4" w:space="0"/>
                    <w:bottom w:val="single" w:color="auto" w:sz="4" w:space="0"/>
                    <w:right w:val="single" w:color="auto" w:sz="4" w:space="0"/>
                  </w:tcBorders>
                  <w:vAlign w:val="top"/>
                </w:tcPr>
                <w:p w14:paraId="1961B86E">
                  <w:pPr>
                    <w:jc w:val="center"/>
                    <w:rPr>
                      <w:rFonts w:hint="default" w:ascii="Times New Roman" w:hAnsi="Times New Roman" w:eastAsia="宋体" w:cs="Times New Roman"/>
                      <w:color w:val="0000FF"/>
                    </w:rPr>
                  </w:pPr>
                  <w:r>
                    <w:rPr>
                      <w:rFonts w:hint="eastAsia" w:ascii="Times New Roman" w:hAnsi="Times New Roman" w:eastAsia="宋体" w:cs="Times New Roman"/>
                      <w:color w:val="0000FF"/>
                    </w:rPr>
                    <w:t>1.18</w:t>
                  </w:r>
                </w:p>
              </w:tc>
              <w:tc>
                <w:tcPr>
                  <w:tcW w:w="402" w:type="pct"/>
                  <w:vMerge w:val="continue"/>
                  <w:tcBorders>
                    <w:left w:val="single" w:color="auto" w:sz="4" w:space="0"/>
                    <w:right w:val="single" w:color="auto" w:sz="4" w:space="0"/>
                  </w:tcBorders>
                  <w:vAlign w:val="center"/>
                </w:tcPr>
                <w:p w14:paraId="158863EF">
                  <w:pPr>
                    <w:jc w:val="center"/>
                    <w:rPr>
                      <w:rFonts w:hint="default" w:ascii="Times New Roman" w:hAnsi="Times New Roman" w:eastAsia="宋体" w:cs="Times New Roman"/>
                      <w:color w:val="0000FF"/>
                    </w:rPr>
                  </w:pPr>
                </w:p>
              </w:tc>
              <w:tc>
                <w:tcPr>
                  <w:tcW w:w="661" w:type="pct"/>
                  <w:tcBorders>
                    <w:top w:val="single" w:color="auto" w:sz="4" w:space="0"/>
                    <w:left w:val="single" w:color="auto" w:sz="4" w:space="0"/>
                    <w:bottom w:val="single" w:color="auto" w:sz="4" w:space="0"/>
                    <w:right w:val="single" w:color="auto" w:sz="4" w:space="0"/>
                  </w:tcBorders>
                  <w:vAlign w:val="top"/>
                </w:tcPr>
                <w:p w14:paraId="74D85BEA">
                  <w:pPr>
                    <w:jc w:val="center"/>
                    <w:rPr>
                      <w:rFonts w:hint="default" w:ascii="Times New Roman" w:hAnsi="Times New Roman" w:eastAsia="宋体" w:cs="Times New Roman"/>
                      <w:color w:val="0000FF"/>
                      <w:lang w:eastAsia="zh-CN"/>
                    </w:rPr>
                  </w:pPr>
                  <w:r>
                    <w:rPr>
                      <w:rFonts w:hint="eastAsia" w:ascii="Times New Roman" w:hAnsi="Times New Roman" w:eastAsia="宋体" w:cs="Times New Roman"/>
                      <w:color w:val="0000FF"/>
                    </w:rPr>
                    <w:t>20</w:t>
                  </w:r>
                </w:p>
              </w:tc>
              <w:tc>
                <w:tcPr>
                  <w:tcW w:w="985" w:type="pct"/>
                  <w:tcBorders>
                    <w:top w:val="single" w:color="auto" w:sz="4" w:space="0"/>
                    <w:left w:val="single" w:color="auto" w:sz="4" w:space="0"/>
                    <w:bottom w:val="single" w:color="auto" w:sz="4" w:space="0"/>
                    <w:right w:val="single" w:color="auto" w:sz="4" w:space="0"/>
                  </w:tcBorders>
                  <w:vAlign w:val="center"/>
                </w:tcPr>
                <w:p w14:paraId="45B5BADA">
                  <w:pPr>
                    <w:jc w:val="center"/>
                    <w:rPr>
                      <w:rFonts w:hint="default" w:ascii="Times New Roman" w:hAnsi="Times New Roman" w:eastAsia="宋体" w:cs="Times New Roman"/>
                      <w:color w:val="0000FF"/>
                    </w:rPr>
                  </w:pPr>
                  <w:r>
                    <w:rPr>
                      <w:rFonts w:hint="default" w:ascii="Times New Roman" w:hAnsi="Times New Roman" w:eastAsia="宋体" w:cs="Times New Roman"/>
                      <w:color w:val="0000FF"/>
                    </w:rPr>
                    <w:t>50</w:t>
                  </w:r>
                </w:p>
              </w:tc>
              <w:tc>
                <w:tcPr>
                  <w:tcW w:w="464" w:type="pct"/>
                  <w:tcBorders>
                    <w:top w:val="single" w:color="auto" w:sz="4" w:space="0"/>
                    <w:left w:val="single" w:color="auto" w:sz="4" w:space="0"/>
                    <w:bottom w:val="single" w:color="auto" w:sz="4" w:space="0"/>
                    <w:right w:val="single" w:color="auto" w:sz="4" w:space="0"/>
                  </w:tcBorders>
                  <w:vAlign w:val="top"/>
                </w:tcPr>
                <w:p w14:paraId="3E8C8A14">
                  <w:pPr>
                    <w:jc w:val="center"/>
                    <w:rPr>
                      <w:rFonts w:hint="default" w:ascii="Times New Roman" w:hAnsi="Times New Roman" w:eastAsia="宋体" w:cs="Times New Roman"/>
                      <w:color w:val="0000FF"/>
                    </w:rPr>
                  </w:pPr>
                  <w:r>
                    <w:rPr>
                      <w:rFonts w:hint="eastAsia" w:ascii="Times New Roman" w:hAnsi="Times New Roman" w:eastAsia="宋体" w:cs="Times New Roman"/>
                      <w:color w:val="0000FF"/>
                    </w:rPr>
                    <w:t>0.17</w:t>
                  </w:r>
                </w:p>
              </w:tc>
            </w:tr>
            <w:tr w14:paraId="0621F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01" w:type="pct"/>
                  <w:vMerge w:val="continue"/>
                  <w:tcBorders>
                    <w:top w:val="single" w:color="auto" w:sz="4" w:space="0"/>
                    <w:left w:val="single" w:color="auto" w:sz="4" w:space="0"/>
                    <w:bottom w:val="single" w:color="auto" w:sz="4" w:space="0"/>
                    <w:right w:val="single" w:color="auto" w:sz="4" w:space="0"/>
                  </w:tcBorders>
                  <w:vAlign w:val="center"/>
                </w:tcPr>
                <w:p w14:paraId="7D676484">
                  <w:pPr>
                    <w:jc w:val="center"/>
                    <w:rPr>
                      <w:rFonts w:hint="default" w:ascii="Times New Roman" w:hAnsi="Times New Roman" w:eastAsia="宋体" w:cs="Times New Roman"/>
                      <w:color w:val="0000FF"/>
                      <w:lang w:eastAsia="zh-CN"/>
                    </w:rPr>
                  </w:pPr>
                </w:p>
              </w:tc>
              <w:tc>
                <w:tcPr>
                  <w:tcW w:w="480" w:type="pct"/>
                  <w:vMerge w:val="continue"/>
                  <w:tcBorders>
                    <w:top w:val="single" w:color="auto" w:sz="4" w:space="0"/>
                    <w:left w:val="single" w:color="auto" w:sz="4" w:space="0"/>
                    <w:bottom w:val="single" w:color="auto" w:sz="4" w:space="0"/>
                    <w:right w:val="single" w:color="auto" w:sz="4" w:space="0"/>
                  </w:tcBorders>
                  <w:vAlign w:val="center"/>
                </w:tcPr>
                <w:p w14:paraId="4D53344F">
                  <w:pPr>
                    <w:jc w:val="center"/>
                    <w:rPr>
                      <w:rFonts w:hint="default" w:ascii="Times New Roman" w:hAnsi="Times New Roman" w:eastAsia="宋体" w:cs="Times New Roman"/>
                      <w:color w:val="0000FF"/>
                      <w:lang w:eastAsia="zh-CN"/>
                    </w:rPr>
                  </w:pPr>
                </w:p>
              </w:tc>
              <w:tc>
                <w:tcPr>
                  <w:tcW w:w="531" w:type="pct"/>
                  <w:tcBorders>
                    <w:top w:val="single" w:color="auto" w:sz="4" w:space="0"/>
                    <w:left w:val="single" w:color="auto" w:sz="4" w:space="0"/>
                    <w:bottom w:val="single" w:color="auto" w:sz="4" w:space="0"/>
                    <w:right w:val="single" w:color="auto" w:sz="4" w:space="0"/>
                  </w:tcBorders>
                  <w:vAlign w:val="center"/>
                </w:tcPr>
                <w:p w14:paraId="5167A310">
                  <w:pPr>
                    <w:jc w:val="center"/>
                    <w:rPr>
                      <w:rFonts w:hint="default" w:ascii="Times New Roman" w:hAnsi="Times New Roman" w:eastAsia="宋体" w:cs="Times New Roman"/>
                      <w:color w:val="0000FF"/>
                    </w:rPr>
                  </w:pPr>
                  <w:r>
                    <w:rPr>
                      <w:rFonts w:hint="default" w:ascii="Times New Roman" w:hAnsi="Times New Roman" w:eastAsia="宋体" w:cs="Times New Roman"/>
                      <w:color w:val="0000FF"/>
                    </w:rPr>
                    <w:t>SS</w:t>
                  </w:r>
                </w:p>
              </w:tc>
              <w:tc>
                <w:tcPr>
                  <w:tcW w:w="607" w:type="pct"/>
                  <w:tcBorders>
                    <w:top w:val="single" w:color="auto" w:sz="4" w:space="0"/>
                    <w:left w:val="single" w:color="auto" w:sz="4" w:space="0"/>
                    <w:bottom w:val="single" w:color="auto" w:sz="4" w:space="0"/>
                    <w:right w:val="single" w:color="auto" w:sz="4" w:space="0"/>
                  </w:tcBorders>
                  <w:vAlign w:val="top"/>
                </w:tcPr>
                <w:p w14:paraId="67CF48D2">
                  <w:pPr>
                    <w:jc w:val="center"/>
                    <w:rPr>
                      <w:rFonts w:hint="default" w:ascii="Times New Roman" w:hAnsi="Times New Roman" w:eastAsia="宋体" w:cs="Times New Roman"/>
                      <w:color w:val="0000FF"/>
                    </w:rPr>
                  </w:pPr>
                  <w:r>
                    <w:rPr>
                      <w:rFonts w:hint="eastAsia" w:ascii="Times New Roman" w:hAnsi="Times New Roman" w:eastAsia="宋体" w:cs="Times New Roman"/>
                      <w:color w:val="0000FF"/>
                    </w:rPr>
                    <w:t>30</w:t>
                  </w:r>
                </w:p>
              </w:tc>
              <w:tc>
                <w:tcPr>
                  <w:tcW w:w="464" w:type="pct"/>
                  <w:tcBorders>
                    <w:top w:val="single" w:color="auto" w:sz="4" w:space="0"/>
                    <w:left w:val="single" w:color="auto" w:sz="4" w:space="0"/>
                    <w:bottom w:val="single" w:color="auto" w:sz="4" w:space="0"/>
                    <w:right w:val="single" w:color="auto" w:sz="4" w:space="0"/>
                  </w:tcBorders>
                  <w:vAlign w:val="top"/>
                </w:tcPr>
                <w:p w14:paraId="418621F4">
                  <w:pPr>
                    <w:jc w:val="center"/>
                    <w:rPr>
                      <w:rFonts w:hint="default" w:ascii="Times New Roman" w:hAnsi="Times New Roman" w:eastAsia="宋体" w:cs="Times New Roman"/>
                      <w:color w:val="0000FF"/>
                    </w:rPr>
                  </w:pPr>
                  <w:r>
                    <w:rPr>
                      <w:rFonts w:hint="eastAsia" w:ascii="Times New Roman" w:hAnsi="Times New Roman" w:eastAsia="宋体" w:cs="Times New Roman"/>
                      <w:color w:val="0000FF"/>
                    </w:rPr>
                    <w:t>0.25</w:t>
                  </w:r>
                </w:p>
              </w:tc>
              <w:tc>
                <w:tcPr>
                  <w:tcW w:w="402" w:type="pct"/>
                  <w:vMerge w:val="continue"/>
                  <w:tcBorders>
                    <w:left w:val="single" w:color="auto" w:sz="4" w:space="0"/>
                    <w:right w:val="single" w:color="auto" w:sz="4" w:space="0"/>
                  </w:tcBorders>
                  <w:vAlign w:val="center"/>
                </w:tcPr>
                <w:p w14:paraId="6C02348E">
                  <w:pPr>
                    <w:jc w:val="center"/>
                    <w:rPr>
                      <w:rFonts w:hint="default" w:ascii="Times New Roman" w:hAnsi="Times New Roman" w:eastAsia="宋体" w:cs="Times New Roman"/>
                      <w:color w:val="0000FF"/>
                    </w:rPr>
                  </w:pPr>
                </w:p>
              </w:tc>
              <w:tc>
                <w:tcPr>
                  <w:tcW w:w="661" w:type="pct"/>
                  <w:tcBorders>
                    <w:top w:val="single" w:color="auto" w:sz="4" w:space="0"/>
                    <w:left w:val="single" w:color="auto" w:sz="4" w:space="0"/>
                    <w:bottom w:val="single" w:color="auto" w:sz="4" w:space="0"/>
                    <w:right w:val="single" w:color="auto" w:sz="4" w:space="0"/>
                  </w:tcBorders>
                  <w:vAlign w:val="top"/>
                </w:tcPr>
                <w:p w14:paraId="24B1AAB7">
                  <w:pPr>
                    <w:jc w:val="center"/>
                    <w:rPr>
                      <w:rFonts w:hint="default" w:ascii="Times New Roman" w:hAnsi="Times New Roman" w:eastAsia="宋体" w:cs="Times New Roman"/>
                      <w:color w:val="0000FF"/>
                      <w:lang w:eastAsia="zh-CN"/>
                    </w:rPr>
                  </w:pPr>
                  <w:r>
                    <w:rPr>
                      <w:rFonts w:hint="eastAsia" w:ascii="Times New Roman" w:hAnsi="Times New Roman" w:eastAsia="宋体" w:cs="Times New Roman"/>
                      <w:color w:val="0000FF"/>
                    </w:rPr>
                    <w:t>15</w:t>
                  </w:r>
                </w:p>
              </w:tc>
              <w:tc>
                <w:tcPr>
                  <w:tcW w:w="985" w:type="pct"/>
                  <w:tcBorders>
                    <w:top w:val="single" w:color="auto" w:sz="4" w:space="0"/>
                    <w:left w:val="single" w:color="auto" w:sz="4" w:space="0"/>
                    <w:bottom w:val="single" w:color="auto" w:sz="4" w:space="0"/>
                    <w:right w:val="single" w:color="auto" w:sz="4" w:space="0"/>
                  </w:tcBorders>
                  <w:vAlign w:val="center"/>
                </w:tcPr>
                <w:p w14:paraId="0580C27D">
                  <w:pPr>
                    <w:jc w:val="center"/>
                    <w:rPr>
                      <w:rFonts w:hint="default" w:ascii="Times New Roman" w:hAnsi="Times New Roman" w:eastAsia="宋体" w:cs="Times New Roman"/>
                      <w:color w:val="0000FF"/>
                    </w:rPr>
                  </w:pPr>
                  <w:r>
                    <w:rPr>
                      <w:rFonts w:hint="default" w:ascii="Times New Roman" w:hAnsi="Times New Roman" w:eastAsia="宋体" w:cs="Times New Roman"/>
                      <w:color w:val="0000FF"/>
                    </w:rPr>
                    <w:t>10</w:t>
                  </w:r>
                </w:p>
              </w:tc>
              <w:tc>
                <w:tcPr>
                  <w:tcW w:w="464" w:type="pct"/>
                  <w:tcBorders>
                    <w:top w:val="single" w:color="auto" w:sz="4" w:space="0"/>
                    <w:left w:val="single" w:color="auto" w:sz="4" w:space="0"/>
                    <w:bottom w:val="single" w:color="auto" w:sz="4" w:space="0"/>
                    <w:right w:val="single" w:color="auto" w:sz="4" w:space="0"/>
                  </w:tcBorders>
                  <w:vAlign w:val="top"/>
                </w:tcPr>
                <w:p w14:paraId="4F391B66">
                  <w:pPr>
                    <w:jc w:val="center"/>
                    <w:rPr>
                      <w:rFonts w:hint="default" w:ascii="Times New Roman" w:hAnsi="Times New Roman" w:eastAsia="宋体" w:cs="Times New Roman"/>
                      <w:color w:val="0000FF"/>
                    </w:rPr>
                  </w:pPr>
                  <w:r>
                    <w:rPr>
                      <w:rFonts w:hint="eastAsia" w:ascii="Times New Roman" w:hAnsi="Times New Roman" w:eastAsia="宋体" w:cs="Times New Roman"/>
                      <w:color w:val="0000FF"/>
                    </w:rPr>
                    <w:t>0.13</w:t>
                  </w:r>
                </w:p>
              </w:tc>
            </w:tr>
            <w:tr w14:paraId="704A7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01" w:type="pct"/>
                  <w:vMerge w:val="continue"/>
                  <w:tcBorders>
                    <w:top w:val="single" w:color="auto" w:sz="4" w:space="0"/>
                    <w:left w:val="single" w:color="auto" w:sz="4" w:space="0"/>
                    <w:bottom w:val="single" w:color="auto" w:sz="4" w:space="0"/>
                    <w:right w:val="single" w:color="auto" w:sz="4" w:space="0"/>
                  </w:tcBorders>
                  <w:vAlign w:val="center"/>
                </w:tcPr>
                <w:p w14:paraId="222B2B3A">
                  <w:pPr>
                    <w:jc w:val="center"/>
                    <w:rPr>
                      <w:rFonts w:hint="default" w:ascii="Times New Roman" w:hAnsi="Times New Roman" w:eastAsia="宋体" w:cs="Times New Roman"/>
                      <w:color w:val="0000FF"/>
                      <w:lang w:eastAsia="zh-CN"/>
                    </w:rPr>
                  </w:pPr>
                </w:p>
              </w:tc>
              <w:tc>
                <w:tcPr>
                  <w:tcW w:w="480" w:type="pct"/>
                  <w:vMerge w:val="continue"/>
                  <w:tcBorders>
                    <w:top w:val="single" w:color="auto" w:sz="4" w:space="0"/>
                    <w:left w:val="single" w:color="auto" w:sz="4" w:space="0"/>
                    <w:bottom w:val="single" w:color="auto" w:sz="4" w:space="0"/>
                    <w:right w:val="single" w:color="auto" w:sz="4" w:space="0"/>
                  </w:tcBorders>
                  <w:vAlign w:val="center"/>
                </w:tcPr>
                <w:p w14:paraId="2A92C7E2">
                  <w:pPr>
                    <w:jc w:val="center"/>
                    <w:rPr>
                      <w:rFonts w:hint="default" w:ascii="Times New Roman" w:hAnsi="Times New Roman" w:eastAsia="宋体" w:cs="Times New Roman"/>
                      <w:color w:val="0000FF"/>
                      <w:lang w:eastAsia="zh-CN"/>
                    </w:rPr>
                  </w:pPr>
                </w:p>
              </w:tc>
              <w:tc>
                <w:tcPr>
                  <w:tcW w:w="531" w:type="pct"/>
                  <w:tcBorders>
                    <w:top w:val="single" w:color="auto" w:sz="4" w:space="0"/>
                    <w:left w:val="single" w:color="auto" w:sz="4" w:space="0"/>
                    <w:bottom w:val="single" w:color="auto" w:sz="4" w:space="0"/>
                    <w:right w:val="single" w:color="auto" w:sz="4" w:space="0"/>
                  </w:tcBorders>
                  <w:vAlign w:val="center"/>
                </w:tcPr>
                <w:p w14:paraId="0EFF43AF">
                  <w:pPr>
                    <w:jc w:val="center"/>
                    <w:rPr>
                      <w:rFonts w:hint="default" w:ascii="Times New Roman" w:hAnsi="Times New Roman" w:eastAsia="宋体" w:cs="Times New Roman"/>
                      <w:color w:val="0000FF"/>
                    </w:rPr>
                  </w:pPr>
                  <w:r>
                    <w:rPr>
                      <w:rFonts w:hint="default" w:ascii="Times New Roman" w:hAnsi="Times New Roman" w:eastAsia="宋体" w:cs="Times New Roman"/>
                      <w:color w:val="0000FF"/>
                    </w:rPr>
                    <w:t>NH</w:t>
                  </w:r>
                  <w:r>
                    <w:rPr>
                      <w:rFonts w:hint="default" w:ascii="Times New Roman" w:hAnsi="Times New Roman" w:eastAsia="宋体" w:cs="Times New Roman"/>
                      <w:color w:val="0000FF"/>
                      <w:vertAlign w:val="subscript"/>
                    </w:rPr>
                    <w:t>3</w:t>
                  </w:r>
                  <w:r>
                    <w:rPr>
                      <w:rFonts w:hint="default" w:ascii="Times New Roman" w:hAnsi="Times New Roman" w:eastAsia="宋体" w:cs="Times New Roman"/>
                      <w:color w:val="0000FF"/>
                    </w:rPr>
                    <w:t>-N</w:t>
                  </w:r>
                </w:p>
              </w:tc>
              <w:tc>
                <w:tcPr>
                  <w:tcW w:w="607" w:type="pct"/>
                  <w:tcBorders>
                    <w:top w:val="single" w:color="auto" w:sz="4" w:space="0"/>
                    <w:left w:val="single" w:color="auto" w:sz="4" w:space="0"/>
                    <w:bottom w:val="single" w:color="auto" w:sz="4" w:space="0"/>
                    <w:right w:val="single" w:color="auto" w:sz="4" w:space="0"/>
                  </w:tcBorders>
                  <w:vAlign w:val="top"/>
                </w:tcPr>
                <w:p w14:paraId="5B0983B1">
                  <w:pPr>
                    <w:jc w:val="center"/>
                    <w:rPr>
                      <w:rFonts w:hint="default" w:ascii="Times New Roman" w:hAnsi="Times New Roman" w:eastAsia="宋体" w:cs="Times New Roman"/>
                      <w:color w:val="0000FF"/>
                    </w:rPr>
                  </w:pPr>
                  <w:r>
                    <w:rPr>
                      <w:rFonts w:hint="eastAsia" w:ascii="Times New Roman" w:hAnsi="Times New Roman" w:eastAsia="宋体" w:cs="Times New Roman"/>
                      <w:color w:val="0000FF"/>
                    </w:rPr>
                    <w:t>240</w:t>
                  </w:r>
                </w:p>
              </w:tc>
              <w:tc>
                <w:tcPr>
                  <w:tcW w:w="464" w:type="pct"/>
                  <w:tcBorders>
                    <w:top w:val="single" w:color="auto" w:sz="4" w:space="0"/>
                    <w:left w:val="single" w:color="auto" w:sz="4" w:space="0"/>
                    <w:bottom w:val="single" w:color="auto" w:sz="4" w:space="0"/>
                    <w:right w:val="single" w:color="auto" w:sz="4" w:space="0"/>
                  </w:tcBorders>
                  <w:vAlign w:val="top"/>
                </w:tcPr>
                <w:p w14:paraId="5E0929C8">
                  <w:pPr>
                    <w:jc w:val="center"/>
                    <w:rPr>
                      <w:rFonts w:hint="default" w:ascii="Times New Roman" w:hAnsi="Times New Roman" w:eastAsia="宋体" w:cs="Times New Roman"/>
                      <w:color w:val="0000FF"/>
                    </w:rPr>
                  </w:pPr>
                  <w:r>
                    <w:rPr>
                      <w:rFonts w:hint="eastAsia" w:ascii="Times New Roman" w:hAnsi="Times New Roman" w:eastAsia="宋体" w:cs="Times New Roman"/>
                      <w:color w:val="0000FF"/>
                    </w:rPr>
                    <w:t>2.02</w:t>
                  </w:r>
                </w:p>
              </w:tc>
              <w:tc>
                <w:tcPr>
                  <w:tcW w:w="402" w:type="pct"/>
                  <w:vMerge w:val="continue"/>
                  <w:tcBorders>
                    <w:left w:val="single" w:color="auto" w:sz="4" w:space="0"/>
                    <w:right w:val="single" w:color="auto" w:sz="4" w:space="0"/>
                  </w:tcBorders>
                  <w:vAlign w:val="center"/>
                </w:tcPr>
                <w:p w14:paraId="566D9A9F">
                  <w:pPr>
                    <w:jc w:val="center"/>
                    <w:rPr>
                      <w:rFonts w:hint="default" w:ascii="Times New Roman" w:hAnsi="Times New Roman" w:eastAsia="宋体" w:cs="Times New Roman"/>
                      <w:color w:val="0000FF"/>
                    </w:rPr>
                  </w:pPr>
                </w:p>
              </w:tc>
              <w:tc>
                <w:tcPr>
                  <w:tcW w:w="661" w:type="pct"/>
                  <w:tcBorders>
                    <w:top w:val="single" w:color="auto" w:sz="4" w:space="0"/>
                    <w:left w:val="single" w:color="auto" w:sz="4" w:space="0"/>
                    <w:bottom w:val="single" w:color="auto" w:sz="4" w:space="0"/>
                    <w:right w:val="single" w:color="auto" w:sz="4" w:space="0"/>
                  </w:tcBorders>
                  <w:vAlign w:val="top"/>
                </w:tcPr>
                <w:p w14:paraId="38FD8187">
                  <w:pPr>
                    <w:jc w:val="center"/>
                    <w:rPr>
                      <w:rFonts w:hint="default" w:ascii="Times New Roman" w:hAnsi="Times New Roman" w:eastAsia="宋体" w:cs="Times New Roman"/>
                      <w:color w:val="0000FF"/>
                      <w:lang w:val="en-US" w:eastAsia="zh-CN"/>
                    </w:rPr>
                  </w:pPr>
                  <w:r>
                    <w:rPr>
                      <w:rFonts w:hint="eastAsia" w:ascii="Times New Roman" w:hAnsi="Times New Roman" w:eastAsia="宋体" w:cs="Times New Roman"/>
                      <w:color w:val="0000FF"/>
                    </w:rPr>
                    <w:t>70</w:t>
                  </w:r>
                </w:p>
              </w:tc>
              <w:tc>
                <w:tcPr>
                  <w:tcW w:w="985" w:type="pct"/>
                  <w:tcBorders>
                    <w:top w:val="single" w:color="auto" w:sz="4" w:space="0"/>
                    <w:left w:val="single" w:color="auto" w:sz="4" w:space="0"/>
                    <w:bottom w:val="single" w:color="auto" w:sz="4" w:space="0"/>
                    <w:right w:val="single" w:color="auto" w:sz="4" w:space="0"/>
                  </w:tcBorders>
                  <w:vAlign w:val="center"/>
                </w:tcPr>
                <w:p w14:paraId="5953CF72">
                  <w:pPr>
                    <w:jc w:val="center"/>
                    <w:rPr>
                      <w:rFonts w:hint="default" w:ascii="Times New Roman" w:hAnsi="Times New Roman" w:eastAsia="宋体" w:cs="Times New Roman"/>
                      <w:color w:val="0000FF"/>
                    </w:rPr>
                  </w:pPr>
                  <w:r>
                    <w:rPr>
                      <w:rFonts w:hint="default" w:ascii="Times New Roman" w:hAnsi="Times New Roman" w:eastAsia="宋体" w:cs="Times New Roman"/>
                      <w:color w:val="0000FF"/>
                    </w:rPr>
                    <w:t>5</w:t>
                  </w:r>
                </w:p>
              </w:tc>
              <w:tc>
                <w:tcPr>
                  <w:tcW w:w="464" w:type="pct"/>
                  <w:tcBorders>
                    <w:top w:val="single" w:color="auto" w:sz="4" w:space="0"/>
                    <w:left w:val="single" w:color="auto" w:sz="4" w:space="0"/>
                    <w:bottom w:val="single" w:color="auto" w:sz="4" w:space="0"/>
                    <w:right w:val="single" w:color="auto" w:sz="4" w:space="0"/>
                  </w:tcBorders>
                  <w:vAlign w:val="top"/>
                </w:tcPr>
                <w:p w14:paraId="32AB42F1">
                  <w:pPr>
                    <w:jc w:val="center"/>
                    <w:rPr>
                      <w:rFonts w:hint="default" w:ascii="Times New Roman" w:hAnsi="Times New Roman" w:eastAsia="宋体" w:cs="Times New Roman"/>
                      <w:color w:val="0000FF"/>
                    </w:rPr>
                  </w:pPr>
                  <w:r>
                    <w:rPr>
                      <w:rFonts w:hint="eastAsia" w:ascii="Times New Roman" w:hAnsi="Times New Roman" w:eastAsia="宋体" w:cs="Times New Roman"/>
                      <w:color w:val="0000FF"/>
                    </w:rPr>
                    <w:t>0.59</w:t>
                  </w:r>
                </w:p>
              </w:tc>
            </w:tr>
            <w:tr w14:paraId="61E1E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01" w:type="pct"/>
                  <w:vMerge w:val="continue"/>
                  <w:tcBorders>
                    <w:top w:val="single" w:color="auto" w:sz="4" w:space="0"/>
                    <w:left w:val="single" w:color="auto" w:sz="4" w:space="0"/>
                    <w:bottom w:val="single" w:color="auto" w:sz="4" w:space="0"/>
                    <w:right w:val="single" w:color="auto" w:sz="4" w:space="0"/>
                  </w:tcBorders>
                  <w:vAlign w:val="center"/>
                </w:tcPr>
                <w:p w14:paraId="1FB5E2FC">
                  <w:pPr>
                    <w:jc w:val="center"/>
                    <w:rPr>
                      <w:rFonts w:hint="default" w:ascii="Times New Roman" w:hAnsi="Times New Roman" w:eastAsia="宋体" w:cs="Times New Roman"/>
                      <w:color w:val="0000FF"/>
                      <w:lang w:eastAsia="zh-CN"/>
                    </w:rPr>
                  </w:pPr>
                </w:p>
              </w:tc>
              <w:tc>
                <w:tcPr>
                  <w:tcW w:w="480" w:type="pct"/>
                  <w:vMerge w:val="continue"/>
                  <w:tcBorders>
                    <w:top w:val="single" w:color="auto" w:sz="4" w:space="0"/>
                    <w:left w:val="single" w:color="auto" w:sz="4" w:space="0"/>
                    <w:bottom w:val="single" w:color="auto" w:sz="4" w:space="0"/>
                    <w:right w:val="single" w:color="auto" w:sz="4" w:space="0"/>
                  </w:tcBorders>
                  <w:vAlign w:val="center"/>
                </w:tcPr>
                <w:p w14:paraId="4FD4972C">
                  <w:pPr>
                    <w:jc w:val="center"/>
                    <w:rPr>
                      <w:rFonts w:hint="default" w:ascii="Times New Roman" w:hAnsi="Times New Roman" w:eastAsia="宋体" w:cs="Times New Roman"/>
                      <w:color w:val="0000FF"/>
                      <w:lang w:eastAsia="zh-CN"/>
                    </w:rPr>
                  </w:pPr>
                </w:p>
              </w:tc>
              <w:tc>
                <w:tcPr>
                  <w:tcW w:w="531" w:type="pct"/>
                  <w:tcBorders>
                    <w:top w:val="single" w:color="auto" w:sz="4" w:space="0"/>
                    <w:left w:val="single" w:color="auto" w:sz="4" w:space="0"/>
                    <w:bottom w:val="single" w:color="auto" w:sz="4" w:space="0"/>
                    <w:right w:val="single" w:color="auto" w:sz="4" w:space="0"/>
                  </w:tcBorders>
                  <w:vAlign w:val="center"/>
                </w:tcPr>
                <w:p w14:paraId="3D5AC558">
                  <w:pPr>
                    <w:jc w:val="center"/>
                    <w:rPr>
                      <w:rFonts w:hint="default" w:ascii="Times New Roman" w:hAnsi="Times New Roman" w:eastAsia="宋体" w:cs="Times New Roman"/>
                      <w:color w:val="0000FF"/>
                    </w:rPr>
                  </w:pPr>
                  <w:r>
                    <w:rPr>
                      <w:rFonts w:hint="default" w:ascii="Times New Roman" w:hAnsi="Times New Roman" w:eastAsia="宋体" w:cs="Times New Roman"/>
                      <w:color w:val="0000FF"/>
                    </w:rPr>
                    <w:t>BOD</w:t>
                  </w:r>
                  <w:r>
                    <w:rPr>
                      <w:rFonts w:hint="default" w:ascii="Times New Roman" w:hAnsi="Times New Roman" w:eastAsia="宋体" w:cs="Times New Roman"/>
                      <w:color w:val="0000FF"/>
                      <w:vertAlign w:val="subscript"/>
                    </w:rPr>
                    <w:t>5</w:t>
                  </w:r>
                </w:p>
              </w:tc>
              <w:tc>
                <w:tcPr>
                  <w:tcW w:w="607" w:type="pct"/>
                  <w:tcBorders>
                    <w:top w:val="single" w:color="auto" w:sz="4" w:space="0"/>
                    <w:left w:val="single" w:color="auto" w:sz="4" w:space="0"/>
                    <w:bottom w:val="single" w:color="auto" w:sz="4" w:space="0"/>
                    <w:right w:val="single" w:color="auto" w:sz="4" w:space="0"/>
                  </w:tcBorders>
                  <w:vAlign w:val="top"/>
                </w:tcPr>
                <w:p w14:paraId="21F91A2B">
                  <w:pPr>
                    <w:jc w:val="center"/>
                    <w:rPr>
                      <w:rFonts w:hint="default" w:ascii="Times New Roman" w:hAnsi="Times New Roman" w:eastAsia="宋体" w:cs="Times New Roman"/>
                      <w:color w:val="0000FF"/>
                    </w:rPr>
                  </w:pPr>
                  <w:r>
                    <w:rPr>
                      <w:rFonts w:hint="eastAsia" w:ascii="Times New Roman" w:hAnsi="Times New Roman" w:eastAsia="宋体" w:cs="Times New Roman"/>
                      <w:color w:val="0000FF"/>
                    </w:rPr>
                    <w:t>260</w:t>
                  </w:r>
                </w:p>
              </w:tc>
              <w:tc>
                <w:tcPr>
                  <w:tcW w:w="464" w:type="pct"/>
                  <w:tcBorders>
                    <w:top w:val="single" w:color="auto" w:sz="4" w:space="0"/>
                    <w:left w:val="single" w:color="auto" w:sz="4" w:space="0"/>
                    <w:bottom w:val="single" w:color="auto" w:sz="4" w:space="0"/>
                    <w:right w:val="single" w:color="auto" w:sz="4" w:space="0"/>
                  </w:tcBorders>
                  <w:vAlign w:val="top"/>
                </w:tcPr>
                <w:p w14:paraId="4A9F8393">
                  <w:pPr>
                    <w:jc w:val="center"/>
                    <w:rPr>
                      <w:rFonts w:hint="default" w:ascii="Times New Roman" w:hAnsi="Times New Roman" w:eastAsia="宋体" w:cs="Times New Roman"/>
                      <w:color w:val="0000FF"/>
                    </w:rPr>
                  </w:pPr>
                  <w:r>
                    <w:rPr>
                      <w:rFonts w:hint="eastAsia" w:ascii="Times New Roman" w:hAnsi="Times New Roman" w:eastAsia="宋体" w:cs="Times New Roman"/>
                      <w:color w:val="0000FF"/>
                    </w:rPr>
                    <w:t>2.18</w:t>
                  </w:r>
                </w:p>
              </w:tc>
              <w:tc>
                <w:tcPr>
                  <w:tcW w:w="402" w:type="pct"/>
                  <w:vMerge w:val="continue"/>
                  <w:tcBorders>
                    <w:left w:val="single" w:color="auto" w:sz="4" w:space="0"/>
                    <w:right w:val="single" w:color="auto" w:sz="4" w:space="0"/>
                  </w:tcBorders>
                  <w:vAlign w:val="center"/>
                </w:tcPr>
                <w:p w14:paraId="5CFD3116">
                  <w:pPr>
                    <w:jc w:val="center"/>
                    <w:rPr>
                      <w:rFonts w:hint="default" w:ascii="Times New Roman" w:hAnsi="Times New Roman" w:eastAsia="宋体" w:cs="Times New Roman"/>
                      <w:color w:val="0000FF"/>
                    </w:rPr>
                  </w:pPr>
                </w:p>
              </w:tc>
              <w:tc>
                <w:tcPr>
                  <w:tcW w:w="661" w:type="pct"/>
                  <w:tcBorders>
                    <w:top w:val="single" w:color="auto" w:sz="4" w:space="0"/>
                    <w:left w:val="single" w:color="auto" w:sz="4" w:space="0"/>
                    <w:bottom w:val="single" w:color="auto" w:sz="4" w:space="0"/>
                    <w:right w:val="single" w:color="auto" w:sz="4" w:space="0"/>
                  </w:tcBorders>
                  <w:vAlign w:val="top"/>
                </w:tcPr>
                <w:p w14:paraId="59947EB9">
                  <w:pPr>
                    <w:jc w:val="center"/>
                    <w:rPr>
                      <w:rFonts w:hint="default" w:ascii="Times New Roman" w:hAnsi="Times New Roman" w:eastAsia="宋体" w:cs="Times New Roman"/>
                      <w:color w:val="0000FF"/>
                      <w:lang w:eastAsia="zh-CN"/>
                    </w:rPr>
                  </w:pPr>
                  <w:r>
                    <w:rPr>
                      <w:rFonts w:hint="eastAsia" w:ascii="Times New Roman" w:hAnsi="Times New Roman" w:eastAsia="宋体" w:cs="Times New Roman"/>
                      <w:color w:val="0000FF"/>
                    </w:rPr>
                    <w:t>100</w:t>
                  </w:r>
                </w:p>
              </w:tc>
              <w:tc>
                <w:tcPr>
                  <w:tcW w:w="985" w:type="pct"/>
                  <w:tcBorders>
                    <w:top w:val="single" w:color="auto" w:sz="4" w:space="0"/>
                    <w:left w:val="single" w:color="auto" w:sz="4" w:space="0"/>
                    <w:bottom w:val="single" w:color="auto" w:sz="4" w:space="0"/>
                    <w:right w:val="single" w:color="auto" w:sz="4" w:space="0"/>
                  </w:tcBorders>
                  <w:vAlign w:val="center"/>
                </w:tcPr>
                <w:p w14:paraId="5AA3D2B0">
                  <w:pPr>
                    <w:jc w:val="center"/>
                    <w:rPr>
                      <w:rFonts w:hint="default" w:ascii="Times New Roman" w:hAnsi="Times New Roman" w:eastAsia="宋体" w:cs="Times New Roman"/>
                      <w:color w:val="0000FF"/>
                    </w:rPr>
                  </w:pPr>
                  <w:r>
                    <w:rPr>
                      <w:rFonts w:hint="default" w:ascii="Times New Roman" w:hAnsi="Times New Roman" w:eastAsia="宋体" w:cs="Times New Roman"/>
                      <w:color w:val="0000FF"/>
                    </w:rPr>
                    <w:t>10</w:t>
                  </w:r>
                </w:p>
              </w:tc>
              <w:tc>
                <w:tcPr>
                  <w:tcW w:w="464" w:type="pct"/>
                  <w:tcBorders>
                    <w:top w:val="single" w:color="auto" w:sz="4" w:space="0"/>
                    <w:left w:val="single" w:color="auto" w:sz="4" w:space="0"/>
                    <w:bottom w:val="single" w:color="auto" w:sz="4" w:space="0"/>
                    <w:right w:val="single" w:color="auto" w:sz="4" w:space="0"/>
                  </w:tcBorders>
                  <w:vAlign w:val="top"/>
                </w:tcPr>
                <w:p w14:paraId="7347E002">
                  <w:pPr>
                    <w:jc w:val="center"/>
                    <w:rPr>
                      <w:rFonts w:hint="eastAsia" w:ascii="Times New Roman" w:hAnsi="Times New Roman" w:eastAsia="宋体" w:cs="Times New Roman"/>
                      <w:color w:val="0000FF"/>
                      <w:lang w:eastAsia="zh-CN"/>
                    </w:rPr>
                  </w:pPr>
                  <w:r>
                    <w:rPr>
                      <w:rFonts w:hint="eastAsia" w:cs="Times New Roman"/>
                      <w:color w:val="0000FF"/>
                      <w:lang w:eastAsia="zh-CN"/>
                    </w:rPr>
                    <w:t>0.67</w:t>
                  </w:r>
                </w:p>
              </w:tc>
            </w:tr>
          </w:tbl>
          <w:p w14:paraId="0FDE0F92">
            <w:pPr>
              <w:pStyle w:val="12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b/>
                <w:bCs/>
                <w:color w:val="0000FF"/>
                <w:kern w:val="2"/>
                <w:sz w:val="21"/>
                <w:szCs w:val="21"/>
                <w:lang w:val="en-US" w:eastAsia="zh-CN" w:bidi="ar-SA"/>
              </w:rPr>
            </w:pPr>
            <w:r>
              <w:rPr>
                <w:rFonts w:hint="default" w:ascii="Times New Roman" w:hAnsi="Times New Roman" w:eastAsia="宋体" w:cs="Times New Roman"/>
                <w:b/>
                <w:bCs/>
                <w:color w:val="0000FF"/>
                <w:kern w:val="2"/>
                <w:sz w:val="21"/>
                <w:szCs w:val="21"/>
                <w:lang w:val="en-US" w:eastAsia="zh-CN" w:bidi="ar-SA"/>
              </w:rPr>
              <w:t>表4-</w:t>
            </w:r>
            <w:r>
              <w:rPr>
                <w:rFonts w:hint="eastAsia" w:cs="Times New Roman"/>
                <w:b/>
                <w:bCs/>
                <w:color w:val="0000FF"/>
                <w:kern w:val="2"/>
                <w:sz w:val="21"/>
                <w:szCs w:val="21"/>
                <w:lang w:val="en-US" w:eastAsia="zh-CN" w:bidi="ar-SA"/>
              </w:rPr>
              <w:t xml:space="preserve">11 </w:t>
            </w:r>
            <w:r>
              <w:rPr>
                <w:rFonts w:hint="default" w:ascii="Times New Roman" w:hAnsi="Times New Roman" w:eastAsia="宋体" w:cs="Times New Roman"/>
                <w:b/>
                <w:bCs/>
                <w:color w:val="0000FF"/>
                <w:kern w:val="2"/>
                <w:sz w:val="21"/>
                <w:szCs w:val="21"/>
                <w:lang w:val="en-US" w:eastAsia="zh-CN" w:bidi="ar-SA"/>
              </w:rPr>
              <w:t>废水类别、污染物及治理设施信息表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8"/>
              <w:gridCol w:w="974"/>
              <w:gridCol w:w="1231"/>
              <w:gridCol w:w="1174"/>
              <w:gridCol w:w="1174"/>
              <w:gridCol w:w="615"/>
              <w:gridCol w:w="880"/>
              <w:gridCol w:w="652"/>
              <w:gridCol w:w="1103"/>
            </w:tblGrid>
            <w:tr w14:paraId="620E0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7" w:type="pct"/>
                  <w:vMerge w:val="restart"/>
                  <w:tcBorders>
                    <w:top w:val="single" w:color="auto" w:sz="4" w:space="0"/>
                    <w:left w:val="single" w:color="auto" w:sz="4" w:space="0"/>
                    <w:bottom w:val="single" w:color="auto" w:sz="4" w:space="0"/>
                    <w:right w:val="single" w:color="auto" w:sz="4" w:space="0"/>
                  </w:tcBorders>
                  <w:vAlign w:val="center"/>
                </w:tcPr>
                <w:p w14:paraId="07E47B54">
                  <w:pPr>
                    <w:jc w:val="center"/>
                    <w:rPr>
                      <w:rFonts w:hint="default" w:ascii="Times New Roman" w:hAnsi="Times New Roman" w:cs="Times New Roman"/>
                      <w:color w:val="0000FF"/>
                    </w:rPr>
                  </w:pPr>
                  <w:r>
                    <w:rPr>
                      <w:rFonts w:hint="default" w:ascii="Times New Roman" w:hAnsi="Times New Roman" w:cs="Times New Roman"/>
                      <w:color w:val="0000FF"/>
                    </w:rPr>
                    <w:t>产排污环节及废水类别</w:t>
                  </w:r>
                </w:p>
              </w:tc>
              <w:tc>
                <w:tcPr>
                  <w:tcW w:w="547" w:type="pct"/>
                  <w:vMerge w:val="restart"/>
                  <w:tcBorders>
                    <w:top w:val="single" w:color="auto" w:sz="4" w:space="0"/>
                    <w:left w:val="single" w:color="auto" w:sz="4" w:space="0"/>
                    <w:bottom w:val="single" w:color="auto" w:sz="4" w:space="0"/>
                    <w:right w:val="single" w:color="auto" w:sz="4" w:space="0"/>
                  </w:tcBorders>
                  <w:vAlign w:val="center"/>
                </w:tcPr>
                <w:p w14:paraId="1BADA338">
                  <w:pPr>
                    <w:adjustRightInd w:val="0"/>
                    <w:snapToGrid w:val="0"/>
                    <w:jc w:val="center"/>
                    <w:rPr>
                      <w:rFonts w:hint="default" w:ascii="Times New Roman" w:hAnsi="Times New Roman" w:cs="Times New Roman"/>
                      <w:color w:val="0000FF"/>
                    </w:rPr>
                  </w:pPr>
                  <w:r>
                    <w:rPr>
                      <w:rFonts w:hint="default" w:ascii="Times New Roman" w:hAnsi="Times New Roman" w:cs="Times New Roman"/>
                      <w:color w:val="0000FF"/>
                    </w:rPr>
                    <w:t>污染物种类</w:t>
                  </w:r>
                </w:p>
              </w:tc>
              <w:tc>
                <w:tcPr>
                  <w:tcW w:w="2848" w:type="pct"/>
                  <w:gridSpan w:val="5"/>
                  <w:tcBorders>
                    <w:top w:val="single" w:color="auto" w:sz="4" w:space="0"/>
                    <w:left w:val="single" w:color="auto" w:sz="4" w:space="0"/>
                    <w:bottom w:val="single" w:color="auto" w:sz="4" w:space="0"/>
                    <w:right w:val="single" w:color="auto" w:sz="4" w:space="0"/>
                  </w:tcBorders>
                  <w:vAlign w:val="center"/>
                </w:tcPr>
                <w:p w14:paraId="200D8902">
                  <w:pPr>
                    <w:adjustRightInd w:val="0"/>
                    <w:snapToGrid w:val="0"/>
                    <w:jc w:val="center"/>
                    <w:rPr>
                      <w:rFonts w:hint="default" w:ascii="Times New Roman" w:hAnsi="Times New Roman" w:cs="Times New Roman"/>
                      <w:color w:val="0000FF"/>
                    </w:rPr>
                  </w:pPr>
                  <w:r>
                    <w:rPr>
                      <w:rFonts w:hint="default" w:ascii="Times New Roman" w:hAnsi="Times New Roman" w:cs="Times New Roman"/>
                      <w:color w:val="0000FF"/>
                    </w:rPr>
                    <w:t>污染治理措施</w:t>
                  </w:r>
                </w:p>
              </w:tc>
              <w:tc>
                <w:tcPr>
                  <w:tcW w:w="985" w:type="pct"/>
                  <w:gridSpan w:val="2"/>
                  <w:tcBorders>
                    <w:top w:val="single" w:color="auto" w:sz="4" w:space="0"/>
                    <w:left w:val="single" w:color="auto" w:sz="4" w:space="0"/>
                    <w:bottom w:val="single" w:color="auto" w:sz="4" w:space="0"/>
                    <w:right w:val="single" w:color="auto" w:sz="4" w:space="0"/>
                  </w:tcBorders>
                  <w:vAlign w:val="center"/>
                </w:tcPr>
                <w:p w14:paraId="463EBA4A">
                  <w:pPr>
                    <w:jc w:val="center"/>
                    <w:rPr>
                      <w:rFonts w:hint="default" w:ascii="Times New Roman" w:hAnsi="Times New Roman" w:cs="Times New Roman"/>
                      <w:color w:val="0000FF"/>
                    </w:rPr>
                  </w:pPr>
                  <w:r>
                    <w:rPr>
                      <w:rFonts w:hint="default" w:ascii="Times New Roman" w:hAnsi="Times New Roman" w:cs="Times New Roman"/>
                      <w:color w:val="0000FF"/>
                    </w:rPr>
                    <w:t>排放信息</w:t>
                  </w:r>
                </w:p>
              </w:tc>
            </w:tr>
            <w:tr w14:paraId="44A4A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7" w:type="pct"/>
                  <w:vMerge w:val="continue"/>
                  <w:tcBorders>
                    <w:top w:val="single" w:color="auto" w:sz="4" w:space="0"/>
                    <w:left w:val="single" w:color="auto" w:sz="4" w:space="0"/>
                    <w:bottom w:val="single" w:color="auto" w:sz="4" w:space="0"/>
                    <w:right w:val="single" w:color="auto" w:sz="4" w:space="0"/>
                  </w:tcBorders>
                  <w:vAlign w:val="center"/>
                </w:tcPr>
                <w:p w14:paraId="24BD4BB1">
                  <w:pPr>
                    <w:adjustRightInd w:val="0"/>
                    <w:snapToGrid w:val="0"/>
                    <w:jc w:val="center"/>
                    <w:rPr>
                      <w:rFonts w:hint="default" w:ascii="Times New Roman" w:hAnsi="Times New Roman" w:cs="Times New Roman"/>
                      <w:color w:val="0000FF"/>
                    </w:rPr>
                  </w:pPr>
                </w:p>
              </w:tc>
              <w:tc>
                <w:tcPr>
                  <w:tcW w:w="547" w:type="pct"/>
                  <w:vMerge w:val="continue"/>
                  <w:tcBorders>
                    <w:top w:val="single" w:color="auto" w:sz="4" w:space="0"/>
                    <w:left w:val="single" w:color="auto" w:sz="4" w:space="0"/>
                    <w:bottom w:val="single" w:color="auto" w:sz="4" w:space="0"/>
                    <w:right w:val="single" w:color="auto" w:sz="4" w:space="0"/>
                  </w:tcBorders>
                  <w:vAlign w:val="center"/>
                </w:tcPr>
                <w:p w14:paraId="15A4F1DF">
                  <w:pPr>
                    <w:adjustRightInd w:val="0"/>
                    <w:snapToGrid w:val="0"/>
                    <w:jc w:val="center"/>
                    <w:rPr>
                      <w:rFonts w:hint="default" w:ascii="Times New Roman" w:hAnsi="Times New Roman" w:cs="Times New Roman"/>
                      <w:color w:val="0000FF"/>
                    </w:rPr>
                  </w:pPr>
                </w:p>
              </w:tc>
              <w:tc>
                <w:tcPr>
                  <w:tcW w:w="691" w:type="pct"/>
                  <w:tcBorders>
                    <w:top w:val="single" w:color="auto" w:sz="4" w:space="0"/>
                    <w:left w:val="single" w:color="auto" w:sz="4" w:space="0"/>
                    <w:bottom w:val="single" w:color="auto" w:sz="4" w:space="0"/>
                    <w:right w:val="single" w:color="auto" w:sz="4" w:space="0"/>
                  </w:tcBorders>
                  <w:vAlign w:val="center"/>
                </w:tcPr>
                <w:p w14:paraId="5E95BBA6">
                  <w:pPr>
                    <w:pStyle w:val="66"/>
                    <w:rPr>
                      <w:rFonts w:hint="default" w:ascii="Times New Roman" w:hAnsi="Times New Roman" w:cs="Times New Roman"/>
                      <w:color w:val="0000FF"/>
                    </w:rPr>
                  </w:pPr>
                  <w:r>
                    <w:rPr>
                      <w:rFonts w:hint="default" w:ascii="Times New Roman" w:hAnsi="Times New Roman" w:cs="Times New Roman"/>
                      <w:color w:val="0000FF"/>
                    </w:rPr>
                    <w:t>污染防治设施编号</w:t>
                  </w:r>
                </w:p>
              </w:tc>
              <w:tc>
                <w:tcPr>
                  <w:tcW w:w="659" w:type="pct"/>
                  <w:tcBorders>
                    <w:top w:val="single" w:color="auto" w:sz="4" w:space="0"/>
                    <w:left w:val="single" w:color="auto" w:sz="4" w:space="0"/>
                    <w:bottom w:val="single" w:color="auto" w:sz="4" w:space="0"/>
                    <w:right w:val="single" w:color="auto" w:sz="4" w:space="0"/>
                  </w:tcBorders>
                  <w:vAlign w:val="center"/>
                </w:tcPr>
                <w:p w14:paraId="198044F3">
                  <w:pPr>
                    <w:pStyle w:val="66"/>
                    <w:rPr>
                      <w:rFonts w:hint="default" w:ascii="Times New Roman" w:hAnsi="Times New Roman" w:cs="Times New Roman"/>
                      <w:color w:val="0000FF"/>
                    </w:rPr>
                  </w:pPr>
                  <w:r>
                    <w:rPr>
                      <w:rFonts w:hint="default" w:ascii="Times New Roman" w:hAnsi="Times New Roman" w:cs="Times New Roman"/>
                      <w:color w:val="0000FF"/>
                    </w:rPr>
                    <w:t>污染防治设施名称</w:t>
                  </w:r>
                </w:p>
              </w:tc>
              <w:tc>
                <w:tcPr>
                  <w:tcW w:w="659" w:type="pct"/>
                  <w:tcBorders>
                    <w:top w:val="single" w:color="auto" w:sz="4" w:space="0"/>
                    <w:left w:val="single" w:color="auto" w:sz="4" w:space="0"/>
                    <w:bottom w:val="single" w:color="auto" w:sz="4" w:space="0"/>
                    <w:right w:val="single" w:color="auto" w:sz="4" w:space="0"/>
                  </w:tcBorders>
                  <w:vAlign w:val="center"/>
                </w:tcPr>
                <w:p w14:paraId="38CA4188">
                  <w:pPr>
                    <w:adjustRightInd w:val="0"/>
                    <w:snapToGrid w:val="0"/>
                    <w:jc w:val="center"/>
                    <w:rPr>
                      <w:rFonts w:hint="default" w:ascii="Times New Roman" w:hAnsi="Times New Roman" w:cs="Times New Roman"/>
                      <w:color w:val="0000FF"/>
                    </w:rPr>
                  </w:pPr>
                  <w:r>
                    <w:rPr>
                      <w:rFonts w:hint="default" w:ascii="Times New Roman" w:hAnsi="Times New Roman" w:cs="Times New Roman"/>
                      <w:color w:val="0000FF"/>
                    </w:rPr>
                    <w:t>污染治理设施工艺</w:t>
                  </w:r>
                </w:p>
              </w:tc>
              <w:tc>
                <w:tcPr>
                  <w:tcW w:w="345" w:type="pct"/>
                  <w:tcBorders>
                    <w:top w:val="single" w:color="auto" w:sz="4" w:space="0"/>
                    <w:left w:val="single" w:color="auto" w:sz="4" w:space="0"/>
                    <w:bottom w:val="single" w:color="auto" w:sz="4" w:space="0"/>
                    <w:right w:val="single" w:color="auto" w:sz="4" w:space="0"/>
                  </w:tcBorders>
                  <w:vAlign w:val="center"/>
                </w:tcPr>
                <w:p w14:paraId="368C3FC2">
                  <w:pPr>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cs="Times New Roman"/>
                      <w:color w:val="0000FF"/>
                      <w:lang w:val="en-US" w:eastAsia="zh-CN"/>
                    </w:rPr>
                    <w:t>效率</w:t>
                  </w:r>
                </w:p>
              </w:tc>
              <w:tc>
                <w:tcPr>
                  <w:tcW w:w="492" w:type="pct"/>
                  <w:tcBorders>
                    <w:top w:val="single" w:color="auto" w:sz="4" w:space="0"/>
                    <w:left w:val="single" w:color="auto" w:sz="4" w:space="0"/>
                    <w:bottom w:val="single" w:color="auto" w:sz="4" w:space="0"/>
                    <w:right w:val="single" w:color="auto" w:sz="4" w:space="0"/>
                  </w:tcBorders>
                  <w:vAlign w:val="center"/>
                </w:tcPr>
                <w:p w14:paraId="2B22BBE7">
                  <w:pPr>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cs="Times New Roman"/>
                      <w:color w:val="0000FF"/>
                      <w:lang w:val="en-US" w:eastAsia="zh-CN"/>
                    </w:rPr>
                    <w:t>是否为可行技术</w:t>
                  </w:r>
                </w:p>
              </w:tc>
              <w:tc>
                <w:tcPr>
                  <w:tcW w:w="366" w:type="pct"/>
                  <w:tcBorders>
                    <w:top w:val="single" w:color="auto" w:sz="4" w:space="0"/>
                    <w:left w:val="single" w:color="auto" w:sz="4" w:space="0"/>
                    <w:bottom w:val="single" w:color="auto" w:sz="4" w:space="0"/>
                    <w:right w:val="single" w:color="auto" w:sz="4" w:space="0"/>
                  </w:tcBorders>
                  <w:vAlign w:val="center"/>
                </w:tcPr>
                <w:p w14:paraId="70E8469D">
                  <w:pPr>
                    <w:jc w:val="center"/>
                    <w:rPr>
                      <w:rFonts w:hint="default" w:ascii="Times New Roman" w:hAnsi="Times New Roman" w:cs="Times New Roman"/>
                      <w:color w:val="0000FF"/>
                    </w:rPr>
                  </w:pPr>
                  <w:r>
                    <w:rPr>
                      <w:rFonts w:hint="default" w:ascii="Times New Roman" w:hAnsi="Times New Roman" w:cs="Times New Roman"/>
                      <w:color w:val="0000FF"/>
                    </w:rPr>
                    <w:t>方式</w:t>
                  </w:r>
                </w:p>
              </w:tc>
              <w:tc>
                <w:tcPr>
                  <w:tcW w:w="618" w:type="pct"/>
                  <w:tcBorders>
                    <w:top w:val="single" w:color="auto" w:sz="4" w:space="0"/>
                    <w:left w:val="single" w:color="auto" w:sz="4" w:space="0"/>
                    <w:bottom w:val="single" w:color="auto" w:sz="4" w:space="0"/>
                    <w:right w:val="single" w:color="auto" w:sz="4" w:space="0"/>
                  </w:tcBorders>
                  <w:vAlign w:val="center"/>
                </w:tcPr>
                <w:p w14:paraId="74340504">
                  <w:pPr>
                    <w:jc w:val="center"/>
                    <w:rPr>
                      <w:rFonts w:hint="default" w:ascii="Times New Roman" w:hAnsi="Times New Roman" w:cs="Times New Roman"/>
                      <w:color w:val="0000FF"/>
                    </w:rPr>
                  </w:pPr>
                  <w:r>
                    <w:rPr>
                      <w:rFonts w:hint="default" w:ascii="Times New Roman" w:hAnsi="Times New Roman" w:cs="Times New Roman"/>
                      <w:color w:val="0000FF"/>
                    </w:rPr>
                    <w:t>去向</w:t>
                  </w:r>
                </w:p>
              </w:tc>
            </w:tr>
            <w:tr w14:paraId="1B0CB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7" w:type="pct"/>
                  <w:vMerge w:val="restart"/>
                  <w:tcBorders>
                    <w:top w:val="single" w:color="auto" w:sz="4" w:space="0"/>
                    <w:left w:val="single" w:color="auto" w:sz="4" w:space="0"/>
                    <w:right w:val="single" w:color="auto" w:sz="4" w:space="0"/>
                  </w:tcBorders>
                  <w:vAlign w:val="center"/>
                </w:tcPr>
                <w:p w14:paraId="35048A6A">
                  <w:pPr>
                    <w:adjustRightInd w:val="0"/>
                    <w:snapToGrid w:val="0"/>
                    <w:jc w:val="center"/>
                    <w:rPr>
                      <w:rFonts w:hint="eastAsia" w:ascii="Times New Roman" w:hAnsi="Times New Roman" w:eastAsia="宋体" w:cs="Times New Roman"/>
                      <w:color w:val="0000FF"/>
                      <w:lang w:eastAsia="zh-CN"/>
                    </w:rPr>
                  </w:pPr>
                  <w:r>
                    <w:rPr>
                      <w:rFonts w:hint="eastAsia" w:ascii="Times New Roman" w:hAnsi="Times New Roman" w:cs="Times New Roman"/>
                      <w:color w:val="0000FF"/>
                      <w:lang w:eastAsia="zh-CN"/>
                    </w:rPr>
                    <w:t>生活污水</w:t>
                  </w:r>
                </w:p>
              </w:tc>
              <w:tc>
                <w:tcPr>
                  <w:tcW w:w="547" w:type="pct"/>
                  <w:tcBorders>
                    <w:top w:val="single" w:color="auto" w:sz="4" w:space="0"/>
                    <w:left w:val="single" w:color="auto" w:sz="4" w:space="0"/>
                    <w:bottom w:val="single" w:color="auto" w:sz="4" w:space="0"/>
                    <w:right w:val="single" w:color="auto" w:sz="4" w:space="0"/>
                  </w:tcBorders>
                  <w:vAlign w:val="center"/>
                </w:tcPr>
                <w:p w14:paraId="4C9E7E75">
                  <w:pPr>
                    <w:adjustRightInd w:val="0"/>
                    <w:snapToGrid w:val="0"/>
                    <w:jc w:val="center"/>
                    <w:rPr>
                      <w:rFonts w:hint="default" w:ascii="Times New Roman" w:hAnsi="Times New Roman" w:cs="Times New Roman"/>
                      <w:color w:val="0000FF"/>
                    </w:rPr>
                  </w:pPr>
                  <w:r>
                    <w:rPr>
                      <w:rFonts w:hint="default" w:ascii="Times New Roman" w:hAnsi="Times New Roman" w:cs="Times New Roman"/>
                      <w:color w:val="0000FF"/>
                    </w:rPr>
                    <w:t>COD</w:t>
                  </w:r>
                </w:p>
              </w:tc>
              <w:tc>
                <w:tcPr>
                  <w:tcW w:w="691" w:type="pct"/>
                  <w:vMerge w:val="restart"/>
                  <w:tcBorders>
                    <w:top w:val="single" w:color="auto" w:sz="4" w:space="0"/>
                    <w:left w:val="single" w:color="auto" w:sz="4" w:space="0"/>
                    <w:right w:val="single" w:color="auto" w:sz="4" w:space="0"/>
                  </w:tcBorders>
                  <w:vAlign w:val="center"/>
                </w:tcPr>
                <w:p w14:paraId="768DEB08">
                  <w:pPr>
                    <w:adjustRightInd w:val="0"/>
                    <w:snapToGrid w:val="0"/>
                    <w:jc w:val="center"/>
                    <w:rPr>
                      <w:rFonts w:hint="default" w:ascii="Times New Roman" w:hAnsi="Times New Roman" w:cs="Times New Roman"/>
                      <w:color w:val="0000FF"/>
                    </w:rPr>
                  </w:pPr>
                  <w:r>
                    <w:rPr>
                      <w:rFonts w:hint="default" w:ascii="Times New Roman" w:hAnsi="Times New Roman" w:cs="Times New Roman"/>
                      <w:color w:val="0000FF"/>
                    </w:rPr>
                    <w:t>TW001</w:t>
                  </w:r>
                </w:p>
              </w:tc>
              <w:tc>
                <w:tcPr>
                  <w:tcW w:w="659" w:type="pct"/>
                  <w:vMerge w:val="restart"/>
                  <w:tcBorders>
                    <w:top w:val="single" w:color="auto" w:sz="4" w:space="0"/>
                    <w:left w:val="single" w:color="auto" w:sz="4" w:space="0"/>
                    <w:right w:val="single" w:color="auto" w:sz="4" w:space="0"/>
                  </w:tcBorders>
                  <w:vAlign w:val="center"/>
                </w:tcPr>
                <w:p w14:paraId="6C4D7672">
                  <w:pPr>
                    <w:adjustRightInd w:val="0"/>
                    <w:snapToGrid w:val="0"/>
                    <w:jc w:val="center"/>
                    <w:rPr>
                      <w:rFonts w:hint="default" w:ascii="Times New Roman" w:hAnsi="Times New Roman" w:cs="Times New Roman"/>
                      <w:color w:val="0000FF"/>
                    </w:rPr>
                  </w:pPr>
                  <w:r>
                    <w:rPr>
                      <w:rFonts w:hint="default" w:ascii="Times New Roman" w:hAnsi="Times New Roman" w:cs="Times New Roman"/>
                      <w:color w:val="0000FF"/>
                    </w:rPr>
                    <w:t>地埋式系列污水成套设备</w:t>
                  </w:r>
                </w:p>
              </w:tc>
              <w:tc>
                <w:tcPr>
                  <w:tcW w:w="659" w:type="pct"/>
                  <w:vMerge w:val="restart"/>
                  <w:tcBorders>
                    <w:top w:val="single" w:color="auto" w:sz="4" w:space="0"/>
                    <w:left w:val="single" w:color="auto" w:sz="4" w:space="0"/>
                    <w:right w:val="single" w:color="auto" w:sz="4" w:space="0"/>
                  </w:tcBorders>
                  <w:vAlign w:val="center"/>
                </w:tcPr>
                <w:p w14:paraId="426410D9">
                  <w:pPr>
                    <w:adjustRightInd w:val="0"/>
                    <w:snapToGrid w:val="0"/>
                    <w:jc w:val="center"/>
                    <w:rPr>
                      <w:rFonts w:hint="default" w:ascii="Times New Roman" w:hAnsi="Times New Roman" w:cs="Times New Roman"/>
                      <w:color w:val="0000FF"/>
                    </w:rPr>
                  </w:pPr>
                  <w:bookmarkStart w:id="162" w:name="OLE_LINK90"/>
                  <w:r>
                    <w:rPr>
                      <w:rFonts w:hint="eastAsia" w:ascii="Times New Roman" w:hAnsi="Times New Roman" w:cs="Times New Roman"/>
                      <w:b w:val="0"/>
                      <w:bCs/>
                      <w:color w:val="0000FF"/>
                      <w:sz w:val="21"/>
                      <w:szCs w:val="24"/>
                      <w:lang w:val="en-US" w:eastAsia="zh-CN"/>
                    </w:rPr>
                    <w:t>地埋式系列污水成套设备</w:t>
                  </w:r>
                  <w:bookmarkEnd w:id="162"/>
                </w:p>
              </w:tc>
              <w:tc>
                <w:tcPr>
                  <w:tcW w:w="345" w:type="pct"/>
                  <w:vMerge w:val="restart"/>
                  <w:tcBorders>
                    <w:top w:val="single" w:color="auto" w:sz="4" w:space="0"/>
                    <w:left w:val="single" w:color="auto" w:sz="4" w:space="0"/>
                    <w:right w:val="single" w:color="auto" w:sz="4" w:space="0"/>
                  </w:tcBorders>
                  <w:vAlign w:val="center"/>
                </w:tcPr>
                <w:p w14:paraId="30C68937">
                  <w:pPr>
                    <w:adjustRightInd w:val="0"/>
                    <w:snapToGrid w:val="0"/>
                    <w:ind w:left="0" w:leftChars="0" w:right="0" w:rightChars="0" w:firstLine="0" w:firstLineChars="0"/>
                    <w:jc w:val="center"/>
                    <w:rPr>
                      <w:rFonts w:hint="default" w:ascii="Times New Roman" w:hAnsi="Times New Roman" w:eastAsia="宋体" w:cs="Times New Roman"/>
                      <w:color w:val="0000FF"/>
                      <w:lang w:val="en-US" w:eastAsia="zh-CN"/>
                    </w:rPr>
                  </w:pPr>
                  <w:r>
                    <w:rPr>
                      <w:rFonts w:hint="eastAsia" w:ascii="Times New Roman" w:hAnsi="Times New Roman" w:cs="Times New Roman"/>
                      <w:color w:val="0000FF"/>
                      <w:lang w:val="en-US" w:eastAsia="zh-CN"/>
                    </w:rPr>
                    <w:t>60%</w:t>
                  </w:r>
                </w:p>
              </w:tc>
              <w:tc>
                <w:tcPr>
                  <w:tcW w:w="492" w:type="pct"/>
                  <w:vMerge w:val="restart"/>
                  <w:tcBorders>
                    <w:top w:val="single" w:color="auto" w:sz="4" w:space="0"/>
                    <w:left w:val="single" w:color="auto" w:sz="4" w:space="0"/>
                    <w:right w:val="single" w:color="auto" w:sz="4" w:space="0"/>
                  </w:tcBorders>
                  <w:vAlign w:val="center"/>
                </w:tcPr>
                <w:p w14:paraId="3C8173AF">
                  <w:pPr>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cs="Times New Roman"/>
                      <w:color w:val="0000FF"/>
                      <w:lang w:val="en-US" w:eastAsia="zh-CN"/>
                    </w:rPr>
                    <w:t>是</w:t>
                  </w:r>
                </w:p>
              </w:tc>
              <w:tc>
                <w:tcPr>
                  <w:tcW w:w="366" w:type="pct"/>
                  <w:vMerge w:val="restart"/>
                  <w:tcBorders>
                    <w:top w:val="single" w:color="auto" w:sz="4" w:space="0"/>
                    <w:left w:val="single" w:color="auto" w:sz="4" w:space="0"/>
                    <w:right w:val="single" w:color="auto" w:sz="4" w:space="0"/>
                  </w:tcBorders>
                  <w:vAlign w:val="center"/>
                </w:tcPr>
                <w:p w14:paraId="49D3FC0A">
                  <w:pPr>
                    <w:adjustRightInd w:val="0"/>
                    <w:snapToGrid w:val="0"/>
                    <w:jc w:val="center"/>
                    <w:rPr>
                      <w:rFonts w:hint="default" w:ascii="Times New Roman" w:hAnsi="Times New Roman" w:cs="Times New Roman"/>
                      <w:color w:val="0000FF"/>
                    </w:rPr>
                  </w:pPr>
                  <w:r>
                    <w:rPr>
                      <w:rFonts w:hint="default" w:ascii="Times New Roman" w:hAnsi="Times New Roman" w:cs="Times New Roman"/>
                      <w:color w:val="0000FF"/>
                      <w:lang w:val="en-US" w:eastAsia="zh-CN"/>
                    </w:rPr>
                    <w:t>间接排放</w:t>
                  </w:r>
                </w:p>
              </w:tc>
              <w:tc>
                <w:tcPr>
                  <w:tcW w:w="618" w:type="pct"/>
                  <w:vMerge w:val="restart"/>
                  <w:tcBorders>
                    <w:top w:val="single" w:color="auto" w:sz="4" w:space="0"/>
                    <w:left w:val="single" w:color="auto" w:sz="4" w:space="0"/>
                    <w:right w:val="single" w:color="auto" w:sz="4" w:space="0"/>
                  </w:tcBorders>
                  <w:vAlign w:val="center"/>
                </w:tcPr>
                <w:p w14:paraId="715D7129">
                  <w:pPr>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cs="Times New Roman"/>
                      <w:color w:val="0000FF"/>
                      <w:lang w:val="en-US" w:eastAsia="zh-CN"/>
                    </w:rPr>
                    <w:t>龙湖开发区污水处理厂</w:t>
                  </w:r>
                </w:p>
              </w:tc>
            </w:tr>
            <w:tr w14:paraId="2F948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7" w:type="pct"/>
                  <w:vMerge w:val="continue"/>
                  <w:tcBorders>
                    <w:left w:val="single" w:color="auto" w:sz="4" w:space="0"/>
                    <w:right w:val="single" w:color="auto" w:sz="4" w:space="0"/>
                  </w:tcBorders>
                  <w:vAlign w:val="center"/>
                </w:tcPr>
                <w:p w14:paraId="6FDEBC57">
                  <w:pPr>
                    <w:adjustRightInd w:val="0"/>
                    <w:snapToGrid w:val="0"/>
                    <w:jc w:val="center"/>
                    <w:rPr>
                      <w:rFonts w:hint="default" w:ascii="Times New Roman" w:hAnsi="Times New Roman" w:cs="Times New Roman"/>
                      <w:color w:val="0000FF"/>
                    </w:rPr>
                  </w:pPr>
                </w:p>
              </w:tc>
              <w:tc>
                <w:tcPr>
                  <w:tcW w:w="547" w:type="pct"/>
                  <w:tcBorders>
                    <w:top w:val="single" w:color="auto" w:sz="4" w:space="0"/>
                    <w:left w:val="single" w:color="auto" w:sz="4" w:space="0"/>
                    <w:bottom w:val="single" w:color="auto" w:sz="4" w:space="0"/>
                    <w:right w:val="single" w:color="auto" w:sz="4" w:space="0"/>
                  </w:tcBorders>
                  <w:vAlign w:val="center"/>
                </w:tcPr>
                <w:p w14:paraId="13B13DF9">
                  <w:pPr>
                    <w:adjustRightInd w:val="0"/>
                    <w:snapToGrid w:val="0"/>
                    <w:jc w:val="center"/>
                    <w:rPr>
                      <w:rFonts w:hint="default" w:ascii="Times New Roman" w:hAnsi="Times New Roman" w:cs="Times New Roman"/>
                      <w:color w:val="0000FF"/>
                    </w:rPr>
                  </w:pPr>
                  <w:r>
                    <w:rPr>
                      <w:rFonts w:hint="default" w:ascii="Times New Roman" w:hAnsi="Times New Roman" w:cs="Times New Roman"/>
                      <w:color w:val="0000FF"/>
                    </w:rPr>
                    <w:t>BOD</w:t>
                  </w:r>
                  <w:r>
                    <w:rPr>
                      <w:rFonts w:hint="default" w:ascii="Times New Roman" w:hAnsi="Times New Roman" w:cs="Times New Roman"/>
                      <w:color w:val="0000FF"/>
                      <w:vertAlign w:val="subscript"/>
                    </w:rPr>
                    <w:t>5</w:t>
                  </w:r>
                </w:p>
              </w:tc>
              <w:tc>
                <w:tcPr>
                  <w:tcW w:w="691" w:type="pct"/>
                  <w:vMerge w:val="continue"/>
                  <w:tcBorders>
                    <w:left w:val="single" w:color="auto" w:sz="4" w:space="0"/>
                    <w:right w:val="single" w:color="auto" w:sz="4" w:space="0"/>
                  </w:tcBorders>
                  <w:vAlign w:val="center"/>
                </w:tcPr>
                <w:p w14:paraId="43F77078">
                  <w:pPr>
                    <w:adjustRightInd w:val="0"/>
                    <w:snapToGrid w:val="0"/>
                    <w:jc w:val="center"/>
                    <w:rPr>
                      <w:rFonts w:hint="default" w:ascii="Times New Roman" w:hAnsi="Times New Roman" w:cs="Times New Roman"/>
                      <w:color w:val="0000FF"/>
                    </w:rPr>
                  </w:pPr>
                </w:p>
              </w:tc>
              <w:tc>
                <w:tcPr>
                  <w:tcW w:w="659" w:type="pct"/>
                  <w:vMerge w:val="continue"/>
                  <w:tcBorders>
                    <w:left w:val="single" w:color="auto" w:sz="4" w:space="0"/>
                    <w:right w:val="single" w:color="auto" w:sz="4" w:space="0"/>
                  </w:tcBorders>
                  <w:vAlign w:val="center"/>
                </w:tcPr>
                <w:p w14:paraId="089B79C1">
                  <w:pPr>
                    <w:adjustRightInd w:val="0"/>
                    <w:snapToGrid w:val="0"/>
                    <w:jc w:val="center"/>
                    <w:rPr>
                      <w:rFonts w:hint="default" w:ascii="Times New Roman" w:hAnsi="Times New Roman" w:cs="Times New Roman"/>
                      <w:color w:val="0000FF"/>
                    </w:rPr>
                  </w:pPr>
                </w:p>
              </w:tc>
              <w:tc>
                <w:tcPr>
                  <w:tcW w:w="659" w:type="pct"/>
                  <w:vMerge w:val="continue"/>
                  <w:tcBorders>
                    <w:left w:val="single" w:color="auto" w:sz="4" w:space="0"/>
                    <w:right w:val="single" w:color="auto" w:sz="4" w:space="0"/>
                  </w:tcBorders>
                  <w:vAlign w:val="center"/>
                </w:tcPr>
                <w:p w14:paraId="7D95C255">
                  <w:pPr>
                    <w:adjustRightInd w:val="0"/>
                    <w:snapToGrid w:val="0"/>
                    <w:jc w:val="center"/>
                    <w:rPr>
                      <w:rFonts w:hint="default" w:ascii="Times New Roman" w:hAnsi="Times New Roman" w:cs="Times New Roman"/>
                      <w:color w:val="0000FF"/>
                    </w:rPr>
                  </w:pPr>
                </w:p>
              </w:tc>
              <w:tc>
                <w:tcPr>
                  <w:tcW w:w="345" w:type="pct"/>
                  <w:vMerge w:val="continue"/>
                  <w:tcBorders>
                    <w:left w:val="single" w:color="auto" w:sz="4" w:space="0"/>
                    <w:right w:val="single" w:color="auto" w:sz="4" w:space="0"/>
                  </w:tcBorders>
                  <w:vAlign w:val="center"/>
                </w:tcPr>
                <w:p w14:paraId="697EF90F">
                  <w:pPr>
                    <w:adjustRightInd w:val="0"/>
                    <w:snapToGrid w:val="0"/>
                    <w:ind w:left="0" w:leftChars="0" w:right="0" w:rightChars="0" w:firstLine="0" w:firstLineChars="0"/>
                    <w:jc w:val="center"/>
                    <w:rPr>
                      <w:rFonts w:hint="default" w:ascii="Times New Roman" w:hAnsi="Times New Roman" w:eastAsia="宋体" w:cs="Times New Roman"/>
                      <w:color w:val="0000FF"/>
                      <w:lang w:val="en-US" w:eastAsia="zh-CN"/>
                    </w:rPr>
                  </w:pPr>
                </w:p>
              </w:tc>
              <w:tc>
                <w:tcPr>
                  <w:tcW w:w="492" w:type="pct"/>
                  <w:vMerge w:val="continue"/>
                  <w:tcBorders>
                    <w:left w:val="single" w:color="auto" w:sz="4" w:space="0"/>
                    <w:right w:val="single" w:color="auto" w:sz="4" w:space="0"/>
                  </w:tcBorders>
                  <w:vAlign w:val="center"/>
                </w:tcPr>
                <w:p w14:paraId="2C4B8C6E">
                  <w:pPr>
                    <w:adjustRightInd w:val="0"/>
                    <w:snapToGrid w:val="0"/>
                    <w:jc w:val="center"/>
                    <w:rPr>
                      <w:rFonts w:hint="default" w:ascii="Times New Roman" w:hAnsi="Times New Roman" w:cs="Times New Roman"/>
                      <w:color w:val="0000FF"/>
                    </w:rPr>
                  </w:pPr>
                </w:p>
              </w:tc>
              <w:tc>
                <w:tcPr>
                  <w:tcW w:w="366" w:type="pct"/>
                  <w:vMerge w:val="continue"/>
                  <w:tcBorders>
                    <w:left w:val="single" w:color="auto" w:sz="4" w:space="0"/>
                    <w:right w:val="single" w:color="auto" w:sz="4" w:space="0"/>
                  </w:tcBorders>
                  <w:vAlign w:val="center"/>
                </w:tcPr>
                <w:p w14:paraId="35D45EF9">
                  <w:pPr>
                    <w:adjustRightInd w:val="0"/>
                    <w:snapToGrid w:val="0"/>
                    <w:jc w:val="center"/>
                    <w:rPr>
                      <w:rFonts w:hint="default" w:ascii="Times New Roman" w:hAnsi="Times New Roman" w:cs="Times New Roman"/>
                      <w:color w:val="0000FF"/>
                    </w:rPr>
                  </w:pPr>
                </w:p>
              </w:tc>
              <w:tc>
                <w:tcPr>
                  <w:tcW w:w="618" w:type="pct"/>
                  <w:vMerge w:val="continue"/>
                  <w:tcBorders>
                    <w:left w:val="single" w:color="auto" w:sz="4" w:space="0"/>
                    <w:right w:val="single" w:color="auto" w:sz="4" w:space="0"/>
                  </w:tcBorders>
                  <w:vAlign w:val="center"/>
                </w:tcPr>
                <w:p w14:paraId="3372F176">
                  <w:pPr>
                    <w:adjustRightInd w:val="0"/>
                    <w:snapToGrid w:val="0"/>
                    <w:jc w:val="center"/>
                    <w:rPr>
                      <w:rFonts w:hint="default" w:ascii="Times New Roman" w:hAnsi="Times New Roman" w:cs="Times New Roman"/>
                      <w:color w:val="0000FF"/>
                    </w:rPr>
                  </w:pPr>
                </w:p>
              </w:tc>
            </w:tr>
            <w:tr w14:paraId="5DEE3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7" w:type="pct"/>
                  <w:vMerge w:val="continue"/>
                  <w:tcBorders>
                    <w:left w:val="single" w:color="auto" w:sz="4" w:space="0"/>
                    <w:right w:val="single" w:color="auto" w:sz="4" w:space="0"/>
                  </w:tcBorders>
                  <w:vAlign w:val="center"/>
                </w:tcPr>
                <w:p w14:paraId="223CA5E5">
                  <w:pPr>
                    <w:adjustRightInd w:val="0"/>
                    <w:snapToGrid w:val="0"/>
                    <w:jc w:val="center"/>
                    <w:rPr>
                      <w:rFonts w:hint="default" w:ascii="Times New Roman" w:hAnsi="Times New Roman" w:cs="Times New Roman"/>
                      <w:color w:val="0000FF"/>
                    </w:rPr>
                  </w:pPr>
                </w:p>
              </w:tc>
              <w:tc>
                <w:tcPr>
                  <w:tcW w:w="547" w:type="pct"/>
                  <w:tcBorders>
                    <w:top w:val="single" w:color="auto" w:sz="4" w:space="0"/>
                    <w:left w:val="single" w:color="auto" w:sz="4" w:space="0"/>
                    <w:bottom w:val="single" w:color="auto" w:sz="4" w:space="0"/>
                    <w:right w:val="single" w:color="auto" w:sz="4" w:space="0"/>
                  </w:tcBorders>
                  <w:vAlign w:val="center"/>
                </w:tcPr>
                <w:p w14:paraId="43DFD38C">
                  <w:pPr>
                    <w:adjustRightInd w:val="0"/>
                    <w:snapToGrid w:val="0"/>
                    <w:jc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cs="Times New Roman"/>
                      <w:color w:val="0000FF"/>
                    </w:rPr>
                    <w:t>NH</w:t>
                  </w:r>
                  <w:r>
                    <w:rPr>
                      <w:rFonts w:hint="default" w:ascii="Times New Roman" w:hAnsi="Times New Roman" w:cs="Times New Roman"/>
                      <w:color w:val="0000FF"/>
                      <w:vertAlign w:val="subscript"/>
                    </w:rPr>
                    <w:t>3</w:t>
                  </w:r>
                  <w:r>
                    <w:rPr>
                      <w:rFonts w:hint="default" w:ascii="Times New Roman" w:hAnsi="Times New Roman" w:cs="Times New Roman"/>
                      <w:color w:val="0000FF"/>
                    </w:rPr>
                    <w:t>-N</w:t>
                  </w:r>
                </w:p>
              </w:tc>
              <w:tc>
                <w:tcPr>
                  <w:tcW w:w="691" w:type="pct"/>
                  <w:vMerge w:val="continue"/>
                  <w:tcBorders>
                    <w:left w:val="single" w:color="auto" w:sz="4" w:space="0"/>
                    <w:right w:val="single" w:color="auto" w:sz="4" w:space="0"/>
                  </w:tcBorders>
                  <w:vAlign w:val="center"/>
                </w:tcPr>
                <w:p w14:paraId="510D98B4">
                  <w:pPr>
                    <w:adjustRightInd w:val="0"/>
                    <w:snapToGrid w:val="0"/>
                    <w:jc w:val="center"/>
                    <w:rPr>
                      <w:rFonts w:hint="default" w:ascii="Times New Roman" w:hAnsi="Times New Roman" w:cs="Times New Roman"/>
                      <w:color w:val="0000FF"/>
                    </w:rPr>
                  </w:pPr>
                </w:p>
              </w:tc>
              <w:tc>
                <w:tcPr>
                  <w:tcW w:w="659" w:type="pct"/>
                  <w:vMerge w:val="continue"/>
                  <w:tcBorders>
                    <w:left w:val="single" w:color="auto" w:sz="4" w:space="0"/>
                    <w:right w:val="single" w:color="auto" w:sz="4" w:space="0"/>
                  </w:tcBorders>
                  <w:vAlign w:val="center"/>
                </w:tcPr>
                <w:p w14:paraId="76B7BEE4">
                  <w:pPr>
                    <w:adjustRightInd w:val="0"/>
                    <w:snapToGrid w:val="0"/>
                    <w:jc w:val="center"/>
                    <w:rPr>
                      <w:rFonts w:hint="default" w:ascii="Times New Roman" w:hAnsi="Times New Roman" w:cs="Times New Roman"/>
                      <w:color w:val="0000FF"/>
                    </w:rPr>
                  </w:pPr>
                </w:p>
              </w:tc>
              <w:tc>
                <w:tcPr>
                  <w:tcW w:w="659" w:type="pct"/>
                  <w:vMerge w:val="continue"/>
                  <w:tcBorders>
                    <w:left w:val="single" w:color="auto" w:sz="4" w:space="0"/>
                    <w:right w:val="single" w:color="auto" w:sz="4" w:space="0"/>
                  </w:tcBorders>
                  <w:vAlign w:val="center"/>
                </w:tcPr>
                <w:p w14:paraId="4B7FFA52">
                  <w:pPr>
                    <w:adjustRightInd w:val="0"/>
                    <w:snapToGrid w:val="0"/>
                    <w:jc w:val="center"/>
                    <w:rPr>
                      <w:rFonts w:hint="default" w:ascii="Times New Roman" w:hAnsi="Times New Roman" w:cs="Times New Roman"/>
                      <w:color w:val="0000FF"/>
                    </w:rPr>
                  </w:pPr>
                </w:p>
              </w:tc>
              <w:tc>
                <w:tcPr>
                  <w:tcW w:w="345" w:type="pct"/>
                  <w:vMerge w:val="continue"/>
                  <w:tcBorders>
                    <w:left w:val="single" w:color="auto" w:sz="4" w:space="0"/>
                    <w:right w:val="single" w:color="auto" w:sz="4" w:space="0"/>
                  </w:tcBorders>
                  <w:vAlign w:val="center"/>
                </w:tcPr>
                <w:p w14:paraId="54DBBB59">
                  <w:pPr>
                    <w:adjustRightInd w:val="0"/>
                    <w:snapToGrid w:val="0"/>
                    <w:ind w:left="0" w:leftChars="0" w:right="0" w:rightChars="0" w:firstLine="0" w:firstLineChars="0"/>
                    <w:jc w:val="center"/>
                    <w:rPr>
                      <w:rFonts w:hint="default" w:ascii="Times New Roman" w:hAnsi="Times New Roman" w:eastAsia="宋体" w:cs="Times New Roman"/>
                      <w:color w:val="0000FF"/>
                      <w:lang w:val="en-US" w:eastAsia="zh-CN"/>
                    </w:rPr>
                  </w:pPr>
                </w:p>
              </w:tc>
              <w:tc>
                <w:tcPr>
                  <w:tcW w:w="492" w:type="pct"/>
                  <w:vMerge w:val="continue"/>
                  <w:tcBorders>
                    <w:left w:val="single" w:color="auto" w:sz="4" w:space="0"/>
                    <w:right w:val="single" w:color="auto" w:sz="4" w:space="0"/>
                  </w:tcBorders>
                  <w:vAlign w:val="center"/>
                </w:tcPr>
                <w:p w14:paraId="091DD402">
                  <w:pPr>
                    <w:adjustRightInd w:val="0"/>
                    <w:snapToGrid w:val="0"/>
                    <w:jc w:val="center"/>
                    <w:rPr>
                      <w:rFonts w:hint="default" w:ascii="Times New Roman" w:hAnsi="Times New Roman" w:cs="Times New Roman"/>
                      <w:color w:val="0000FF"/>
                    </w:rPr>
                  </w:pPr>
                </w:p>
              </w:tc>
              <w:tc>
                <w:tcPr>
                  <w:tcW w:w="366" w:type="pct"/>
                  <w:vMerge w:val="continue"/>
                  <w:tcBorders>
                    <w:left w:val="single" w:color="auto" w:sz="4" w:space="0"/>
                    <w:right w:val="single" w:color="auto" w:sz="4" w:space="0"/>
                  </w:tcBorders>
                  <w:vAlign w:val="center"/>
                </w:tcPr>
                <w:p w14:paraId="5D14ABC7">
                  <w:pPr>
                    <w:adjustRightInd w:val="0"/>
                    <w:snapToGrid w:val="0"/>
                    <w:jc w:val="center"/>
                    <w:rPr>
                      <w:rFonts w:hint="default" w:ascii="Times New Roman" w:hAnsi="Times New Roman" w:cs="Times New Roman"/>
                      <w:color w:val="0000FF"/>
                    </w:rPr>
                  </w:pPr>
                </w:p>
              </w:tc>
              <w:tc>
                <w:tcPr>
                  <w:tcW w:w="618" w:type="pct"/>
                  <w:vMerge w:val="continue"/>
                  <w:tcBorders>
                    <w:left w:val="single" w:color="auto" w:sz="4" w:space="0"/>
                    <w:right w:val="single" w:color="auto" w:sz="4" w:space="0"/>
                  </w:tcBorders>
                  <w:vAlign w:val="center"/>
                </w:tcPr>
                <w:p w14:paraId="601C7DB5">
                  <w:pPr>
                    <w:adjustRightInd w:val="0"/>
                    <w:snapToGrid w:val="0"/>
                    <w:jc w:val="center"/>
                    <w:rPr>
                      <w:rFonts w:hint="default" w:ascii="Times New Roman" w:hAnsi="Times New Roman" w:cs="Times New Roman"/>
                      <w:color w:val="0000FF"/>
                    </w:rPr>
                  </w:pPr>
                </w:p>
              </w:tc>
            </w:tr>
            <w:tr w14:paraId="5DEDB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7" w:type="pct"/>
                  <w:vMerge w:val="continue"/>
                  <w:tcBorders>
                    <w:left w:val="single" w:color="auto" w:sz="4" w:space="0"/>
                    <w:right w:val="single" w:color="auto" w:sz="4" w:space="0"/>
                  </w:tcBorders>
                  <w:vAlign w:val="center"/>
                </w:tcPr>
                <w:p w14:paraId="7377ED82">
                  <w:pPr>
                    <w:adjustRightInd w:val="0"/>
                    <w:snapToGrid w:val="0"/>
                    <w:jc w:val="center"/>
                    <w:rPr>
                      <w:rFonts w:hint="default" w:ascii="Times New Roman" w:hAnsi="Times New Roman" w:cs="Times New Roman"/>
                      <w:color w:val="0000FF"/>
                    </w:rPr>
                  </w:pPr>
                </w:p>
              </w:tc>
              <w:tc>
                <w:tcPr>
                  <w:tcW w:w="547" w:type="pct"/>
                  <w:tcBorders>
                    <w:top w:val="single" w:color="auto" w:sz="4" w:space="0"/>
                    <w:left w:val="single" w:color="auto" w:sz="4" w:space="0"/>
                    <w:bottom w:val="single" w:color="auto" w:sz="4" w:space="0"/>
                    <w:right w:val="single" w:color="auto" w:sz="4" w:space="0"/>
                  </w:tcBorders>
                  <w:vAlign w:val="center"/>
                </w:tcPr>
                <w:p w14:paraId="356BC262">
                  <w:pPr>
                    <w:adjustRightInd w:val="0"/>
                    <w:snapToGrid w:val="0"/>
                    <w:jc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cs="Times New Roman"/>
                      <w:color w:val="0000FF"/>
                    </w:rPr>
                    <w:t>SS</w:t>
                  </w:r>
                </w:p>
              </w:tc>
              <w:tc>
                <w:tcPr>
                  <w:tcW w:w="691" w:type="pct"/>
                  <w:vMerge w:val="continue"/>
                  <w:tcBorders>
                    <w:left w:val="single" w:color="auto" w:sz="4" w:space="0"/>
                    <w:right w:val="single" w:color="auto" w:sz="4" w:space="0"/>
                  </w:tcBorders>
                  <w:vAlign w:val="center"/>
                </w:tcPr>
                <w:p w14:paraId="5B7FAA28">
                  <w:pPr>
                    <w:adjustRightInd w:val="0"/>
                    <w:snapToGrid w:val="0"/>
                    <w:jc w:val="center"/>
                    <w:rPr>
                      <w:rFonts w:hint="default" w:ascii="Times New Roman" w:hAnsi="Times New Roman" w:cs="Times New Roman"/>
                      <w:color w:val="0000FF"/>
                    </w:rPr>
                  </w:pPr>
                </w:p>
              </w:tc>
              <w:tc>
                <w:tcPr>
                  <w:tcW w:w="659" w:type="pct"/>
                  <w:vMerge w:val="continue"/>
                  <w:tcBorders>
                    <w:left w:val="single" w:color="auto" w:sz="4" w:space="0"/>
                    <w:right w:val="single" w:color="auto" w:sz="4" w:space="0"/>
                  </w:tcBorders>
                  <w:vAlign w:val="center"/>
                </w:tcPr>
                <w:p w14:paraId="699DA1E8">
                  <w:pPr>
                    <w:adjustRightInd w:val="0"/>
                    <w:snapToGrid w:val="0"/>
                    <w:jc w:val="center"/>
                    <w:rPr>
                      <w:rFonts w:hint="default" w:ascii="Times New Roman" w:hAnsi="Times New Roman" w:cs="Times New Roman"/>
                      <w:color w:val="0000FF"/>
                    </w:rPr>
                  </w:pPr>
                </w:p>
              </w:tc>
              <w:tc>
                <w:tcPr>
                  <w:tcW w:w="659" w:type="pct"/>
                  <w:vMerge w:val="continue"/>
                  <w:tcBorders>
                    <w:left w:val="single" w:color="auto" w:sz="4" w:space="0"/>
                    <w:right w:val="single" w:color="auto" w:sz="4" w:space="0"/>
                  </w:tcBorders>
                  <w:vAlign w:val="center"/>
                </w:tcPr>
                <w:p w14:paraId="0B8F05D7">
                  <w:pPr>
                    <w:adjustRightInd w:val="0"/>
                    <w:snapToGrid w:val="0"/>
                    <w:jc w:val="center"/>
                    <w:rPr>
                      <w:rFonts w:hint="default" w:ascii="Times New Roman" w:hAnsi="Times New Roman" w:cs="Times New Roman"/>
                      <w:color w:val="0000FF"/>
                    </w:rPr>
                  </w:pPr>
                </w:p>
              </w:tc>
              <w:tc>
                <w:tcPr>
                  <w:tcW w:w="345" w:type="pct"/>
                  <w:vMerge w:val="continue"/>
                  <w:tcBorders>
                    <w:left w:val="single" w:color="auto" w:sz="4" w:space="0"/>
                    <w:right w:val="single" w:color="auto" w:sz="4" w:space="0"/>
                  </w:tcBorders>
                  <w:vAlign w:val="center"/>
                </w:tcPr>
                <w:p w14:paraId="6C32BAAB">
                  <w:pPr>
                    <w:adjustRightInd w:val="0"/>
                    <w:snapToGrid w:val="0"/>
                    <w:ind w:left="0" w:leftChars="0" w:right="0" w:rightChars="0" w:firstLine="0" w:firstLineChars="0"/>
                    <w:jc w:val="center"/>
                    <w:rPr>
                      <w:rFonts w:hint="default" w:ascii="Times New Roman" w:hAnsi="Times New Roman" w:eastAsia="宋体" w:cs="Times New Roman"/>
                      <w:color w:val="0000FF"/>
                      <w:lang w:val="en-US" w:eastAsia="zh-CN"/>
                    </w:rPr>
                  </w:pPr>
                </w:p>
              </w:tc>
              <w:tc>
                <w:tcPr>
                  <w:tcW w:w="492" w:type="pct"/>
                  <w:vMerge w:val="continue"/>
                  <w:tcBorders>
                    <w:left w:val="single" w:color="auto" w:sz="4" w:space="0"/>
                    <w:right w:val="single" w:color="auto" w:sz="4" w:space="0"/>
                  </w:tcBorders>
                  <w:vAlign w:val="center"/>
                </w:tcPr>
                <w:p w14:paraId="77D363A7">
                  <w:pPr>
                    <w:adjustRightInd w:val="0"/>
                    <w:snapToGrid w:val="0"/>
                    <w:jc w:val="center"/>
                    <w:rPr>
                      <w:rFonts w:hint="default" w:ascii="Times New Roman" w:hAnsi="Times New Roman" w:cs="Times New Roman"/>
                      <w:color w:val="0000FF"/>
                    </w:rPr>
                  </w:pPr>
                </w:p>
              </w:tc>
              <w:tc>
                <w:tcPr>
                  <w:tcW w:w="366" w:type="pct"/>
                  <w:vMerge w:val="continue"/>
                  <w:tcBorders>
                    <w:left w:val="single" w:color="auto" w:sz="4" w:space="0"/>
                    <w:right w:val="single" w:color="auto" w:sz="4" w:space="0"/>
                  </w:tcBorders>
                  <w:vAlign w:val="center"/>
                </w:tcPr>
                <w:p w14:paraId="18B06945">
                  <w:pPr>
                    <w:adjustRightInd w:val="0"/>
                    <w:snapToGrid w:val="0"/>
                    <w:jc w:val="center"/>
                    <w:rPr>
                      <w:rFonts w:hint="default" w:ascii="Times New Roman" w:hAnsi="Times New Roman" w:cs="Times New Roman"/>
                      <w:color w:val="0000FF"/>
                    </w:rPr>
                  </w:pPr>
                </w:p>
              </w:tc>
              <w:tc>
                <w:tcPr>
                  <w:tcW w:w="618" w:type="pct"/>
                  <w:vMerge w:val="continue"/>
                  <w:tcBorders>
                    <w:left w:val="single" w:color="auto" w:sz="4" w:space="0"/>
                    <w:right w:val="single" w:color="auto" w:sz="4" w:space="0"/>
                  </w:tcBorders>
                  <w:vAlign w:val="center"/>
                </w:tcPr>
                <w:p w14:paraId="15CDDC9F">
                  <w:pPr>
                    <w:adjustRightInd w:val="0"/>
                    <w:snapToGrid w:val="0"/>
                    <w:jc w:val="center"/>
                    <w:rPr>
                      <w:rFonts w:hint="default" w:ascii="Times New Roman" w:hAnsi="Times New Roman" w:cs="Times New Roman"/>
                      <w:color w:val="0000FF"/>
                    </w:rPr>
                  </w:pPr>
                </w:p>
              </w:tc>
            </w:tr>
          </w:tbl>
          <w:p w14:paraId="609DDCD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FF"/>
                <w:sz w:val="24"/>
                <w:szCs w:val="24"/>
              </w:rPr>
            </w:pPr>
            <w:r>
              <w:rPr>
                <w:rFonts w:hint="default" w:ascii="Times New Roman" w:hAnsi="Times New Roman" w:cs="Times New Roman"/>
                <w:color w:val="0000FF"/>
                <w:sz w:val="24"/>
                <w:szCs w:val="24"/>
              </w:rPr>
              <w:t>项目废水污染物排放执行标准见下表。</w:t>
            </w:r>
          </w:p>
          <w:p w14:paraId="5773AC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FF"/>
                <w:sz w:val="24"/>
                <w:szCs w:val="24"/>
              </w:rPr>
            </w:pPr>
            <w:r>
              <w:rPr>
                <w:rFonts w:hint="default" w:ascii="Times New Roman" w:hAnsi="Times New Roman" w:cs="Times New Roman"/>
                <w:b/>
                <w:bCs/>
                <w:color w:val="0000FF"/>
                <w:sz w:val="21"/>
                <w:szCs w:val="21"/>
              </w:rPr>
              <w:t>表4-</w:t>
            </w:r>
            <w:r>
              <w:rPr>
                <w:rFonts w:hint="eastAsia" w:cs="Times New Roman"/>
                <w:b/>
                <w:bCs/>
                <w:color w:val="0000FF"/>
                <w:sz w:val="21"/>
                <w:szCs w:val="21"/>
                <w:lang w:val="en-US" w:eastAsia="zh-CN"/>
              </w:rPr>
              <w:t xml:space="preserve">12 </w:t>
            </w:r>
            <w:r>
              <w:rPr>
                <w:rFonts w:hint="default" w:ascii="Times New Roman" w:hAnsi="Times New Roman" w:cs="Times New Roman"/>
                <w:b/>
                <w:bCs/>
                <w:color w:val="0000FF"/>
                <w:sz w:val="21"/>
                <w:szCs w:val="21"/>
              </w:rPr>
              <w:t>项目废水污染物排放执行标准一览表</w:t>
            </w:r>
          </w:p>
          <w:tbl>
            <w:tblPr>
              <w:tblStyle w:val="28"/>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5"/>
              <w:gridCol w:w="4365"/>
              <w:gridCol w:w="2659"/>
            </w:tblGrid>
            <w:tr w14:paraId="31FC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5" w:type="dxa"/>
                  <w:vMerge w:val="restart"/>
                  <w:tcBorders>
                    <w:top w:val="single" w:color="auto" w:sz="4" w:space="0"/>
                    <w:left w:val="single" w:color="auto" w:sz="4" w:space="0"/>
                    <w:bottom w:val="single" w:color="auto" w:sz="4" w:space="0"/>
                    <w:right w:val="single" w:color="auto" w:sz="4" w:space="0"/>
                  </w:tcBorders>
                  <w:vAlign w:val="center"/>
                </w:tcPr>
                <w:p w14:paraId="12F42CD5">
                  <w:pPr>
                    <w:adjustRightInd w:val="0"/>
                    <w:snapToGrid w:val="0"/>
                    <w:jc w:val="center"/>
                    <w:rPr>
                      <w:rFonts w:hint="default" w:ascii="Times New Roman" w:hAnsi="Times New Roman" w:cs="Times New Roman"/>
                      <w:color w:val="0000FF"/>
                    </w:rPr>
                  </w:pPr>
                  <w:r>
                    <w:rPr>
                      <w:rFonts w:hint="default" w:ascii="Times New Roman" w:hAnsi="Times New Roman" w:cs="Times New Roman"/>
                      <w:color w:val="0000FF"/>
                      <w:kern w:val="0"/>
                    </w:rPr>
                    <w:t>污染物种类</w:t>
                  </w:r>
                </w:p>
              </w:tc>
              <w:tc>
                <w:tcPr>
                  <w:tcW w:w="7024" w:type="dxa"/>
                  <w:gridSpan w:val="2"/>
                  <w:tcBorders>
                    <w:top w:val="single" w:color="auto" w:sz="4" w:space="0"/>
                    <w:left w:val="single" w:color="auto" w:sz="4" w:space="0"/>
                    <w:bottom w:val="single" w:color="auto" w:sz="4" w:space="0"/>
                    <w:right w:val="single" w:color="auto" w:sz="4" w:space="0"/>
                  </w:tcBorders>
                  <w:vAlign w:val="center"/>
                </w:tcPr>
                <w:p w14:paraId="17DA1E92">
                  <w:pPr>
                    <w:adjustRightInd w:val="0"/>
                    <w:snapToGrid w:val="0"/>
                    <w:jc w:val="center"/>
                    <w:rPr>
                      <w:rFonts w:hint="default" w:ascii="Times New Roman" w:hAnsi="Times New Roman" w:cs="Times New Roman"/>
                      <w:color w:val="0000FF"/>
                    </w:rPr>
                  </w:pPr>
                  <w:r>
                    <w:rPr>
                      <w:rFonts w:hint="default" w:ascii="Times New Roman" w:hAnsi="Times New Roman" w:cs="Times New Roman"/>
                      <w:color w:val="0000FF"/>
                      <w:kern w:val="0"/>
                    </w:rPr>
                    <w:t>国家或地方污染物排放标准及其他按规定商定的排放协议</w:t>
                  </w:r>
                </w:p>
              </w:tc>
            </w:tr>
            <w:tr w14:paraId="6C6F5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5" w:type="dxa"/>
                  <w:vMerge w:val="continue"/>
                  <w:tcBorders>
                    <w:top w:val="single" w:color="auto" w:sz="4" w:space="0"/>
                    <w:left w:val="single" w:color="auto" w:sz="4" w:space="0"/>
                    <w:bottom w:val="single" w:color="auto" w:sz="4" w:space="0"/>
                    <w:right w:val="single" w:color="auto" w:sz="4" w:space="0"/>
                  </w:tcBorders>
                  <w:vAlign w:val="center"/>
                </w:tcPr>
                <w:p w14:paraId="0BC479E7">
                  <w:pPr>
                    <w:adjustRightInd w:val="0"/>
                    <w:snapToGrid w:val="0"/>
                    <w:jc w:val="center"/>
                    <w:rPr>
                      <w:rFonts w:hint="default" w:ascii="Times New Roman" w:hAnsi="Times New Roman" w:cs="Times New Roman"/>
                      <w:color w:val="0000FF"/>
                    </w:rPr>
                  </w:pPr>
                </w:p>
              </w:tc>
              <w:tc>
                <w:tcPr>
                  <w:tcW w:w="4365" w:type="dxa"/>
                  <w:tcBorders>
                    <w:top w:val="single" w:color="auto" w:sz="4" w:space="0"/>
                    <w:left w:val="single" w:color="auto" w:sz="4" w:space="0"/>
                    <w:bottom w:val="single" w:color="auto" w:sz="4" w:space="0"/>
                    <w:right w:val="single" w:color="auto" w:sz="4" w:space="0"/>
                  </w:tcBorders>
                  <w:vAlign w:val="center"/>
                </w:tcPr>
                <w:p w14:paraId="795D49D3">
                  <w:pPr>
                    <w:adjustRightInd w:val="0"/>
                    <w:snapToGrid w:val="0"/>
                    <w:jc w:val="center"/>
                    <w:rPr>
                      <w:rFonts w:hint="default" w:ascii="Times New Roman" w:hAnsi="Times New Roman" w:cs="Times New Roman"/>
                      <w:color w:val="0000FF"/>
                    </w:rPr>
                  </w:pPr>
                  <w:r>
                    <w:rPr>
                      <w:rFonts w:hint="default" w:ascii="Times New Roman" w:hAnsi="Times New Roman" w:cs="Times New Roman"/>
                      <w:color w:val="0000FF"/>
                      <w:kern w:val="0"/>
                    </w:rPr>
                    <w:t>名称</w:t>
                  </w:r>
                </w:p>
              </w:tc>
              <w:tc>
                <w:tcPr>
                  <w:tcW w:w="2659" w:type="dxa"/>
                  <w:tcBorders>
                    <w:top w:val="single" w:color="auto" w:sz="4" w:space="0"/>
                    <w:left w:val="single" w:color="auto" w:sz="4" w:space="0"/>
                    <w:bottom w:val="single" w:color="auto" w:sz="4" w:space="0"/>
                    <w:right w:val="single" w:color="auto" w:sz="4" w:space="0"/>
                  </w:tcBorders>
                  <w:vAlign w:val="center"/>
                </w:tcPr>
                <w:p w14:paraId="19903B4C">
                  <w:pPr>
                    <w:adjustRightInd w:val="0"/>
                    <w:snapToGrid w:val="0"/>
                    <w:jc w:val="center"/>
                    <w:rPr>
                      <w:rFonts w:hint="default" w:ascii="Times New Roman" w:hAnsi="Times New Roman" w:cs="Times New Roman"/>
                      <w:color w:val="0000FF"/>
                    </w:rPr>
                  </w:pPr>
                  <w:r>
                    <w:rPr>
                      <w:rFonts w:hint="default" w:ascii="Times New Roman" w:hAnsi="Times New Roman" w:cs="Times New Roman"/>
                      <w:color w:val="0000FF"/>
                      <w:kern w:val="0"/>
                    </w:rPr>
                    <w:t>浓度限值/（mg/L）</w:t>
                  </w:r>
                </w:p>
              </w:tc>
            </w:tr>
            <w:tr w14:paraId="68F19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5" w:type="dxa"/>
                  <w:tcBorders>
                    <w:top w:val="single" w:color="auto" w:sz="4" w:space="0"/>
                    <w:left w:val="single" w:color="auto" w:sz="4" w:space="0"/>
                    <w:bottom w:val="single" w:color="auto" w:sz="4" w:space="0"/>
                    <w:right w:val="single" w:color="auto" w:sz="4" w:space="0"/>
                  </w:tcBorders>
                  <w:vAlign w:val="center"/>
                </w:tcPr>
                <w:p w14:paraId="3E3A39D7">
                  <w:pPr>
                    <w:jc w:val="center"/>
                    <w:rPr>
                      <w:rFonts w:hint="default" w:ascii="Times New Roman" w:hAnsi="Times New Roman" w:cs="Times New Roman"/>
                      <w:color w:val="0000FF"/>
                      <w:spacing w:val="2"/>
                    </w:rPr>
                  </w:pPr>
                  <w:r>
                    <w:rPr>
                      <w:rFonts w:hint="default" w:ascii="Times New Roman" w:hAnsi="Times New Roman" w:cs="Times New Roman"/>
                      <w:color w:val="0000FF"/>
                      <w:spacing w:val="2"/>
                    </w:rPr>
                    <w:t>pH</w:t>
                  </w:r>
                </w:p>
              </w:tc>
              <w:tc>
                <w:tcPr>
                  <w:tcW w:w="4365" w:type="dxa"/>
                  <w:vMerge w:val="restart"/>
                  <w:tcBorders>
                    <w:top w:val="single" w:color="auto" w:sz="4" w:space="0"/>
                    <w:left w:val="single" w:color="auto" w:sz="4" w:space="0"/>
                    <w:bottom w:val="single" w:color="auto" w:sz="4" w:space="0"/>
                    <w:right w:val="single" w:color="auto" w:sz="4" w:space="0"/>
                  </w:tcBorders>
                  <w:vAlign w:val="center"/>
                </w:tcPr>
                <w:p w14:paraId="0DB80B4B">
                  <w:pPr>
                    <w:adjustRightInd w:val="0"/>
                    <w:snapToGrid w:val="0"/>
                    <w:jc w:val="center"/>
                    <w:rPr>
                      <w:rFonts w:hint="default" w:ascii="Times New Roman" w:hAnsi="Times New Roman" w:cs="Times New Roman"/>
                      <w:color w:val="0000FF"/>
                    </w:rPr>
                  </w:pPr>
                  <w:r>
                    <w:rPr>
                      <w:rFonts w:hint="eastAsia" w:ascii="Times New Roman" w:hAnsi="Times New Roman" w:cs="Times New Roman"/>
                      <w:color w:val="0000FF"/>
                      <w:lang w:eastAsia="zh-CN"/>
                    </w:rPr>
                    <w:t>龙湖开发区</w:t>
                  </w:r>
                  <w:r>
                    <w:rPr>
                      <w:rFonts w:hint="default" w:ascii="Times New Roman" w:hAnsi="Times New Roman" w:cs="Times New Roman"/>
                      <w:color w:val="0000FF"/>
                    </w:rPr>
                    <w:t>污水处理厂的接管标准及《污水综合排放标准》（GB</w:t>
                  </w:r>
                  <w:r>
                    <w:rPr>
                      <w:rFonts w:hint="eastAsia" w:ascii="Times New Roman" w:hAnsi="Times New Roman" w:cs="Times New Roman"/>
                      <w:color w:val="0000FF"/>
                      <w:lang w:val="en-US" w:eastAsia="zh-CN"/>
                    </w:rPr>
                    <w:t xml:space="preserve"> </w:t>
                  </w:r>
                  <w:r>
                    <w:rPr>
                      <w:rFonts w:hint="default" w:ascii="Times New Roman" w:hAnsi="Times New Roman" w:cs="Times New Roman"/>
                      <w:color w:val="0000FF"/>
                    </w:rPr>
                    <w:t>8978-1996）中表4中的三级标准要求</w:t>
                  </w:r>
                </w:p>
              </w:tc>
              <w:tc>
                <w:tcPr>
                  <w:tcW w:w="2659" w:type="dxa"/>
                  <w:tcBorders>
                    <w:top w:val="single" w:color="auto" w:sz="4" w:space="0"/>
                    <w:left w:val="single" w:color="auto" w:sz="4" w:space="0"/>
                    <w:bottom w:val="single" w:color="auto" w:sz="4" w:space="0"/>
                    <w:right w:val="single" w:color="auto" w:sz="4" w:space="0"/>
                  </w:tcBorders>
                  <w:vAlign w:val="center"/>
                </w:tcPr>
                <w:p w14:paraId="2A5B9929">
                  <w:pPr>
                    <w:jc w:val="center"/>
                    <w:rPr>
                      <w:rFonts w:hint="default" w:ascii="Times New Roman" w:hAnsi="Times New Roman" w:cs="Times New Roman"/>
                      <w:color w:val="0000FF"/>
                      <w:spacing w:val="2"/>
                    </w:rPr>
                  </w:pPr>
                  <w:r>
                    <w:rPr>
                      <w:rFonts w:hint="default" w:ascii="Times New Roman" w:hAnsi="Times New Roman" w:cs="Times New Roman"/>
                      <w:color w:val="0000FF"/>
                      <w:spacing w:val="2"/>
                    </w:rPr>
                    <w:t>6-9</w:t>
                  </w:r>
                </w:p>
              </w:tc>
            </w:tr>
            <w:tr w14:paraId="27279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5" w:type="dxa"/>
                  <w:tcBorders>
                    <w:top w:val="single" w:color="auto" w:sz="4" w:space="0"/>
                    <w:left w:val="single" w:color="auto" w:sz="4" w:space="0"/>
                    <w:bottom w:val="single" w:color="auto" w:sz="4" w:space="0"/>
                    <w:right w:val="single" w:color="auto" w:sz="4" w:space="0"/>
                  </w:tcBorders>
                  <w:vAlign w:val="center"/>
                </w:tcPr>
                <w:p w14:paraId="594BD69E">
                  <w:pPr>
                    <w:jc w:val="center"/>
                    <w:rPr>
                      <w:rFonts w:hint="default" w:ascii="Times New Roman" w:hAnsi="Times New Roman" w:cs="Times New Roman"/>
                      <w:color w:val="0000FF"/>
                      <w:spacing w:val="2"/>
                    </w:rPr>
                  </w:pPr>
                  <w:r>
                    <w:rPr>
                      <w:rFonts w:hint="default" w:ascii="Times New Roman" w:hAnsi="Times New Roman" w:cs="Times New Roman"/>
                      <w:color w:val="0000FF"/>
                      <w:spacing w:val="2"/>
                    </w:rPr>
                    <w:t>COD</w:t>
                  </w:r>
                </w:p>
              </w:tc>
              <w:tc>
                <w:tcPr>
                  <w:tcW w:w="4365" w:type="dxa"/>
                  <w:vMerge w:val="continue"/>
                  <w:tcBorders>
                    <w:top w:val="single" w:color="auto" w:sz="4" w:space="0"/>
                    <w:left w:val="single" w:color="auto" w:sz="4" w:space="0"/>
                    <w:bottom w:val="single" w:color="auto" w:sz="4" w:space="0"/>
                    <w:right w:val="single" w:color="auto" w:sz="4" w:space="0"/>
                  </w:tcBorders>
                  <w:vAlign w:val="center"/>
                </w:tcPr>
                <w:p w14:paraId="3075E01F">
                  <w:pPr>
                    <w:adjustRightInd w:val="0"/>
                    <w:snapToGrid w:val="0"/>
                    <w:jc w:val="center"/>
                    <w:rPr>
                      <w:rFonts w:hint="default" w:ascii="Times New Roman" w:hAnsi="Times New Roman" w:cs="Times New Roman"/>
                      <w:color w:val="0000FF"/>
                    </w:rPr>
                  </w:pPr>
                </w:p>
              </w:tc>
              <w:tc>
                <w:tcPr>
                  <w:tcW w:w="2659" w:type="dxa"/>
                  <w:tcBorders>
                    <w:top w:val="single" w:color="auto" w:sz="4" w:space="0"/>
                    <w:left w:val="single" w:color="auto" w:sz="4" w:space="0"/>
                    <w:bottom w:val="single" w:color="auto" w:sz="4" w:space="0"/>
                    <w:right w:val="single" w:color="auto" w:sz="4" w:space="0"/>
                  </w:tcBorders>
                  <w:vAlign w:val="center"/>
                </w:tcPr>
                <w:p w14:paraId="2383F1A4">
                  <w:pPr>
                    <w:jc w:val="center"/>
                    <w:rPr>
                      <w:rFonts w:hint="default" w:ascii="Times New Roman" w:hAnsi="Times New Roman" w:cs="Times New Roman"/>
                      <w:color w:val="0000FF"/>
                      <w:spacing w:val="2"/>
                    </w:rPr>
                  </w:pPr>
                  <w:r>
                    <w:rPr>
                      <w:rFonts w:hint="default" w:ascii="Times New Roman" w:hAnsi="Times New Roman" w:cs="Times New Roman"/>
                      <w:color w:val="0000FF"/>
                      <w:spacing w:val="2"/>
                    </w:rPr>
                    <w:t>500</w:t>
                  </w:r>
                </w:p>
              </w:tc>
            </w:tr>
            <w:tr w14:paraId="7B7C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5" w:type="dxa"/>
                  <w:tcBorders>
                    <w:top w:val="single" w:color="auto" w:sz="4" w:space="0"/>
                    <w:left w:val="single" w:color="auto" w:sz="4" w:space="0"/>
                    <w:bottom w:val="single" w:color="auto" w:sz="4" w:space="0"/>
                    <w:right w:val="single" w:color="auto" w:sz="4" w:space="0"/>
                  </w:tcBorders>
                  <w:vAlign w:val="center"/>
                </w:tcPr>
                <w:p w14:paraId="2A061DC6">
                  <w:pPr>
                    <w:jc w:val="center"/>
                    <w:rPr>
                      <w:rFonts w:hint="default" w:ascii="Times New Roman" w:hAnsi="Times New Roman" w:cs="Times New Roman"/>
                      <w:color w:val="0000FF"/>
                      <w:spacing w:val="2"/>
                      <w:vertAlign w:val="subscript"/>
                    </w:rPr>
                  </w:pPr>
                  <w:r>
                    <w:rPr>
                      <w:rFonts w:hint="default" w:ascii="Times New Roman" w:hAnsi="Times New Roman" w:cs="Times New Roman"/>
                      <w:color w:val="0000FF"/>
                      <w:spacing w:val="2"/>
                    </w:rPr>
                    <w:t>BOD</w:t>
                  </w:r>
                  <w:r>
                    <w:rPr>
                      <w:rFonts w:hint="default" w:ascii="Times New Roman" w:hAnsi="Times New Roman" w:cs="Times New Roman"/>
                      <w:color w:val="0000FF"/>
                      <w:spacing w:val="2"/>
                      <w:vertAlign w:val="subscript"/>
                    </w:rPr>
                    <w:t>5</w:t>
                  </w:r>
                </w:p>
              </w:tc>
              <w:tc>
                <w:tcPr>
                  <w:tcW w:w="4365" w:type="dxa"/>
                  <w:vMerge w:val="continue"/>
                  <w:tcBorders>
                    <w:top w:val="single" w:color="auto" w:sz="4" w:space="0"/>
                    <w:left w:val="single" w:color="auto" w:sz="4" w:space="0"/>
                    <w:bottom w:val="single" w:color="auto" w:sz="4" w:space="0"/>
                    <w:right w:val="single" w:color="auto" w:sz="4" w:space="0"/>
                  </w:tcBorders>
                  <w:vAlign w:val="center"/>
                </w:tcPr>
                <w:p w14:paraId="5C29CBE5">
                  <w:pPr>
                    <w:adjustRightInd w:val="0"/>
                    <w:snapToGrid w:val="0"/>
                    <w:jc w:val="center"/>
                    <w:rPr>
                      <w:rFonts w:hint="default" w:ascii="Times New Roman" w:hAnsi="Times New Roman" w:cs="Times New Roman"/>
                      <w:color w:val="0000FF"/>
                    </w:rPr>
                  </w:pPr>
                </w:p>
              </w:tc>
              <w:tc>
                <w:tcPr>
                  <w:tcW w:w="2659" w:type="dxa"/>
                  <w:tcBorders>
                    <w:top w:val="single" w:color="auto" w:sz="4" w:space="0"/>
                    <w:left w:val="single" w:color="auto" w:sz="4" w:space="0"/>
                    <w:bottom w:val="single" w:color="auto" w:sz="4" w:space="0"/>
                    <w:right w:val="single" w:color="auto" w:sz="4" w:space="0"/>
                  </w:tcBorders>
                  <w:vAlign w:val="center"/>
                </w:tcPr>
                <w:p w14:paraId="376520E8">
                  <w:pPr>
                    <w:jc w:val="center"/>
                    <w:rPr>
                      <w:rFonts w:hint="default" w:ascii="Times New Roman" w:hAnsi="Times New Roman" w:cs="Times New Roman"/>
                      <w:color w:val="0000FF"/>
                      <w:spacing w:val="2"/>
                    </w:rPr>
                  </w:pPr>
                  <w:r>
                    <w:rPr>
                      <w:rFonts w:hint="default" w:ascii="Times New Roman" w:hAnsi="Times New Roman" w:cs="Times New Roman"/>
                      <w:color w:val="0000FF"/>
                      <w:spacing w:val="2"/>
                    </w:rPr>
                    <w:t>300</w:t>
                  </w:r>
                </w:p>
              </w:tc>
            </w:tr>
            <w:tr w14:paraId="1D7F0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5" w:type="dxa"/>
                  <w:tcBorders>
                    <w:top w:val="single" w:color="auto" w:sz="4" w:space="0"/>
                    <w:left w:val="single" w:color="auto" w:sz="4" w:space="0"/>
                    <w:bottom w:val="single" w:color="auto" w:sz="4" w:space="0"/>
                    <w:right w:val="single" w:color="auto" w:sz="4" w:space="0"/>
                  </w:tcBorders>
                  <w:vAlign w:val="center"/>
                </w:tcPr>
                <w:p w14:paraId="659F2B29">
                  <w:pPr>
                    <w:jc w:val="center"/>
                    <w:rPr>
                      <w:rFonts w:hint="default" w:ascii="Times New Roman" w:hAnsi="Times New Roman" w:cs="Times New Roman"/>
                      <w:color w:val="0000FF"/>
                      <w:spacing w:val="2"/>
                    </w:rPr>
                  </w:pPr>
                  <w:r>
                    <w:rPr>
                      <w:rFonts w:hint="default" w:ascii="Times New Roman" w:hAnsi="Times New Roman" w:cs="Times New Roman"/>
                      <w:color w:val="0000FF"/>
                      <w:spacing w:val="2"/>
                    </w:rPr>
                    <w:t>SS</w:t>
                  </w:r>
                </w:p>
              </w:tc>
              <w:tc>
                <w:tcPr>
                  <w:tcW w:w="4365" w:type="dxa"/>
                  <w:vMerge w:val="continue"/>
                  <w:tcBorders>
                    <w:top w:val="single" w:color="auto" w:sz="4" w:space="0"/>
                    <w:left w:val="single" w:color="auto" w:sz="4" w:space="0"/>
                    <w:bottom w:val="single" w:color="auto" w:sz="4" w:space="0"/>
                    <w:right w:val="single" w:color="auto" w:sz="4" w:space="0"/>
                  </w:tcBorders>
                  <w:vAlign w:val="center"/>
                </w:tcPr>
                <w:p w14:paraId="3AA78951">
                  <w:pPr>
                    <w:adjustRightInd w:val="0"/>
                    <w:snapToGrid w:val="0"/>
                    <w:jc w:val="center"/>
                    <w:rPr>
                      <w:rFonts w:hint="default" w:ascii="Times New Roman" w:hAnsi="Times New Roman" w:cs="Times New Roman"/>
                      <w:color w:val="0000FF"/>
                    </w:rPr>
                  </w:pPr>
                </w:p>
              </w:tc>
              <w:tc>
                <w:tcPr>
                  <w:tcW w:w="2659" w:type="dxa"/>
                  <w:tcBorders>
                    <w:top w:val="single" w:color="auto" w:sz="4" w:space="0"/>
                    <w:left w:val="single" w:color="auto" w:sz="4" w:space="0"/>
                    <w:bottom w:val="single" w:color="auto" w:sz="4" w:space="0"/>
                    <w:right w:val="single" w:color="auto" w:sz="4" w:space="0"/>
                  </w:tcBorders>
                  <w:vAlign w:val="center"/>
                </w:tcPr>
                <w:p w14:paraId="7A1B35B2">
                  <w:pPr>
                    <w:jc w:val="center"/>
                    <w:rPr>
                      <w:rFonts w:hint="default" w:ascii="Times New Roman" w:hAnsi="Times New Roman" w:cs="Times New Roman"/>
                      <w:color w:val="0000FF"/>
                      <w:spacing w:val="2"/>
                    </w:rPr>
                  </w:pPr>
                  <w:r>
                    <w:rPr>
                      <w:rFonts w:hint="default" w:ascii="Times New Roman" w:hAnsi="Times New Roman" w:cs="Times New Roman"/>
                      <w:color w:val="0000FF"/>
                      <w:spacing w:val="2"/>
                    </w:rPr>
                    <w:t>400</w:t>
                  </w:r>
                </w:p>
              </w:tc>
            </w:tr>
            <w:tr w14:paraId="591DA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5" w:type="dxa"/>
                  <w:tcBorders>
                    <w:top w:val="single" w:color="auto" w:sz="4" w:space="0"/>
                    <w:left w:val="single" w:color="auto" w:sz="4" w:space="0"/>
                    <w:bottom w:val="single" w:color="auto" w:sz="4" w:space="0"/>
                    <w:right w:val="single" w:color="auto" w:sz="4" w:space="0"/>
                  </w:tcBorders>
                  <w:vAlign w:val="center"/>
                </w:tcPr>
                <w:p w14:paraId="4AF911D3">
                  <w:pPr>
                    <w:jc w:val="center"/>
                    <w:rPr>
                      <w:rFonts w:hint="default" w:ascii="Times New Roman" w:hAnsi="Times New Roman" w:cs="Times New Roman"/>
                      <w:color w:val="0000FF"/>
                      <w:spacing w:val="2"/>
                    </w:rPr>
                  </w:pPr>
                  <w:r>
                    <w:rPr>
                      <w:rFonts w:hint="default" w:ascii="Times New Roman" w:hAnsi="Times New Roman" w:cs="Times New Roman"/>
                      <w:color w:val="0000FF"/>
                      <w:spacing w:val="2"/>
                    </w:rPr>
                    <w:t>氨氮</w:t>
                  </w:r>
                </w:p>
              </w:tc>
              <w:tc>
                <w:tcPr>
                  <w:tcW w:w="4365" w:type="dxa"/>
                  <w:vMerge w:val="continue"/>
                  <w:tcBorders>
                    <w:top w:val="single" w:color="auto" w:sz="4" w:space="0"/>
                    <w:left w:val="single" w:color="auto" w:sz="4" w:space="0"/>
                    <w:bottom w:val="single" w:color="auto" w:sz="4" w:space="0"/>
                    <w:right w:val="single" w:color="auto" w:sz="4" w:space="0"/>
                  </w:tcBorders>
                  <w:vAlign w:val="center"/>
                </w:tcPr>
                <w:p w14:paraId="33A7729B">
                  <w:pPr>
                    <w:adjustRightInd w:val="0"/>
                    <w:snapToGrid w:val="0"/>
                    <w:jc w:val="center"/>
                    <w:rPr>
                      <w:rFonts w:hint="default" w:ascii="Times New Roman" w:hAnsi="Times New Roman" w:cs="Times New Roman"/>
                      <w:color w:val="0000FF"/>
                    </w:rPr>
                  </w:pPr>
                </w:p>
              </w:tc>
              <w:tc>
                <w:tcPr>
                  <w:tcW w:w="2659" w:type="dxa"/>
                  <w:tcBorders>
                    <w:top w:val="single" w:color="auto" w:sz="4" w:space="0"/>
                    <w:left w:val="single" w:color="auto" w:sz="4" w:space="0"/>
                    <w:bottom w:val="single" w:color="auto" w:sz="4" w:space="0"/>
                    <w:right w:val="single" w:color="auto" w:sz="4" w:space="0"/>
                  </w:tcBorders>
                  <w:vAlign w:val="center"/>
                </w:tcPr>
                <w:p w14:paraId="0FCD1F5E">
                  <w:pPr>
                    <w:jc w:val="center"/>
                    <w:rPr>
                      <w:rFonts w:hint="default" w:ascii="Times New Roman" w:hAnsi="Times New Roman" w:cs="Times New Roman"/>
                      <w:color w:val="0000FF"/>
                      <w:spacing w:val="2"/>
                    </w:rPr>
                  </w:pPr>
                  <w:r>
                    <w:rPr>
                      <w:rFonts w:hint="default" w:ascii="Times New Roman" w:hAnsi="Times New Roman" w:cs="Times New Roman"/>
                      <w:color w:val="0000FF"/>
                      <w:spacing w:val="2"/>
                    </w:rPr>
                    <w:t>30</w:t>
                  </w:r>
                </w:p>
              </w:tc>
            </w:tr>
          </w:tbl>
          <w:p w14:paraId="58E4298B">
            <w:pPr>
              <w:adjustRightInd w:val="0"/>
              <w:snapToGrid w:val="0"/>
              <w:spacing w:line="360" w:lineRule="auto"/>
              <w:ind w:firstLine="480" w:firstLineChars="200"/>
              <w:jc w:val="left"/>
              <w:rPr>
                <w:rFonts w:hint="default" w:ascii="Times New Roman" w:hAnsi="Times New Roman" w:cs="Times New Roman"/>
                <w:color w:val="0000FF"/>
                <w:sz w:val="24"/>
                <w:szCs w:val="24"/>
              </w:rPr>
            </w:pPr>
            <w:r>
              <w:rPr>
                <w:rFonts w:hint="default" w:ascii="Times New Roman" w:hAnsi="Times New Roman" w:cs="Times New Roman"/>
                <w:color w:val="0000FF"/>
                <w:sz w:val="24"/>
                <w:szCs w:val="24"/>
              </w:rPr>
              <w:t>废水间接排放口基本情况见下表。</w:t>
            </w:r>
          </w:p>
          <w:p w14:paraId="7554EB1A">
            <w:pPr>
              <w:adjustRightInd w:val="0"/>
              <w:snapToGrid w:val="0"/>
              <w:jc w:val="center"/>
              <w:rPr>
                <w:rFonts w:hint="default" w:ascii="Times New Roman" w:hAnsi="Times New Roman" w:cs="Times New Roman"/>
                <w:b/>
                <w:bCs/>
                <w:color w:val="0000FF"/>
                <w:sz w:val="21"/>
                <w:szCs w:val="21"/>
              </w:rPr>
            </w:pPr>
            <w:r>
              <w:rPr>
                <w:rFonts w:hint="default" w:ascii="Times New Roman" w:hAnsi="Times New Roman" w:cs="Times New Roman"/>
                <w:b/>
                <w:bCs/>
                <w:color w:val="0000FF"/>
                <w:sz w:val="21"/>
                <w:szCs w:val="21"/>
              </w:rPr>
              <w:t>表4-</w:t>
            </w:r>
            <w:r>
              <w:rPr>
                <w:rFonts w:hint="eastAsia" w:cs="Times New Roman"/>
                <w:b/>
                <w:bCs/>
                <w:color w:val="0000FF"/>
                <w:sz w:val="21"/>
                <w:szCs w:val="21"/>
                <w:lang w:val="en-US" w:eastAsia="zh-CN"/>
              </w:rPr>
              <w:t>13</w:t>
            </w:r>
            <w:r>
              <w:rPr>
                <w:rFonts w:hint="default" w:ascii="Times New Roman" w:hAnsi="Times New Roman" w:cs="Times New Roman"/>
                <w:b/>
                <w:bCs/>
                <w:color w:val="0000FF"/>
                <w:sz w:val="21"/>
                <w:szCs w:val="21"/>
              </w:rPr>
              <w:t xml:space="preserve"> 废水间接排放口基本情况一览表（单位：mg/L，pH值为无量纲）</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562"/>
              <w:gridCol w:w="1109"/>
              <w:gridCol w:w="1005"/>
              <w:gridCol w:w="736"/>
              <w:gridCol w:w="529"/>
              <w:gridCol w:w="529"/>
              <w:gridCol w:w="736"/>
              <w:gridCol w:w="883"/>
              <w:gridCol w:w="864"/>
              <w:gridCol w:w="1005"/>
            </w:tblGrid>
            <w:tr w14:paraId="1AAD0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530" w:type="pct"/>
                  <w:vMerge w:val="restart"/>
                  <w:tcBorders>
                    <w:top w:val="single" w:color="auto" w:sz="4" w:space="0"/>
                    <w:left w:val="single" w:color="auto" w:sz="4" w:space="0"/>
                    <w:bottom w:val="single" w:color="auto" w:sz="4" w:space="0"/>
                    <w:right w:val="single" w:color="auto" w:sz="4" w:space="0"/>
                  </w:tcBorders>
                  <w:vAlign w:val="center"/>
                </w:tcPr>
                <w:p w14:paraId="4A5318CA">
                  <w:pPr>
                    <w:pStyle w:val="18"/>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排放口编号</w:t>
                  </w:r>
                </w:p>
              </w:tc>
              <w:tc>
                <w:tcPr>
                  <w:tcW w:w="316" w:type="pct"/>
                  <w:vMerge w:val="restart"/>
                  <w:tcBorders>
                    <w:top w:val="single" w:color="auto" w:sz="4" w:space="0"/>
                    <w:left w:val="single" w:color="auto" w:sz="4" w:space="0"/>
                    <w:right w:val="single" w:color="auto" w:sz="4" w:space="0"/>
                  </w:tcBorders>
                  <w:vAlign w:val="center"/>
                </w:tcPr>
                <w:p w14:paraId="03D9D493">
                  <w:pPr>
                    <w:pStyle w:val="18"/>
                    <w:spacing w:line="240" w:lineRule="auto"/>
                    <w:jc w:val="center"/>
                    <w:rPr>
                      <w:rFonts w:hint="default" w:ascii="Times New Roman" w:hAnsi="Times New Roman" w:cs="Times New Roman"/>
                      <w:color w:val="0000FF"/>
                      <w:sz w:val="21"/>
                      <w:szCs w:val="21"/>
                    </w:rPr>
                  </w:pPr>
                </w:p>
              </w:tc>
              <w:tc>
                <w:tcPr>
                  <w:tcW w:w="1186" w:type="pct"/>
                  <w:gridSpan w:val="2"/>
                  <w:tcBorders>
                    <w:top w:val="single" w:color="auto" w:sz="4" w:space="0"/>
                    <w:left w:val="single" w:color="auto" w:sz="4" w:space="0"/>
                    <w:bottom w:val="single" w:color="auto" w:sz="4" w:space="0"/>
                    <w:right w:val="single" w:color="auto" w:sz="4" w:space="0"/>
                  </w:tcBorders>
                  <w:vAlign w:val="center"/>
                </w:tcPr>
                <w:p w14:paraId="3E435FCA">
                  <w:pPr>
                    <w:pStyle w:val="18"/>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排放口地理坐标</w:t>
                  </w:r>
                </w:p>
              </w:tc>
              <w:tc>
                <w:tcPr>
                  <w:tcW w:w="413" w:type="pct"/>
                  <w:vMerge w:val="restart"/>
                  <w:tcBorders>
                    <w:top w:val="single" w:color="auto" w:sz="4" w:space="0"/>
                    <w:left w:val="single" w:color="auto" w:sz="4" w:space="0"/>
                    <w:right w:val="single" w:color="auto" w:sz="4" w:space="0"/>
                  </w:tcBorders>
                  <w:vAlign w:val="center"/>
                </w:tcPr>
                <w:p w14:paraId="563EE358">
                  <w:pPr>
                    <w:pStyle w:val="18"/>
                    <w:spacing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cs="Times New Roman"/>
                      <w:color w:val="0000FF"/>
                      <w:sz w:val="21"/>
                      <w:szCs w:val="21"/>
                      <w:lang w:val="en-US" w:eastAsia="zh-CN"/>
                    </w:rPr>
                    <w:t>排放去向</w:t>
                  </w:r>
                </w:p>
              </w:tc>
              <w:tc>
                <w:tcPr>
                  <w:tcW w:w="297" w:type="pct"/>
                  <w:vMerge w:val="restart"/>
                  <w:tcBorders>
                    <w:top w:val="single" w:color="auto" w:sz="4" w:space="0"/>
                    <w:left w:val="single" w:color="auto" w:sz="4" w:space="0"/>
                    <w:right w:val="single" w:color="auto" w:sz="4" w:space="0"/>
                  </w:tcBorders>
                  <w:vAlign w:val="center"/>
                </w:tcPr>
                <w:p w14:paraId="58B1AC15">
                  <w:pPr>
                    <w:pStyle w:val="18"/>
                    <w:spacing w:line="240" w:lineRule="auto"/>
                    <w:jc w:val="center"/>
                    <w:rPr>
                      <w:rFonts w:hint="default" w:ascii="Times New Roman" w:hAnsi="Times New Roman" w:cs="Times New Roman"/>
                      <w:color w:val="0000FF"/>
                      <w:sz w:val="21"/>
                      <w:szCs w:val="21"/>
                      <w:lang w:val="en-US" w:eastAsia="zh-CN"/>
                    </w:rPr>
                  </w:pPr>
                  <w:r>
                    <w:rPr>
                      <w:rFonts w:hint="default" w:ascii="Times New Roman" w:hAnsi="Times New Roman" w:cs="Times New Roman"/>
                      <w:color w:val="0000FF"/>
                      <w:sz w:val="21"/>
                      <w:szCs w:val="21"/>
                      <w:lang w:val="en-US" w:eastAsia="zh-CN"/>
                    </w:rPr>
                    <w:t>排放规律</w:t>
                  </w:r>
                </w:p>
              </w:tc>
              <w:tc>
                <w:tcPr>
                  <w:tcW w:w="297" w:type="pct"/>
                  <w:vMerge w:val="restart"/>
                  <w:tcBorders>
                    <w:top w:val="single" w:color="auto" w:sz="4" w:space="0"/>
                    <w:left w:val="single" w:color="auto" w:sz="4" w:space="0"/>
                    <w:right w:val="single" w:color="auto" w:sz="4" w:space="0"/>
                  </w:tcBorders>
                  <w:vAlign w:val="center"/>
                </w:tcPr>
                <w:p w14:paraId="64651DB0">
                  <w:pPr>
                    <w:pStyle w:val="18"/>
                    <w:spacing w:line="240" w:lineRule="auto"/>
                    <w:jc w:val="center"/>
                    <w:rPr>
                      <w:rFonts w:hint="default" w:ascii="Times New Roman" w:hAnsi="Times New Roman" w:cs="Times New Roman"/>
                      <w:color w:val="0000FF"/>
                      <w:sz w:val="21"/>
                      <w:szCs w:val="21"/>
                      <w:lang w:val="en-US" w:eastAsia="zh-CN"/>
                    </w:rPr>
                  </w:pPr>
                  <w:r>
                    <w:rPr>
                      <w:rFonts w:hint="default" w:ascii="Times New Roman" w:hAnsi="Times New Roman" w:cs="Times New Roman"/>
                      <w:color w:val="0000FF"/>
                      <w:sz w:val="21"/>
                      <w:szCs w:val="21"/>
                      <w:lang w:val="en-US" w:eastAsia="zh-CN"/>
                    </w:rPr>
                    <w:t>排放时段</w:t>
                  </w:r>
                </w:p>
              </w:tc>
              <w:tc>
                <w:tcPr>
                  <w:tcW w:w="1958" w:type="pct"/>
                  <w:gridSpan w:val="4"/>
                  <w:tcBorders>
                    <w:top w:val="single" w:color="auto" w:sz="4" w:space="0"/>
                    <w:left w:val="single" w:color="auto" w:sz="4" w:space="0"/>
                    <w:bottom w:val="single" w:color="auto" w:sz="4" w:space="0"/>
                    <w:right w:val="single" w:color="auto" w:sz="4" w:space="0"/>
                  </w:tcBorders>
                  <w:vAlign w:val="center"/>
                </w:tcPr>
                <w:p w14:paraId="48171C56">
                  <w:pPr>
                    <w:pStyle w:val="18"/>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收纳污水处理厂信息</w:t>
                  </w:r>
                </w:p>
              </w:tc>
            </w:tr>
            <w:tr w14:paraId="75D19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0" w:type="pct"/>
                  <w:vMerge w:val="continue"/>
                  <w:tcBorders>
                    <w:top w:val="single" w:color="auto" w:sz="4" w:space="0"/>
                    <w:left w:val="single" w:color="auto" w:sz="4" w:space="0"/>
                    <w:bottom w:val="single" w:color="auto" w:sz="4" w:space="0"/>
                    <w:right w:val="single" w:color="auto" w:sz="4" w:space="0"/>
                  </w:tcBorders>
                  <w:vAlign w:val="center"/>
                </w:tcPr>
                <w:p w14:paraId="11AAF6AF">
                  <w:pPr>
                    <w:pStyle w:val="18"/>
                    <w:spacing w:line="240" w:lineRule="auto"/>
                    <w:jc w:val="center"/>
                    <w:rPr>
                      <w:rFonts w:hint="default" w:ascii="Times New Roman" w:hAnsi="Times New Roman" w:cs="Times New Roman"/>
                      <w:color w:val="0000FF"/>
                      <w:sz w:val="21"/>
                      <w:szCs w:val="21"/>
                    </w:rPr>
                  </w:pPr>
                </w:p>
              </w:tc>
              <w:tc>
                <w:tcPr>
                  <w:tcW w:w="316" w:type="pct"/>
                  <w:vMerge w:val="continue"/>
                  <w:tcBorders>
                    <w:left w:val="single" w:color="auto" w:sz="4" w:space="0"/>
                    <w:bottom w:val="single" w:color="auto" w:sz="4" w:space="0"/>
                    <w:right w:val="single" w:color="auto" w:sz="4" w:space="0"/>
                  </w:tcBorders>
                  <w:vAlign w:val="center"/>
                </w:tcPr>
                <w:p w14:paraId="0BF4DD89">
                  <w:pPr>
                    <w:pStyle w:val="18"/>
                    <w:spacing w:line="240" w:lineRule="auto"/>
                    <w:jc w:val="center"/>
                    <w:rPr>
                      <w:rFonts w:hint="default" w:ascii="Times New Roman" w:hAnsi="Times New Roman" w:cs="Times New Roman"/>
                      <w:color w:val="0000FF"/>
                      <w:sz w:val="21"/>
                      <w:szCs w:val="21"/>
                    </w:rPr>
                  </w:pPr>
                </w:p>
              </w:tc>
              <w:tc>
                <w:tcPr>
                  <w:tcW w:w="622" w:type="pct"/>
                  <w:tcBorders>
                    <w:top w:val="single" w:color="auto" w:sz="4" w:space="0"/>
                    <w:left w:val="single" w:color="auto" w:sz="4" w:space="0"/>
                    <w:bottom w:val="single" w:color="auto" w:sz="4" w:space="0"/>
                    <w:right w:val="single" w:color="auto" w:sz="4" w:space="0"/>
                  </w:tcBorders>
                  <w:vAlign w:val="center"/>
                </w:tcPr>
                <w:p w14:paraId="065B153E">
                  <w:pPr>
                    <w:pStyle w:val="18"/>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经度</w:t>
                  </w:r>
                </w:p>
              </w:tc>
              <w:tc>
                <w:tcPr>
                  <w:tcW w:w="563" w:type="pct"/>
                  <w:tcBorders>
                    <w:top w:val="single" w:color="auto" w:sz="4" w:space="0"/>
                    <w:left w:val="single" w:color="auto" w:sz="4" w:space="0"/>
                    <w:bottom w:val="single" w:color="auto" w:sz="4" w:space="0"/>
                    <w:right w:val="single" w:color="auto" w:sz="4" w:space="0"/>
                  </w:tcBorders>
                  <w:vAlign w:val="center"/>
                </w:tcPr>
                <w:p w14:paraId="7EDE4993">
                  <w:pPr>
                    <w:pStyle w:val="18"/>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纬度</w:t>
                  </w:r>
                </w:p>
              </w:tc>
              <w:tc>
                <w:tcPr>
                  <w:tcW w:w="413" w:type="pct"/>
                  <w:vMerge w:val="continue"/>
                  <w:tcBorders>
                    <w:left w:val="single" w:color="auto" w:sz="4" w:space="0"/>
                    <w:bottom w:val="single" w:color="auto" w:sz="4" w:space="0"/>
                    <w:right w:val="single" w:color="auto" w:sz="4" w:space="0"/>
                  </w:tcBorders>
                  <w:vAlign w:val="center"/>
                </w:tcPr>
                <w:p w14:paraId="1FB81D12">
                  <w:pPr>
                    <w:pStyle w:val="18"/>
                    <w:spacing w:line="240" w:lineRule="auto"/>
                    <w:jc w:val="center"/>
                    <w:rPr>
                      <w:rFonts w:hint="default" w:ascii="Times New Roman" w:hAnsi="Times New Roman" w:cs="Times New Roman"/>
                      <w:color w:val="0000FF"/>
                      <w:sz w:val="21"/>
                      <w:szCs w:val="21"/>
                    </w:rPr>
                  </w:pPr>
                </w:p>
              </w:tc>
              <w:tc>
                <w:tcPr>
                  <w:tcW w:w="297" w:type="pct"/>
                  <w:vMerge w:val="continue"/>
                  <w:tcBorders>
                    <w:left w:val="single" w:color="auto" w:sz="4" w:space="0"/>
                    <w:bottom w:val="single" w:color="auto" w:sz="4" w:space="0"/>
                    <w:right w:val="single" w:color="auto" w:sz="4" w:space="0"/>
                  </w:tcBorders>
                  <w:vAlign w:val="center"/>
                </w:tcPr>
                <w:p w14:paraId="50D4DAD3">
                  <w:pPr>
                    <w:pStyle w:val="18"/>
                    <w:spacing w:line="240" w:lineRule="auto"/>
                    <w:jc w:val="center"/>
                    <w:rPr>
                      <w:rFonts w:hint="default" w:ascii="Times New Roman" w:hAnsi="Times New Roman" w:cs="Times New Roman"/>
                      <w:color w:val="0000FF"/>
                      <w:sz w:val="21"/>
                      <w:szCs w:val="21"/>
                    </w:rPr>
                  </w:pPr>
                </w:p>
              </w:tc>
              <w:tc>
                <w:tcPr>
                  <w:tcW w:w="297" w:type="pct"/>
                  <w:vMerge w:val="continue"/>
                  <w:tcBorders>
                    <w:left w:val="single" w:color="auto" w:sz="4" w:space="0"/>
                    <w:bottom w:val="single" w:color="auto" w:sz="4" w:space="0"/>
                    <w:right w:val="single" w:color="auto" w:sz="4" w:space="0"/>
                  </w:tcBorders>
                  <w:vAlign w:val="center"/>
                </w:tcPr>
                <w:p w14:paraId="1ADF7F82">
                  <w:pPr>
                    <w:pStyle w:val="18"/>
                    <w:spacing w:line="240" w:lineRule="auto"/>
                    <w:jc w:val="center"/>
                    <w:rPr>
                      <w:rFonts w:hint="default" w:ascii="Times New Roman" w:hAnsi="Times New Roman" w:cs="Times New Roman"/>
                      <w:color w:val="0000FF"/>
                      <w:sz w:val="21"/>
                      <w:szCs w:val="21"/>
                    </w:rPr>
                  </w:pPr>
                </w:p>
              </w:tc>
              <w:tc>
                <w:tcPr>
                  <w:tcW w:w="413" w:type="pct"/>
                  <w:tcBorders>
                    <w:top w:val="single" w:color="auto" w:sz="4" w:space="0"/>
                    <w:left w:val="single" w:color="auto" w:sz="4" w:space="0"/>
                    <w:bottom w:val="single" w:color="auto" w:sz="4" w:space="0"/>
                    <w:right w:val="single" w:color="auto" w:sz="4" w:space="0"/>
                  </w:tcBorders>
                  <w:vAlign w:val="center"/>
                </w:tcPr>
                <w:p w14:paraId="00069296">
                  <w:pPr>
                    <w:pStyle w:val="18"/>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名称</w:t>
                  </w:r>
                </w:p>
              </w:tc>
              <w:tc>
                <w:tcPr>
                  <w:tcW w:w="496" w:type="pct"/>
                  <w:tcBorders>
                    <w:top w:val="single" w:color="auto" w:sz="4" w:space="0"/>
                    <w:left w:val="single" w:color="auto" w:sz="4" w:space="0"/>
                    <w:bottom w:val="single" w:color="auto" w:sz="4" w:space="0"/>
                    <w:right w:val="single" w:color="auto" w:sz="4" w:space="0"/>
                  </w:tcBorders>
                  <w:vAlign w:val="center"/>
                </w:tcPr>
                <w:p w14:paraId="59CA05A2">
                  <w:pPr>
                    <w:pStyle w:val="18"/>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污染物种类</w:t>
                  </w:r>
                </w:p>
              </w:tc>
              <w:tc>
                <w:tcPr>
                  <w:tcW w:w="485" w:type="pct"/>
                  <w:tcBorders>
                    <w:top w:val="single" w:color="auto" w:sz="4" w:space="0"/>
                    <w:left w:val="single" w:color="auto" w:sz="4" w:space="0"/>
                    <w:bottom w:val="single" w:color="auto" w:sz="4" w:space="0"/>
                    <w:right w:val="single" w:color="auto" w:sz="4" w:space="0"/>
                  </w:tcBorders>
                  <w:vAlign w:val="center"/>
                </w:tcPr>
                <w:p w14:paraId="14F08EDF">
                  <w:pPr>
                    <w:pStyle w:val="18"/>
                    <w:spacing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cs="Times New Roman"/>
                      <w:color w:val="0000FF"/>
                      <w:sz w:val="21"/>
                      <w:szCs w:val="21"/>
                      <w:lang w:val="en-US" w:eastAsia="zh-CN"/>
                    </w:rPr>
                    <w:t>污水处理厂设计浓度限值</w:t>
                  </w:r>
                </w:p>
              </w:tc>
              <w:tc>
                <w:tcPr>
                  <w:tcW w:w="562" w:type="pct"/>
                  <w:tcBorders>
                    <w:top w:val="single" w:color="auto" w:sz="4" w:space="0"/>
                    <w:left w:val="single" w:color="auto" w:sz="4" w:space="0"/>
                    <w:bottom w:val="single" w:color="auto" w:sz="4" w:space="0"/>
                    <w:right w:val="single" w:color="auto" w:sz="4" w:space="0"/>
                  </w:tcBorders>
                  <w:vAlign w:val="center"/>
                </w:tcPr>
                <w:p w14:paraId="6989C95C">
                  <w:pPr>
                    <w:pStyle w:val="18"/>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lang w:val="en-US" w:eastAsia="zh-CN"/>
                    </w:rPr>
                    <w:t>国家或地方污染物</w:t>
                  </w:r>
                  <w:r>
                    <w:rPr>
                      <w:rFonts w:hint="default" w:ascii="Times New Roman" w:hAnsi="Times New Roman" w:cs="Times New Roman"/>
                      <w:color w:val="0000FF"/>
                      <w:sz w:val="21"/>
                      <w:szCs w:val="21"/>
                    </w:rPr>
                    <w:t>排放标准浓度限值</w:t>
                  </w:r>
                </w:p>
              </w:tc>
            </w:tr>
            <w:tr w14:paraId="2762A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0" w:type="pct"/>
                  <w:vMerge w:val="restart"/>
                  <w:tcBorders>
                    <w:top w:val="single" w:color="auto" w:sz="4" w:space="0"/>
                    <w:left w:val="single" w:color="auto" w:sz="4" w:space="0"/>
                    <w:bottom w:val="single" w:color="auto" w:sz="4" w:space="0"/>
                    <w:right w:val="single" w:color="auto" w:sz="4" w:space="0"/>
                  </w:tcBorders>
                  <w:vAlign w:val="center"/>
                </w:tcPr>
                <w:p w14:paraId="1EF81D3F">
                  <w:pPr>
                    <w:pStyle w:val="18"/>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DW001</w:t>
                  </w:r>
                </w:p>
              </w:tc>
              <w:tc>
                <w:tcPr>
                  <w:tcW w:w="316" w:type="pct"/>
                  <w:vMerge w:val="restart"/>
                  <w:tcBorders>
                    <w:top w:val="single" w:color="auto" w:sz="4" w:space="0"/>
                    <w:left w:val="single" w:color="auto" w:sz="4" w:space="0"/>
                    <w:right w:val="single" w:color="auto" w:sz="4" w:space="0"/>
                  </w:tcBorders>
                  <w:vAlign w:val="center"/>
                </w:tcPr>
                <w:p w14:paraId="0F7DB89E">
                  <w:pPr>
                    <w:pStyle w:val="18"/>
                    <w:spacing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cs="Times New Roman"/>
                      <w:color w:val="0000FF"/>
                      <w:sz w:val="21"/>
                      <w:szCs w:val="21"/>
                      <w:lang w:val="en-US" w:eastAsia="zh-CN"/>
                    </w:rPr>
                    <w:t>废水排放口</w:t>
                  </w:r>
                </w:p>
              </w:tc>
              <w:tc>
                <w:tcPr>
                  <w:tcW w:w="622" w:type="pct"/>
                  <w:vMerge w:val="restart"/>
                  <w:tcBorders>
                    <w:top w:val="single" w:color="auto" w:sz="4" w:space="0"/>
                    <w:left w:val="single" w:color="auto" w:sz="4" w:space="0"/>
                    <w:bottom w:val="single" w:color="auto" w:sz="4" w:space="0"/>
                    <w:right w:val="single" w:color="auto" w:sz="4" w:space="0"/>
                  </w:tcBorders>
                  <w:vAlign w:val="center"/>
                </w:tcPr>
                <w:p w14:paraId="19E66108">
                  <w:pPr>
                    <w:pStyle w:val="18"/>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116.80987</w:t>
                  </w:r>
                </w:p>
              </w:tc>
              <w:tc>
                <w:tcPr>
                  <w:tcW w:w="563" w:type="pct"/>
                  <w:vMerge w:val="restart"/>
                  <w:tcBorders>
                    <w:top w:val="single" w:color="auto" w:sz="4" w:space="0"/>
                    <w:left w:val="single" w:color="auto" w:sz="4" w:space="0"/>
                    <w:bottom w:val="single" w:color="auto" w:sz="4" w:space="0"/>
                    <w:right w:val="single" w:color="auto" w:sz="4" w:space="0"/>
                  </w:tcBorders>
                  <w:vAlign w:val="center"/>
                </w:tcPr>
                <w:p w14:paraId="16398376">
                  <w:pPr>
                    <w:pStyle w:val="18"/>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34.03060</w:t>
                  </w:r>
                </w:p>
              </w:tc>
              <w:tc>
                <w:tcPr>
                  <w:tcW w:w="413" w:type="pct"/>
                  <w:vMerge w:val="restart"/>
                  <w:tcBorders>
                    <w:top w:val="single" w:color="auto" w:sz="4" w:space="0"/>
                    <w:left w:val="single" w:color="auto" w:sz="4" w:space="0"/>
                    <w:right w:val="single" w:color="auto" w:sz="4" w:space="0"/>
                  </w:tcBorders>
                  <w:vAlign w:val="center"/>
                </w:tcPr>
                <w:p w14:paraId="474DE1C8">
                  <w:pPr>
                    <w:pStyle w:val="18"/>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龙湖开发区污水处理厂</w:t>
                  </w:r>
                </w:p>
              </w:tc>
              <w:tc>
                <w:tcPr>
                  <w:tcW w:w="297" w:type="pct"/>
                  <w:vMerge w:val="restart"/>
                  <w:tcBorders>
                    <w:top w:val="single" w:color="auto" w:sz="4" w:space="0"/>
                    <w:left w:val="single" w:color="auto" w:sz="4" w:space="0"/>
                    <w:right w:val="single" w:color="auto" w:sz="4" w:space="0"/>
                  </w:tcBorders>
                  <w:vAlign w:val="center"/>
                </w:tcPr>
                <w:p w14:paraId="34E4ED14">
                  <w:pPr>
                    <w:pStyle w:val="18"/>
                    <w:spacing w:line="240" w:lineRule="auto"/>
                    <w:jc w:val="center"/>
                    <w:rPr>
                      <w:rFonts w:hint="default" w:ascii="Times New Roman" w:hAnsi="Times New Roman" w:eastAsia="宋体" w:cs="Times New Roman"/>
                      <w:color w:val="0000FF"/>
                      <w:kern w:val="0"/>
                      <w:sz w:val="21"/>
                      <w:szCs w:val="21"/>
                      <w:lang w:val="en-US" w:eastAsia="zh-CN" w:bidi="ar-SA"/>
                    </w:rPr>
                  </w:pPr>
                  <w:r>
                    <w:rPr>
                      <w:rFonts w:hint="default" w:ascii="Times New Roman" w:hAnsi="Times New Roman" w:cs="Times New Roman"/>
                      <w:color w:val="0000FF"/>
                      <w:sz w:val="21"/>
                      <w:szCs w:val="21"/>
                    </w:rPr>
                    <w:t>连续排放</w:t>
                  </w:r>
                </w:p>
              </w:tc>
              <w:tc>
                <w:tcPr>
                  <w:tcW w:w="297" w:type="pct"/>
                  <w:vMerge w:val="restart"/>
                  <w:tcBorders>
                    <w:top w:val="single" w:color="auto" w:sz="4" w:space="0"/>
                    <w:left w:val="single" w:color="auto" w:sz="4" w:space="0"/>
                    <w:right w:val="single" w:color="auto" w:sz="4" w:space="0"/>
                  </w:tcBorders>
                  <w:vAlign w:val="center"/>
                </w:tcPr>
                <w:p w14:paraId="0A540355">
                  <w:pPr>
                    <w:pStyle w:val="18"/>
                    <w:spacing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cs="Times New Roman"/>
                      <w:color w:val="0000FF"/>
                      <w:sz w:val="21"/>
                      <w:szCs w:val="21"/>
                      <w:lang w:val="en-US" w:eastAsia="zh-CN"/>
                    </w:rPr>
                    <w:t>24小时</w:t>
                  </w:r>
                </w:p>
              </w:tc>
              <w:tc>
                <w:tcPr>
                  <w:tcW w:w="413" w:type="pct"/>
                  <w:vMerge w:val="restart"/>
                  <w:tcBorders>
                    <w:top w:val="single" w:color="auto" w:sz="4" w:space="0"/>
                    <w:left w:val="single" w:color="auto" w:sz="4" w:space="0"/>
                    <w:bottom w:val="single" w:color="auto" w:sz="4" w:space="0"/>
                    <w:right w:val="single" w:color="auto" w:sz="4" w:space="0"/>
                  </w:tcBorders>
                  <w:vAlign w:val="center"/>
                </w:tcPr>
                <w:p w14:paraId="0031C995">
                  <w:pPr>
                    <w:pStyle w:val="18"/>
                    <w:spacing w:line="240" w:lineRule="auto"/>
                    <w:jc w:val="center"/>
                    <w:rPr>
                      <w:rFonts w:hint="default" w:ascii="Times New Roman" w:hAnsi="Times New Roman" w:cs="Times New Roman"/>
                      <w:color w:val="0000FF"/>
                      <w:sz w:val="21"/>
                      <w:szCs w:val="21"/>
                    </w:rPr>
                  </w:pPr>
                  <w:r>
                    <w:rPr>
                      <w:rFonts w:hint="eastAsia" w:ascii="Times New Roman" w:hAnsi="Times New Roman" w:cs="Times New Roman"/>
                      <w:color w:val="0000FF"/>
                      <w:sz w:val="21"/>
                      <w:szCs w:val="21"/>
                      <w:lang w:eastAsia="zh-CN"/>
                    </w:rPr>
                    <w:t>龙湖开发区</w:t>
                  </w:r>
                  <w:r>
                    <w:rPr>
                      <w:rFonts w:hint="default" w:ascii="Times New Roman" w:hAnsi="Times New Roman" w:cs="Times New Roman"/>
                      <w:color w:val="0000FF"/>
                      <w:sz w:val="21"/>
                      <w:szCs w:val="21"/>
                    </w:rPr>
                    <w:t>污水处理厂</w:t>
                  </w:r>
                </w:p>
              </w:tc>
              <w:tc>
                <w:tcPr>
                  <w:tcW w:w="496" w:type="pct"/>
                  <w:tcBorders>
                    <w:top w:val="single" w:color="auto" w:sz="4" w:space="0"/>
                    <w:left w:val="single" w:color="auto" w:sz="4" w:space="0"/>
                    <w:bottom w:val="single" w:color="auto" w:sz="4" w:space="0"/>
                    <w:right w:val="single" w:color="auto" w:sz="4" w:space="0"/>
                  </w:tcBorders>
                  <w:vAlign w:val="center"/>
                </w:tcPr>
                <w:p w14:paraId="4E9FC2A0">
                  <w:pPr>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pH</w:t>
                  </w:r>
                </w:p>
              </w:tc>
              <w:tc>
                <w:tcPr>
                  <w:tcW w:w="485" w:type="pct"/>
                  <w:tcBorders>
                    <w:top w:val="single" w:color="auto" w:sz="4" w:space="0"/>
                    <w:left w:val="single" w:color="auto" w:sz="4" w:space="0"/>
                    <w:bottom w:val="single" w:color="auto" w:sz="4" w:space="0"/>
                    <w:right w:val="single" w:color="auto" w:sz="4" w:space="0"/>
                  </w:tcBorders>
                  <w:vAlign w:val="center"/>
                </w:tcPr>
                <w:p w14:paraId="2470FAB1">
                  <w:pPr>
                    <w:jc w:val="center"/>
                    <w:rPr>
                      <w:rFonts w:hint="default" w:ascii="Times New Roman" w:hAnsi="Times New Roman" w:eastAsia="宋体" w:cs="Times New Roman"/>
                      <w:color w:val="0000FF"/>
                      <w:spacing w:val="2"/>
                      <w:kern w:val="2"/>
                      <w:sz w:val="21"/>
                      <w:szCs w:val="21"/>
                      <w:lang w:val="en-US" w:eastAsia="zh-CN" w:bidi="ar-SA"/>
                    </w:rPr>
                  </w:pPr>
                  <w:r>
                    <w:rPr>
                      <w:rFonts w:hint="default" w:ascii="Times New Roman" w:hAnsi="Times New Roman" w:cs="Times New Roman"/>
                      <w:color w:val="0000FF"/>
                      <w:spacing w:val="2"/>
                    </w:rPr>
                    <w:t>6-9</w:t>
                  </w:r>
                </w:p>
              </w:tc>
              <w:tc>
                <w:tcPr>
                  <w:tcW w:w="562" w:type="pct"/>
                  <w:tcBorders>
                    <w:top w:val="single" w:color="auto" w:sz="4" w:space="0"/>
                    <w:left w:val="single" w:color="auto" w:sz="4" w:space="0"/>
                    <w:bottom w:val="single" w:color="auto" w:sz="4" w:space="0"/>
                    <w:right w:val="single" w:color="auto" w:sz="4" w:space="0"/>
                  </w:tcBorders>
                  <w:vAlign w:val="center"/>
                </w:tcPr>
                <w:p w14:paraId="0E9A023F">
                  <w:pPr>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6-9</w:t>
                  </w:r>
                </w:p>
              </w:tc>
            </w:tr>
            <w:tr w14:paraId="04FF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0" w:type="pct"/>
                  <w:vMerge w:val="continue"/>
                  <w:tcBorders>
                    <w:top w:val="single" w:color="auto" w:sz="4" w:space="0"/>
                    <w:left w:val="single" w:color="auto" w:sz="4" w:space="0"/>
                    <w:bottom w:val="single" w:color="auto" w:sz="4" w:space="0"/>
                    <w:right w:val="single" w:color="auto" w:sz="4" w:space="0"/>
                  </w:tcBorders>
                  <w:vAlign w:val="center"/>
                </w:tcPr>
                <w:p w14:paraId="38DB149B">
                  <w:pPr>
                    <w:pStyle w:val="18"/>
                    <w:spacing w:line="240" w:lineRule="auto"/>
                    <w:jc w:val="center"/>
                    <w:rPr>
                      <w:rFonts w:hint="default" w:ascii="Times New Roman" w:hAnsi="Times New Roman" w:cs="Times New Roman"/>
                      <w:color w:val="0000FF"/>
                      <w:sz w:val="21"/>
                      <w:szCs w:val="21"/>
                    </w:rPr>
                  </w:pPr>
                </w:p>
              </w:tc>
              <w:tc>
                <w:tcPr>
                  <w:tcW w:w="316" w:type="pct"/>
                  <w:vMerge w:val="continue"/>
                  <w:tcBorders>
                    <w:left w:val="single" w:color="auto" w:sz="4" w:space="0"/>
                    <w:right w:val="single" w:color="auto" w:sz="4" w:space="0"/>
                  </w:tcBorders>
                  <w:vAlign w:val="center"/>
                </w:tcPr>
                <w:p w14:paraId="771594D6">
                  <w:pPr>
                    <w:pStyle w:val="18"/>
                    <w:spacing w:line="240" w:lineRule="auto"/>
                    <w:jc w:val="center"/>
                    <w:rPr>
                      <w:rFonts w:hint="default" w:ascii="Times New Roman" w:hAnsi="Times New Roman" w:cs="Times New Roman"/>
                      <w:color w:val="0000FF"/>
                      <w:sz w:val="21"/>
                      <w:szCs w:val="21"/>
                    </w:rPr>
                  </w:pPr>
                </w:p>
              </w:tc>
              <w:tc>
                <w:tcPr>
                  <w:tcW w:w="622" w:type="pct"/>
                  <w:vMerge w:val="continue"/>
                  <w:tcBorders>
                    <w:top w:val="single" w:color="auto" w:sz="4" w:space="0"/>
                    <w:left w:val="single" w:color="auto" w:sz="4" w:space="0"/>
                    <w:bottom w:val="single" w:color="auto" w:sz="4" w:space="0"/>
                    <w:right w:val="single" w:color="auto" w:sz="4" w:space="0"/>
                  </w:tcBorders>
                  <w:vAlign w:val="center"/>
                </w:tcPr>
                <w:p w14:paraId="2E79FA41">
                  <w:pPr>
                    <w:pStyle w:val="18"/>
                    <w:spacing w:line="240" w:lineRule="auto"/>
                    <w:jc w:val="center"/>
                    <w:rPr>
                      <w:rFonts w:hint="default" w:ascii="Times New Roman" w:hAnsi="Times New Roman" w:cs="Times New Roman"/>
                      <w:color w:val="0000FF"/>
                      <w:sz w:val="21"/>
                      <w:szCs w:val="21"/>
                    </w:rPr>
                  </w:pPr>
                </w:p>
              </w:tc>
              <w:tc>
                <w:tcPr>
                  <w:tcW w:w="563" w:type="pct"/>
                  <w:vMerge w:val="continue"/>
                  <w:tcBorders>
                    <w:top w:val="single" w:color="auto" w:sz="4" w:space="0"/>
                    <w:left w:val="single" w:color="auto" w:sz="4" w:space="0"/>
                    <w:bottom w:val="single" w:color="auto" w:sz="4" w:space="0"/>
                    <w:right w:val="single" w:color="auto" w:sz="4" w:space="0"/>
                  </w:tcBorders>
                  <w:vAlign w:val="center"/>
                </w:tcPr>
                <w:p w14:paraId="2CC4944A">
                  <w:pPr>
                    <w:pStyle w:val="18"/>
                    <w:spacing w:line="240" w:lineRule="auto"/>
                    <w:jc w:val="center"/>
                    <w:rPr>
                      <w:rFonts w:hint="default" w:ascii="Times New Roman" w:hAnsi="Times New Roman" w:cs="Times New Roman"/>
                      <w:color w:val="0000FF"/>
                      <w:sz w:val="21"/>
                      <w:szCs w:val="21"/>
                    </w:rPr>
                  </w:pPr>
                </w:p>
              </w:tc>
              <w:tc>
                <w:tcPr>
                  <w:tcW w:w="413" w:type="pct"/>
                  <w:vMerge w:val="continue"/>
                  <w:tcBorders>
                    <w:left w:val="single" w:color="auto" w:sz="4" w:space="0"/>
                    <w:right w:val="single" w:color="auto" w:sz="4" w:space="0"/>
                  </w:tcBorders>
                  <w:vAlign w:val="center"/>
                </w:tcPr>
                <w:p w14:paraId="5E173A91">
                  <w:pPr>
                    <w:pStyle w:val="18"/>
                    <w:spacing w:line="240" w:lineRule="auto"/>
                    <w:jc w:val="center"/>
                    <w:rPr>
                      <w:rFonts w:hint="default" w:ascii="Times New Roman" w:hAnsi="Times New Roman" w:cs="Times New Roman"/>
                      <w:color w:val="0000FF"/>
                      <w:sz w:val="21"/>
                      <w:szCs w:val="21"/>
                    </w:rPr>
                  </w:pPr>
                </w:p>
              </w:tc>
              <w:tc>
                <w:tcPr>
                  <w:tcW w:w="297" w:type="pct"/>
                  <w:vMerge w:val="continue"/>
                  <w:tcBorders>
                    <w:left w:val="single" w:color="auto" w:sz="4" w:space="0"/>
                    <w:right w:val="single" w:color="auto" w:sz="4" w:space="0"/>
                  </w:tcBorders>
                  <w:vAlign w:val="center"/>
                </w:tcPr>
                <w:p w14:paraId="3D763F86">
                  <w:pPr>
                    <w:pStyle w:val="18"/>
                    <w:spacing w:line="240" w:lineRule="auto"/>
                    <w:jc w:val="center"/>
                    <w:rPr>
                      <w:rFonts w:hint="default" w:ascii="Times New Roman" w:hAnsi="Times New Roman" w:cs="Times New Roman"/>
                      <w:color w:val="0000FF"/>
                      <w:sz w:val="21"/>
                      <w:szCs w:val="21"/>
                    </w:rPr>
                  </w:pPr>
                </w:p>
              </w:tc>
              <w:tc>
                <w:tcPr>
                  <w:tcW w:w="297" w:type="pct"/>
                  <w:vMerge w:val="continue"/>
                  <w:tcBorders>
                    <w:left w:val="single" w:color="auto" w:sz="4" w:space="0"/>
                    <w:right w:val="single" w:color="auto" w:sz="4" w:space="0"/>
                  </w:tcBorders>
                  <w:vAlign w:val="center"/>
                </w:tcPr>
                <w:p w14:paraId="072B9B7C">
                  <w:pPr>
                    <w:pStyle w:val="18"/>
                    <w:spacing w:line="240" w:lineRule="auto"/>
                    <w:jc w:val="center"/>
                    <w:rPr>
                      <w:rFonts w:hint="default" w:ascii="Times New Roman" w:hAnsi="Times New Roman" w:cs="Times New Roman"/>
                      <w:color w:val="0000FF"/>
                      <w:sz w:val="21"/>
                      <w:szCs w:val="21"/>
                    </w:rPr>
                  </w:pPr>
                </w:p>
              </w:tc>
              <w:tc>
                <w:tcPr>
                  <w:tcW w:w="413" w:type="pct"/>
                  <w:vMerge w:val="continue"/>
                  <w:tcBorders>
                    <w:top w:val="single" w:color="auto" w:sz="4" w:space="0"/>
                    <w:left w:val="single" w:color="auto" w:sz="4" w:space="0"/>
                    <w:bottom w:val="single" w:color="auto" w:sz="4" w:space="0"/>
                    <w:right w:val="single" w:color="auto" w:sz="4" w:space="0"/>
                  </w:tcBorders>
                  <w:vAlign w:val="center"/>
                </w:tcPr>
                <w:p w14:paraId="12CD9559">
                  <w:pPr>
                    <w:pStyle w:val="18"/>
                    <w:spacing w:line="240" w:lineRule="auto"/>
                    <w:jc w:val="center"/>
                    <w:rPr>
                      <w:rFonts w:hint="default" w:ascii="Times New Roman" w:hAnsi="Times New Roman" w:cs="Times New Roman"/>
                      <w:color w:val="0000FF"/>
                      <w:sz w:val="21"/>
                      <w:szCs w:val="21"/>
                    </w:rPr>
                  </w:pPr>
                </w:p>
              </w:tc>
              <w:tc>
                <w:tcPr>
                  <w:tcW w:w="496" w:type="pct"/>
                  <w:tcBorders>
                    <w:top w:val="single" w:color="auto" w:sz="4" w:space="0"/>
                    <w:left w:val="single" w:color="auto" w:sz="4" w:space="0"/>
                    <w:bottom w:val="single" w:color="auto" w:sz="4" w:space="0"/>
                    <w:right w:val="single" w:color="auto" w:sz="4" w:space="0"/>
                  </w:tcBorders>
                  <w:vAlign w:val="center"/>
                </w:tcPr>
                <w:p w14:paraId="2ED25341">
                  <w:pPr>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COD</w:t>
                  </w:r>
                </w:p>
              </w:tc>
              <w:tc>
                <w:tcPr>
                  <w:tcW w:w="485" w:type="pct"/>
                  <w:tcBorders>
                    <w:top w:val="single" w:color="auto" w:sz="4" w:space="0"/>
                    <w:left w:val="single" w:color="auto" w:sz="4" w:space="0"/>
                    <w:bottom w:val="single" w:color="auto" w:sz="4" w:space="0"/>
                    <w:right w:val="single" w:color="auto" w:sz="4" w:space="0"/>
                  </w:tcBorders>
                  <w:vAlign w:val="center"/>
                </w:tcPr>
                <w:p w14:paraId="51A5822F">
                  <w:pPr>
                    <w:jc w:val="center"/>
                    <w:rPr>
                      <w:rFonts w:hint="default" w:ascii="Times New Roman" w:hAnsi="Times New Roman" w:eastAsia="宋体" w:cs="Times New Roman"/>
                      <w:color w:val="0000FF"/>
                      <w:spacing w:val="2"/>
                      <w:kern w:val="2"/>
                      <w:sz w:val="21"/>
                      <w:szCs w:val="21"/>
                      <w:lang w:val="en-US" w:eastAsia="zh-CN" w:bidi="ar-SA"/>
                    </w:rPr>
                  </w:pPr>
                  <w:r>
                    <w:rPr>
                      <w:rFonts w:hint="default" w:ascii="Times New Roman" w:hAnsi="Times New Roman" w:cs="Times New Roman"/>
                      <w:color w:val="0000FF"/>
                      <w:spacing w:val="2"/>
                    </w:rPr>
                    <w:t>500</w:t>
                  </w:r>
                </w:p>
              </w:tc>
              <w:tc>
                <w:tcPr>
                  <w:tcW w:w="562" w:type="pct"/>
                  <w:tcBorders>
                    <w:top w:val="single" w:color="auto" w:sz="4" w:space="0"/>
                    <w:left w:val="single" w:color="auto" w:sz="4" w:space="0"/>
                    <w:bottom w:val="single" w:color="auto" w:sz="4" w:space="0"/>
                    <w:right w:val="single" w:color="auto" w:sz="4" w:space="0"/>
                  </w:tcBorders>
                  <w:vAlign w:val="center"/>
                </w:tcPr>
                <w:p w14:paraId="1EE06722">
                  <w:pPr>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50</w:t>
                  </w:r>
                </w:p>
              </w:tc>
            </w:tr>
            <w:tr w14:paraId="57DBA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0" w:type="pct"/>
                  <w:vMerge w:val="continue"/>
                  <w:tcBorders>
                    <w:top w:val="single" w:color="auto" w:sz="4" w:space="0"/>
                    <w:left w:val="single" w:color="auto" w:sz="4" w:space="0"/>
                    <w:bottom w:val="single" w:color="auto" w:sz="4" w:space="0"/>
                    <w:right w:val="single" w:color="auto" w:sz="4" w:space="0"/>
                  </w:tcBorders>
                  <w:vAlign w:val="center"/>
                </w:tcPr>
                <w:p w14:paraId="41CD7E88">
                  <w:pPr>
                    <w:pStyle w:val="18"/>
                    <w:spacing w:line="240" w:lineRule="auto"/>
                    <w:jc w:val="center"/>
                    <w:rPr>
                      <w:rFonts w:hint="default" w:ascii="Times New Roman" w:hAnsi="Times New Roman" w:cs="Times New Roman"/>
                      <w:color w:val="0000FF"/>
                      <w:sz w:val="21"/>
                      <w:szCs w:val="21"/>
                    </w:rPr>
                  </w:pPr>
                </w:p>
              </w:tc>
              <w:tc>
                <w:tcPr>
                  <w:tcW w:w="316" w:type="pct"/>
                  <w:vMerge w:val="continue"/>
                  <w:tcBorders>
                    <w:left w:val="single" w:color="auto" w:sz="4" w:space="0"/>
                    <w:right w:val="single" w:color="auto" w:sz="4" w:space="0"/>
                  </w:tcBorders>
                  <w:vAlign w:val="center"/>
                </w:tcPr>
                <w:p w14:paraId="758535E9">
                  <w:pPr>
                    <w:pStyle w:val="18"/>
                    <w:spacing w:line="240" w:lineRule="auto"/>
                    <w:jc w:val="center"/>
                    <w:rPr>
                      <w:rFonts w:hint="default" w:ascii="Times New Roman" w:hAnsi="Times New Roman" w:cs="Times New Roman"/>
                      <w:color w:val="0000FF"/>
                      <w:sz w:val="21"/>
                      <w:szCs w:val="21"/>
                    </w:rPr>
                  </w:pPr>
                </w:p>
              </w:tc>
              <w:tc>
                <w:tcPr>
                  <w:tcW w:w="622" w:type="pct"/>
                  <w:vMerge w:val="continue"/>
                  <w:tcBorders>
                    <w:top w:val="single" w:color="auto" w:sz="4" w:space="0"/>
                    <w:left w:val="single" w:color="auto" w:sz="4" w:space="0"/>
                    <w:bottom w:val="single" w:color="auto" w:sz="4" w:space="0"/>
                    <w:right w:val="single" w:color="auto" w:sz="4" w:space="0"/>
                  </w:tcBorders>
                  <w:vAlign w:val="center"/>
                </w:tcPr>
                <w:p w14:paraId="497B5A77">
                  <w:pPr>
                    <w:pStyle w:val="18"/>
                    <w:spacing w:line="240" w:lineRule="auto"/>
                    <w:jc w:val="center"/>
                    <w:rPr>
                      <w:rFonts w:hint="default" w:ascii="Times New Roman" w:hAnsi="Times New Roman" w:cs="Times New Roman"/>
                      <w:color w:val="0000FF"/>
                      <w:sz w:val="21"/>
                      <w:szCs w:val="21"/>
                    </w:rPr>
                  </w:pPr>
                </w:p>
              </w:tc>
              <w:tc>
                <w:tcPr>
                  <w:tcW w:w="563" w:type="pct"/>
                  <w:vMerge w:val="continue"/>
                  <w:tcBorders>
                    <w:top w:val="single" w:color="auto" w:sz="4" w:space="0"/>
                    <w:left w:val="single" w:color="auto" w:sz="4" w:space="0"/>
                    <w:bottom w:val="single" w:color="auto" w:sz="4" w:space="0"/>
                    <w:right w:val="single" w:color="auto" w:sz="4" w:space="0"/>
                  </w:tcBorders>
                  <w:vAlign w:val="center"/>
                </w:tcPr>
                <w:p w14:paraId="698D2E6B">
                  <w:pPr>
                    <w:pStyle w:val="18"/>
                    <w:spacing w:line="240" w:lineRule="auto"/>
                    <w:jc w:val="center"/>
                    <w:rPr>
                      <w:rFonts w:hint="default" w:ascii="Times New Roman" w:hAnsi="Times New Roman" w:cs="Times New Roman"/>
                      <w:color w:val="0000FF"/>
                      <w:sz w:val="21"/>
                      <w:szCs w:val="21"/>
                    </w:rPr>
                  </w:pPr>
                </w:p>
              </w:tc>
              <w:tc>
                <w:tcPr>
                  <w:tcW w:w="413" w:type="pct"/>
                  <w:vMerge w:val="continue"/>
                  <w:tcBorders>
                    <w:left w:val="single" w:color="auto" w:sz="4" w:space="0"/>
                    <w:right w:val="single" w:color="auto" w:sz="4" w:space="0"/>
                  </w:tcBorders>
                  <w:vAlign w:val="center"/>
                </w:tcPr>
                <w:p w14:paraId="5BD7C3AD">
                  <w:pPr>
                    <w:pStyle w:val="18"/>
                    <w:spacing w:line="240" w:lineRule="auto"/>
                    <w:jc w:val="center"/>
                    <w:rPr>
                      <w:rFonts w:hint="default" w:ascii="Times New Roman" w:hAnsi="Times New Roman" w:cs="Times New Roman"/>
                      <w:color w:val="0000FF"/>
                      <w:sz w:val="21"/>
                      <w:szCs w:val="21"/>
                    </w:rPr>
                  </w:pPr>
                </w:p>
              </w:tc>
              <w:tc>
                <w:tcPr>
                  <w:tcW w:w="297" w:type="pct"/>
                  <w:vMerge w:val="continue"/>
                  <w:tcBorders>
                    <w:left w:val="single" w:color="auto" w:sz="4" w:space="0"/>
                    <w:right w:val="single" w:color="auto" w:sz="4" w:space="0"/>
                  </w:tcBorders>
                  <w:vAlign w:val="center"/>
                </w:tcPr>
                <w:p w14:paraId="437D311F">
                  <w:pPr>
                    <w:pStyle w:val="18"/>
                    <w:spacing w:line="240" w:lineRule="auto"/>
                    <w:jc w:val="center"/>
                    <w:rPr>
                      <w:rFonts w:hint="default" w:ascii="Times New Roman" w:hAnsi="Times New Roman" w:cs="Times New Roman"/>
                      <w:color w:val="0000FF"/>
                      <w:sz w:val="21"/>
                      <w:szCs w:val="21"/>
                    </w:rPr>
                  </w:pPr>
                </w:p>
              </w:tc>
              <w:tc>
                <w:tcPr>
                  <w:tcW w:w="297" w:type="pct"/>
                  <w:vMerge w:val="continue"/>
                  <w:tcBorders>
                    <w:left w:val="single" w:color="auto" w:sz="4" w:space="0"/>
                    <w:right w:val="single" w:color="auto" w:sz="4" w:space="0"/>
                  </w:tcBorders>
                  <w:vAlign w:val="center"/>
                </w:tcPr>
                <w:p w14:paraId="1007B8D6">
                  <w:pPr>
                    <w:pStyle w:val="18"/>
                    <w:spacing w:line="240" w:lineRule="auto"/>
                    <w:jc w:val="center"/>
                    <w:rPr>
                      <w:rFonts w:hint="default" w:ascii="Times New Roman" w:hAnsi="Times New Roman" w:cs="Times New Roman"/>
                      <w:color w:val="0000FF"/>
                      <w:sz w:val="21"/>
                      <w:szCs w:val="21"/>
                    </w:rPr>
                  </w:pPr>
                </w:p>
              </w:tc>
              <w:tc>
                <w:tcPr>
                  <w:tcW w:w="413" w:type="pct"/>
                  <w:vMerge w:val="continue"/>
                  <w:tcBorders>
                    <w:top w:val="single" w:color="auto" w:sz="4" w:space="0"/>
                    <w:left w:val="single" w:color="auto" w:sz="4" w:space="0"/>
                    <w:bottom w:val="single" w:color="auto" w:sz="4" w:space="0"/>
                    <w:right w:val="single" w:color="auto" w:sz="4" w:space="0"/>
                  </w:tcBorders>
                  <w:vAlign w:val="center"/>
                </w:tcPr>
                <w:p w14:paraId="009A4907">
                  <w:pPr>
                    <w:pStyle w:val="18"/>
                    <w:spacing w:line="240" w:lineRule="auto"/>
                    <w:jc w:val="center"/>
                    <w:rPr>
                      <w:rFonts w:hint="default" w:ascii="Times New Roman" w:hAnsi="Times New Roman" w:cs="Times New Roman"/>
                      <w:color w:val="0000FF"/>
                      <w:sz w:val="21"/>
                      <w:szCs w:val="21"/>
                    </w:rPr>
                  </w:pPr>
                </w:p>
              </w:tc>
              <w:tc>
                <w:tcPr>
                  <w:tcW w:w="496" w:type="pct"/>
                  <w:tcBorders>
                    <w:top w:val="single" w:color="auto" w:sz="4" w:space="0"/>
                    <w:left w:val="single" w:color="auto" w:sz="4" w:space="0"/>
                    <w:bottom w:val="single" w:color="auto" w:sz="4" w:space="0"/>
                    <w:right w:val="single" w:color="auto" w:sz="4" w:space="0"/>
                  </w:tcBorders>
                  <w:vAlign w:val="center"/>
                </w:tcPr>
                <w:p w14:paraId="3CEFE605">
                  <w:pPr>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SS</w:t>
                  </w:r>
                </w:p>
              </w:tc>
              <w:tc>
                <w:tcPr>
                  <w:tcW w:w="485" w:type="pct"/>
                  <w:tcBorders>
                    <w:top w:val="single" w:color="auto" w:sz="4" w:space="0"/>
                    <w:left w:val="single" w:color="auto" w:sz="4" w:space="0"/>
                    <w:bottom w:val="single" w:color="auto" w:sz="4" w:space="0"/>
                    <w:right w:val="single" w:color="auto" w:sz="4" w:space="0"/>
                  </w:tcBorders>
                  <w:vAlign w:val="center"/>
                </w:tcPr>
                <w:p w14:paraId="010F9B59">
                  <w:pPr>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pacing w:val="2"/>
                    </w:rPr>
                    <w:t>400</w:t>
                  </w:r>
                </w:p>
              </w:tc>
              <w:tc>
                <w:tcPr>
                  <w:tcW w:w="562" w:type="pct"/>
                  <w:tcBorders>
                    <w:top w:val="single" w:color="auto" w:sz="4" w:space="0"/>
                    <w:left w:val="single" w:color="auto" w:sz="4" w:space="0"/>
                    <w:bottom w:val="single" w:color="auto" w:sz="4" w:space="0"/>
                    <w:right w:val="single" w:color="auto" w:sz="4" w:space="0"/>
                  </w:tcBorders>
                  <w:vAlign w:val="center"/>
                </w:tcPr>
                <w:p w14:paraId="61458C01">
                  <w:pPr>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10</w:t>
                  </w:r>
                </w:p>
              </w:tc>
            </w:tr>
            <w:tr w14:paraId="3CB2B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0" w:type="pct"/>
                  <w:vMerge w:val="continue"/>
                  <w:tcBorders>
                    <w:top w:val="single" w:color="auto" w:sz="4" w:space="0"/>
                    <w:left w:val="single" w:color="auto" w:sz="4" w:space="0"/>
                    <w:bottom w:val="single" w:color="auto" w:sz="4" w:space="0"/>
                    <w:right w:val="single" w:color="auto" w:sz="4" w:space="0"/>
                  </w:tcBorders>
                  <w:vAlign w:val="center"/>
                </w:tcPr>
                <w:p w14:paraId="7690D9C1">
                  <w:pPr>
                    <w:pStyle w:val="18"/>
                    <w:spacing w:line="240" w:lineRule="auto"/>
                    <w:jc w:val="center"/>
                    <w:rPr>
                      <w:rFonts w:hint="default" w:ascii="Times New Roman" w:hAnsi="Times New Roman" w:cs="Times New Roman"/>
                      <w:color w:val="0000FF"/>
                      <w:sz w:val="21"/>
                      <w:szCs w:val="21"/>
                    </w:rPr>
                  </w:pPr>
                </w:p>
              </w:tc>
              <w:tc>
                <w:tcPr>
                  <w:tcW w:w="316" w:type="pct"/>
                  <w:vMerge w:val="continue"/>
                  <w:tcBorders>
                    <w:left w:val="single" w:color="auto" w:sz="4" w:space="0"/>
                    <w:right w:val="single" w:color="auto" w:sz="4" w:space="0"/>
                  </w:tcBorders>
                  <w:vAlign w:val="center"/>
                </w:tcPr>
                <w:p w14:paraId="298EBEE0">
                  <w:pPr>
                    <w:pStyle w:val="18"/>
                    <w:spacing w:line="240" w:lineRule="auto"/>
                    <w:jc w:val="center"/>
                    <w:rPr>
                      <w:rFonts w:hint="default" w:ascii="Times New Roman" w:hAnsi="Times New Roman" w:cs="Times New Roman"/>
                      <w:color w:val="0000FF"/>
                      <w:sz w:val="21"/>
                      <w:szCs w:val="21"/>
                    </w:rPr>
                  </w:pPr>
                </w:p>
              </w:tc>
              <w:tc>
                <w:tcPr>
                  <w:tcW w:w="622" w:type="pct"/>
                  <w:vMerge w:val="continue"/>
                  <w:tcBorders>
                    <w:top w:val="single" w:color="auto" w:sz="4" w:space="0"/>
                    <w:left w:val="single" w:color="auto" w:sz="4" w:space="0"/>
                    <w:bottom w:val="single" w:color="auto" w:sz="4" w:space="0"/>
                    <w:right w:val="single" w:color="auto" w:sz="4" w:space="0"/>
                  </w:tcBorders>
                  <w:vAlign w:val="center"/>
                </w:tcPr>
                <w:p w14:paraId="075F7B53">
                  <w:pPr>
                    <w:pStyle w:val="18"/>
                    <w:spacing w:line="240" w:lineRule="auto"/>
                    <w:jc w:val="center"/>
                    <w:rPr>
                      <w:rFonts w:hint="default" w:ascii="Times New Roman" w:hAnsi="Times New Roman" w:cs="Times New Roman"/>
                      <w:color w:val="0000FF"/>
                      <w:sz w:val="21"/>
                      <w:szCs w:val="21"/>
                    </w:rPr>
                  </w:pPr>
                </w:p>
              </w:tc>
              <w:tc>
                <w:tcPr>
                  <w:tcW w:w="563" w:type="pct"/>
                  <w:vMerge w:val="continue"/>
                  <w:tcBorders>
                    <w:top w:val="single" w:color="auto" w:sz="4" w:space="0"/>
                    <w:left w:val="single" w:color="auto" w:sz="4" w:space="0"/>
                    <w:bottom w:val="single" w:color="auto" w:sz="4" w:space="0"/>
                    <w:right w:val="single" w:color="auto" w:sz="4" w:space="0"/>
                  </w:tcBorders>
                  <w:vAlign w:val="center"/>
                </w:tcPr>
                <w:p w14:paraId="72EFFB4D">
                  <w:pPr>
                    <w:pStyle w:val="18"/>
                    <w:spacing w:line="240" w:lineRule="auto"/>
                    <w:jc w:val="center"/>
                    <w:rPr>
                      <w:rFonts w:hint="default" w:ascii="Times New Roman" w:hAnsi="Times New Roman" w:cs="Times New Roman"/>
                      <w:color w:val="0000FF"/>
                      <w:sz w:val="21"/>
                      <w:szCs w:val="21"/>
                    </w:rPr>
                  </w:pPr>
                </w:p>
              </w:tc>
              <w:tc>
                <w:tcPr>
                  <w:tcW w:w="413" w:type="pct"/>
                  <w:vMerge w:val="continue"/>
                  <w:tcBorders>
                    <w:left w:val="single" w:color="auto" w:sz="4" w:space="0"/>
                    <w:right w:val="single" w:color="auto" w:sz="4" w:space="0"/>
                  </w:tcBorders>
                  <w:vAlign w:val="center"/>
                </w:tcPr>
                <w:p w14:paraId="7F01347C">
                  <w:pPr>
                    <w:pStyle w:val="18"/>
                    <w:spacing w:line="240" w:lineRule="auto"/>
                    <w:jc w:val="center"/>
                    <w:rPr>
                      <w:rFonts w:hint="default" w:ascii="Times New Roman" w:hAnsi="Times New Roman" w:cs="Times New Roman"/>
                      <w:color w:val="0000FF"/>
                      <w:sz w:val="21"/>
                      <w:szCs w:val="21"/>
                    </w:rPr>
                  </w:pPr>
                </w:p>
              </w:tc>
              <w:tc>
                <w:tcPr>
                  <w:tcW w:w="297" w:type="pct"/>
                  <w:vMerge w:val="continue"/>
                  <w:tcBorders>
                    <w:left w:val="single" w:color="auto" w:sz="4" w:space="0"/>
                    <w:right w:val="single" w:color="auto" w:sz="4" w:space="0"/>
                  </w:tcBorders>
                  <w:vAlign w:val="center"/>
                </w:tcPr>
                <w:p w14:paraId="72BE8637">
                  <w:pPr>
                    <w:pStyle w:val="18"/>
                    <w:spacing w:line="240" w:lineRule="auto"/>
                    <w:jc w:val="center"/>
                    <w:rPr>
                      <w:rFonts w:hint="default" w:ascii="Times New Roman" w:hAnsi="Times New Roman" w:cs="Times New Roman"/>
                      <w:color w:val="0000FF"/>
                      <w:sz w:val="21"/>
                      <w:szCs w:val="21"/>
                    </w:rPr>
                  </w:pPr>
                </w:p>
              </w:tc>
              <w:tc>
                <w:tcPr>
                  <w:tcW w:w="297" w:type="pct"/>
                  <w:vMerge w:val="continue"/>
                  <w:tcBorders>
                    <w:left w:val="single" w:color="auto" w:sz="4" w:space="0"/>
                    <w:right w:val="single" w:color="auto" w:sz="4" w:space="0"/>
                  </w:tcBorders>
                  <w:vAlign w:val="center"/>
                </w:tcPr>
                <w:p w14:paraId="48CCE95B">
                  <w:pPr>
                    <w:pStyle w:val="18"/>
                    <w:spacing w:line="240" w:lineRule="auto"/>
                    <w:jc w:val="center"/>
                    <w:rPr>
                      <w:rFonts w:hint="default" w:ascii="Times New Roman" w:hAnsi="Times New Roman" w:cs="Times New Roman"/>
                      <w:color w:val="0000FF"/>
                      <w:sz w:val="21"/>
                      <w:szCs w:val="21"/>
                    </w:rPr>
                  </w:pPr>
                </w:p>
              </w:tc>
              <w:tc>
                <w:tcPr>
                  <w:tcW w:w="413" w:type="pct"/>
                  <w:vMerge w:val="continue"/>
                  <w:tcBorders>
                    <w:top w:val="single" w:color="auto" w:sz="4" w:space="0"/>
                    <w:left w:val="single" w:color="auto" w:sz="4" w:space="0"/>
                    <w:bottom w:val="single" w:color="auto" w:sz="4" w:space="0"/>
                    <w:right w:val="single" w:color="auto" w:sz="4" w:space="0"/>
                  </w:tcBorders>
                  <w:vAlign w:val="center"/>
                </w:tcPr>
                <w:p w14:paraId="741B8380">
                  <w:pPr>
                    <w:pStyle w:val="18"/>
                    <w:spacing w:line="240" w:lineRule="auto"/>
                    <w:jc w:val="center"/>
                    <w:rPr>
                      <w:rFonts w:hint="default" w:ascii="Times New Roman" w:hAnsi="Times New Roman" w:cs="Times New Roman"/>
                      <w:color w:val="0000FF"/>
                      <w:sz w:val="21"/>
                      <w:szCs w:val="21"/>
                    </w:rPr>
                  </w:pPr>
                </w:p>
              </w:tc>
              <w:tc>
                <w:tcPr>
                  <w:tcW w:w="496" w:type="pct"/>
                  <w:tcBorders>
                    <w:top w:val="single" w:color="auto" w:sz="4" w:space="0"/>
                    <w:left w:val="single" w:color="auto" w:sz="4" w:space="0"/>
                    <w:bottom w:val="single" w:color="auto" w:sz="4" w:space="0"/>
                    <w:right w:val="single" w:color="auto" w:sz="4" w:space="0"/>
                  </w:tcBorders>
                  <w:vAlign w:val="center"/>
                </w:tcPr>
                <w:p w14:paraId="5C2BEA32">
                  <w:pPr>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NH</w:t>
                  </w:r>
                  <w:r>
                    <w:rPr>
                      <w:rFonts w:hint="default" w:ascii="Times New Roman" w:hAnsi="Times New Roman" w:cs="Times New Roman"/>
                      <w:color w:val="0000FF"/>
                      <w:sz w:val="21"/>
                      <w:szCs w:val="21"/>
                      <w:vertAlign w:val="subscript"/>
                    </w:rPr>
                    <w:t>3</w:t>
                  </w:r>
                  <w:r>
                    <w:rPr>
                      <w:rFonts w:hint="default" w:ascii="Times New Roman" w:hAnsi="Times New Roman" w:cs="Times New Roman"/>
                      <w:color w:val="0000FF"/>
                      <w:sz w:val="21"/>
                      <w:szCs w:val="21"/>
                    </w:rPr>
                    <w:t>-N</w:t>
                  </w:r>
                </w:p>
              </w:tc>
              <w:tc>
                <w:tcPr>
                  <w:tcW w:w="485" w:type="pct"/>
                  <w:tcBorders>
                    <w:top w:val="single" w:color="auto" w:sz="4" w:space="0"/>
                    <w:left w:val="single" w:color="auto" w:sz="4" w:space="0"/>
                    <w:bottom w:val="single" w:color="auto" w:sz="4" w:space="0"/>
                    <w:right w:val="single" w:color="auto" w:sz="4" w:space="0"/>
                  </w:tcBorders>
                  <w:vAlign w:val="center"/>
                </w:tcPr>
                <w:p w14:paraId="1EC6BD9D">
                  <w:pPr>
                    <w:spacing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cs="Times New Roman"/>
                      <w:color w:val="0000FF"/>
                      <w:sz w:val="21"/>
                      <w:szCs w:val="21"/>
                      <w:lang w:val="en-US" w:eastAsia="zh-CN"/>
                    </w:rPr>
                    <w:t>-</w:t>
                  </w:r>
                </w:p>
              </w:tc>
              <w:tc>
                <w:tcPr>
                  <w:tcW w:w="562" w:type="pct"/>
                  <w:tcBorders>
                    <w:top w:val="single" w:color="auto" w:sz="4" w:space="0"/>
                    <w:left w:val="single" w:color="auto" w:sz="4" w:space="0"/>
                    <w:bottom w:val="single" w:color="auto" w:sz="4" w:space="0"/>
                    <w:right w:val="single" w:color="auto" w:sz="4" w:space="0"/>
                  </w:tcBorders>
                  <w:vAlign w:val="center"/>
                </w:tcPr>
                <w:p w14:paraId="221A08D0">
                  <w:pPr>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5</w:t>
                  </w:r>
                </w:p>
              </w:tc>
            </w:tr>
            <w:tr w14:paraId="62CAB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30" w:type="pct"/>
                  <w:vMerge w:val="continue"/>
                  <w:tcBorders>
                    <w:top w:val="single" w:color="auto" w:sz="4" w:space="0"/>
                    <w:left w:val="single" w:color="auto" w:sz="4" w:space="0"/>
                    <w:bottom w:val="single" w:color="auto" w:sz="4" w:space="0"/>
                    <w:right w:val="single" w:color="auto" w:sz="4" w:space="0"/>
                  </w:tcBorders>
                  <w:vAlign w:val="center"/>
                </w:tcPr>
                <w:p w14:paraId="5C86C591">
                  <w:pPr>
                    <w:pStyle w:val="18"/>
                    <w:spacing w:line="240" w:lineRule="auto"/>
                    <w:jc w:val="center"/>
                    <w:rPr>
                      <w:rFonts w:hint="default" w:ascii="Times New Roman" w:hAnsi="Times New Roman" w:cs="Times New Roman"/>
                      <w:color w:val="0000FF"/>
                      <w:sz w:val="21"/>
                      <w:szCs w:val="21"/>
                    </w:rPr>
                  </w:pPr>
                </w:p>
              </w:tc>
              <w:tc>
                <w:tcPr>
                  <w:tcW w:w="316" w:type="pct"/>
                  <w:vMerge w:val="continue"/>
                  <w:tcBorders>
                    <w:left w:val="single" w:color="auto" w:sz="4" w:space="0"/>
                    <w:bottom w:val="single" w:color="auto" w:sz="4" w:space="0"/>
                    <w:right w:val="single" w:color="auto" w:sz="4" w:space="0"/>
                  </w:tcBorders>
                  <w:vAlign w:val="center"/>
                </w:tcPr>
                <w:p w14:paraId="483AC093">
                  <w:pPr>
                    <w:pStyle w:val="18"/>
                    <w:spacing w:line="240" w:lineRule="auto"/>
                    <w:jc w:val="center"/>
                    <w:rPr>
                      <w:rFonts w:hint="default" w:ascii="Times New Roman" w:hAnsi="Times New Roman" w:cs="Times New Roman"/>
                      <w:color w:val="0000FF"/>
                      <w:sz w:val="21"/>
                      <w:szCs w:val="21"/>
                    </w:rPr>
                  </w:pPr>
                </w:p>
              </w:tc>
              <w:tc>
                <w:tcPr>
                  <w:tcW w:w="622" w:type="pct"/>
                  <w:vMerge w:val="continue"/>
                  <w:tcBorders>
                    <w:top w:val="single" w:color="auto" w:sz="4" w:space="0"/>
                    <w:left w:val="single" w:color="auto" w:sz="4" w:space="0"/>
                    <w:bottom w:val="single" w:color="auto" w:sz="4" w:space="0"/>
                    <w:right w:val="single" w:color="auto" w:sz="4" w:space="0"/>
                  </w:tcBorders>
                  <w:vAlign w:val="center"/>
                </w:tcPr>
                <w:p w14:paraId="5D8BC836">
                  <w:pPr>
                    <w:pStyle w:val="18"/>
                    <w:spacing w:line="240" w:lineRule="auto"/>
                    <w:jc w:val="center"/>
                    <w:rPr>
                      <w:rFonts w:hint="default" w:ascii="Times New Roman" w:hAnsi="Times New Roman" w:cs="Times New Roman"/>
                      <w:color w:val="0000FF"/>
                      <w:sz w:val="21"/>
                      <w:szCs w:val="21"/>
                    </w:rPr>
                  </w:pPr>
                </w:p>
              </w:tc>
              <w:tc>
                <w:tcPr>
                  <w:tcW w:w="563" w:type="pct"/>
                  <w:vMerge w:val="continue"/>
                  <w:tcBorders>
                    <w:top w:val="single" w:color="auto" w:sz="4" w:space="0"/>
                    <w:left w:val="single" w:color="auto" w:sz="4" w:space="0"/>
                    <w:bottom w:val="single" w:color="auto" w:sz="4" w:space="0"/>
                    <w:right w:val="single" w:color="auto" w:sz="4" w:space="0"/>
                  </w:tcBorders>
                  <w:vAlign w:val="center"/>
                </w:tcPr>
                <w:p w14:paraId="32DDEF41">
                  <w:pPr>
                    <w:pStyle w:val="18"/>
                    <w:spacing w:line="240" w:lineRule="auto"/>
                    <w:jc w:val="center"/>
                    <w:rPr>
                      <w:rFonts w:hint="default" w:ascii="Times New Roman" w:hAnsi="Times New Roman" w:cs="Times New Roman"/>
                      <w:color w:val="0000FF"/>
                      <w:sz w:val="21"/>
                      <w:szCs w:val="21"/>
                    </w:rPr>
                  </w:pPr>
                </w:p>
              </w:tc>
              <w:tc>
                <w:tcPr>
                  <w:tcW w:w="413" w:type="pct"/>
                  <w:vMerge w:val="continue"/>
                  <w:tcBorders>
                    <w:left w:val="single" w:color="auto" w:sz="4" w:space="0"/>
                    <w:bottom w:val="single" w:color="auto" w:sz="4" w:space="0"/>
                    <w:right w:val="single" w:color="auto" w:sz="4" w:space="0"/>
                  </w:tcBorders>
                  <w:vAlign w:val="center"/>
                </w:tcPr>
                <w:p w14:paraId="55E793B3">
                  <w:pPr>
                    <w:pStyle w:val="18"/>
                    <w:spacing w:line="240" w:lineRule="auto"/>
                    <w:jc w:val="center"/>
                    <w:rPr>
                      <w:rFonts w:hint="default" w:ascii="Times New Roman" w:hAnsi="Times New Roman" w:cs="Times New Roman"/>
                      <w:color w:val="0000FF"/>
                      <w:sz w:val="21"/>
                      <w:szCs w:val="21"/>
                    </w:rPr>
                  </w:pPr>
                </w:p>
              </w:tc>
              <w:tc>
                <w:tcPr>
                  <w:tcW w:w="297" w:type="pct"/>
                  <w:vMerge w:val="continue"/>
                  <w:tcBorders>
                    <w:left w:val="single" w:color="auto" w:sz="4" w:space="0"/>
                    <w:bottom w:val="single" w:color="auto" w:sz="4" w:space="0"/>
                    <w:right w:val="single" w:color="auto" w:sz="4" w:space="0"/>
                  </w:tcBorders>
                  <w:vAlign w:val="center"/>
                </w:tcPr>
                <w:p w14:paraId="4F4315BA">
                  <w:pPr>
                    <w:pStyle w:val="18"/>
                    <w:spacing w:line="240" w:lineRule="auto"/>
                    <w:jc w:val="center"/>
                    <w:rPr>
                      <w:rFonts w:hint="default" w:ascii="Times New Roman" w:hAnsi="Times New Roman" w:cs="Times New Roman"/>
                      <w:color w:val="0000FF"/>
                      <w:sz w:val="21"/>
                      <w:szCs w:val="21"/>
                    </w:rPr>
                  </w:pPr>
                </w:p>
              </w:tc>
              <w:tc>
                <w:tcPr>
                  <w:tcW w:w="297" w:type="pct"/>
                  <w:vMerge w:val="continue"/>
                  <w:tcBorders>
                    <w:left w:val="single" w:color="auto" w:sz="4" w:space="0"/>
                    <w:bottom w:val="single" w:color="auto" w:sz="4" w:space="0"/>
                    <w:right w:val="single" w:color="auto" w:sz="4" w:space="0"/>
                  </w:tcBorders>
                  <w:vAlign w:val="center"/>
                </w:tcPr>
                <w:p w14:paraId="31B25823">
                  <w:pPr>
                    <w:pStyle w:val="18"/>
                    <w:spacing w:line="240" w:lineRule="auto"/>
                    <w:jc w:val="center"/>
                    <w:rPr>
                      <w:rFonts w:hint="default" w:ascii="Times New Roman" w:hAnsi="Times New Roman" w:cs="Times New Roman"/>
                      <w:color w:val="0000FF"/>
                      <w:sz w:val="21"/>
                      <w:szCs w:val="21"/>
                    </w:rPr>
                  </w:pPr>
                </w:p>
              </w:tc>
              <w:tc>
                <w:tcPr>
                  <w:tcW w:w="413" w:type="pct"/>
                  <w:vMerge w:val="continue"/>
                  <w:tcBorders>
                    <w:top w:val="single" w:color="auto" w:sz="4" w:space="0"/>
                    <w:left w:val="single" w:color="auto" w:sz="4" w:space="0"/>
                    <w:bottom w:val="single" w:color="auto" w:sz="4" w:space="0"/>
                    <w:right w:val="single" w:color="auto" w:sz="4" w:space="0"/>
                  </w:tcBorders>
                  <w:vAlign w:val="center"/>
                </w:tcPr>
                <w:p w14:paraId="46872D53">
                  <w:pPr>
                    <w:pStyle w:val="18"/>
                    <w:spacing w:line="240" w:lineRule="auto"/>
                    <w:jc w:val="center"/>
                    <w:rPr>
                      <w:rFonts w:hint="default" w:ascii="Times New Roman" w:hAnsi="Times New Roman" w:cs="Times New Roman"/>
                      <w:color w:val="0000FF"/>
                      <w:sz w:val="21"/>
                      <w:szCs w:val="21"/>
                    </w:rPr>
                  </w:pPr>
                </w:p>
              </w:tc>
              <w:tc>
                <w:tcPr>
                  <w:tcW w:w="496" w:type="pct"/>
                  <w:tcBorders>
                    <w:top w:val="single" w:color="auto" w:sz="4" w:space="0"/>
                    <w:left w:val="single" w:color="auto" w:sz="4" w:space="0"/>
                    <w:bottom w:val="single" w:color="auto" w:sz="4" w:space="0"/>
                    <w:right w:val="single" w:color="auto" w:sz="4" w:space="0"/>
                  </w:tcBorders>
                  <w:vAlign w:val="center"/>
                </w:tcPr>
                <w:p w14:paraId="50A1058B">
                  <w:pPr>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BOD</w:t>
                  </w:r>
                  <w:r>
                    <w:rPr>
                      <w:rFonts w:hint="default" w:ascii="Times New Roman" w:hAnsi="Times New Roman" w:cs="Times New Roman"/>
                      <w:color w:val="0000FF"/>
                      <w:sz w:val="21"/>
                      <w:szCs w:val="21"/>
                      <w:vertAlign w:val="subscript"/>
                    </w:rPr>
                    <w:t>5</w:t>
                  </w:r>
                </w:p>
              </w:tc>
              <w:tc>
                <w:tcPr>
                  <w:tcW w:w="485" w:type="pct"/>
                  <w:tcBorders>
                    <w:top w:val="single" w:color="auto" w:sz="4" w:space="0"/>
                    <w:left w:val="single" w:color="auto" w:sz="4" w:space="0"/>
                    <w:bottom w:val="single" w:color="auto" w:sz="4" w:space="0"/>
                    <w:right w:val="single" w:color="auto" w:sz="4" w:space="0"/>
                  </w:tcBorders>
                  <w:vAlign w:val="center"/>
                </w:tcPr>
                <w:p w14:paraId="5CB80981">
                  <w:pPr>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pacing w:val="2"/>
                    </w:rPr>
                    <w:t>300</w:t>
                  </w:r>
                </w:p>
              </w:tc>
              <w:tc>
                <w:tcPr>
                  <w:tcW w:w="562" w:type="pct"/>
                  <w:tcBorders>
                    <w:top w:val="single" w:color="auto" w:sz="4" w:space="0"/>
                    <w:left w:val="single" w:color="auto" w:sz="4" w:space="0"/>
                    <w:bottom w:val="single" w:color="auto" w:sz="4" w:space="0"/>
                    <w:right w:val="single" w:color="auto" w:sz="4" w:space="0"/>
                  </w:tcBorders>
                  <w:vAlign w:val="center"/>
                </w:tcPr>
                <w:p w14:paraId="41D179A5">
                  <w:pPr>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10</w:t>
                  </w:r>
                </w:p>
              </w:tc>
            </w:tr>
            <w:tr w14:paraId="4C357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30" w:type="pct"/>
                  <w:vMerge w:val="continue"/>
                  <w:tcBorders>
                    <w:left w:val="single" w:color="auto" w:sz="4" w:space="0"/>
                    <w:bottom w:val="single" w:color="auto" w:sz="4" w:space="0"/>
                    <w:right w:val="single" w:color="auto" w:sz="4" w:space="0"/>
                  </w:tcBorders>
                  <w:vAlign w:val="center"/>
                </w:tcPr>
                <w:p w14:paraId="16E07A90">
                  <w:pPr>
                    <w:spacing w:line="240" w:lineRule="auto"/>
                    <w:jc w:val="center"/>
                    <w:rPr>
                      <w:rFonts w:hint="default" w:ascii="Times New Roman" w:hAnsi="Times New Roman" w:cs="Times New Roman"/>
                      <w:color w:val="0000FF"/>
                    </w:rPr>
                  </w:pPr>
                </w:p>
              </w:tc>
              <w:tc>
                <w:tcPr>
                  <w:tcW w:w="316" w:type="pct"/>
                  <w:vMerge w:val="continue"/>
                  <w:tcBorders>
                    <w:left w:val="single" w:color="auto" w:sz="4" w:space="0"/>
                    <w:bottom w:val="single" w:color="auto" w:sz="4" w:space="0"/>
                    <w:right w:val="single" w:color="auto" w:sz="4" w:space="0"/>
                  </w:tcBorders>
                  <w:vAlign w:val="center"/>
                </w:tcPr>
                <w:p w14:paraId="1FE33DF2">
                  <w:pPr>
                    <w:spacing w:line="240" w:lineRule="auto"/>
                    <w:jc w:val="center"/>
                    <w:rPr>
                      <w:rFonts w:hint="default" w:ascii="Times New Roman" w:hAnsi="Times New Roman" w:cs="Times New Roman"/>
                      <w:color w:val="0000FF"/>
                    </w:rPr>
                  </w:pPr>
                </w:p>
              </w:tc>
              <w:tc>
                <w:tcPr>
                  <w:tcW w:w="622" w:type="pct"/>
                  <w:vMerge w:val="continue"/>
                  <w:tcBorders>
                    <w:left w:val="single" w:color="auto" w:sz="4" w:space="0"/>
                    <w:bottom w:val="single" w:color="auto" w:sz="4" w:space="0"/>
                    <w:right w:val="single" w:color="auto" w:sz="4" w:space="0"/>
                  </w:tcBorders>
                  <w:vAlign w:val="center"/>
                </w:tcPr>
                <w:p w14:paraId="51EF65DD">
                  <w:pPr>
                    <w:spacing w:line="240" w:lineRule="auto"/>
                    <w:jc w:val="center"/>
                    <w:rPr>
                      <w:rFonts w:hint="default" w:ascii="Times New Roman" w:hAnsi="Times New Roman" w:cs="Times New Roman"/>
                      <w:color w:val="0000FF"/>
                    </w:rPr>
                  </w:pPr>
                </w:p>
              </w:tc>
              <w:tc>
                <w:tcPr>
                  <w:tcW w:w="563" w:type="pct"/>
                  <w:vMerge w:val="continue"/>
                  <w:tcBorders>
                    <w:left w:val="single" w:color="auto" w:sz="4" w:space="0"/>
                    <w:bottom w:val="single" w:color="auto" w:sz="4" w:space="0"/>
                    <w:right w:val="single" w:color="auto" w:sz="4" w:space="0"/>
                  </w:tcBorders>
                  <w:vAlign w:val="center"/>
                </w:tcPr>
                <w:p w14:paraId="2CAFFAAF">
                  <w:pPr>
                    <w:spacing w:line="240" w:lineRule="auto"/>
                    <w:jc w:val="center"/>
                    <w:rPr>
                      <w:rFonts w:hint="default" w:ascii="Times New Roman" w:hAnsi="Times New Roman" w:cs="Times New Roman"/>
                      <w:color w:val="0000FF"/>
                    </w:rPr>
                  </w:pPr>
                </w:p>
              </w:tc>
              <w:tc>
                <w:tcPr>
                  <w:tcW w:w="413" w:type="pct"/>
                  <w:vMerge w:val="continue"/>
                  <w:tcBorders>
                    <w:left w:val="single" w:color="auto" w:sz="4" w:space="0"/>
                    <w:bottom w:val="single" w:color="auto" w:sz="4" w:space="0"/>
                    <w:right w:val="single" w:color="auto" w:sz="4" w:space="0"/>
                  </w:tcBorders>
                  <w:vAlign w:val="center"/>
                </w:tcPr>
                <w:p w14:paraId="69CAC76F">
                  <w:pPr>
                    <w:spacing w:line="240" w:lineRule="auto"/>
                    <w:jc w:val="center"/>
                    <w:rPr>
                      <w:rFonts w:hint="default" w:ascii="Times New Roman" w:hAnsi="Times New Roman" w:cs="Times New Roman"/>
                      <w:color w:val="0000FF"/>
                    </w:rPr>
                  </w:pPr>
                </w:p>
              </w:tc>
              <w:tc>
                <w:tcPr>
                  <w:tcW w:w="297" w:type="pct"/>
                  <w:vMerge w:val="continue"/>
                  <w:tcBorders>
                    <w:left w:val="single" w:color="auto" w:sz="4" w:space="0"/>
                    <w:bottom w:val="single" w:color="auto" w:sz="4" w:space="0"/>
                    <w:right w:val="single" w:color="auto" w:sz="4" w:space="0"/>
                  </w:tcBorders>
                  <w:vAlign w:val="center"/>
                </w:tcPr>
                <w:p w14:paraId="30F24042">
                  <w:pPr>
                    <w:spacing w:line="240" w:lineRule="auto"/>
                    <w:jc w:val="center"/>
                    <w:rPr>
                      <w:rFonts w:hint="default" w:ascii="Times New Roman" w:hAnsi="Times New Roman" w:cs="Times New Roman"/>
                      <w:color w:val="0000FF"/>
                    </w:rPr>
                  </w:pPr>
                </w:p>
              </w:tc>
              <w:tc>
                <w:tcPr>
                  <w:tcW w:w="297" w:type="pct"/>
                  <w:vMerge w:val="continue"/>
                  <w:tcBorders>
                    <w:left w:val="single" w:color="auto" w:sz="4" w:space="0"/>
                    <w:bottom w:val="single" w:color="auto" w:sz="4" w:space="0"/>
                    <w:right w:val="single" w:color="auto" w:sz="4" w:space="0"/>
                  </w:tcBorders>
                  <w:vAlign w:val="center"/>
                </w:tcPr>
                <w:p w14:paraId="56DF0FA0">
                  <w:pPr>
                    <w:spacing w:line="240" w:lineRule="auto"/>
                    <w:jc w:val="center"/>
                    <w:rPr>
                      <w:rFonts w:hint="default" w:ascii="Times New Roman" w:hAnsi="Times New Roman" w:cs="Times New Roman"/>
                      <w:color w:val="0000FF"/>
                    </w:rPr>
                  </w:pPr>
                </w:p>
              </w:tc>
              <w:tc>
                <w:tcPr>
                  <w:tcW w:w="413" w:type="pct"/>
                  <w:vMerge w:val="continue"/>
                  <w:tcBorders>
                    <w:left w:val="single" w:color="auto" w:sz="4" w:space="0"/>
                    <w:bottom w:val="single" w:color="auto" w:sz="4" w:space="0"/>
                    <w:right w:val="single" w:color="auto" w:sz="4" w:space="0"/>
                  </w:tcBorders>
                  <w:vAlign w:val="center"/>
                </w:tcPr>
                <w:p w14:paraId="4740B15E">
                  <w:pPr>
                    <w:spacing w:line="240" w:lineRule="auto"/>
                    <w:jc w:val="center"/>
                    <w:rPr>
                      <w:rFonts w:hint="default" w:ascii="Times New Roman" w:hAnsi="Times New Roman" w:cs="Times New Roman"/>
                      <w:color w:val="0000FF"/>
                    </w:rPr>
                  </w:pPr>
                </w:p>
              </w:tc>
              <w:tc>
                <w:tcPr>
                  <w:tcW w:w="496" w:type="pct"/>
                  <w:tcBorders>
                    <w:top w:val="single" w:color="auto" w:sz="4" w:space="0"/>
                    <w:left w:val="single" w:color="auto" w:sz="4" w:space="0"/>
                    <w:bottom w:val="single" w:color="auto" w:sz="4" w:space="0"/>
                    <w:right w:val="single" w:color="auto" w:sz="4" w:space="0"/>
                  </w:tcBorders>
                  <w:vAlign w:val="center"/>
                </w:tcPr>
                <w:p w14:paraId="4426C464">
                  <w:pPr>
                    <w:spacing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cs="Times New Roman"/>
                      <w:color w:val="0000FF"/>
                      <w:sz w:val="21"/>
                      <w:szCs w:val="21"/>
                      <w:lang w:val="en-US" w:eastAsia="zh-CN"/>
                    </w:rPr>
                    <w:t>动植物油</w:t>
                  </w:r>
                </w:p>
              </w:tc>
              <w:tc>
                <w:tcPr>
                  <w:tcW w:w="485" w:type="pct"/>
                  <w:tcBorders>
                    <w:top w:val="single" w:color="auto" w:sz="4" w:space="0"/>
                    <w:left w:val="single" w:color="auto" w:sz="4" w:space="0"/>
                    <w:bottom w:val="single" w:color="auto" w:sz="4" w:space="0"/>
                    <w:right w:val="single" w:color="auto" w:sz="4" w:space="0"/>
                  </w:tcBorders>
                  <w:vAlign w:val="center"/>
                </w:tcPr>
                <w:p w14:paraId="4B9A1521">
                  <w:pPr>
                    <w:spacing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cs="Times New Roman"/>
                      <w:color w:val="0000FF"/>
                      <w:sz w:val="21"/>
                      <w:szCs w:val="21"/>
                      <w:lang w:val="en-US" w:eastAsia="zh-CN"/>
                    </w:rPr>
                    <w:t>-</w:t>
                  </w:r>
                </w:p>
              </w:tc>
              <w:tc>
                <w:tcPr>
                  <w:tcW w:w="562" w:type="pct"/>
                  <w:tcBorders>
                    <w:top w:val="single" w:color="auto" w:sz="4" w:space="0"/>
                    <w:left w:val="single" w:color="auto" w:sz="4" w:space="0"/>
                    <w:bottom w:val="single" w:color="auto" w:sz="4" w:space="0"/>
                    <w:right w:val="single" w:color="auto" w:sz="4" w:space="0"/>
                  </w:tcBorders>
                  <w:vAlign w:val="center"/>
                </w:tcPr>
                <w:p w14:paraId="1E116850">
                  <w:pPr>
                    <w:spacing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cs="Times New Roman"/>
                      <w:color w:val="0000FF"/>
                      <w:sz w:val="21"/>
                      <w:szCs w:val="21"/>
                      <w:lang w:val="en-US" w:eastAsia="zh-CN"/>
                    </w:rPr>
                    <w:t>1</w:t>
                  </w:r>
                </w:p>
              </w:tc>
            </w:tr>
          </w:tbl>
          <w:p w14:paraId="4C73937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FF"/>
                <w:sz w:val="24"/>
                <w:szCs w:val="24"/>
                <w:lang w:val="en-US" w:eastAsia="zh-CN"/>
              </w:rPr>
            </w:pPr>
            <w:r>
              <w:rPr>
                <w:rFonts w:hint="default" w:ascii="Times New Roman" w:hAnsi="Times New Roman" w:eastAsia="宋体" w:cs="Times New Roman"/>
                <w:color w:val="0000FF"/>
                <w:sz w:val="24"/>
                <w:szCs w:val="24"/>
                <w:lang w:val="en-US" w:eastAsia="zh-CN"/>
              </w:rPr>
              <w:t>本项目根据《排污许可证申请与核发技术规范 总则（HJ</w:t>
            </w:r>
            <w:r>
              <w:rPr>
                <w:rFonts w:hint="eastAsia" w:ascii="Times New Roman" w:hAnsi="Times New Roman" w:cs="Times New Roman"/>
                <w:color w:val="0000FF"/>
                <w:sz w:val="24"/>
                <w:szCs w:val="24"/>
                <w:lang w:val="en-US" w:eastAsia="zh-CN"/>
              </w:rPr>
              <w:t xml:space="preserve"> </w:t>
            </w:r>
            <w:r>
              <w:rPr>
                <w:rFonts w:hint="default" w:ascii="Times New Roman" w:hAnsi="Times New Roman" w:eastAsia="宋体" w:cs="Times New Roman"/>
                <w:color w:val="0000FF"/>
                <w:sz w:val="24"/>
                <w:szCs w:val="24"/>
                <w:lang w:val="en-US" w:eastAsia="zh-CN"/>
              </w:rPr>
              <w:t>942-2018）》</w:t>
            </w:r>
            <w:r>
              <w:rPr>
                <w:rFonts w:hint="eastAsia" w:ascii="Times New Roman" w:hAnsi="Times New Roman" w:cs="Times New Roman"/>
                <w:color w:val="0000FF"/>
                <w:sz w:val="24"/>
                <w:szCs w:val="24"/>
                <w:lang w:val="en-US" w:eastAsia="zh-CN"/>
              </w:rPr>
              <w:t>、</w:t>
            </w:r>
            <w:r>
              <w:rPr>
                <w:rFonts w:hint="default" w:ascii="Times New Roman" w:hAnsi="Times New Roman" w:eastAsia="宋体" w:cs="Times New Roman"/>
                <w:color w:val="0000FF"/>
                <w:sz w:val="24"/>
                <w:szCs w:val="24"/>
                <w:lang w:val="en-US" w:eastAsia="zh-CN"/>
              </w:rPr>
              <w:t>《</w:t>
            </w:r>
            <w:r>
              <w:rPr>
                <w:rFonts w:hint="default" w:ascii="Times New Roman" w:hAnsi="Times New Roman" w:eastAsia="宋体" w:cs="Times New Roman"/>
                <w:color w:val="0000FF"/>
                <w:sz w:val="24"/>
                <w:szCs w:val="24"/>
              </w:rPr>
              <w:t xml:space="preserve">排污单位自行监测技术指南 </w:t>
            </w:r>
            <w:r>
              <w:rPr>
                <w:rFonts w:hint="eastAsia" w:ascii="Times New Roman" w:hAnsi="Times New Roman" w:cs="Times New Roman"/>
                <w:color w:val="0000FF"/>
                <w:sz w:val="24"/>
                <w:szCs w:val="24"/>
                <w:lang w:val="en-US" w:eastAsia="zh-CN"/>
              </w:rPr>
              <w:t>水泥工业</w:t>
            </w:r>
            <w:r>
              <w:rPr>
                <w:rFonts w:hint="default" w:ascii="Times New Roman" w:hAnsi="Times New Roman" w:eastAsia="宋体" w:cs="Times New Roman"/>
                <w:color w:val="0000FF"/>
                <w:sz w:val="24"/>
                <w:szCs w:val="24"/>
                <w:lang w:val="en-US" w:eastAsia="zh-CN"/>
              </w:rPr>
              <w:t>》（</w:t>
            </w:r>
            <w:r>
              <w:rPr>
                <w:rFonts w:hint="default" w:ascii="Times New Roman" w:hAnsi="Times New Roman" w:eastAsia="宋体" w:cs="Times New Roman"/>
                <w:color w:val="0000FF"/>
                <w:sz w:val="24"/>
                <w:szCs w:val="24"/>
              </w:rPr>
              <w:t>HJ</w:t>
            </w:r>
            <w:r>
              <w:rPr>
                <w:rFonts w:hint="eastAsia" w:ascii="Times New Roman" w:hAnsi="Times New Roman" w:cs="Times New Roman"/>
                <w:color w:val="0000FF"/>
                <w:sz w:val="24"/>
                <w:szCs w:val="24"/>
                <w:lang w:val="en-US" w:eastAsia="zh-CN"/>
              </w:rPr>
              <w:t xml:space="preserve"> 848-2017</w:t>
            </w:r>
            <w:r>
              <w:rPr>
                <w:rFonts w:hint="default" w:ascii="Times New Roman" w:hAnsi="Times New Roman" w:eastAsia="宋体" w:cs="Times New Roman"/>
                <w:color w:val="0000FF"/>
                <w:sz w:val="24"/>
                <w:szCs w:val="24"/>
                <w:lang w:val="en-US" w:eastAsia="zh-CN"/>
              </w:rPr>
              <w:t>）</w:t>
            </w:r>
            <w:r>
              <w:rPr>
                <w:rFonts w:hint="eastAsia" w:ascii="Times New Roman" w:hAnsi="Times New Roman" w:cs="Times New Roman"/>
                <w:color w:val="0000FF"/>
                <w:sz w:val="24"/>
                <w:szCs w:val="24"/>
                <w:lang w:val="en-US" w:eastAsia="zh-CN"/>
              </w:rPr>
              <w:t>中相关</w:t>
            </w:r>
            <w:r>
              <w:rPr>
                <w:rFonts w:hint="default" w:ascii="Times New Roman" w:hAnsi="Times New Roman" w:eastAsia="宋体" w:cs="Times New Roman"/>
                <w:color w:val="0000FF"/>
                <w:sz w:val="24"/>
                <w:szCs w:val="24"/>
              </w:rPr>
              <w:t>要求，</w:t>
            </w:r>
            <w:r>
              <w:rPr>
                <w:rFonts w:hint="eastAsia" w:ascii="Times New Roman" w:hAnsi="Times New Roman" w:cs="Times New Roman"/>
                <w:color w:val="0000FF"/>
                <w:sz w:val="24"/>
                <w:szCs w:val="24"/>
                <w:lang w:eastAsia="zh-CN"/>
              </w:rPr>
              <w:t>制定本项目</w:t>
            </w:r>
            <w:r>
              <w:rPr>
                <w:rFonts w:hint="eastAsia" w:ascii="Times New Roman" w:hAnsi="Times New Roman" w:cs="Times New Roman"/>
                <w:color w:val="0000FF"/>
                <w:sz w:val="24"/>
                <w:szCs w:val="24"/>
                <w:lang w:val="en-US" w:eastAsia="zh-CN"/>
              </w:rPr>
              <w:t>废水监测计划，具体内容见下表</w:t>
            </w:r>
            <w:r>
              <w:rPr>
                <w:rFonts w:hint="default" w:ascii="Times New Roman" w:hAnsi="Times New Roman" w:cs="Times New Roman"/>
                <w:color w:val="0000FF"/>
                <w:sz w:val="24"/>
                <w:szCs w:val="24"/>
                <w:lang w:val="en-US" w:eastAsia="zh-CN"/>
              </w:rPr>
              <w:t>。</w:t>
            </w:r>
          </w:p>
          <w:p w14:paraId="6C49C0DB">
            <w:pPr>
              <w:pStyle w:val="12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b/>
                <w:bCs/>
                <w:color w:val="0000FF"/>
                <w:kern w:val="2"/>
                <w:sz w:val="21"/>
                <w:szCs w:val="21"/>
                <w:lang w:val="en-US" w:eastAsia="zh-CN" w:bidi="ar-SA"/>
              </w:rPr>
            </w:pPr>
            <w:r>
              <w:rPr>
                <w:rFonts w:hint="default" w:ascii="Times New Roman" w:hAnsi="Times New Roman" w:eastAsia="宋体" w:cs="Times New Roman"/>
                <w:b/>
                <w:bCs/>
                <w:color w:val="0000FF"/>
                <w:kern w:val="2"/>
                <w:sz w:val="21"/>
                <w:szCs w:val="21"/>
                <w:lang w:val="en-US" w:eastAsia="zh-CN" w:bidi="ar-SA"/>
              </w:rPr>
              <w:t>表4-</w:t>
            </w:r>
            <w:r>
              <w:rPr>
                <w:rFonts w:hint="eastAsia" w:cs="Times New Roman"/>
                <w:b/>
                <w:bCs/>
                <w:color w:val="0000FF"/>
                <w:kern w:val="2"/>
                <w:sz w:val="21"/>
                <w:szCs w:val="21"/>
                <w:lang w:val="en-US" w:eastAsia="zh-CN" w:bidi="ar-SA"/>
              </w:rPr>
              <w:t xml:space="preserve">14 </w:t>
            </w:r>
            <w:r>
              <w:rPr>
                <w:rFonts w:hint="eastAsia" w:ascii="Times New Roman" w:hAnsi="Times New Roman" w:eastAsia="宋体" w:cs="Times New Roman"/>
                <w:b/>
                <w:bCs/>
                <w:color w:val="0000FF"/>
                <w:kern w:val="2"/>
                <w:sz w:val="21"/>
                <w:szCs w:val="21"/>
                <w:lang w:val="en-US" w:eastAsia="zh-CN" w:bidi="ar-SA"/>
              </w:rPr>
              <w:t>废水监测计划一览表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1"/>
              <w:gridCol w:w="2515"/>
              <w:gridCol w:w="3966"/>
              <w:gridCol w:w="1454"/>
            </w:tblGrid>
            <w:tr w14:paraId="3D83C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vAlign w:val="center"/>
                </w:tcPr>
                <w:p w14:paraId="038A350F">
                  <w:pPr>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类别</w:t>
                  </w:r>
                </w:p>
              </w:tc>
              <w:tc>
                <w:tcPr>
                  <w:tcW w:w="1413" w:type="pct"/>
                  <w:vAlign w:val="center"/>
                </w:tcPr>
                <w:p w14:paraId="15C28FF1">
                  <w:pPr>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监测点</w:t>
                  </w:r>
                </w:p>
              </w:tc>
              <w:tc>
                <w:tcPr>
                  <w:tcW w:w="2228" w:type="pct"/>
                  <w:vAlign w:val="center"/>
                </w:tcPr>
                <w:p w14:paraId="57CE4B8F">
                  <w:pPr>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监测项目</w:t>
                  </w:r>
                </w:p>
              </w:tc>
              <w:tc>
                <w:tcPr>
                  <w:tcW w:w="817" w:type="pct"/>
                  <w:vAlign w:val="center"/>
                </w:tcPr>
                <w:p w14:paraId="511068EF">
                  <w:pPr>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监测频次</w:t>
                  </w:r>
                </w:p>
              </w:tc>
            </w:tr>
            <w:tr w14:paraId="1C34E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pct"/>
                  <w:vAlign w:val="center"/>
                </w:tcPr>
                <w:p w14:paraId="1B6818A8">
                  <w:pPr>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废水</w:t>
                  </w:r>
                </w:p>
              </w:tc>
              <w:tc>
                <w:tcPr>
                  <w:tcW w:w="1413" w:type="pct"/>
                  <w:vAlign w:val="center"/>
                </w:tcPr>
                <w:p w14:paraId="5B13E06F">
                  <w:pPr>
                    <w:jc w:val="center"/>
                    <w:rPr>
                      <w:rFonts w:hint="default"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DW001生活污水总排口</w:t>
                  </w:r>
                </w:p>
              </w:tc>
              <w:tc>
                <w:tcPr>
                  <w:tcW w:w="2228" w:type="pct"/>
                  <w:vAlign w:val="center"/>
                </w:tcPr>
                <w:p w14:paraId="22D7AE86">
                  <w:pPr>
                    <w:jc w:val="center"/>
                    <w:rPr>
                      <w:rFonts w:hint="default"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pH值、总磷（以P计）、悬浮物、五日生化需氧量、氨氮、化学需氧量</w:t>
                  </w:r>
                </w:p>
              </w:tc>
              <w:tc>
                <w:tcPr>
                  <w:tcW w:w="817" w:type="pct"/>
                  <w:vAlign w:val="center"/>
                </w:tcPr>
                <w:p w14:paraId="04408090">
                  <w:pPr>
                    <w:jc w:val="center"/>
                    <w:rPr>
                      <w:rFonts w:hint="default"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1次/半年</w:t>
                  </w:r>
                </w:p>
              </w:tc>
            </w:tr>
          </w:tbl>
          <w:p w14:paraId="2A4D63AA">
            <w:pPr>
              <w:tabs>
                <w:tab w:val="left" w:pos="1215"/>
              </w:tabs>
              <w:adjustRightInd w:val="0"/>
              <w:snapToGrid w:val="0"/>
              <w:spacing w:line="360" w:lineRule="auto"/>
              <w:ind w:firstLine="480" w:firstLineChars="200"/>
              <w:jc w:val="left"/>
              <w:rPr>
                <w:rFonts w:hint="default" w:ascii="Times New Roman" w:hAnsi="Times New Roman" w:cs="Times New Roman"/>
                <w:b w:val="0"/>
                <w:bCs w:val="0"/>
                <w:color w:val="0000FF"/>
                <w:sz w:val="24"/>
                <w:szCs w:val="24"/>
              </w:rPr>
            </w:pPr>
            <w:r>
              <w:rPr>
                <w:rFonts w:hint="eastAsia" w:cs="Times New Roman"/>
                <w:b w:val="0"/>
                <w:bCs w:val="0"/>
                <w:color w:val="0000FF"/>
                <w:sz w:val="24"/>
                <w:szCs w:val="24"/>
                <w:lang w:val="en-US" w:eastAsia="zh-CN"/>
              </w:rPr>
              <w:t>2、</w:t>
            </w:r>
            <w:r>
              <w:rPr>
                <w:rFonts w:hint="default" w:ascii="Times New Roman" w:hAnsi="Times New Roman" w:cs="Times New Roman"/>
                <w:b w:val="0"/>
                <w:bCs w:val="0"/>
                <w:color w:val="0000FF"/>
                <w:sz w:val="24"/>
                <w:szCs w:val="24"/>
              </w:rPr>
              <w:t>依托污水处理设施的环境可行性评价</w:t>
            </w:r>
          </w:p>
          <w:p w14:paraId="249C428D">
            <w:pPr>
              <w:spacing w:line="360" w:lineRule="auto"/>
              <w:ind w:firstLine="480" w:firstLineChars="200"/>
              <w:rPr>
                <w:rFonts w:hint="default" w:ascii="Times New Roman" w:hAnsi="Times New Roman" w:cs="Times New Roman"/>
                <w:color w:val="0000FF"/>
                <w:sz w:val="24"/>
                <w:szCs w:val="24"/>
              </w:rPr>
            </w:pPr>
            <w:r>
              <w:rPr>
                <w:rFonts w:hint="default" w:ascii="Times New Roman" w:hAnsi="Times New Roman" w:cs="Times New Roman"/>
                <w:color w:val="0000FF"/>
                <w:sz w:val="24"/>
                <w:szCs w:val="24"/>
              </w:rPr>
              <w:t>本次技改项目不涉及生产废水，不新增员工，不新增生活污水；现有废水包括循环冷却水、余热电站排水和生活污水。工艺冷却水、余热电站排水全部循环利用，不外排；生活污水经地埋式系列污水成套设备进行处理达到</w:t>
            </w:r>
            <w:r>
              <w:rPr>
                <w:rFonts w:hint="eastAsia" w:ascii="Times New Roman" w:hAnsi="Times New Roman" w:cs="Times New Roman"/>
                <w:color w:val="0000FF"/>
                <w:sz w:val="24"/>
                <w:szCs w:val="24"/>
                <w:lang w:eastAsia="zh-CN"/>
              </w:rPr>
              <w:t>龙湖开发区</w:t>
            </w:r>
            <w:r>
              <w:rPr>
                <w:rFonts w:hint="default" w:ascii="Times New Roman" w:hAnsi="Times New Roman" w:cs="Times New Roman"/>
                <w:color w:val="0000FF"/>
                <w:sz w:val="24"/>
                <w:szCs w:val="24"/>
              </w:rPr>
              <w:t>污水处理厂接管标准和《污水综合排放标准》（GB</w:t>
            </w:r>
            <w:r>
              <w:rPr>
                <w:rFonts w:hint="eastAsia" w:ascii="Times New Roman" w:hAnsi="Times New Roman" w:cs="Times New Roman"/>
                <w:color w:val="0000FF"/>
                <w:sz w:val="24"/>
                <w:szCs w:val="24"/>
                <w:lang w:val="en-US" w:eastAsia="zh-CN"/>
              </w:rPr>
              <w:t xml:space="preserve"> </w:t>
            </w:r>
            <w:r>
              <w:rPr>
                <w:rFonts w:hint="default" w:ascii="Times New Roman" w:hAnsi="Times New Roman" w:cs="Times New Roman"/>
                <w:color w:val="0000FF"/>
                <w:sz w:val="24"/>
                <w:szCs w:val="24"/>
              </w:rPr>
              <w:t>8978-1996）</w:t>
            </w:r>
            <w:r>
              <w:rPr>
                <w:rFonts w:hint="eastAsia" w:ascii="Times New Roman" w:hAnsi="Times New Roman" w:cs="Times New Roman"/>
                <w:color w:val="0000FF"/>
                <w:sz w:val="24"/>
                <w:szCs w:val="24"/>
                <w:lang w:eastAsia="zh-CN"/>
              </w:rPr>
              <w:t>一级标准</w:t>
            </w:r>
            <w:r>
              <w:rPr>
                <w:rFonts w:hint="default" w:ascii="Times New Roman" w:hAnsi="Times New Roman" w:cs="Times New Roman"/>
                <w:color w:val="0000FF"/>
                <w:sz w:val="24"/>
                <w:szCs w:val="24"/>
              </w:rPr>
              <w:t>后，其中10t/d用于绿化浇洒，其余30t/d进市政管网排入龙湖</w:t>
            </w:r>
            <w:r>
              <w:rPr>
                <w:rFonts w:hint="eastAsia" w:ascii="Times New Roman" w:hAnsi="Times New Roman" w:cs="Times New Roman"/>
                <w:color w:val="0000FF"/>
                <w:sz w:val="24"/>
                <w:szCs w:val="24"/>
                <w:lang w:eastAsia="zh-CN"/>
              </w:rPr>
              <w:t>开发区</w:t>
            </w:r>
            <w:r>
              <w:rPr>
                <w:rFonts w:hint="default" w:ascii="Times New Roman" w:hAnsi="Times New Roman" w:cs="Times New Roman"/>
                <w:color w:val="0000FF"/>
                <w:sz w:val="24"/>
                <w:szCs w:val="24"/>
              </w:rPr>
              <w:t>污水处理厂深度处理，处理达到《城镇污水处理厂污染物排放标准》</w:t>
            </w:r>
            <w:r>
              <w:rPr>
                <w:rFonts w:hint="eastAsia" w:ascii="Times New Roman" w:hAnsi="Times New Roman" w:cs="Times New Roman"/>
                <w:color w:val="0000FF"/>
                <w:sz w:val="24"/>
                <w:szCs w:val="24"/>
                <w:lang w:eastAsia="zh-CN"/>
              </w:rPr>
              <w:t>（</w:t>
            </w:r>
            <w:r>
              <w:rPr>
                <w:rFonts w:hint="default" w:ascii="Times New Roman" w:hAnsi="Times New Roman" w:cs="Times New Roman"/>
                <w:color w:val="0000FF"/>
                <w:sz w:val="24"/>
                <w:szCs w:val="24"/>
              </w:rPr>
              <w:t>GB</w:t>
            </w:r>
            <w:r>
              <w:rPr>
                <w:rFonts w:hint="eastAsia" w:ascii="Times New Roman" w:hAnsi="Times New Roman" w:cs="Times New Roman"/>
                <w:color w:val="0000FF"/>
                <w:sz w:val="24"/>
                <w:szCs w:val="24"/>
                <w:lang w:val="en-US" w:eastAsia="zh-CN"/>
              </w:rPr>
              <w:t xml:space="preserve"> </w:t>
            </w:r>
            <w:r>
              <w:rPr>
                <w:rFonts w:hint="default" w:ascii="Times New Roman" w:hAnsi="Times New Roman" w:cs="Times New Roman"/>
                <w:color w:val="0000FF"/>
                <w:sz w:val="24"/>
                <w:szCs w:val="24"/>
              </w:rPr>
              <w:t>18918-2002</w:t>
            </w:r>
            <w:r>
              <w:rPr>
                <w:rFonts w:hint="eastAsia" w:ascii="Times New Roman" w:hAnsi="Times New Roman" w:cs="Times New Roman"/>
                <w:color w:val="0000FF"/>
                <w:sz w:val="24"/>
                <w:szCs w:val="24"/>
                <w:lang w:eastAsia="zh-CN"/>
              </w:rPr>
              <w:t>）</w:t>
            </w:r>
            <w:r>
              <w:rPr>
                <w:rFonts w:hint="default" w:ascii="Times New Roman" w:hAnsi="Times New Roman" w:cs="Times New Roman"/>
                <w:color w:val="0000FF"/>
                <w:sz w:val="24"/>
                <w:szCs w:val="24"/>
              </w:rPr>
              <w:t>中一级A标准后排入龙河。因此，建设项目正常工况下排放的废水对受纳水体的影响很小，不会改变</w:t>
            </w:r>
            <w:r>
              <w:rPr>
                <w:rFonts w:hint="eastAsia" w:ascii="Times New Roman" w:hAnsi="Times New Roman" w:cs="Times New Roman"/>
                <w:color w:val="0000FF"/>
                <w:sz w:val="24"/>
                <w:szCs w:val="24"/>
                <w:lang w:eastAsia="zh-CN"/>
              </w:rPr>
              <w:t>龙河</w:t>
            </w:r>
            <w:r>
              <w:rPr>
                <w:rFonts w:hint="default" w:ascii="Times New Roman" w:hAnsi="Times New Roman" w:cs="Times New Roman"/>
                <w:color w:val="0000FF"/>
                <w:sz w:val="24"/>
                <w:szCs w:val="24"/>
              </w:rPr>
              <w:t>的水环境功能。</w:t>
            </w:r>
          </w:p>
          <w:p w14:paraId="4AD6B8AF">
            <w:pPr>
              <w:tabs>
                <w:tab w:val="left" w:pos="1182"/>
              </w:tabs>
              <w:spacing w:line="360" w:lineRule="auto"/>
              <w:ind w:left="0" w:leftChars="0" w:right="0" w:rightChars="0" w:firstLine="0" w:firstLineChars="0"/>
              <w:jc w:val="center"/>
              <w:rPr>
                <w:color w:val="0000FF"/>
              </w:rPr>
            </w:pPr>
            <w:r>
              <w:rPr>
                <w:color w:val="0000FF"/>
              </w:rPr>
              <w:drawing>
                <wp:inline distT="0" distB="0" distL="114300" distR="114300">
                  <wp:extent cx="5137150" cy="3169285"/>
                  <wp:effectExtent l="0" t="0" r="635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rcRect l="4459" t="2765" r="5351" b="2708"/>
                          <a:stretch>
                            <a:fillRect/>
                          </a:stretch>
                        </pic:blipFill>
                        <pic:spPr>
                          <a:xfrm>
                            <a:off x="0" y="0"/>
                            <a:ext cx="5137150" cy="3169285"/>
                          </a:xfrm>
                          <a:prstGeom prst="rect">
                            <a:avLst/>
                          </a:prstGeom>
                          <a:noFill/>
                          <a:ln>
                            <a:noFill/>
                          </a:ln>
                        </pic:spPr>
                      </pic:pic>
                    </a:graphicData>
                  </a:graphic>
                </wp:inline>
              </w:drawing>
            </w:r>
          </w:p>
          <w:p w14:paraId="5E65D475">
            <w:pPr>
              <w:tabs>
                <w:tab w:val="left" w:pos="1182"/>
              </w:tabs>
              <w:spacing w:line="360" w:lineRule="auto"/>
              <w:ind w:left="0" w:leftChars="0" w:right="0" w:rightChars="0" w:firstLine="0" w:firstLineChars="0"/>
              <w:jc w:val="center"/>
              <w:rPr>
                <w:rFonts w:hint="default" w:ascii="Times New Roman" w:hAnsi="Times New Roman" w:cs="Times New Roman"/>
                <w:b/>
                <w:bCs/>
                <w:color w:val="0000FF"/>
                <w:sz w:val="24"/>
                <w:szCs w:val="24"/>
              </w:rPr>
            </w:pPr>
            <w:r>
              <w:rPr>
                <w:rFonts w:hint="default" w:ascii="Times New Roman" w:hAnsi="Times New Roman" w:cs="Times New Roman"/>
                <w:b/>
                <w:bCs/>
                <w:color w:val="0000FF"/>
                <w:sz w:val="21"/>
                <w:szCs w:val="21"/>
              </w:rPr>
              <w:t>图4-</w:t>
            </w:r>
            <w:r>
              <w:rPr>
                <w:rFonts w:hint="eastAsia" w:cs="Times New Roman"/>
                <w:b/>
                <w:bCs/>
                <w:color w:val="0000FF"/>
                <w:sz w:val="21"/>
                <w:szCs w:val="21"/>
                <w:lang w:val="en-US" w:eastAsia="zh-CN"/>
              </w:rPr>
              <w:t>1</w:t>
            </w:r>
            <w:r>
              <w:rPr>
                <w:rFonts w:hint="default" w:ascii="Times New Roman" w:hAnsi="Times New Roman" w:cs="Times New Roman"/>
                <w:b/>
                <w:bCs/>
                <w:color w:val="0000FF"/>
                <w:sz w:val="21"/>
                <w:szCs w:val="21"/>
              </w:rPr>
              <w:t xml:space="preserve"> </w:t>
            </w:r>
            <w:r>
              <w:rPr>
                <w:rFonts w:hint="eastAsia" w:ascii="Times New Roman" w:hAnsi="Times New Roman" w:cs="Times New Roman"/>
                <w:b/>
                <w:bCs/>
                <w:color w:val="0000FF"/>
                <w:sz w:val="21"/>
                <w:szCs w:val="21"/>
                <w:lang w:eastAsia="zh-CN"/>
              </w:rPr>
              <w:t>龙湖开发区</w:t>
            </w:r>
            <w:r>
              <w:rPr>
                <w:rFonts w:hint="default" w:ascii="Times New Roman" w:hAnsi="Times New Roman" w:cs="Times New Roman"/>
                <w:b/>
                <w:bCs/>
                <w:color w:val="0000FF"/>
                <w:sz w:val="21"/>
                <w:szCs w:val="21"/>
              </w:rPr>
              <w:t>污水处理厂处理工艺流程图</w:t>
            </w:r>
          </w:p>
          <w:p w14:paraId="522EAF50">
            <w:pPr>
              <w:widowControl/>
              <w:spacing w:line="360" w:lineRule="auto"/>
              <w:ind w:firstLine="480" w:firstLineChars="200"/>
              <w:rPr>
                <w:rFonts w:hint="default" w:ascii="Times New Roman" w:hAnsi="Times New Roman" w:cs="Times New Roman"/>
                <w:color w:val="0000FF"/>
                <w:sz w:val="24"/>
                <w:szCs w:val="24"/>
              </w:rPr>
            </w:pPr>
            <w:r>
              <w:rPr>
                <w:rFonts w:hint="default" w:ascii="Times New Roman" w:hAnsi="Times New Roman" w:cs="Times New Roman"/>
                <w:color w:val="0000FF"/>
                <w:kern w:val="0"/>
                <w:sz w:val="24"/>
                <w:szCs w:val="24"/>
              </w:rPr>
              <w:t>本项目位于</w:t>
            </w:r>
            <w:r>
              <w:rPr>
                <w:rFonts w:hint="eastAsia" w:ascii="Times New Roman" w:hAnsi="Times New Roman" w:cs="Times New Roman"/>
                <w:color w:val="0000FF"/>
                <w:kern w:val="0"/>
                <w:sz w:val="24"/>
                <w:szCs w:val="24"/>
                <w:lang w:eastAsia="zh-CN"/>
              </w:rPr>
              <w:t>龙湖开发区污水处理厂</w:t>
            </w:r>
            <w:r>
              <w:rPr>
                <w:rFonts w:hint="default" w:ascii="Times New Roman" w:hAnsi="Times New Roman" w:cs="Times New Roman"/>
                <w:color w:val="0000FF"/>
                <w:kern w:val="0"/>
                <w:sz w:val="24"/>
                <w:szCs w:val="24"/>
              </w:rPr>
              <w:t>的服务范围内，主要废水为生活污水</w:t>
            </w:r>
            <w:r>
              <w:rPr>
                <w:rFonts w:hint="eastAsia" w:ascii="Times New Roman" w:hAnsi="Times New Roman" w:cs="Times New Roman"/>
                <w:color w:val="0000FF"/>
                <w:kern w:val="0"/>
                <w:sz w:val="24"/>
                <w:szCs w:val="24"/>
                <w:lang w:eastAsia="zh-CN"/>
              </w:rPr>
              <w:t>，</w:t>
            </w:r>
            <w:r>
              <w:rPr>
                <w:rFonts w:hint="default" w:ascii="Times New Roman" w:hAnsi="Times New Roman" w:cs="Times New Roman"/>
                <w:color w:val="0000FF"/>
                <w:kern w:val="0"/>
                <w:sz w:val="24"/>
                <w:szCs w:val="24"/>
              </w:rPr>
              <w:t>处理后满足污水处理厂接管标准的要求。即本项目排放的废水不会影响污水厂的处理效果。</w:t>
            </w:r>
            <w:r>
              <w:rPr>
                <w:rFonts w:hint="default" w:ascii="Times New Roman" w:hAnsi="Times New Roman" w:cs="Times New Roman"/>
                <w:color w:val="0000FF"/>
                <w:sz w:val="24"/>
                <w:szCs w:val="24"/>
              </w:rPr>
              <w:t>本项目新增外排废水量为</w:t>
            </w:r>
            <w:r>
              <w:rPr>
                <w:rFonts w:hint="eastAsia" w:ascii="Times New Roman" w:hAnsi="Times New Roman" w:cs="Times New Roman"/>
                <w:color w:val="0000FF"/>
                <w:sz w:val="24"/>
                <w:szCs w:val="24"/>
                <w:lang w:val="en-US" w:eastAsia="zh-CN"/>
              </w:rPr>
              <w:t>30t</w:t>
            </w:r>
            <w:r>
              <w:rPr>
                <w:rFonts w:hint="default" w:ascii="Times New Roman" w:hAnsi="Times New Roman" w:cs="Times New Roman"/>
                <w:color w:val="0000FF"/>
                <w:sz w:val="24"/>
                <w:szCs w:val="24"/>
              </w:rPr>
              <w:t>/d，</w:t>
            </w:r>
            <w:r>
              <w:rPr>
                <w:rFonts w:hint="default" w:ascii="Times New Roman" w:hAnsi="Times New Roman" w:cs="Times New Roman"/>
                <w:color w:val="0000FF"/>
                <w:lang w:val="en-US" w:eastAsia="zh-CN"/>
              </w:rPr>
              <w:t>占</w:t>
            </w:r>
            <w:r>
              <w:rPr>
                <w:rFonts w:hint="default" w:ascii="Times New Roman" w:hAnsi="Times New Roman" w:cs="Times New Roman"/>
                <w:color w:val="0000FF"/>
                <w:sz w:val="24"/>
                <w:szCs w:val="24"/>
              </w:rPr>
              <w:t>污水处理厂</w:t>
            </w:r>
            <w:r>
              <w:rPr>
                <w:rFonts w:hint="default" w:ascii="Times New Roman" w:hAnsi="Times New Roman" w:cs="Times New Roman"/>
                <w:color w:val="0000FF"/>
                <w:sz w:val="24"/>
                <w:szCs w:val="24"/>
                <w:lang w:val="en-US" w:eastAsia="zh-CN"/>
              </w:rPr>
              <w:t>处理能力的0.</w:t>
            </w:r>
            <w:r>
              <w:rPr>
                <w:rFonts w:hint="eastAsia" w:ascii="Times New Roman" w:hAnsi="Times New Roman" w:cs="Times New Roman"/>
                <w:color w:val="0000FF"/>
                <w:sz w:val="24"/>
                <w:szCs w:val="24"/>
                <w:lang w:val="en-US" w:eastAsia="zh-CN"/>
              </w:rPr>
              <w:t>15</w:t>
            </w:r>
            <w:r>
              <w:rPr>
                <w:rFonts w:hint="default" w:ascii="Times New Roman" w:hAnsi="Times New Roman" w:cs="Times New Roman"/>
                <w:color w:val="0000FF"/>
                <w:sz w:val="24"/>
                <w:szCs w:val="24"/>
                <w:lang w:val="en-US" w:eastAsia="zh-CN"/>
              </w:rPr>
              <w:t>%，</w:t>
            </w:r>
            <w:r>
              <w:rPr>
                <w:rFonts w:hint="default" w:ascii="Times New Roman" w:hAnsi="Times New Roman" w:cs="Times New Roman"/>
                <w:color w:val="0000FF"/>
                <w:sz w:val="24"/>
                <w:szCs w:val="24"/>
              </w:rPr>
              <w:t>未超过污水处理厂处理负荷，能够满足要求。另外，本项目无特殊的难易处理的污染因子，主要污染物为COD、氨氮、BOD</w:t>
            </w:r>
            <w:r>
              <w:rPr>
                <w:rFonts w:hint="default" w:ascii="Times New Roman" w:hAnsi="Times New Roman" w:cs="Times New Roman"/>
                <w:color w:val="0000FF"/>
                <w:sz w:val="24"/>
                <w:szCs w:val="24"/>
                <w:vertAlign w:val="subscript"/>
              </w:rPr>
              <w:t>5</w:t>
            </w:r>
            <w:r>
              <w:rPr>
                <w:rFonts w:hint="default" w:ascii="Times New Roman" w:hAnsi="Times New Roman" w:cs="Times New Roman"/>
                <w:color w:val="0000FF"/>
                <w:sz w:val="24"/>
                <w:szCs w:val="24"/>
              </w:rPr>
              <w:t>等污染物，污水处理厂采用的污水处理工艺能够满足其要求，不会影响其达标排放的。</w:t>
            </w:r>
          </w:p>
          <w:p w14:paraId="0F303A80">
            <w:pPr>
              <w:widowControl/>
              <w:spacing w:line="360" w:lineRule="auto"/>
              <w:ind w:firstLine="480" w:firstLineChars="200"/>
              <w:rPr>
                <w:rFonts w:hint="default" w:ascii="Times New Roman" w:hAnsi="Times New Roman" w:cs="Times New Roman"/>
                <w:color w:val="0000FF"/>
                <w:sz w:val="24"/>
                <w:szCs w:val="24"/>
              </w:rPr>
            </w:pPr>
            <w:r>
              <w:rPr>
                <w:rFonts w:ascii="宋体" w:hAnsi="宋体" w:eastAsia="宋体" w:cs="宋体"/>
                <w:color w:val="0000FF"/>
                <w:sz w:val="24"/>
                <w:szCs w:val="24"/>
              </w:rPr>
              <w:t>综上，项目经处理达标后的废水依托集中污水处理厂可行。</w:t>
            </w:r>
          </w:p>
          <w:p w14:paraId="6967AD47">
            <w:pPr>
              <w:pStyle w:val="12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三、噪声环境影响和措施</w:t>
            </w:r>
          </w:p>
          <w:bookmarkEnd w:id="161"/>
          <w:p w14:paraId="071E5010">
            <w:pPr>
              <w:widowControl/>
              <w:snapToGrid w:val="0"/>
              <w:spacing w:line="360" w:lineRule="auto"/>
              <w:ind w:firstLine="480" w:firstLineChars="200"/>
              <w:jc w:val="left"/>
              <w:rPr>
                <w:rFonts w:hint="eastAsia"/>
                <w:sz w:val="24"/>
                <w:szCs w:val="24"/>
                <w:lang w:val="en-US" w:eastAsia="zh-CN"/>
              </w:rPr>
            </w:pPr>
            <w:r>
              <w:rPr>
                <w:rFonts w:hint="eastAsia"/>
                <w:sz w:val="24"/>
                <w:szCs w:val="24"/>
                <w:lang w:val="en-US" w:eastAsia="zh-CN"/>
              </w:rPr>
              <w:t>1、源强分析</w:t>
            </w:r>
          </w:p>
          <w:p w14:paraId="5DE4B479">
            <w:pPr>
              <w:widowControl/>
              <w:snapToGrid w:val="0"/>
              <w:spacing w:line="360" w:lineRule="auto"/>
              <w:ind w:firstLine="480" w:firstLineChars="200"/>
              <w:jc w:val="left"/>
              <w:rPr>
                <w:rFonts w:hint="eastAsia"/>
                <w:sz w:val="24"/>
                <w:szCs w:val="24"/>
                <w:lang w:val="en-US" w:eastAsia="zh-CN"/>
              </w:rPr>
            </w:pPr>
            <w:r>
              <w:rPr>
                <w:rFonts w:hint="eastAsia"/>
                <w:sz w:val="24"/>
                <w:szCs w:val="24"/>
                <w:lang w:val="en-US" w:eastAsia="zh-CN"/>
              </w:rPr>
              <w:t>本次技改项目新增噪声源主要为计量喂料系统等设备运行过程中产生的噪声，主要产噪设备有电动葫芦，噪声源强在75-90dB（A）。项目主要噪声设备情况见下表。</w:t>
            </w:r>
          </w:p>
          <w:p w14:paraId="1E12039F">
            <w:pPr>
              <w:pStyle w:val="12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center"/>
              <w:textAlignment w:val="auto"/>
              <w:rPr>
                <w:rFonts w:hint="eastAsia"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表4-</w:t>
            </w:r>
            <w:r>
              <w:rPr>
                <w:rFonts w:hint="eastAsia" w:cs="Times New Roman"/>
                <w:b/>
                <w:bCs/>
                <w:color w:val="auto"/>
                <w:kern w:val="2"/>
                <w:sz w:val="21"/>
                <w:szCs w:val="21"/>
                <w:lang w:val="en-US" w:eastAsia="zh-CN" w:bidi="ar-SA"/>
              </w:rPr>
              <w:t>15</w:t>
            </w:r>
            <w:r>
              <w:rPr>
                <w:rFonts w:hint="eastAsia" w:ascii="Times New Roman" w:hAnsi="Times New Roman" w:eastAsia="宋体" w:cs="Times New Roman"/>
                <w:b/>
                <w:bCs/>
                <w:color w:val="auto"/>
                <w:kern w:val="2"/>
                <w:sz w:val="21"/>
                <w:szCs w:val="21"/>
                <w:lang w:val="en-US" w:eastAsia="zh-CN" w:bidi="ar-SA"/>
              </w:rPr>
              <w:t xml:space="preserve"> </w:t>
            </w:r>
            <w:r>
              <w:rPr>
                <w:rFonts w:hint="default" w:ascii="Times New Roman" w:hAnsi="Times New Roman" w:eastAsia="宋体" w:cs="Times New Roman"/>
                <w:b/>
                <w:bCs/>
                <w:color w:val="auto"/>
                <w:kern w:val="2"/>
                <w:sz w:val="21"/>
                <w:szCs w:val="21"/>
                <w:lang w:val="en-US" w:eastAsia="zh-CN" w:bidi="ar-SA"/>
              </w:rPr>
              <w:t>工业企业噪声源强调查清单（室内声源）</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26"/>
              <w:gridCol w:w="426"/>
              <w:gridCol w:w="426"/>
              <w:gridCol w:w="426"/>
              <w:gridCol w:w="788"/>
              <w:gridCol w:w="788"/>
              <w:gridCol w:w="636"/>
              <w:gridCol w:w="426"/>
              <w:gridCol w:w="426"/>
              <w:gridCol w:w="479"/>
              <w:gridCol w:w="438"/>
              <w:gridCol w:w="788"/>
              <w:gridCol w:w="426"/>
              <w:gridCol w:w="788"/>
              <w:gridCol w:w="788"/>
              <w:gridCol w:w="426"/>
            </w:tblGrid>
            <w:tr w14:paraId="51155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426" w:type="dxa"/>
                  <w:vMerge w:val="restart"/>
                  <w:tcBorders>
                    <w:tl2br w:val="nil"/>
                    <w:tr2bl w:val="nil"/>
                  </w:tcBorders>
                  <w:shd w:val="clear" w:color="auto" w:fill="auto"/>
                  <w:noWrap w:val="0"/>
                  <w:vAlign w:val="center"/>
                </w:tcPr>
                <w:p w14:paraId="7ECC940A">
                  <w:pPr>
                    <w:jc w:val="center"/>
                    <w:rPr>
                      <w:rFonts w:hint="eastAsia" w:ascii="Times New Roman" w:hAnsi="Times New Roman" w:eastAsia="宋体" w:cs="Times New Roman"/>
                      <w:color w:val="auto"/>
                      <w:lang w:val="en-US" w:eastAsia="en-US"/>
                    </w:rPr>
                  </w:pPr>
                  <w:r>
                    <w:rPr>
                      <w:rFonts w:hint="eastAsia" w:ascii="Times New Roman" w:hAnsi="Times New Roman" w:eastAsia="宋体" w:cs="Times New Roman"/>
                      <w:color w:val="auto"/>
                      <w:lang w:val="en-US" w:eastAsia="en-US"/>
                    </w:rPr>
                    <w:t>序号</w:t>
                  </w:r>
                </w:p>
              </w:tc>
              <w:tc>
                <w:tcPr>
                  <w:tcW w:w="426" w:type="dxa"/>
                  <w:vMerge w:val="restart"/>
                  <w:tcBorders>
                    <w:tl2br w:val="nil"/>
                    <w:tr2bl w:val="nil"/>
                  </w:tcBorders>
                  <w:shd w:val="clear" w:color="auto" w:fill="auto"/>
                  <w:noWrap w:val="0"/>
                  <w:vAlign w:val="center"/>
                </w:tcPr>
                <w:p w14:paraId="3FFD4D4F">
                  <w:pPr>
                    <w:jc w:val="center"/>
                    <w:rPr>
                      <w:rFonts w:hint="eastAsia" w:ascii="Times New Roman" w:hAnsi="Times New Roman" w:eastAsia="宋体" w:cs="Times New Roman"/>
                      <w:color w:val="auto"/>
                      <w:lang w:val="en-US" w:eastAsia="en-US"/>
                    </w:rPr>
                  </w:pPr>
                  <w:r>
                    <w:rPr>
                      <w:rFonts w:hint="eastAsia" w:ascii="Times New Roman" w:hAnsi="Times New Roman" w:eastAsia="宋体" w:cs="Times New Roman"/>
                      <w:color w:val="auto"/>
                      <w:lang w:val="en-US" w:eastAsia="en-US"/>
                    </w:rPr>
                    <w:t>建筑物名称</w:t>
                  </w:r>
                </w:p>
              </w:tc>
              <w:tc>
                <w:tcPr>
                  <w:tcW w:w="426" w:type="dxa"/>
                  <w:vMerge w:val="restart"/>
                  <w:tcBorders>
                    <w:tl2br w:val="nil"/>
                    <w:tr2bl w:val="nil"/>
                  </w:tcBorders>
                  <w:shd w:val="clear" w:color="auto" w:fill="auto"/>
                  <w:noWrap w:val="0"/>
                  <w:vAlign w:val="center"/>
                </w:tcPr>
                <w:p w14:paraId="2D0E39F8">
                  <w:pPr>
                    <w:jc w:val="center"/>
                    <w:rPr>
                      <w:rFonts w:hint="eastAsia" w:ascii="Times New Roman" w:hAnsi="Times New Roman" w:eastAsia="宋体" w:cs="Times New Roman"/>
                      <w:color w:val="auto"/>
                      <w:lang w:val="en-US" w:eastAsia="en-US"/>
                    </w:rPr>
                  </w:pPr>
                  <w:r>
                    <w:rPr>
                      <w:rFonts w:hint="eastAsia" w:ascii="Times New Roman" w:hAnsi="Times New Roman" w:eastAsia="宋体" w:cs="Times New Roman"/>
                      <w:color w:val="auto"/>
                      <w:lang w:val="en-US" w:eastAsia="en-US"/>
                    </w:rPr>
                    <w:t>声源名称</w:t>
                  </w:r>
                </w:p>
              </w:tc>
              <w:tc>
                <w:tcPr>
                  <w:tcW w:w="426" w:type="dxa"/>
                  <w:vMerge w:val="restart"/>
                  <w:tcBorders>
                    <w:tl2br w:val="nil"/>
                    <w:tr2bl w:val="nil"/>
                  </w:tcBorders>
                  <w:shd w:val="clear" w:color="auto" w:fill="auto"/>
                  <w:noWrap w:val="0"/>
                  <w:vAlign w:val="center"/>
                </w:tcPr>
                <w:p w14:paraId="6382607F">
                  <w:pPr>
                    <w:jc w:val="center"/>
                    <w:rPr>
                      <w:rFonts w:hint="eastAsia" w:ascii="Times New Roman" w:hAnsi="Times New Roman" w:eastAsia="宋体" w:cs="Times New Roman"/>
                      <w:color w:val="auto"/>
                      <w:lang w:val="en-US" w:eastAsia="en-US"/>
                    </w:rPr>
                  </w:pPr>
                  <w:r>
                    <w:rPr>
                      <w:rFonts w:hint="eastAsia" w:ascii="Times New Roman" w:hAnsi="Times New Roman" w:eastAsia="宋体" w:cs="Times New Roman"/>
                      <w:color w:val="auto"/>
                      <w:lang w:val="en-US" w:eastAsia="en-US"/>
                    </w:rPr>
                    <w:t>型号</w:t>
                  </w:r>
                </w:p>
              </w:tc>
              <w:tc>
                <w:tcPr>
                  <w:tcW w:w="1576" w:type="dxa"/>
                  <w:gridSpan w:val="2"/>
                  <w:tcBorders>
                    <w:tl2br w:val="nil"/>
                    <w:tr2bl w:val="nil"/>
                  </w:tcBorders>
                  <w:shd w:val="clear" w:color="auto" w:fill="auto"/>
                  <w:noWrap w:val="0"/>
                  <w:vAlign w:val="center"/>
                </w:tcPr>
                <w:p w14:paraId="2E728345">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声源源强（任选一种）</w:t>
                  </w:r>
                </w:p>
              </w:tc>
              <w:tc>
                <w:tcPr>
                  <w:tcW w:w="636" w:type="dxa"/>
                  <w:vMerge w:val="restart"/>
                  <w:tcBorders>
                    <w:tl2br w:val="nil"/>
                    <w:tr2bl w:val="nil"/>
                  </w:tcBorders>
                  <w:shd w:val="clear" w:color="auto" w:fill="auto"/>
                  <w:noWrap w:val="0"/>
                  <w:vAlign w:val="center"/>
                </w:tcPr>
                <w:p w14:paraId="179179A6">
                  <w:pPr>
                    <w:jc w:val="center"/>
                    <w:rPr>
                      <w:rFonts w:hint="eastAsia" w:ascii="Times New Roman" w:hAnsi="Times New Roman" w:eastAsia="宋体" w:cs="Times New Roman"/>
                      <w:color w:val="auto"/>
                      <w:lang w:val="en-US" w:eastAsia="en-US"/>
                    </w:rPr>
                  </w:pPr>
                  <w:r>
                    <w:rPr>
                      <w:rFonts w:hint="eastAsia" w:ascii="Times New Roman" w:hAnsi="Times New Roman" w:eastAsia="宋体" w:cs="Times New Roman"/>
                      <w:color w:val="auto"/>
                      <w:lang w:val="en-US" w:eastAsia="en-US"/>
                    </w:rPr>
                    <w:t>声源控制措施</w:t>
                  </w:r>
                </w:p>
              </w:tc>
              <w:tc>
                <w:tcPr>
                  <w:tcW w:w="1331" w:type="dxa"/>
                  <w:gridSpan w:val="3"/>
                  <w:tcBorders>
                    <w:tl2br w:val="nil"/>
                    <w:tr2bl w:val="nil"/>
                  </w:tcBorders>
                  <w:shd w:val="clear" w:color="auto" w:fill="auto"/>
                  <w:noWrap w:val="0"/>
                  <w:vAlign w:val="center"/>
                </w:tcPr>
                <w:p w14:paraId="371C44C2">
                  <w:pPr>
                    <w:jc w:val="center"/>
                    <w:rPr>
                      <w:rFonts w:hint="eastAsia" w:ascii="Times New Roman" w:hAnsi="Times New Roman" w:eastAsia="宋体" w:cs="Times New Roman"/>
                      <w:color w:val="auto"/>
                      <w:lang w:val="en-US" w:eastAsia="en-US"/>
                    </w:rPr>
                  </w:pPr>
                  <w:r>
                    <w:rPr>
                      <w:rFonts w:hint="eastAsia" w:ascii="Times New Roman" w:hAnsi="Times New Roman" w:eastAsia="宋体" w:cs="Times New Roman"/>
                      <w:color w:val="auto"/>
                      <w:lang w:val="en-US" w:eastAsia="en-US"/>
                    </w:rPr>
                    <w:t>空间相对位置/m</w:t>
                  </w:r>
                </w:p>
              </w:tc>
              <w:tc>
                <w:tcPr>
                  <w:tcW w:w="438" w:type="dxa"/>
                  <w:vMerge w:val="restart"/>
                  <w:tcBorders>
                    <w:tl2br w:val="nil"/>
                    <w:tr2bl w:val="nil"/>
                  </w:tcBorders>
                  <w:shd w:val="clear" w:color="auto" w:fill="auto"/>
                  <w:noWrap w:val="0"/>
                  <w:vAlign w:val="center"/>
                </w:tcPr>
                <w:p w14:paraId="47F20C1F">
                  <w:pPr>
                    <w:jc w:val="center"/>
                    <w:rPr>
                      <w:rFonts w:hint="eastAsia" w:ascii="Times New Roman" w:hAnsi="Times New Roman" w:eastAsia="宋体" w:cs="Times New Roman"/>
                      <w:color w:val="auto"/>
                      <w:lang w:val="en-US" w:eastAsia="en-US"/>
                    </w:rPr>
                  </w:pPr>
                  <w:r>
                    <w:rPr>
                      <w:rFonts w:hint="eastAsia" w:ascii="Times New Roman" w:hAnsi="Times New Roman" w:eastAsia="宋体" w:cs="Times New Roman"/>
                      <w:color w:val="auto"/>
                      <w:lang w:val="en-US" w:eastAsia="en-US"/>
                    </w:rPr>
                    <w:t>距室内边界距离/m</w:t>
                  </w:r>
                </w:p>
              </w:tc>
              <w:tc>
                <w:tcPr>
                  <w:tcW w:w="788" w:type="dxa"/>
                  <w:vMerge w:val="restart"/>
                  <w:tcBorders>
                    <w:tl2br w:val="nil"/>
                    <w:tr2bl w:val="nil"/>
                  </w:tcBorders>
                  <w:shd w:val="clear" w:color="auto" w:fill="auto"/>
                  <w:noWrap w:val="0"/>
                  <w:vAlign w:val="center"/>
                </w:tcPr>
                <w:p w14:paraId="7F215660">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en-US"/>
                    </w:rPr>
                    <w:t>室内边界声级/dB</w:t>
                  </w:r>
                  <w:r>
                    <w:rPr>
                      <w:rFonts w:hint="eastAsia" w:cs="Times New Roman"/>
                      <w:color w:val="auto"/>
                      <w:lang w:val="en-US" w:eastAsia="zh-CN"/>
                    </w:rPr>
                    <w:t>（</w:t>
                  </w:r>
                  <w:r>
                    <w:rPr>
                      <w:rFonts w:hint="eastAsia" w:ascii="Times New Roman" w:hAnsi="Times New Roman" w:eastAsia="宋体" w:cs="Times New Roman"/>
                      <w:color w:val="auto"/>
                      <w:lang w:val="en-US" w:eastAsia="en-US"/>
                    </w:rPr>
                    <w:t>A</w:t>
                  </w:r>
                  <w:r>
                    <w:rPr>
                      <w:rFonts w:hint="eastAsia" w:cs="Times New Roman"/>
                      <w:color w:val="auto"/>
                      <w:lang w:val="en-US" w:eastAsia="zh-CN"/>
                    </w:rPr>
                    <w:t>）</w:t>
                  </w:r>
                </w:p>
              </w:tc>
              <w:tc>
                <w:tcPr>
                  <w:tcW w:w="426" w:type="dxa"/>
                  <w:vMerge w:val="restart"/>
                  <w:tcBorders>
                    <w:tl2br w:val="nil"/>
                    <w:tr2bl w:val="nil"/>
                  </w:tcBorders>
                  <w:shd w:val="clear" w:color="auto" w:fill="auto"/>
                  <w:noWrap w:val="0"/>
                  <w:vAlign w:val="center"/>
                </w:tcPr>
                <w:p w14:paraId="6690C714">
                  <w:pPr>
                    <w:jc w:val="center"/>
                    <w:rPr>
                      <w:rFonts w:hint="eastAsia" w:ascii="Times New Roman" w:hAnsi="Times New Roman" w:eastAsia="宋体" w:cs="Times New Roman"/>
                      <w:color w:val="auto"/>
                      <w:lang w:val="en-US" w:eastAsia="en-US"/>
                    </w:rPr>
                  </w:pPr>
                  <w:r>
                    <w:rPr>
                      <w:rFonts w:hint="eastAsia" w:ascii="Times New Roman" w:hAnsi="Times New Roman" w:eastAsia="宋体" w:cs="Times New Roman"/>
                      <w:color w:val="auto"/>
                      <w:lang w:val="en-US" w:eastAsia="en-US"/>
                    </w:rPr>
                    <w:t>运行时段</w:t>
                  </w:r>
                </w:p>
              </w:tc>
              <w:tc>
                <w:tcPr>
                  <w:tcW w:w="788" w:type="dxa"/>
                  <w:vMerge w:val="restart"/>
                  <w:tcBorders>
                    <w:tl2br w:val="nil"/>
                    <w:tr2bl w:val="nil"/>
                  </w:tcBorders>
                  <w:shd w:val="clear" w:color="auto" w:fill="auto"/>
                  <w:noWrap w:val="0"/>
                  <w:vAlign w:val="center"/>
                </w:tcPr>
                <w:p w14:paraId="2E1E28E7">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en-US"/>
                    </w:rPr>
                    <w:t>建筑物插入损失 / dB</w:t>
                  </w:r>
                  <w:r>
                    <w:rPr>
                      <w:rFonts w:hint="eastAsia" w:cs="Times New Roman"/>
                      <w:color w:val="auto"/>
                      <w:lang w:val="en-US" w:eastAsia="zh-CN"/>
                    </w:rPr>
                    <w:t>（</w:t>
                  </w:r>
                  <w:r>
                    <w:rPr>
                      <w:rFonts w:hint="eastAsia" w:ascii="Times New Roman" w:hAnsi="Times New Roman" w:eastAsia="宋体" w:cs="Times New Roman"/>
                      <w:color w:val="auto"/>
                      <w:lang w:val="en-US" w:eastAsia="en-US"/>
                    </w:rPr>
                    <w:t>A</w:t>
                  </w:r>
                  <w:r>
                    <w:rPr>
                      <w:rFonts w:hint="eastAsia" w:cs="Times New Roman"/>
                      <w:color w:val="auto"/>
                      <w:lang w:val="en-US" w:eastAsia="zh-CN"/>
                    </w:rPr>
                    <w:t>）</w:t>
                  </w:r>
                </w:p>
              </w:tc>
              <w:tc>
                <w:tcPr>
                  <w:tcW w:w="1214" w:type="dxa"/>
                  <w:gridSpan w:val="2"/>
                  <w:tcBorders>
                    <w:tl2br w:val="nil"/>
                    <w:tr2bl w:val="nil"/>
                  </w:tcBorders>
                  <w:shd w:val="clear" w:color="auto" w:fill="auto"/>
                  <w:noWrap w:val="0"/>
                  <w:vAlign w:val="center"/>
                </w:tcPr>
                <w:p w14:paraId="2091FC8E">
                  <w:pPr>
                    <w:jc w:val="center"/>
                    <w:rPr>
                      <w:rFonts w:hint="eastAsia" w:ascii="Times New Roman" w:hAnsi="Times New Roman" w:eastAsia="宋体" w:cs="Times New Roman"/>
                      <w:color w:val="auto"/>
                      <w:lang w:val="en-US" w:eastAsia="en-US"/>
                    </w:rPr>
                  </w:pPr>
                  <w:r>
                    <w:rPr>
                      <w:rFonts w:hint="eastAsia" w:ascii="Times New Roman" w:hAnsi="Times New Roman" w:eastAsia="宋体" w:cs="Times New Roman"/>
                      <w:color w:val="auto"/>
                      <w:lang w:val="en-US" w:eastAsia="en-US"/>
                    </w:rPr>
                    <w:t>建筑物外噪声</w:t>
                  </w:r>
                </w:p>
              </w:tc>
            </w:tr>
            <w:tr w14:paraId="3898B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dxa"/>
                  <w:vMerge w:val="continue"/>
                  <w:tcBorders>
                    <w:tl2br w:val="nil"/>
                    <w:tr2bl w:val="nil"/>
                  </w:tcBorders>
                  <w:shd w:val="clear" w:color="auto" w:fill="auto"/>
                  <w:noWrap w:val="0"/>
                  <w:vAlign w:val="center"/>
                </w:tcPr>
                <w:p w14:paraId="34FB2882">
                  <w:pPr>
                    <w:jc w:val="center"/>
                    <w:rPr>
                      <w:rFonts w:hint="eastAsia" w:ascii="Times New Roman" w:hAnsi="Times New Roman" w:eastAsia="宋体" w:cs="Times New Roman"/>
                      <w:color w:val="auto"/>
                      <w:lang w:val="en-US" w:eastAsia="en-US"/>
                    </w:rPr>
                  </w:pPr>
                </w:p>
              </w:tc>
              <w:tc>
                <w:tcPr>
                  <w:tcW w:w="426" w:type="dxa"/>
                  <w:vMerge w:val="continue"/>
                  <w:tcBorders>
                    <w:tl2br w:val="nil"/>
                    <w:tr2bl w:val="nil"/>
                  </w:tcBorders>
                  <w:shd w:val="clear" w:color="auto" w:fill="auto"/>
                  <w:noWrap w:val="0"/>
                  <w:vAlign w:val="center"/>
                </w:tcPr>
                <w:p w14:paraId="4DFB56A1">
                  <w:pPr>
                    <w:jc w:val="center"/>
                    <w:rPr>
                      <w:rFonts w:hint="eastAsia" w:ascii="Times New Roman" w:hAnsi="Times New Roman" w:eastAsia="宋体" w:cs="Times New Roman"/>
                      <w:color w:val="auto"/>
                      <w:lang w:val="en-US" w:eastAsia="en-US"/>
                    </w:rPr>
                  </w:pPr>
                </w:p>
              </w:tc>
              <w:tc>
                <w:tcPr>
                  <w:tcW w:w="426" w:type="dxa"/>
                  <w:vMerge w:val="continue"/>
                  <w:tcBorders>
                    <w:tl2br w:val="nil"/>
                    <w:tr2bl w:val="nil"/>
                  </w:tcBorders>
                  <w:shd w:val="clear" w:color="auto" w:fill="auto"/>
                  <w:noWrap w:val="0"/>
                  <w:vAlign w:val="center"/>
                </w:tcPr>
                <w:p w14:paraId="6216DC21">
                  <w:pPr>
                    <w:jc w:val="center"/>
                    <w:rPr>
                      <w:rFonts w:hint="eastAsia" w:ascii="Times New Roman" w:hAnsi="Times New Roman" w:eastAsia="宋体" w:cs="Times New Roman"/>
                      <w:color w:val="auto"/>
                      <w:lang w:val="en-US" w:eastAsia="en-US"/>
                    </w:rPr>
                  </w:pPr>
                </w:p>
              </w:tc>
              <w:tc>
                <w:tcPr>
                  <w:tcW w:w="426" w:type="dxa"/>
                  <w:vMerge w:val="continue"/>
                  <w:tcBorders>
                    <w:tl2br w:val="nil"/>
                    <w:tr2bl w:val="nil"/>
                  </w:tcBorders>
                  <w:shd w:val="clear" w:color="auto" w:fill="auto"/>
                  <w:noWrap w:val="0"/>
                  <w:vAlign w:val="center"/>
                </w:tcPr>
                <w:p w14:paraId="10B35EE8">
                  <w:pPr>
                    <w:jc w:val="center"/>
                    <w:rPr>
                      <w:rFonts w:hint="eastAsia" w:ascii="Times New Roman" w:hAnsi="Times New Roman" w:eastAsia="宋体" w:cs="Times New Roman"/>
                      <w:color w:val="auto"/>
                      <w:lang w:val="en-US" w:eastAsia="en-US"/>
                    </w:rPr>
                  </w:pPr>
                </w:p>
              </w:tc>
              <w:tc>
                <w:tcPr>
                  <w:tcW w:w="788" w:type="dxa"/>
                  <w:tcBorders>
                    <w:tl2br w:val="nil"/>
                    <w:tr2bl w:val="nil"/>
                  </w:tcBorders>
                  <w:shd w:val="clear" w:color="auto" w:fill="auto"/>
                  <w:noWrap w:val="0"/>
                  <w:vAlign w:val="center"/>
                </w:tcPr>
                <w:p w14:paraId="726065CA">
                  <w:pPr>
                    <w:jc w:val="center"/>
                    <w:rPr>
                      <w:rFonts w:hint="eastAsia" w:ascii="Times New Roman" w:hAnsi="Times New Roman" w:eastAsia="宋体" w:cs="Times New Roman"/>
                      <w:color w:val="auto"/>
                      <w:lang w:val="en-US" w:eastAsia="en-US"/>
                    </w:rPr>
                  </w:pPr>
                  <w:r>
                    <w:rPr>
                      <w:rFonts w:hint="eastAsia" w:ascii="Times New Roman" w:hAnsi="Times New Roman" w:eastAsia="宋体" w:cs="Times New Roman"/>
                      <w:color w:val="auto"/>
                      <w:lang w:val="en-US" w:eastAsia="en-US"/>
                    </w:rPr>
                    <w:t>（声压级/距声源距离）/（dB</w:t>
                  </w:r>
                  <w:r>
                    <w:rPr>
                      <w:rFonts w:hint="eastAsia" w:cs="Times New Roman"/>
                      <w:color w:val="auto"/>
                      <w:lang w:val="en-US" w:eastAsia="zh-CN"/>
                    </w:rPr>
                    <w:t>（</w:t>
                  </w:r>
                  <w:r>
                    <w:rPr>
                      <w:rFonts w:hint="eastAsia" w:ascii="Times New Roman" w:hAnsi="Times New Roman" w:eastAsia="宋体" w:cs="Times New Roman"/>
                      <w:color w:val="auto"/>
                      <w:lang w:val="en-US" w:eastAsia="en-US"/>
                    </w:rPr>
                    <w:t>A</w:t>
                  </w:r>
                  <w:r>
                    <w:rPr>
                      <w:rFonts w:hint="eastAsia" w:cs="Times New Roman"/>
                      <w:color w:val="auto"/>
                      <w:lang w:val="en-US" w:eastAsia="zh-CN"/>
                    </w:rPr>
                    <w:t>）</w:t>
                  </w:r>
                  <w:r>
                    <w:rPr>
                      <w:rFonts w:hint="eastAsia" w:ascii="Times New Roman" w:hAnsi="Times New Roman" w:eastAsia="宋体" w:cs="Times New Roman"/>
                      <w:color w:val="auto"/>
                      <w:lang w:val="en-US" w:eastAsia="en-US"/>
                    </w:rPr>
                    <w:t>/m）</w:t>
                  </w:r>
                </w:p>
              </w:tc>
              <w:tc>
                <w:tcPr>
                  <w:tcW w:w="788" w:type="dxa"/>
                  <w:tcBorders>
                    <w:tl2br w:val="nil"/>
                    <w:tr2bl w:val="nil"/>
                  </w:tcBorders>
                  <w:shd w:val="clear" w:color="auto" w:fill="auto"/>
                  <w:noWrap w:val="0"/>
                  <w:vAlign w:val="center"/>
                </w:tcPr>
                <w:p w14:paraId="7E27A314">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en-US"/>
                    </w:rPr>
                    <w:t>声功率级/dB</w:t>
                  </w:r>
                  <w:r>
                    <w:rPr>
                      <w:rFonts w:hint="eastAsia" w:cs="Times New Roman"/>
                      <w:color w:val="auto"/>
                      <w:lang w:val="en-US" w:eastAsia="zh-CN"/>
                    </w:rPr>
                    <w:t>（</w:t>
                  </w:r>
                  <w:r>
                    <w:rPr>
                      <w:rFonts w:hint="eastAsia" w:ascii="Times New Roman" w:hAnsi="Times New Roman" w:eastAsia="宋体" w:cs="Times New Roman"/>
                      <w:color w:val="auto"/>
                      <w:lang w:val="en-US" w:eastAsia="en-US"/>
                    </w:rPr>
                    <w:t>A</w:t>
                  </w:r>
                  <w:r>
                    <w:rPr>
                      <w:rFonts w:hint="eastAsia" w:cs="Times New Roman"/>
                      <w:color w:val="auto"/>
                      <w:lang w:val="en-US" w:eastAsia="zh-CN"/>
                    </w:rPr>
                    <w:t>）</w:t>
                  </w:r>
                </w:p>
              </w:tc>
              <w:tc>
                <w:tcPr>
                  <w:tcW w:w="636" w:type="dxa"/>
                  <w:vMerge w:val="continue"/>
                  <w:tcBorders>
                    <w:tl2br w:val="nil"/>
                    <w:tr2bl w:val="nil"/>
                  </w:tcBorders>
                  <w:shd w:val="clear" w:color="auto" w:fill="auto"/>
                  <w:noWrap w:val="0"/>
                  <w:vAlign w:val="center"/>
                </w:tcPr>
                <w:p w14:paraId="3B513D13">
                  <w:pPr>
                    <w:jc w:val="center"/>
                    <w:rPr>
                      <w:rFonts w:hint="eastAsia" w:ascii="Times New Roman" w:hAnsi="Times New Roman" w:eastAsia="宋体" w:cs="Times New Roman"/>
                      <w:color w:val="auto"/>
                      <w:lang w:val="en-US" w:eastAsia="en-US"/>
                    </w:rPr>
                  </w:pPr>
                </w:p>
              </w:tc>
              <w:tc>
                <w:tcPr>
                  <w:tcW w:w="426" w:type="dxa"/>
                  <w:tcBorders>
                    <w:tl2br w:val="nil"/>
                    <w:tr2bl w:val="nil"/>
                  </w:tcBorders>
                  <w:shd w:val="clear" w:color="auto" w:fill="auto"/>
                  <w:noWrap w:val="0"/>
                  <w:vAlign w:val="center"/>
                </w:tcPr>
                <w:p w14:paraId="5EAC289E">
                  <w:pPr>
                    <w:jc w:val="center"/>
                    <w:rPr>
                      <w:rFonts w:hint="eastAsia" w:ascii="Times New Roman" w:hAnsi="Times New Roman" w:eastAsia="宋体" w:cs="Times New Roman"/>
                      <w:color w:val="auto"/>
                      <w:lang w:val="en-US" w:eastAsia="en-US"/>
                    </w:rPr>
                  </w:pPr>
                  <w:r>
                    <w:rPr>
                      <w:rFonts w:hint="eastAsia" w:ascii="Times New Roman" w:hAnsi="Times New Roman" w:eastAsia="宋体" w:cs="Times New Roman"/>
                      <w:color w:val="auto"/>
                      <w:lang w:val="en-US" w:eastAsia="en-US"/>
                    </w:rPr>
                    <w:t>X</w:t>
                  </w:r>
                </w:p>
              </w:tc>
              <w:tc>
                <w:tcPr>
                  <w:tcW w:w="426" w:type="dxa"/>
                  <w:tcBorders>
                    <w:tl2br w:val="nil"/>
                    <w:tr2bl w:val="nil"/>
                  </w:tcBorders>
                  <w:shd w:val="clear" w:color="auto" w:fill="auto"/>
                  <w:noWrap w:val="0"/>
                  <w:vAlign w:val="center"/>
                </w:tcPr>
                <w:p w14:paraId="488BDE7C">
                  <w:pPr>
                    <w:jc w:val="center"/>
                    <w:rPr>
                      <w:rFonts w:hint="eastAsia" w:ascii="Times New Roman" w:hAnsi="Times New Roman" w:eastAsia="宋体" w:cs="Times New Roman"/>
                      <w:color w:val="auto"/>
                      <w:lang w:val="en-US" w:eastAsia="en-US"/>
                    </w:rPr>
                  </w:pPr>
                  <w:r>
                    <w:rPr>
                      <w:rFonts w:hint="eastAsia" w:ascii="Times New Roman" w:hAnsi="Times New Roman" w:eastAsia="宋体" w:cs="Times New Roman"/>
                      <w:color w:val="auto"/>
                      <w:lang w:val="en-US" w:eastAsia="en-US"/>
                    </w:rPr>
                    <w:t>Y</w:t>
                  </w:r>
                </w:p>
              </w:tc>
              <w:tc>
                <w:tcPr>
                  <w:tcW w:w="479" w:type="dxa"/>
                  <w:tcBorders>
                    <w:tl2br w:val="nil"/>
                    <w:tr2bl w:val="nil"/>
                  </w:tcBorders>
                  <w:shd w:val="clear" w:color="auto" w:fill="auto"/>
                  <w:noWrap w:val="0"/>
                  <w:vAlign w:val="center"/>
                </w:tcPr>
                <w:p w14:paraId="46D20CBF">
                  <w:pPr>
                    <w:jc w:val="center"/>
                    <w:rPr>
                      <w:rFonts w:hint="eastAsia" w:ascii="Times New Roman" w:hAnsi="Times New Roman" w:eastAsia="宋体" w:cs="Times New Roman"/>
                      <w:color w:val="auto"/>
                      <w:lang w:val="en-US" w:eastAsia="en-US"/>
                    </w:rPr>
                  </w:pPr>
                  <w:r>
                    <w:rPr>
                      <w:rFonts w:hint="eastAsia" w:ascii="Times New Roman" w:hAnsi="Times New Roman" w:eastAsia="宋体" w:cs="Times New Roman"/>
                      <w:color w:val="auto"/>
                      <w:lang w:val="en-US" w:eastAsia="en-US"/>
                    </w:rPr>
                    <w:t>Z</w:t>
                  </w:r>
                </w:p>
              </w:tc>
              <w:tc>
                <w:tcPr>
                  <w:tcW w:w="438" w:type="dxa"/>
                  <w:vMerge w:val="continue"/>
                  <w:tcBorders>
                    <w:tl2br w:val="nil"/>
                    <w:tr2bl w:val="nil"/>
                  </w:tcBorders>
                  <w:shd w:val="clear" w:color="auto" w:fill="auto"/>
                  <w:noWrap w:val="0"/>
                  <w:vAlign w:val="center"/>
                </w:tcPr>
                <w:p w14:paraId="3C97F24E">
                  <w:pPr>
                    <w:jc w:val="center"/>
                    <w:rPr>
                      <w:rFonts w:hint="eastAsia" w:ascii="Times New Roman" w:hAnsi="Times New Roman" w:eastAsia="宋体" w:cs="Times New Roman"/>
                      <w:color w:val="auto"/>
                      <w:lang w:val="en-US" w:eastAsia="en-US"/>
                    </w:rPr>
                  </w:pPr>
                </w:p>
              </w:tc>
              <w:tc>
                <w:tcPr>
                  <w:tcW w:w="788" w:type="dxa"/>
                  <w:vMerge w:val="continue"/>
                  <w:tcBorders>
                    <w:tl2br w:val="nil"/>
                    <w:tr2bl w:val="nil"/>
                  </w:tcBorders>
                  <w:shd w:val="clear" w:color="auto" w:fill="auto"/>
                  <w:noWrap w:val="0"/>
                  <w:vAlign w:val="center"/>
                </w:tcPr>
                <w:p w14:paraId="4C08A615">
                  <w:pPr>
                    <w:jc w:val="center"/>
                    <w:rPr>
                      <w:rFonts w:hint="eastAsia" w:ascii="Times New Roman" w:hAnsi="Times New Roman" w:eastAsia="宋体" w:cs="Times New Roman"/>
                      <w:color w:val="auto"/>
                      <w:lang w:val="en-US" w:eastAsia="en-US"/>
                    </w:rPr>
                  </w:pPr>
                </w:p>
              </w:tc>
              <w:tc>
                <w:tcPr>
                  <w:tcW w:w="426" w:type="dxa"/>
                  <w:vMerge w:val="continue"/>
                  <w:tcBorders>
                    <w:tl2br w:val="nil"/>
                    <w:tr2bl w:val="nil"/>
                  </w:tcBorders>
                  <w:shd w:val="clear" w:color="auto" w:fill="auto"/>
                  <w:noWrap w:val="0"/>
                  <w:vAlign w:val="center"/>
                </w:tcPr>
                <w:p w14:paraId="296E963B">
                  <w:pPr>
                    <w:jc w:val="center"/>
                    <w:rPr>
                      <w:rFonts w:hint="eastAsia" w:ascii="Times New Roman" w:hAnsi="Times New Roman" w:eastAsia="宋体" w:cs="Times New Roman"/>
                      <w:color w:val="auto"/>
                      <w:lang w:val="en-US" w:eastAsia="en-US"/>
                    </w:rPr>
                  </w:pPr>
                </w:p>
              </w:tc>
              <w:tc>
                <w:tcPr>
                  <w:tcW w:w="788" w:type="dxa"/>
                  <w:vMerge w:val="continue"/>
                  <w:tcBorders>
                    <w:tl2br w:val="nil"/>
                    <w:tr2bl w:val="nil"/>
                  </w:tcBorders>
                  <w:shd w:val="clear" w:color="auto" w:fill="auto"/>
                  <w:noWrap w:val="0"/>
                  <w:vAlign w:val="center"/>
                </w:tcPr>
                <w:p w14:paraId="17C81664">
                  <w:pPr>
                    <w:jc w:val="center"/>
                    <w:rPr>
                      <w:rFonts w:hint="eastAsia" w:ascii="Times New Roman" w:hAnsi="Times New Roman" w:eastAsia="宋体" w:cs="Times New Roman"/>
                      <w:color w:val="auto"/>
                      <w:lang w:val="en-US" w:eastAsia="en-US"/>
                    </w:rPr>
                  </w:pPr>
                </w:p>
              </w:tc>
              <w:tc>
                <w:tcPr>
                  <w:tcW w:w="788" w:type="dxa"/>
                  <w:tcBorders>
                    <w:tl2br w:val="nil"/>
                    <w:tr2bl w:val="nil"/>
                  </w:tcBorders>
                  <w:shd w:val="clear" w:color="auto" w:fill="auto"/>
                  <w:noWrap w:val="0"/>
                  <w:vAlign w:val="center"/>
                </w:tcPr>
                <w:p w14:paraId="1603153B">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en-US"/>
                    </w:rPr>
                    <w:t>声压级/dB</w:t>
                  </w:r>
                  <w:r>
                    <w:rPr>
                      <w:rFonts w:hint="eastAsia" w:cs="Times New Roman"/>
                      <w:color w:val="auto"/>
                      <w:lang w:val="en-US" w:eastAsia="zh-CN"/>
                    </w:rPr>
                    <w:t>（</w:t>
                  </w:r>
                  <w:r>
                    <w:rPr>
                      <w:rFonts w:hint="eastAsia" w:ascii="Times New Roman" w:hAnsi="Times New Roman" w:eastAsia="宋体" w:cs="Times New Roman"/>
                      <w:color w:val="auto"/>
                      <w:lang w:val="en-US" w:eastAsia="en-US"/>
                    </w:rPr>
                    <w:t>A</w:t>
                  </w:r>
                  <w:r>
                    <w:rPr>
                      <w:rFonts w:hint="eastAsia" w:cs="Times New Roman"/>
                      <w:color w:val="auto"/>
                      <w:lang w:val="en-US" w:eastAsia="zh-CN"/>
                    </w:rPr>
                    <w:t>）</w:t>
                  </w:r>
                </w:p>
              </w:tc>
              <w:tc>
                <w:tcPr>
                  <w:tcW w:w="426" w:type="dxa"/>
                  <w:tcBorders>
                    <w:tl2br w:val="nil"/>
                    <w:tr2bl w:val="nil"/>
                  </w:tcBorders>
                  <w:shd w:val="clear" w:color="auto" w:fill="auto"/>
                  <w:noWrap w:val="0"/>
                  <w:vAlign w:val="center"/>
                </w:tcPr>
                <w:p w14:paraId="3A395680">
                  <w:pPr>
                    <w:jc w:val="center"/>
                    <w:rPr>
                      <w:rFonts w:hint="eastAsia" w:ascii="Times New Roman" w:hAnsi="Times New Roman" w:eastAsia="宋体" w:cs="Times New Roman"/>
                      <w:color w:val="auto"/>
                      <w:lang w:val="en-US" w:eastAsia="en-US"/>
                    </w:rPr>
                  </w:pPr>
                  <w:r>
                    <w:rPr>
                      <w:rFonts w:hint="eastAsia" w:ascii="Times New Roman" w:hAnsi="Times New Roman" w:eastAsia="宋体" w:cs="Times New Roman"/>
                      <w:color w:val="auto"/>
                      <w:lang w:val="en-US" w:eastAsia="en-US"/>
                    </w:rPr>
                    <w:t>建筑物外距离</w:t>
                  </w:r>
                </w:p>
              </w:tc>
            </w:tr>
            <w:tr w14:paraId="5E76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dxa"/>
                  <w:tcBorders>
                    <w:tl2br w:val="nil"/>
                    <w:tr2bl w:val="nil"/>
                  </w:tcBorders>
                  <w:shd w:val="clear" w:color="auto" w:fill="auto"/>
                  <w:noWrap w:val="0"/>
                  <w:vAlign w:val="center"/>
                </w:tcPr>
                <w:p w14:paraId="46E63FE9">
                  <w:pPr>
                    <w:jc w:val="center"/>
                    <w:rPr>
                      <w:rFonts w:hint="eastAsia" w:ascii="Times New Roman" w:hAnsi="Times New Roman" w:eastAsia="宋体" w:cs="Times New Roman"/>
                      <w:color w:val="auto"/>
                      <w:lang w:val="en-US" w:eastAsia="en-US"/>
                    </w:rPr>
                  </w:pPr>
                  <w:r>
                    <w:rPr>
                      <w:rFonts w:hint="eastAsia" w:ascii="Times New Roman" w:hAnsi="Times New Roman" w:eastAsia="宋体" w:cs="Times New Roman"/>
                      <w:color w:val="auto"/>
                      <w:lang w:val="en-US" w:eastAsia="en-US"/>
                    </w:rPr>
                    <w:t>1</w:t>
                  </w:r>
                </w:p>
              </w:tc>
              <w:tc>
                <w:tcPr>
                  <w:tcW w:w="426" w:type="dxa"/>
                  <w:tcBorders>
                    <w:tl2br w:val="nil"/>
                    <w:tr2bl w:val="nil"/>
                  </w:tcBorders>
                  <w:shd w:val="clear" w:color="auto" w:fill="auto"/>
                  <w:noWrap w:val="0"/>
                  <w:vAlign w:val="center"/>
                </w:tcPr>
                <w:p w14:paraId="7E1CB318">
                  <w:pPr>
                    <w:jc w:val="center"/>
                    <w:rPr>
                      <w:rFonts w:hint="eastAsia" w:ascii="Times New Roman" w:hAnsi="Times New Roman" w:eastAsia="宋体" w:cs="Times New Roman"/>
                      <w:color w:val="auto"/>
                      <w:lang w:val="en-US" w:eastAsia="en-US"/>
                    </w:rPr>
                  </w:pPr>
                  <w:r>
                    <w:rPr>
                      <w:rFonts w:hint="eastAsia" w:ascii="Times New Roman" w:hAnsi="Times New Roman" w:cs="Times New Roman"/>
                      <w:color w:val="auto"/>
                      <w:lang w:val="en-US" w:eastAsia="zh-CN"/>
                    </w:rPr>
                    <w:t>计量喂料系统</w:t>
                  </w:r>
                </w:p>
              </w:tc>
              <w:tc>
                <w:tcPr>
                  <w:tcW w:w="426" w:type="dxa"/>
                  <w:tcBorders>
                    <w:tl2br w:val="nil"/>
                    <w:tr2bl w:val="nil"/>
                  </w:tcBorders>
                  <w:shd w:val="clear" w:color="auto" w:fill="auto"/>
                  <w:noWrap w:val="0"/>
                  <w:vAlign w:val="center"/>
                </w:tcPr>
                <w:p w14:paraId="2B35DA19">
                  <w:pPr>
                    <w:jc w:val="center"/>
                    <w:rPr>
                      <w:rFonts w:hint="eastAsia" w:ascii="Times New Roman" w:hAnsi="Times New Roman" w:eastAsia="宋体" w:cs="Times New Roman"/>
                      <w:color w:val="auto"/>
                      <w:lang w:val="en-US" w:eastAsia="en-US"/>
                    </w:rPr>
                  </w:pPr>
                  <w:r>
                    <w:rPr>
                      <w:rFonts w:hint="eastAsia" w:ascii="Times New Roman" w:hAnsi="Times New Roman" w:cs="Times New Roman"/>
                      <w:color w:val="auto"/>
                      <w:lang w:val="en-US" w:eastAsia="zh-CN"/>
                    </w:rPr>
                    <w:t>电动葫芦</w:t>
                  </w:r>
                </w:p>
              </w:tc>
              <w:tc>
                <w:tcPr>
                  <w:tcW w:w="426" w:type="dxa"/>
                  <w:tcBorders>
                    <w:tl2br w:val="nil"/>
                    <w:tr2bl w:val="nil"/>
                  </w:tcBorders>
                  <w:shd w:val="clear" w:color="auto" w:fill="auto"/>
                  <w:noWrap w:val="0"/>
                  <w:vAlign w:val="center"/>
                </w:tcPr>
                <w:p w14:paraId="303F99C7">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载荷5t</w:t>
                  </w:r>
                </w:p>
              </w:tc>
              <w:tc>
                <w:tcPr>
                  <w:tcW w:w="788" w:type="dxa"/>
                  <w:tcBorders>
                    <w:tl2br w:val="nil"/>
                    <w:tr2bl w:val="nil"/>
                  </w:tcBorders>
                  <w:shd w:val="clear" w:color="auto" w:fill="auto"/>
                  <w:noWrap w:val="0"/>
                  <w:vAlign w:val="center"/>
                </w:tcPr>
                <w:p w14:paraId="6999048E">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788" w:type="dxa"/>
                  <w:tcBorders>
                    <w:tl2br w:val="nil"/>
                    <w:tr2bl w:val="nil"/>
                  </w:tcBorders>
                  <w:shd w:val="clear" w:color="auto" w:fill="auto"/>
                  <w:noWrap w:val="0"/>
                  <w:vAlign w:val="center"/>
                </w:tcPr>
                <w:p w14:paraId="27A0AFE9">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80</w:t>
                  </w:r>
                </w:p>
              </w:tc>
              <w:tc>
                <w:tcPr>
                  <w:tcW w:w="636" w:type="dxa"/>
                  <w:tcBorders>
                    <w:tl2br w:val="nil"/>
                    <w:tr2bl w:val="nil"/>
                  </w:tcBorders>
                  <w:shd w:val="clear" w:color="auto" w:fill="auto"/>
                  <w:noWrap w:val="0"/>
                  <w:vAlign w:val="center"/>
                </w:tcPr>
                <w:p w14:paraId="1393BBD7">
                  <w:pPr>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选用低噪声设备，设置减震基座，厂房隔声</w:t>
                  </w:r>
                </w:p>
              </w:tc>
              <w:tc>
                <w:tcPr>
                  <w:tcW w:w="426" w:type="dxa"/>
                  <w:tcBorders>
                    <w:tl2br w:val="nil"/>
                    <w:tr2bl w:val="nil"/>
                  </w:tcBorders>
                  <w:shd w:val="clear" w:color="auto" w:fill="auto"/>
                  <w:noWrap w:val="0"/>
                  <w:vAlign w:val="center"/>
                </w:tcPr>
                <w:p w14:paraId="04EDE5A7">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32</w:t>
                  </w:r>
                </w:p>
              </w:tc>
              <w:tc>
                <w:tcPr>
                  <w:tcW w:w="426" w:type="dxa"/>
                  <w:tcBorders>
                    <w:tl2br w:val="nil"/>
                    <w:tr2bl w:val="nil"/>
                  </w:tcBorders>
                  <w:shd w:val="clear" w:color="auto" w:fill="auto"/>
                  <w:noWrap w:val="0"/>
                  <w:vAlign w:val="center"/>
                </w:tcPr>
                <w:p w14:paraId="42D35051">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41</w:t>
                  </w:r>
                </w:p>
              </w:tc>
              <w:tc>
                <w:tcPr>
                  <w:tcW w:w="479" w:type="dxa"/>
                  <w:tcBorders>
                    <w:tl2br w:val="nil"/>
                    <w:tr2bl w:val="nil"/>
                  </w:tcBorders>
                  <w:shd w:val="clear" w:color="auto" w:fill="auto"/>
                  <w:noWrap w:val="0"/>
                  <w:vAlign w:val="center"/>
                </w:tcPr>
                <w:p w14:paraId="4C5CD6D5">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w:t>
                  </w:r>
                </w:p>
              </w:tc>
              <w:tc>
                <w:tcPr>
                  <w:tcW w:w="438" w:type="dxa"/>
                  <w:tcBorders>
                    <w:tl2br w:val="nil"/>
                    <w:tr2bl w:val="nil"/>
                  </w:tcBorders>
                  <w:shd w:val="clear" w:color="auto" w:fill="auto"/>
                  <w:noWrap w:val="0"/>
                  <w:vAlign w:val="center"/>
                </w:tcPr>
                <w:p w14:paraId="271F0A27">
                  <w:pPr>
                    <w:jc w:val="center"/>
                    <w:rPr>
                      <w:rFonts w:hint="eastAsia" w:ascii="Times New Roman" w:hAnsi="Times New Roman" w:eastAsia="宋体" w:cs="Times New Roman"/>
                      <w:color w:val="auto"/>
                      <w:lang w:val="en-US" w:eastAsia="en-US"/>
                    </w:rPr>
                  </w:pPr>
                  <w:r>
                    <w:rPr>
                      <w:rFonts w:hint="eastAsia" w:ascii="Times New Roman" w:hAnsi="Times New Roman" w:eastAsia="宋体" w:cs="Times New Roman"/>
                      <w:color w:val="auto"/>
                      <w:lang w:val="en-US" w:eastAsia="en-US"/>
                    </w:rPr>
                    <w:t>1</w:t>
                  </w:r>
                </w:p>
              </w:tc>
              <w:tc>
                <w:tcPr>
                  <w:tcW w:w="788" w:type="dxa"/>
                  <w:tcBorders>
                    <w:tl2br w:val="nil"/>
                    <w:tr2bl w:val="nil"/>
                  </w:tcBorders>
                  <w:shd w:val="clear" w:color="auto" w:fill="auto"/>
                  <w:noWrap w:val="0"/>
                  <w:vAlign w:val="center"/>
                </w:tcPr>
                <w:p w14:paraId="721FD1C0">
                  <w:pPr>
                    <w:jc w:val="center"/>
                    <w:rPr>
                      <w:rFonts w:hint="eastAsia" w:ascii="Times New Roman" w:hAnsi="Times New Roman" w:eastAsia="宋体" w:cs="Times New Roman"/>
                      <w:color w:val="auto"/>
                      <w:lang w:val="en-US" w:eastAsia="en-US"/>
                    </w:rPr>
                  </w:pPr>
                  <w:r>
                    <w:rPr>
                      <w:rFonts w:hint="eastAsia" w:ascii="Times New Roman" w:hAnsi="Times New Roman" w:eastAsia="宋体" w:cs="Times New Roman"/>
                      <w:color w:val="auto"/>
                      <w:lang w:val="en-US" w:eastAsia="zh-CN"/>
                    </w:rPr>
                    <w:t>55</w:t>
                  </w:r>
                  <w:r>
                    <w:rPr>
                      <w:rFonts w:hint="eastAsia" w:ascii="Times New Roman" w:hAnsi="Times New Roman" w:eastAsia="宋体" w:cs="Times New Roman"/>
                      <w:color w:val="auto"/>
                      <w:lang w:val="en-US" w:eastAsia="en-US"/>
                    </w:rPr>
                    <w:t>.0</w:t>
                  </w:r>
                </w:p>
              </w:tc>
              <w:tc>
                <w:tcPr>
                  <w:tcW w:w="426" w:type="dxa"/>
                  <w:tcBorders>
                    <w:tl2br w:val="nil"/>
                    <w:tr2bl w:val="nil"/>
                  </w:tcBorders>
                  <w:shd w:val="clear" w:color="auto" w:fill="auto"/>
                  <w:noWrap w:val="0"/>
                  <w:vAlign w:val="center"/>
                </w:tcPr>
                <w:p w14:paraId="4DC6F166">
                  <w:pPr>
                    <w:jc w:val="center"/>
                    <w:rPr>
                      <w:rFonts w:hint="eastAsia" w:ascii="Times New Roman" w:hAnsi="Times New Roman" w:eastAsia="宋体" w:cs="Times New Roman"/>
                      <w:color w:val="auto"/>
                      <w:lang w:val="en-US" w:eastAsia="en-US"/>
                    </w:rPr>
                  </w:pPr>
                  <w:r>
                    <w:rPr>
                      <w:rFonts w:hint="eastAsia" w:ascii="Times New Roman" w:hAnsi="Times New Roman" w:eastAsia="宋体" w:cs="Times New Roman"/>
                      <w:color w:val="auto"/>
                      <w:lang w:val="en-US" w:eastAsia="zh-CN"/>
                    </w:rPr>
                    <w:t>昼/夜间</w:t>
                  </w:r>
                </w:p>
              </w:tc>
              <w:tc>
                <w:tcPr>
                  <w:tcW w:w="788" w:type="dxa"/>
                  <w:tcBorders>
                    <w:tl2br w:val="nil"/>
                    <w:tr2bl w:val="nil"/>
                  </w:tcBorders>
                  <w:shd w:val="clear" w:color="auto" w:fill="auto"/>
                  <w:noWrap w:val="0"/>
                  <w:vAlign w:val="center"/>
                </w:tcPr>
                <w:p w14:paraId="17DE8866">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15</w:t>
                  </w:r>
                </w:p>
              </w:tc>
              <w:tc>
                <w:tcPr>
                  <w:tcW w:w="788" w:type="dxa"/>
                  <w:tcBorders>
                    <w:tl2br w:val="nil"/>
                    <w:tr2bl w:val="nil"/>
                  </w:tcBorders>
                  <w:shd w:val="clear" w:color="auto" w:fill="auto"/>
                  <w:noWrap w:val="0"/>
                  <w:vAlign w:val="center"/>
                </w:tcPr>
                <w:p w14:paraId="69A8AE2D">
                  <w:pPr>
                    <w:jc w:val="center"/>
                    <w:rPr>
                      <w:rFonts w:hint="eastAsia" w:ascii="Times New Roman" w:hAnsi="Times New Roman" w:eastAsia="宋体" w:cs="Times New Roman"/>
                      <w:color w:val="auto"/>
                      <w:lang w:val="en-US" w:eastAsia="en-US"/>
                    </w:rPr>
                  </w:pPr>
                  <w:r>
                    <w:rPr>
                      <w:rFonts w:hint="eastAsia" w:ascii="Times New Roman" w:hAnsi="Times New Roman" w:eastAsia="宋体" w:cs="Times New Roman"/>
                      <w:color w:val="auto"/>
                      <w:lang w:val="en-US" w:eastAsia="zh-CN"/>
                    </w:rPr>
                    <w:t>40</w:t>
                  </w:r>
                  <w:r>
                    <w:rPr>
                      <w:rFonts w:hint="eastAsia" w:ascii="Times New Roman" w:hAnsi="Times New Roman" w:eastAsia="宋体" w:cs="Times New Roman"/>
                      <w:color w:val="auto"/>
                      <w:lang w:val="en-US" w:eastAsia="en-US"/>
                    </w:rPr>
                    <w:t>.0</w:t>
                  </w:r>
                </w:p>
              </w:tc>
              <w:tc>
                <w:tcPr>
                  <w:tcW w:w="426" w:type="dxa"/>
                  <w:tcBorders>
                    <w:tl2br w:val="nil"/>
                    <w:tr2bl w:val="nil"/>
                  </w:tcBorders>
                  <w:shd w:val="clear" w:color="auto" w:fill="auto"/>
                  <w:noWrap w:val="0"/>
                  <w:vAlign w:val="center"/>
                </w:tcPr>
                <w:p w14:paraId="7A358798">
                  <w:pPr>
                    <w:jc w:val="center"/>
                    <w:rPr>
                      <w:rFonts w:hint="eastAsia" w:ascii="Times New Roman" w:hAnsi="Times New Roman" w:eastAsia="宋体" w:cs="Times New Roman"/>
                      <w:color w:val="auto"/>
                      <w:lang w:val="en-US" w:eastAsia="en-US"/>
                    </w:rPr>
                  </w:pPr>
                  <w:r>
                    <w:rPr>
                      <w:rFonts w:hint="eastAsia" w:ascii="Times New Roman" w:hAnsi="Times New Roman" w:eastAsia="宋体" w:cs="Times New Roman"/>
                      <w:color w:val="auto"/>
                      <w:lang w:val="en-US" w:eastAsia="en-US"/>
                    </w:rPr>
                    <w:t>1</w:t>
                  </w:r>
                </w:p>
              </w:tc>
            </w:tr>
          </w:tbl>
          <w:p w14:paraId="797AF33B">
            <w:pPr>
              <w:widowControl/>
              <w:numPr>
                <w:ilvl w:val="0"/>
                <w:numId w:val="0"/>
              </w:numPr>
              <w:snapToGrid w:val="0"/>
              <w:spacing w:line="360" w:lineRule="auto"/>
              <w:ind w:firstLine="480" w:firstLineChars="200"/>
              <w:jc w:val="left"/>
              <w:rPr>
                <w:rFonts w:hint="eastAsia"/>
                <w:sz w:val="24"/>
                <w:szCs w:val="24"/>
                <w:lang w:val="en-US" w:eastAsia="zh-CN"/>
              </w:rPr>
            </w:pPr>
            <w:r>
              <w:rPr>
                <w:rFonts w:hint="eastAsia" w:ascii="Times New Roman" w:hAnsi="Times New Roman" w:eastAsia="宋体" w:cs="Times New Roman"/>
                <w:kern w:val="2"/>
                <w:sz w:val="24"/>
                <w:szCs w:val="24"/>
                <w:lang w:val="en-US" w:eastAsia="zh-CN" w:bidi="ar-SA"/>
              </w:rPr>
              <w:t>2、</w:t>
            </w:r>
            <w:r>
              <w:rPr>
                <w:rFonts w:hint="eastAsia"/>
                <w:sz w:val="24"/>
                <w:szCs w:val="24"/>
                <w:lang w:val="en-US" w:eastAsia="zh-CN"/>
              </w:rPr>
              <w:t>降噪措施</w:t>
            </w:r>
          </w:p>
          <w:p w14:paraId="5490F2DB">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480" w:firstLineChars="200"/>
              <w:jc w:val="left"/>
              <w:textAlignment w:val="auto"/>
              <w:rPr>
                <w:rFonts w:hint="default"/>
                <w:sz w:val="24"/>
                <w:szCs w:val="24"/>
                <w:lang w:val="en-US" w:eastAsia="zh-CN"/>
              </w:rPr>
            </w:pPr>
            <w:r>
              <w:rPr>
                <w:rFonts w:hint="default"/>
                <w:sz w:val="24"/>
                <w:szCs w:val="24"/>
                <w:lang w:val="en-US" w:eastAsia="zh-CN"/>
              </w:rPr>
              <w:t>本项目为降低设备噪声对周围环境的影响，提出以下防治措施：</w:t>
            </w:r>
          </w:p>
          <w:p w14:paraId="722A8D39">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480" w:firstLineChars="200"/>
              <w:jc w:val="left"/>
              <w:textAlignment w:val="auto"/>
              <w:rPr>
                <w:rFonts w:hint="default"/>
                <w:sz w:val="24"/>
                <w:szCs w:val="24"/>
                <w:lang w:val="en-US" w:eastAsia="zh-CN"/>
              </w:rPr>
            </w:pPr>
            <w:r>
              <w:rPr>
                <w:rFonts w:hint="default"/>
                <w:sz w:val="24"/>
                <w:szCs w:val="24"/>
                <w:lang w:val="en-US" w:eastAsia="zh-CN"/>
              </w:rPr>
              <w:t>（1）合理布局：按照《工业企业噪声控制设计规范》对厂内主要噪声源进行合理布局</w:t>
            </w:r>
            <w:r>
              <w:rPr>
                <w:rFonts w:hint="eastAsia"/>
                <w:sz w:val="24"/>
                <w:szCs w:val="24"/>
                <w:lang w:val="en-US" w:eastAsia="zh-CN"/>
              </w:rPr>
              <w:t>；</w:t>
            </w:r>
            <w:r>
              <w:rPr>
                <w:rFonts w:hint="default"/>
                <w:sz w:val="24"/>
                <w:szCs w:val="24"/>
                <w:lang w:val="en-US" w:eastAsia="zh-CN"/>
              </w:rPr>
              <w:t>在车间工艺设计时，高噪声工段与低噪声工段宜分开布置</w:t>
            </w:r>
            <w:r>
              <w:rPr>
                <w:rFonts w:hint="eastAsia"/>
                <w:sz w:val="24"/>
                <w:szCs w:val="24"/>
                <w:lang w:val="en-US" w:eastAsia="zh-CN"/>
              </w:rPr>
              <w:t>；</w:t>
            </w:r>
            <w:r>
              <w:rPr>
                <w:rFonts w:hint="default"/>
                <w:sz w:val="24"/>
                <w:szCs w:val="24"/>
                <w:lang w:val="en-US" w:eastAsia="zh-CN"/>
              </w:rPr>
              <w:t>从厂区整体布局上考虑，将高噪声设备安置在单独的房间内或者将其安置在远离厂区边缘的区域，通过厂房的墙壁阻隔作用达到削弱噪声意图。</w:t>
            </w:r>
          </w:p>
          <w:p w14:paraId="39303CB2">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480" w:firstLineChars="200"/>
              <w:jc w:val="left"/>
              <w:textAlignment w:val="auto"/>
              <w:rPr>
                <w:rFonts w:hint="default"/>
                <w:sz w:val="24"/>
                <w:szCs w:val="24"/>
                <w:lang w:val="en-US" w:eastAsia="zh-CN"/>
              </w:rPr>
            </w:pPr>
            <w:r>
              <w:rPr>
                <w:rFonts w:hint="default"/>
                <w:sz w:val="24"/>
                <w:szCs w:val="24"/>
                <w:lang w:val="en-US" w:eastAsia="zh-CN"/>
              </w:rPr>
              <w:t>（2）强化治理：声源处控制，在满足生产的条件下，尽量选用低噪声设备替换高噪声设备；尽量选用低噪声工艺替代高噪声工艺</w:t>
            </w:r>
            <w:r>
              <w:rPr>
                <w:rFonts w:hint="eastAsia"/>
                <w:sz w:val="24"/>
                <w:szCs w:val="24"/>
                <w:lang w:val="en-US" w:eastAsia="zh-CN"/>
              </w:rPr>
              <w:t>；</w:t>
            </w:r>
            <w:r>
              <w:rPr>
                <w:rFonts w:hint="default"/>
                <w:sz w:val="24"/>
                <w:szCs w:val="24"/>
                <w:lang w:val="en-US" w:eastAsia="zh-CN"/>
              </w:rPr>
              <w:t>传播途中控制，通过隔声、消声、吸声、隔振以及综合控制等措施控制噪声污染，在传播途中削弱噪声污染。</w:t>
            </w:r>
          </w:p>
          <w:p w14:paraId="243F9B99">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480" w:firstLineChars="200"/>
              <w:jc w:val="left"/>
              <w:textAlignment w:val="auto"/>
              <w:rPr>
                <w:rFonts w:hint="default"/>
                <w:sz w:val="24"/>
                <w:szCs w:val="24"/>
                <w:lang w:val="en-US" w:eastAsia="zh-CN"/>
              </w:rPr>
            </w:pPr>
            <w:r>
              <w:rPr>
                <w:rFonts w:hint="default"/>
                <w:sz w:val="24"/>
                <w:szCs w:val="24"/>
                <w:lang w:val="en-US" w:eastAsia="zh-CN"/>
              </w:rPr>
              <w:t>（3）加强生产管理：建立设备定期检修维护保养的管理制度，以防止设备故障形成的非正常生产噪声</w:t>
            </w:r>
            <w:r>
              <w:rPr>
                <w:rFonts w:hint="eastAsia"/>
                <w:sz w:val="24"/>
                <w:szCs w:val="24"/>
                <w:lang w:val="en-US" w:eastAsia="zh-CN"/>
              </w:rPr>
              <w:t>；</w:t>
            </w:r>
            <w:r>
              <w:rPr>
                <w:rFonts w:hint="default"/>
                <w:sz w:val="24"/>
                <w:szCs w:val="24"/>
                <w:lang w:val="en-US" w:eastAsia="zh-CN"/>
              </w:rPr>
              <w:t>加强职工生产培训，以减少因员工操作不当导致的非正常生产噪声</w:t>
            </w:r>
            <w:r>
              <w:rPr>
                <w:rFonts w:hint="eastAsia"/>
                <w:sz w:val="24"/>
                <w:szCs w:val="24"/>
                <w:lang w:val="en-US" w:eastAsia="zh-CN"/>
              </w:rPr>
              <w:t>；</w:t>
            </w:r>
            <w:r>
              <w:rPr>
                <w:rFonts w:hint="default"/>
                <w:sz w:val="24"/>
                <w:szCs w:val="24"/>
                <w:lang w:val="en-US" w:eastAsia="zh-CN"/>
              </w:rPr>
              <w:t>定期维护环保设施，确保可以有效发挥其自身的治理能力。</w:t>
            </w:r>
          </w:p>
          <w:p w14:paraId="2E3C0800">
            <w:pPr>
              <w:widowControl/>
              <w:snapToGrid w:val="0"/>
              <w:spacing w:line="360" w:lineRule="auto"/>
              <w:ind w:firstLine="480" w:firstLineChars="200"/>
              <w:jc w:val="left"/>
              <w:rPr>
                <w:rFonts w:hint="eastAsia" w:eastAsia="宋体"/>
                <w:sz w:val="24"/>
                <w:szCs w:val="24"/>
                <w:lang w:val="en-US" w:eastAsia="zh-CN"/>
              </w:rPr>
            </w:pPr>
            <w:r>
              <w:rPr>
                <w:rFonts w:hint="eastAsia"/>
                <w:sz w:val="24"/>
                <w:szCs w:val="24"/>
                <w:lang w:val="en-US" w:eastAsia="zh-CN"/>
              </w:rPr>
              <w:t>3、达标分析</w:t>
            </w:r>
          </w:p>
          <w:p w14:paraId="3A332EB6">
            <w:pPr>
              <w:widowControl/>
              <w:snapToGrid w:val="0"/>
              <w:spacing w:line="360" w:lineRule="auto"/>
              <w:ind w:firstLine="480" w:firstLineChars="200"/>
              <w:jc w:val="left"/>
              <w:rPr>
                <w:sz w:val="24"/>
                <w:szCs w:val="24"/>
              </w:rPr>
            </w:pPr>
            <w:r>
              <w:rPr>
                <w:sz w:val="24"/>
                <w:szCs w:val="24"/>
              </w:rPr>
              <w:t>采用《环境影响评价技术导则—声环境》（HJ2.4－2021）中的工业噪声预测模式。工业声源有室外和室内两种声源，应分别计算。可根据预测点和声源之间的距离r，根据声源发出声波的波阵面，将声源划分为点声源、线声源、面声源后进行预测。在环境影响评价中遇到的实际声源一般将其划分为点声源进行预测。拟建项目对声环境产生影响的主要噪声源，按其辐射噪声和结构特点，安装位置的环境条件以及噪声源至预测点的距离等因素进行判断，逐一计算某一声源在预测点上产生的声压级（dB）。</w:t>
            </w:r>
          </w:p>
          <w:p w14:paraId="6123ECD2">
            <w:pPr>
              <w:widowControl/>
              <w:snapToGrid w:val="0"/>
              <w:spacing w:line="360" w:lineRule="auto"/>
              <w:ind w:firstLine="480" w:firstLineChars="200"/>
              <w:jc w:val="left"/>
              <w:rPr>
                <w:sz w:val="24"/>
                <w:szCs w:val="24"/>
              </w:rPr>
            </w:pP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sz w:val="24"/>
                <w:szCs w:val="24"/>
              </w:rPr>
              <w:t>室内声源</w:t>
            </w:r>
          </w:p>
          <w:p w14:paraId="7664E163">
            <w:pPr>
              <w:widowControl/>
              <w:snapToGrid w:val="0"/>
              <w:spacing w:line="360" w:lineRule="auto"/>
              <w:ind w:firstLine="480" w:firstLineChars="200"/>
              <w:jc w:val="left"/>
              <w:rPr>
                <w:sz w:val="24"/>
                <w:szCs w:val="24"/>
              </w:rPr>
            </w:pPr>
            <w:r>
              <w:rPr>
                <w:rFonts w:hint="eastAsia"/>
                <w:sz w:val="24"/>
                <w:szCs w:val="24"/>
              </w:rPr>
              <w:t>①</w:t>
            </w:r>
            <w:r>
              <w:rPr>
                <w:sz w:val="24"/>
                <w:szCs w:val="24"/>
              </w:rPr>
              <w:t>结合下式计算某个室内声源在靠近围护结构处产生的倍频带声压级：</w:t>
            </w:r>
          </w:p>
          <w:p w14:paraId="43437E10">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sz w:val="24"/>
                <w:szCs w:val="24"/>
              </w:rPr>
            </w:pPr>
            <w:r>
              <w:rPr>
                <w:sz w:val="24"/>
                <w:szCs w:val="24"/>
              </w:rPr>
              <w:drawing>
                <wp:inline distT="0" distB="0" distL="114300" distR="114300">
                  <wp:extent cx="1943100" cy="480060"/>
                  <wp:effectExtent l="0" t="0" r="0" b="15240"/>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18"/>
                          <a:stretch>
                            <a:fillRect/>
                          </a:stretch>
                        </pic:blipFill>
                        <pic:spPr>
                          <a:xfrm>
                            <a:off x="0" y="0"/>
                            <a:ext cx="1943100" cy="480060"/>
                          </a:xfrm>
                          <a:prstGeom prst="rect">
                            <a:avLst/>
                          </a:prstGeom>
                          <a:noFill/>
                          <a:ln>
                            <a:noFill/>
                          </a:ln>
                        </pic:spPr>
                      </pic:pic>
                    </a:graphicData>
                  </a:graphic>
                </wp:inline>
              </w:drawing>
            </w:r>
          </w:p>
          <w:p w14:paraId="5C560AE6">
            <w:pPr>
              <w:widowControl/>
              <w:snapToGrid w:val="0"/>
              <w:spacing w:line="360" w:lineRule="auto"/>
              <w:ind w:firstLine="480" w:firstLineChars="200"/>
              <w:jc w:val="left"/>
              <w:rPr>
                <w:sz w:val="24"/>
                <w:szCs w:val="24"/>
              </w:rPr>
            </w:pPr>
            <w:r>
              <w:rPr>
                <w:sz w:val="24"/>
                <w:szCs w:val="24"/>
              </w:rPr>
              <w:t>式中：</w:t>
            </w:r>
            <w:r>
              <w:rPr>
                <w:sz w:val="24"/>
                <w:szCs w:val="24"/>
              </w:rPr>
              <w:drawing>
                <wp:inline distT="0" distB="0" distL="114300" distR="114300">
                  <wp:extent cx="313690" cy="240665"/>
                  <wp:effectExtent l="0" t="0" r="0" b="5080"/>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pic:cNvPicPr>
                            <a:picLocks noChangeAspect="1"/>
                          </pic:cNvPicPr>
                        </pic:nvPicPr>
                        <pic:blipFill>
                          <a:blip r:embed="rId19"/>
                          <a:stretch>
                            <a:fillRect/>
                          </a:stretch>
                        </pic:blipFill>
                        <pic:spPr>
                          <a:xfrm>
                            <a:off x="0" y="0"/>
                            <a:ext cx="313690" cy="240665"/>
                          </a:xfrm>
                          <a:prstGeom prst="rect">
                            <a:avLst/>
                          </a:prstGeom>
                          <a:noFill/>
                          <a:ln>
                            <a:noFill/>
                          </a:ln>
                        </pic:spPr>
                      </pic:pic>
                    </a:graphicData>
                  </a:graphic>
                </wp:inline>
              </w:drawing>
            </w:r>
            <w:r>
              <w:rPr>
                <w:sz w:val="24"/>
                <w:szCs w:val="24"/>
              </w:rPr>
              <w:t>—某个室内声源在靠近围护结构处产生的倍频带声压级，dB；</w:t>
            </w:r>
          </w:p>
          <w:p w14:paraId="6C5AF65C">
            <w:pPr>
              <w:keepNext w:val="0"/>
              <w:keepLines w:val="0"/>
              <w:pageBreakBefore w:val="0"/>
              <w:widowControl/>
              <w:kinsoku/>
              <w:wordWrap/>
              <w:overflowPunct/>
              <w:topLinePunct w:val="0"/>
              <w:autoSpaceDE/>
              <w:autoSpaceDN/>
              <w:bidi w:val="0"/>
              <w:adjustRightInd/>
              <w:snapToGrid w:val="0"/>
              <w:spacing w:line="360" w:lineRule="auto"/>
              <w:ind w:firstLine="1200" w:firstLineChars="500"/>
              <w:jc w:val="left"/>
              <w:textAlignment w:val="auto"/>
              <w:rPr>
                <w:sz w:val="24"/>
                <w:szCs w:val="24"/>
              </w:rPr>
            </w:pPr>
            <w:r>
              <w:rPr>
                <w:sz w:val="24"/>
                <w:szCs w:val="24"/>
              </w:rPr>
              <w:drawing>
                <wp:inline distT="0" distB="0" distL="114300" distR="114300">
                  <wp:extent cx="313690" cy="227330"/>
                  <wp:effectExtent l="0" t="0" r="10160" b="1270"/>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20"/>
                          <a:stretch>
                            <a:fillRect/>
                          </a:stretch>
                        </pic:blipFill>
                        <pic:spPr>
                          <a:xfrm>
                            <a:off x="0" y="0"/>
                            <a:ext cx="313690" cy="227330"/>
                          </a:xfrm>
                          <a:prstGeom prst="rect">
                            <a:avLst/>
                          </a:prstGeom>
                          <a:noFill/>
                          <a:ln>
                            <a:noFill/>
                          </a:ln>
                        </pic:spPr>
                      </pic:pic>
                    </a:graphicData>
                  </a:graphic>
                </wp:inline>
              </w:drawing>
            </w:r>
            <w:r>
              <w:rPr>
                <w:sz w:val="24"/>
                <w:szCs w:val="24"/>
              </w:rPr>
              <w:t>—某个声源的倍频带声功率级，dB；</w:t>
            </w:r>
          </w:p>
          <w:p w14:paraId="07D13505">
            <w:pPr>
              <w:keepNext w:val="0"/>
              <w:keepLines w:val="0"/>
              <w:pageBreakBefore w:val="0"/>
              <w:widowControl/>
              <w:kinsoku/>
              <w:wordWrap/>
              <w:overflowPunct/>
              <w:topLinePunct w:val="0"/>
              <w:autoSpaceDE/>
              <w:autoSpaceDN/>
              <w:bidi w:val="0"/>
              <w:adjustRightInd/>
              <w:snapToGrid w:val="0"/>
              <w:spacing w:line="360" w:lineRule="auto"/>
              <w:ind w:firstLine="1200" w:firstLineChars="500"/>
              <w:jc w:val="left"/>
              <w:textAlignment w:val="auto"/>
              <w:rPr>
                <w:sz w:val="24"/>
                <w:szCs w:val="24"/>
              </w:rPr>
            </w:pPr>
            <w:r>
              <w:rPr>
                <w:sz w:val="24"/>
                <w:szCs w:val="24"/>
              </w:rPr>
              <w:drawing>
                <wp:inline distT="0" distB="0" distL="114300" distR="114300">
                  <wp:extent cx="125730" cy="213360"/>
                  <wp:effectExtent l="0" t="0" r="7620" b="17145"/>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21"/>
                          <a:stretch>
                            <a:fillRect/>
                          </a:stretch>
                        </pic:blipFill>
                        <pic:spPr>
                          <a:xfrm>
                            <a:off x="0" y="0"/>
                            <a:ext cx="125730" cy="213360"/>
                          </a:xfrm>
                          <a:prstGeom prst="rect">
                            <a:avLst/>
                          </a:prstGeom>
                          <a:noFill/>
                          <a:ln>
                            <a:noFill/>
                          </a:ln>
                        </pic:spPr>
                      </pic:pic>
                    </a:graphicData>
                  </a:graphic>
                </wp:inline>
              </w:drawing>
            </w:r>
            <w:r>
              <w:rPr>
                <w:sz w:val="24"/>
                <w:szCs w:val="24"/>
              </w:rPr>
              <w:t>—室内某个声源与靠近围护结构处的距离，m；</w:t>
            </w:r>
          </w:p>
          <w:p w14:paraId="1B17A7AD">
            <w:pPr>
              <w:keepNext w:val="0"/>
              <w:keepLines w:val="0"/>
              <w:pageBreakBefore w:val="0"/>
              <w:widowControl/>
              <w:kinsoku/>
              <w:wordWrap/>
              <w:overflowPunct/>
              <w:topLinePunct w:val="0"/>
              <w:autoSpaceDE/>
              <w:autoSpaceDN/>
              <w:bidi w:val="0"/>
              <w:adjustRightInd/>
              <w:snapToGrid w:val="0"/>
              <w:spacing w:line="360" w:lineRule="auto"/>
              <w:ind w:firstLine="1200" w:firstLineChars="500"/>
              <w:jc w:val="left"/>
              <w:textAlignment w:val="auto"/>
              <w:rPr>
                <w:sz w:val="24"/>
                <w:szCs w:val="24"/>
              </w:rPr>
            </w:pPr>
            <w:r>
              <w:rPr>
                <w:sz w:val="24"/>
                <w:szCs w:val="24"/>
              </w:rPr>
              <w:drawing>
                <wp:inline distT="0" distB="0" distL="114300" distR="114300">
                  <wp:extent cx="151130" cy="163830"/>
                  <wp:effectExtent l="0" t="0" r="1270" b="5080"/>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22"/>
                          <a:stretch>
                            <a:fillRect/>
                          </a:stretch>
                        </pic:blipFill>
                        <pic:spPr>
                          <a:xfrm>
                            <a:off x="0" y="0"/>
                            <a:ext cx="151130" cy="163830"/>
                          </a:xfrm>
                          <a:prstGeom prst="rect">
                            <a:avLst/>
                          </a:prstGeom>
                          <a:noFill/>
                          <a:ln>
                            <a:noFill/>
                          </a:ln>
                        </pic:spPr>
                      </pic:pic>
                    </a:graphicData>
                  </a:graphic>
                </wp:inline>
              </w:drawing>
            </w:r>
            <w:r>
              <w:rPr>
                <w:sz w:val="24"/>
                <w:szCs w:val="24"/>
              </w:rPr>
              <w:t>—房间常数，㎡；</w:t>
            </w:r>
          </w:p>
          <w:p w14:paraId="41657192">
            <w:pPr>
              <w:keepNext w:val="0"/>
              <w:keepLines w:val="0"/>
              <w:pageBreakBefore w:val="0"/>
              <w:widowControl/>
              <w:kinsoku/>
              <w:wordWrap/>
              <w:overflowPunct/>
              <w:topLinePunct w:val="0"/>
              <w:autoSpaceDE/>
              <w:autoSpaceDN/>
              <w:bidi w:val="0"/>
              <w:adjustRightInd/>
              <w:snapToGrid w:val="0"/>
              <w:spacing w:line="360" w:lineRule="auto"/>
              <w:ind w:firstLine="1200" w:firstLineChars="500"/>
              <w:jc w:val="left"/>
              <w:textAlignment w:val="auto"/>
              <w:rPr>
                <w:sz w:val="24"/>
                <w:szCs w:val="24"/>
              </w:rPr>
            </w:pPr>
            <w:r>
              <w:rPr>
                <w:sz w:val="24"/>
                <w:szCs w:val="24"/>
              </w:rPr>
              <w:drawing>
                <wp:inline distT="0" distB="0" distL="114300" distR="114300">
                  <wp:extent cx="151765" cy="201295"/>
                  <wp:effectExtent l="0" t="0" r="635" b="5715"/>
                  <wp:docPr id="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pic:cNvPicPr>
                            <a:picLocks noChangeAspect="1"/>
                          </pic:cNvPicPr>
                        </pic:nvPicPr>
                        <pic:blipFill>
                          <a:blip r:embed="rId23"/>
                          <a:stretch>
                            <a:fillRect/>
                          </a:stretch>
                        </pic:blipFill>
                        <pic:spPr>
                          <a:xfrm>
                            <a:off x="0" y="0"/>
                            <a:ext cx="151765" cy="201295"/>
                          </a:xfrm>
                          <a:prstGeom prst="rect">
                            <a:avLst/>
                          </a:prstGeom>
                          <a:noFill/>
                          <a:ln>
                            <a:noFill/>
                          </a:ln>
                        </pic:spPr>
                      </pic:pic>
                    </a:graphicData>
                  </a:graphic>
                </wp:inline>
              </w:drawing>
            </w:r>
            <w:r>
              <w:rPr>
                <w:sz w:val="24"/>
                <w:szCs w:val="24"/>
              </w:rPr>
              <w:t>—方向性因子。</w:t>
            </w:r>
          </w:p>
          <w:p w14:paraId="55BE2476">
            <w:pPr>
              <w:keepNext w:val="0"/>
              <w:keepLines w:val="0"/>
              <w:pageBreakBefore w:val="0"/>
              <w:widowControl/>
              <w:kinsoku/>
              <w:wordWrap/>
              <w:overflowPunct/>
              <w:topLinePunct w:val="0"/>
              <w:autoSpaceDE/>
              <w:autoSpaceDN/>
              <w:bidi w:val="0"/>
              <w:adjustRightInd/>
              <w:snapToGrid w:val="0"/>
              <w:spacing w:line="360" w:lineRule="auto"/>
              <w:ind w:firstLine="1200" w:firstLineChars="500"/>
              <w:jc w:val="left"/>
              <w:textAlignment w:val="auto"/>
              <w:rPr>
                <w:sz w:val="24"/>
                <w:szCs w:val="24"/>
              </w:rPr>
            </w:pPr>
            <w:r>
              <w:rPr>
                <w:rFonts w:hint="eastAsia"/>
                <w:sz w:val="24"/>
                <w:szCs w:val="24"/>
              </w:rPr>
              <w:t>②</w:t>
            </w:r>
            <w:r>
              <w:rPr>
                <w:sz w:val="24"/>
                <w:szCs w:val="24"/>
              </w:rPr>
              <w:t>计算所有室内声源在靠近围护结构处产生的总倍频带声压级：</w:t>
            </w:r>
          </w:p>
          <w:p w14:paraId="4355C93F">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sz w:val="24"/>
                <w:szCs w:val="24"/>
              </w:rPr>
            </w:pPr>
            <w:r>
              <w:rPr>
                <w:sz w:val="24"/>
                <w:szCs w:val="24"/>
              </w:rPr>
              <w:drawing>
                <wp:inline distT="0" distB="0" distL="114300" distR="114300">
                  <wp:extent cx="1816100" cy="454660"/>
                  <wp:effectExtent l="0" t="0" r="12700" b="2540"/>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pic:cNvPicPr>
                            <a:picLocks noChangeAspect="1"/>
                          </pic:cNvPicPr>
                        </pic:nvPicPr>
                        <pic:blipFill>
                          <a:blip r:embed="rId24"/>
                          <a:stretch>
                            <a:fillRect/>
                          </a:stretch>
                        </pic:blipFill>
                        <pic:spPr>
                          <a:xfrm>
                            <a:off x="0" y="0"/>
                            <a:ext cx="1816100" cy="454660"/>
                          </a:xfrm>
                          <a:prstGeom prst="rect">
                            <a:avLst/>
                          </a:prstGeom>
                          <a:noFill/>
                          <a:ln>
                            <a:noFill/>
                          </a:ln>
                        </pic:spPr>
                      </pic:pic>
                    </a:graphicData>
                  </a:graphic>
                </wp:inline>
              </w:drawing>
            </w:r>
          </w:p>
          <w:p w14:paraId="47FF9B53">
            <w:pPr>
              <w:widowControl/>
              <w:snapToGrid w:val="0"/>
              <w:spacing w:line="360" w:lineRule="auto"/>
              <w:ind w:firstLine="480" w:firstLineChars="200"/>
              <w:jc w:val="left"/>
              <w:rPr>
                <w:sz w:val="24"/>
                <w:szCs w:val="24"/>
              </w:rPr>
            </w:pPr>
            <w:r>
              <w:rPr>
                <w:rFonts w:hint="eastAsia"/>
                <w:sz w:val="24"/>
                <w:szCs w:val="24"/>
              </w:rPr>
              <w:t>③</w:t>
            </w:r>
            <w:r>
              <w:rPr>
                <w:sz w:val="24"/>
                <w:szCs w:val="24"/>
              </w:rPr>
              <w:t>计算室外靠近围护结构处的声压级：</w:t>
            </w:r>
          </w:p>
          <w:p w14:paraId="0430A64D">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sz w:val="24"/>
                <w:szCs w:val="24"/>
              </w:rPr>
            </w:pPr>
            <w:r>
              <w:rPr>
                <w:sz w:val="24"/>
                <w:szCs w:val="24"/>
              </w:rPr>
              <w:drawing>
                <wp:inline distT="0" distB="0" distL="114300" distR="114300">
                  <wp:extent cx="1917065" cy="238125"/>
                  <wp:effectExtent l="0" t="0" r="6985" b="9525"/>
                  <wp:docPr id="4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9"/>
                          <pic:cNvPicPr>
                            <a:picLocks noChangeAspect="1"/>
                          </pic:cNvPicPr>
                        </pic:nvPicPr>
                        <pic:blipFill>
                          <a:blip r:embed="rId25"/>
                          <a:stretch>
                            <a:fillRect/>
                          </a:stretch>
                        </pic:blipFill>
                        <pic:spPr>
                          <a:xfrm>
                            <a:off x="0" y="0"/>
                            <a:ext cx="1917065" cy="238125"/>
                          </a:xfrm>
                          <a:prstGeom prst="rect">
                            <a:avLst/>
                          </a:prstGeom>
                          <a:noFill/>
                          <a:ln>
                            <a:noFill/>
                          </a:ln>
                        </pic:spPr>
                      </pic:pic>
                    </a:graphicData>
                  </a:graphic>
                </wp:inline>
              </w:drawing>
            </w:r>
          </w:p>
          <w:p w14:paraId="07BBF38A">
            <w:pPr>
              <w:spacing w:line="360" w:lineRule="auto"/>
              <w:ind w:firstLine="480" w:firstLineChars="200"/>
              <w:jc w:val="left"/>
              <w:rPr>
                <w:sz w:val="24"/>
                <w:szCs w:val="24"/>
              </w:rPr>
            </w:pPr>
            <w:r>
              <w:rPr>
                <w:rFonts w:hint="eastAsia"/>
                <w:sz w:val="24"/>
                <w:szCs w:val="24"/>
              </w:rPr>
              <w:t>④</w:t>
            </w:r>
            <w:r>
              <w:rPr>
                <w:sz w:val="24"/>
                <w:szCs w:val="24"/>
              </w:rPr>
              <w:t>将室外声级</w:t>
            </w:r>
            <w:r>
              <w:rPr>
                <w:sz w:val="24"/>
                <w:szCs w:val="24"/>
              </w:rPr>
              <w:drawing>
                <wp:inline distT="0" distB="0" distL="114300" distR="114300">
                  <wp:extent cx="532765" cy="238760"/>
                  <wp:effectExtent l="0" t="0" r="635" b="8890"/>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26"/>
                          <a:stretch>
                            <a:fillRect/>
                          </a:stretch>
                        </pic:blipFill>
                        <pic:spPr>
                          <a:xfrm>
                            <a:off x="0" y="0"/>
                            <a:ext cx="532765" cy="238760"/>
                          </a:xfrm>
                          <a:prstGeom prst="rect">
                            <a:avLst/>
                          </a:prstGeom>
                          <a:noFill/>
                          <a:ln>
                            <a:noFill/>
                          </a:ln>
                        </pic:spPr>
                      </pic:pic>
                    </a:graphicData>
                  </a:graphic>
                </wp:inline>
              </w:drawing>
            </w:r>
            <w:r>
              <w:rPr>
                <w:sz w:val="24"/>
                <w:szCs w:val="24"/>
              </w:rPr>
              <w:t>和透声面积换算成等效的室外声源，计算等效声源第i个倍频带的声功率级</w:t>
            </w:r>
            <w:r>
              <w:rPr>
                <w:sz w:val="24"/>
                <w:szCs w:val="24"/>
              </w:rPr>
              <w:drawing>
                <wp:inline distT="0" distB="0" distL="114300" distR="114300">
                  <wp:extent cx="313690" cy="227330"/>
                  <wp:effectExtent l="0" t="0" r="10160" b="127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20"/>
                          <a:stretch>
                            <a:fillRect/>
                          </a:stretch>
                        </pic:blipFill>
                        <pic:spPr>
                          <a:xfrm>
                            <a:off x="0" y="0"/>
                            <a:ext cx="313690" cy="227330"/>
                          </a:xfrm>
                          <a:prstGeom prst="rect">
                            <a:avLst/>
                          </a:prstGeom>
                          <a:noFill/>
                          <a:ln>
                            <a:noFill/>
                          </a:ln>
                        </pic:spPr>
                      </pic:pic>
                    </a:graphicData>
                  </a:graphic>
                </wp:inline>
              </w:drawing>
            </w:r>
            <w:r>
              <w:rPr>
                <w:sz w:val="24"/>
                <w:szCs w:val="24"/>
              </w:rPr>
              <w:t>：</w:t>
            </w:r>
          </w:p>
          <w:p w14:paraId="4BCC763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sz w:val="24"/>
                <w:szCs w:val="24"/>
              </w:rPr>
            </w:pPr>
            <w:r>
              <w:rPr>
                <w:sz w:val="24"/>
                <w:szCs w:val="24"/>
              </w:rPr>
              <w:drawing>
                <wp:inline distT="0" distB="0" distL="114300" distR="114300">
                  <wp:extent cx="1511300" cy="238125"/>
                  <wp:effectExtent l="0" t="0" r="0" b="952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7"/>
                          <a:stretch>
                            <a:fillRect/>
                          </a:stretch>
                        </pic:blipFill>
                        <pic:spPr>
                          <a:xfrm>
                            <a:off x="0" y="0"/>
                            <a:ext cx="1511300" cy="238125"/>
                          </a:xfrm>
                          <a:prstGeom prst="rect">
                            <a:avLst/>
                          </a:prstGeom>
                          <a:noFill/>
                          <a:ln>
                            <a:noFill/>
                          </a:ln>
                        </pic:spPr>
                      </pic:pic>
                    </a:graphicData>
                  </a:graphic>
                </wp:inline>
              </w:drawing>
            </w:r>
          </w:p>
          <w:p w14:paraId="470D7683">
            <w:pPr>
              <w:spacing w:line="360" w:lineRule="auto"/>
              <w:ind w:firstLine="480" w:firstLineChars="200"/>
              <w:jc w:val="left"/>
              <w:rPr>
                <w:sz w:val="24"/>
                <w:szCs w:val="24"/>
              </w:rPr>
            </w:pPr>
            <w:r>
              <w:rPr>
                <w:sz w:val="24"/>
                <w:szCs w:val="24"/>
              </w:rPr>
              <w:t>式中：</w:t>
            </w:r>
            <w:r>
              <w:rPr>
                <w:sz w:val="24"/>
                <w:szCs w:val="24"/>
              </w:rPr>
              <w:drawing>
                <wp:inline distT="0" distB="0" distL="114300" distR="114300">
                  <wp:extent cx="139700" cy="174625"/>
                  <wp:effectExtent l="0" t="0" r="12700" b="16510"/>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pic:cNvPicPr>
                            <a:picLocks noChangeAspect="1"/>
                          </pic:cNvPicPr>
                        </pic:nvPicPr>
                        <pic:blipFill>
                          <a:blip r:embed="rId28"/>
                          <a:stretch>
                            <a:fillRect/>
                          </a:stretch>
                        </pic:blipFill>
                        <pic:spPr>
                          <a:xfrm>
                            <a:off x="0" y="0"/>
                            <a:ext cx="139700" cy="174625"/>
                          </a:xfrm>
                          <a:prstGeom prst="rect">
                            <a:avLst/>
                          </a:prstGeom>
                          <a:noFill/>
                          <a:ln>
                            <a:noFill/>
                          </a:ln>
                        </pic:spPr>
                      </pic:pic>
                    </a:graphicData>
                  </a:graphic>
                </wp:inline>
              </w:drawing>
            </w:r>
            <w:r>
              <w:rPr>
                <w:sz w:val="24"/>
                <w:szCs w:val="24"/>
              </w:rPr>
              <w:t>—透声面积，㎡。</w:t>
            </w:r>
          </w:p>
          <w:p w14:paraId="5DBD7282">
            <w:pPr>
              <w:spacing w:line="360" w:lineRule="auto"/>
              <w:ind w:firstLine="480" w:firstLineChars="200"/>
              <w:jc w:val="left"/>
              <w:rPr>
                <w:sz w:val="24"/>
                <w:szCs w:val="24"/>
              </w:rPr>
            </w:pPr>
            <w:r>
              <w:rPr>
                <w:rFonts w:hint="eastAsia"/>
                <w:sz w:val="24"/>
                <w:szCs w:val="24"/>
              </w:rPr>
              <w:t>⑤</w:t>
            </w:r>
            <w:r>
              <w:rPr>
                <w:sz w:val="24"/>
                <w:szCs w:val="24"/>
              </w:rPr>
              <w:t>等效室外声源的位置为围护结构的位置，其倍频带声功率级为</w:t>
            </w:r>
            <w:r>
              <w:rPr>
                <w:sz w:val="24"/>
                <w:szCs w:val="24"/>
              </w:rPr>
              <w:drawing>
                <wp:inline distT="0" distB="0" distL="114300" distR="114300">
                  <wp:extent cx="313690" cy="227330"/>
                  <wp:effectExtent l="0" t="0" r="10160" b="127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20"/>
                          <a:stretch>
                            <a:fillRect/>
                          </a:stretch>
                        </pic:blipFill>
                        <pic:spPr>
                          <a:xfrm>
                            <a:off x="0" y="0"/>
                            <a:ext cx="313690" cy="227330"/>
                          </a:xfrm>
                          <a:prstGeom prst="rect">
                            <a:avLst/>
                          </a:prstGeom>
                          <a:noFill/>
                          <a:ln>
                            <a:noFill/>
                          </a:ln>
                        </pic:spPr>
                      </pic:pic>
                    </a:graphicData>
                  </a:graphic>
                </wp:inline>
              </w:drawing>
            </w:r>
            <w:r>
              <w:rPr>
                <w:sz w:val="24"/>
                <w:szCs w:val="24"/>
              </w:rPr>
              <w:t>，由此按室外声源方法计算等效室外声源在预测点产生的A声级。</w:t>
            </w:r>
          </w:p>
          <w:p w14:paraId="2E6EE676">
            <w:pPr>
              <w:spacing w:line="360" w:lineRule="auto"/>
              <w:ind w:firstLine="480" w:firstLineChars="200"/>
              <w:jc w:val="left"/>
              <w:rPr>
                <w:sz w:val="24"/>
                <w:szCs w:val="24"/>
              </w:rPr>
            </w:pPr>
            <w:r>
              <w:rPr>
                <w:rFonts w:hint="eastAsia"/>
                <w:sz w:val="24"/>
                <w:szCs w:val="24"/>
                <w:lang w:eastAsia="zh-CN"/>
              </w:rPr>
              <w:t>（</w:t>
            </w:r>
            <w:r>
              <w:rPr>
                <w:rFonts w:hint="eastAsia"/>
                <w:sz w:val="24"/>
                <w:szCs w:val="24"/>
                <w:lang w:val="en-US" w:eastAsia="zh-CN"/>
              </w:rPr>
              <w:t>2</w:t>
            </w:r>
            <w:r>
              <w:rPr>
                <w:rFonts w:hint="eastAsia"/>
                <w:sz w:val="24"/>
                <w:szCs w:val="24"/>
                <w:lang w:eastAsia="zh-CN"/>
              </w:rPr>
              <w:t>）</w:t>
            </w:r>
            <w:r>
              <w:rPr>
                <w:sz w:val="24"/>
                <w:szCs w:val="24"/>
              </w:rPr>
              <w:t>室外声源</w:t>
            </w:r>
          </w:p>
          <w:p w14:paraId="16C93F7A">
            <w:pPr>
              <w:spacing w:line="360" w:lineRule="auto"/>
              <w:ind w:firstLine="480" w:firstLineChars="200"/>
              <w:jc w:val="left"/>
              <w:rPr>
                <w:sz w:val="24"/>
                <w:szCs w:val="24"/>
              </w:rPr>
            </w:pPr>
            <w:r>
              <w:rPr>
                <w:rFonts w:hint="eastAsia"/>
                <w:sz w:val="24"/>
                <w:szCs w:val="24"/>
              </w:rPr>
              <w:t>①</w:t>
            </w:r>
            <w:r>
              <w:rPr>
                <w:sz w:val="24"/>
                <w:szCs w:val="24"/>
              </w:rPr>
              <w:t>计算某个声源在预测点的倍频带声压级</w:t>
            </w:r>
          </w:p>
          <w:p w14:paraId="03732F9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sz w:val="24"/>
                <w:szCs w:val="24"/>
              </w:rPr>
            </w:pPr>
            <w:r>
              <w:rPr>
                <w:sz w:val="24"/>
                <w:szCs w:val="24"/>
              </w:rPr>
              <w:drawing>
                <wp:inline distT="0" distB="0" distL="114300" distR="114300">
                  <wp:extent cx="2147570" cy="464185"/>
                  <wp:effectExtent l="0" t="0" r="0" b="12700"/>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pic:cNvPicPr>
                        </pic:nvPicPr>
                        <pic:blipFill>
                          <a:blip r:embed="rId29"/>
                          <a:stretch>
                            <a:fillRect/>
                          </a:stretch>
                        </pic:blipFill>
                        <pic:spPr>
                          <a:xfrm>
                            <a:off x="0" y="0"/>
                            <a:ext cx="2147570" cy="464185"/>
                          </a:xfrm>
                          <a:prstGeom prst="rect">
                            <a:avLst/>
                          </a:prstGeom>
                          <a:noFill/>
                          <a:ln>
                            <a:noFill/>
                          </a:ln>
                        </pic:spPr>
                      </pic:pic>
                    </a:graphicData>
                  </a:graphic>
                </wp:inline>
              </w:drawing>
            </w:r>
          </w:p>
          <w:p w14:paraId="7CF4729D">
            <w:pPr>
              <w:spacing w:line="360" w:lineRule="auto"/>
              <w:ind w:firstLine="480" w:firstLineChars="200"/>
              <w:jc w:val="left"/>
              <w:rPr>
                <w:sz w:val="24"/>
                <w:szCs w:val="24"/>
              </w:rPr>
            </w:pPr>
            <w:r>
              <w:rPr>
                <w:sz w:val="24"/>
                <w:szCs w:val="24"/>
              </w:rPr>
              <w:t>式中：Loct（r）——点声源在预测点产生的倍频带声压级；</w:t>
            </w:r>
          </w:p>
          <w:p w14:paraId="5D786C2B">
            <w:pPr>
              <w:keepNext w:val="0"/>
              <w:keepLines w:val="0"/>
              <w:pageBreakBefore w:val="0"/>
              <w:widowControl/>
              <w:kinsoku/>
              <w:wordWrap/>
              <w:overflowPunct/>
              <w:topLinePunct w:val="0"/>
              <w:autoSpaceDE/>
              <w:autoSpaceDN/>
              <w:bidi w:val="0"/>
              <w:adjustRightInd/>
              <w:snapToGrid w:val="0"/>
              <w:spacing w:line="360" w:lineRule="auto"/>
              <w:ind w:firstLine="1200" w:firstLineChars="500"/>
              <w:jc w:val="left"/>
              <w:textAlignment w:val="auto"/>
              <w:rPr>
                <w:sz w:val="24"/>
                <w:szCs w:val="24"/>
              </w:rPr>
            </w:pPr>
            <w:r>
              <w:rPr>
                <w:sz w:val="24"/>
                <w:szCs w:val="24"/>
              </w:rPr>
              <w:t>Loct（r0）——参考位置r0处的倍频带声压级；</w:t>
            </w:r>
          </w:p>
          <w:p w14:paraId="58C6A5B9">
            <w:pPr>
              <w:keepNext w:val="0"/>
              <w:keepLines w:val="0"/>
              <w:pageBreakBefore w:val="0"/>
              <w:widowControl/>
              <w:kinsoku/>
              <w:wordWrap/>
              <w:overflowPunct/>
              <w:topLinePunct w:val="0"/>
              <w:autoSpaceDE/>
              <w:autoSpaceDN/>
              <w:bidi w:val="0"/>
              <w:adjustRightInd/>
              <w:snapToGrid w:val="0"/>
              <w:spacing w:line="360" w:lineRule="auto"/>
              <w:ind w:firstLine="1200" w:firstLineChars="500"/>
              <w:jc w:val="left"/>
              <w:textAlignment w:val="auto"/>
              <w:rPr>
                <w:sz w:val="24"/>
                <w:szCs w:val="24"/>
              </w:rPr>
            </w:pPr>
            <w:r>
              <w:rPr>
                <w:sz w:val="24"/>
                <w:szCs w:val="24"/>
              </w:rPr>
              <w:t>r——预测点距声源的距离，m；</w:t>
            </w:r>
          </w:p>
          <w:p w14:paraId="011FA90C">
            <w:pPr>
              <w:keepNext w:val="0"/>
              <w:keepLines w:val="0"/>
              <w:pageBreakBefore w:val="0"/>
              <w:widowControl/>
              <w:kinsoku/>
              <w:wordWrap/>
              <w:overflowPunct/>
              <w:topLinePunct w:val="0"/>
              <w:autoSpaceDE/>
              <w:autoSpaceDN/>
              <w:bidi w:val="0"/>
              <w:adjustRightInd/>
              <w:snapToGrid w:val="0"/>
              <w:spacing w:line="360" w:lineRule="auto"/>
              <w:ind w:firstLine="1200" w:firstLineChars="500"/>
              <w:jc w:val="left"/>
              <w:textAlignment w:val="auto"/>
              <w:rPr>
                <w:sz w:val="24"/>
                <w:szCs w:val="24"/>
              </w:rPr>
            </w:pPr>
            <w:r>
              <w:rPr>
                <w:sz w:val="24"/>
                <w:szCs w:val="24"/>
              </w:rPr>
              <w:t>r0——参考位置距声源的距离，m；</w:t>
            </w:r>
          </w:p>
          <w:p w14:paraId="54BD5C10">
            <w:pPr>
              <w:keepNext w:val="0"/>
              <w:keepLines w:val="0"/>
              <w:pageBreakBefore w:val="0"/>
              <w:widowControl/>
              <w:kinsoku/>
              <w:wordWrap/>
              <w:overflowPunct/>
              <w:topLinePunct w:val="0"/>
              <w:autoSpaceDE/>
              <w:autoSpaceDN/>
              <w:bidi w:val="0"/>
              <w:adjustRightInd/>
              <w:snapToGrid w:val="0"/>
              <w:spacing w:line="360" w:lineRule="auto"/>
              <w:ind w:firstLine="1200" w:firstLineChars="500"/>
              <w:jc w:val="left"/>
              <w:textAlignment w:val="auto"/>
              <w:rPr>
                <w:sz w:val="24"/>
                <w:szCs w:val="24"/>
              </w:rPr>
            </w:pPr>
            <w:r>
              <w:rPr>
                <w:sz w:val="24"/>
                <w:szCs w:val="24"/>
              </w:rPr>
              <w:t>ΔLoct——各种因素引起的衰减量（包括声屏障、遮挡物、空气吸收、地面效应等引起的衰减量，其计算方</w:t>
            </w:r>
            <w:r>
              <w:rPr>
                <w:rFonts w:hint="eastAsia" w:ascii="宋体" w:hAnsi="宋体" w:eastAsia="宋体" w:cs="宋体"/>
                <w:sz w:val="24"/>
                <w:szCs w:val="24"/>
              </w:rPr>
              <w:t>法详见“导则”正</w:t>
            </w:r>
            <w:r>
              <w:rPr>
                <w:sz w:val="24"/>
                <w:szCs w:val="24"/>
              </w:rPr>
              <w:t>文）。</w:t>
            </w:r>
          </w:p>
          <w:p w14:paraId="15D664A4">
            <w:pPr>
              <w:widowControl/>
              <w:snapToGrid w:val="0"/>
              <w:spacing w:line="360" w:lineRule="auto"/>
              <w:ind w:firstLine="480" w:firstLineChars="200"/>
              <w:jc w:val="left"/>
              <w:rPr>
                <w:sz w:val="24"/>
                <w:szCs w:val="24"/>
              </w:rPr>
            </w:pPr>
            <w:r>
              <w:rPr>
                <w:sz w:val="24"/>
                <w:szCs w:val="24"/>
              </w:rPr>
              <w:t>如果已知声源的倍频带声功率级Lw oct</w:t>
            </w:r>
            <w:r>
              <w:rPr>
                <w:sz w:val="24"/>
                <w:szCs w:val="24"/>
              </w:rPr>
              <w:softHyphen/>
            </w:r>
            <w:r>
              <w:rPr>
                <w:sz w:val="24"/>
                <w:szCs w:val="24"/>
              </w:rPr>
              <w:t>，且声源可看作是位于地面上的，则</w:t>
            </w:r>
          </w:p>
          <w:p w14:paraId="682ADF2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sz w:val="24"/>
                <w:szCs w:val="24"/>
              </w:rPr>
            </w:pPr>
            <w:r>
              <w:rPr>
                <w:sz w:val="24"/>
                <w:szCs w:val="24"/>
              </w:rPr>
              <w:drawing>
                <wp:inline distT="0" distB="0" distL="114300" distR="114300">
                  <wp:extent cx="1739900" cy="232410"/>
                  <wp:effectExtent l="0" t="0" r="12700" b="1587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30"/>
                          <a:stretch>
                            <a:fillRect/>
                          </a:stretch>
                        </pic:blipFill>
                        <pic:spPr>
                          <a:xfrm>
                            <a:off x="0" y="0"/>
                            <a:ext cx="1739900" cy="232410"/>
                          </a:xfrm>
                          <a:prstGeom prst="rect">
                            <a:avLst/>
                          </a:prstGeom>
                          <a:noFill/>
                          <a:ln>
                            <a:noFill/>
                          </a:ln>
                        </pic:spPr>
                      </pic:pic>
                    </a:graphicData>
                  </a:graphic>
                </wp:inline>
              </w:drawing>
            </w:r>
          </w:p>
          <w:p w14:paraId="3AAF40AB">
            <w:pPr>
              <w:widowControl/>
              <w:snapToGrid w:val="0"/>
              <w:spacing w:line="360" w:lineRule="auto"/>
              <w:ind w:firstLine="480" w:firstLineChars="200"/>
              <w:jc w:val="left"/>
              <w:rPr>
                <w:sz w:val="24"/>
                <w:szCs w:val="24"/>
              </w:rPr>
            </w:pPr>
            <w:r>
              <w:rPr>
                <w:rFonts w:hint="eastAsia"/>
                <w:sz w:val="24"/>
                <w:szCs w:val="24"/>
              </w:rPr>
              <w:t>②</w:t>
            </w:r>
            <w:r>
              <w:rPr>
                <w:sz w:val="24"/>
                <w:szCs w:val="24"/>
              </w:rPr>
              <w:t>由各倍频带声压级合成计算出该声源产生的声级LA。</w:t>
            </w:r>
          </w:p>
          <w:p w14:paraId="68458444">
            <w:pPr>
              <w:widowControl/>
              <w:snapToGrid w:val="0"/>
              <w:spacing w:line="360" w:lineRule="auto"/>
              <w:ind w:firstLine="480" w:firstLineChars="200"/>
              <w:jc w:val="left"/>
              <w:rPr>
                <w:sz w:val="24"/>
                <w:szCs w:val="24"/>
              </w:rPr>
            </w:pPr>
            <w:r>
              <w:rPr>
                <w:rFonts w:hint="eastAsia"/>
                <w:sz w:val="24"/>
                <w:szCs w:val="24"/>
                <w:lang w:eastAsia="zh-CN"/>
              </w:rPr>
              <w:t>（</w:t>
            </w:r>
            <w:r>
              <w:rPr>
                <w:rFonts w:hint="eastAsia"/>
                <w:sz w:val="24"/>
                <w:szCs w:val="24"/>
                <w:lang w:val="en-US" w:eastAsia="zh-CN"/>
              </w:rPr>
              <w:t>3</w:t>
            </w:r>
            <w:r>
              <w:rPr>
                <w:rFonts w:hint="eastAsia"/>
                <w:sz w:val="24"/>
                <w:szCs w:val="24"/>
                <w:lang w:eastAsia="zh-CN"/>
              </w:rPr>
              <w:t>）</w:t>
            </w:r>
            <w:r>
              <w:rPr>
                <w:sz w:val="24"/>
                <w:szCs w:val="24"/>
              </w:rPr>
              <w:t>噪声贡献值计算：</w:t>
            </w:r>
          </w:p>
          <w:p w14:paraId="6B12DC88">
            <w:pPr>
              <w:widowControl/>
              <w:snapToGrid w:val="0"/>
              <w:spacing w:line="360" w:lineRule="auto"/>
              <w:ind w:firstLine="480" w:firstLineChars="200"/>
              <w:jc w:val="left"/>
              <w:rPr>
                <w:sz w:val="24"/>
                <w:szCs w:val="24"/>
              </w:rPr>
            </w:pPr>
            <w:r>
              <w:rPr>
                <w:sz w:val="24"/>
                <w:szCs w:val="24"/>
              </w:rPr>
              <w:t>设第i个室外声源在预测点产生的A声级为</w:t>
            </w:r>
            <w:r>
              <w:rPr>
                <w:sz w:val="24"/>
                <w:szCs w:val="24"/>
              </w:rPr>
              <w:drawing>
                <wp:inline distT="0" distB="0" distL="114300" distR="114300">
                  <wp:extent cx="326390" cy="241300"/>
                  <wp:effectExtent l="0" t="0" r="16510" b="5080"/>
                  <wp:docPr id="3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pic:cNvPicPr>
                            <a:picLocks noChangeAspect="1"/>
                          </pic:cNvPicPr>
                        </pic:nvPicPr>
                        <pic:blipFill>
                          <a:blip r:embed="rId31"/>
                          <a:stretch>
                            <a:fillRect/>
                          </a:stretch>
                        </pic:blipFill>
                        <pic:spPr>
                          <a:xfrm>
                            <a:off x="0" y="0"/>
                            <a:ext cx="326390" cy="241300"/>
                          </a:xfrm>
                          <a:prstGeom prst="rect">
                            <a:avLst/>
                          </a:prstGeom>
                          <a:noFill/>
                          <a:ln>
                            <a:noFill/>
                          </a:ln>
                        </pic:spPr>
                      </pic:pic>
                    </a:graphicData>
                  </a:graphic>
                </wp:inline>
              </w:drawing>
            </w:r>
            <w:r>
              <w:rPr>
                <w:sz w:val="24"/>
                <w:szCs w:val="24"/>
              </w:rPr>
              <w:t>，在</w:t>
            </w:r>
            <w:r>
              <w:rPr>
                <w:sz w:val="24"/>
                <w:szCs w:val="24"/>
              </w:rPr>
              <w:drawing>
                <wp:inline distT="0" distB="0" distL="114300" distR="114300">
                  <wp:extent cx="139065" cy="164465"/>
                  <wp:effectExtent l="0" t="0" r="13335" b="4445"/>
                  <wp:docPr id="2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8"/>
                          <pic:cNvPicPr>
                            <a:picLocks noChangeAspect="1"/>
                          </pic:cNvPicPr>
                        </pic:nvPicPr>
                        <pic:blipFill>
                          <a:blip r:embed="rId32"/>
                          <a:stretch>
                            <a:fillRect/>
                          </a:stretch>
                        </pic:blipFill>
                        <pic:spPr>
                          <a:xfrm>
                            <a:off x="0" y="0"/>
                            <a:ext cx="139065" cy="164465"/>
                          </a:xfrm>
                          <a:prstGeom prst="rect">
                            <a:avLst/>
                          </a:prstGeom>
                          <a:noFill/>
                          <a:ln>
                            <a:noFill/>
                          </a:ln>
                        </pic:spPr>
                      </pic:pic>
                    </a:graphicData>
                  </a:graphic>
                </wp:inline>
              </w:drawing>
            </w:r>
            <w:r>
              <w:rPr>
                <w:sz w:val="24"/>
                <w:szCs w:val="24"/>
              </w:rPr>
              <w:t>时间内该声源工作时间为</w:t>
            </w:r>
            <w:r>
              <w:rPr>
                <w:sz w:val="24"/>
                <w:szCs w:val="24"/>
              </w:rPr>
              <w:drawing>
                <wp:inline distT="0" distB="0" distL="114300" distR="114300">
                  <wp:extent cx="215265" cy="240665"/>
                  <wp:effectExtent l="0" t="0" r="13335" b="5080"/>
                  <wp:docPr id="2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9"/>
                          <pic:cNvPicPr>
                            <a:picLocks noChangeAspect="1"/>
                          </pic:cNvPicPr>
                        </pic:nvPicPr>
                        <pic:blipFill>
                          <a:blip r:embed="rId33"/>
                          <a:stretch>
                            <a:fillRect/>
                          </a:stretch>
                        </pic:blipFill>
                        <pic:spPr>
                          <a:xfrm>
                            <a:off x="0" y="0"/>
                            <a:ext cx="215265" cy="240665"/>
                          </a:xfrm>
                          <a:prstGeom prst="rect">
                            <a:avLst/>
                          </a:prstGeom>
                          <a:noFill/>
                          <a:ln>
                            <a:noFill/>
                          </a:ln>
                        </pic:spPr>
                      </pic:pic>
                    </a:graphicData>
                  </a:graphic>
                </wp:inline>
              </w:drawing>
            </w:r>
            <w:r>
              <w:rPr>
                <w:sz w:val="24"/>
                <w:szCs w:val="24"/>
              </w:rPr>
              <w:t>，第j个等效室外声源在预测点产生的A声级为</w:t>
            </w:r>
            <w:r>
              <w:rPr>
                <w:sz w:val="24"/>
                <w:szCs w:val="24"/>
              </w:rPr>
              <w:drawing>
                <wp:inline distT="0" distB="0" distL="114300" distR="114300">
                  <wp:extent cx="390525" cy="238760"/>
                  <wp:effectExtent l="0" t="0" r="9525" b="6985"/>
                  <wp:docPr id="2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0"/>
                          <pic:cNvPicPr>
                            <a:picLocks noChangeAspect="1"/>
                          </pic:cNvPicPr>
                        </pic:nvPicPr>
                        <pic:blipFill>
                          <a:blip r:embed="rId34"/>
                          <a:stretch>
                            <a:fillRect/>
                          </a:stretch>
                        </pic:blipFill>
                        <pic:spPr>
                          <a:xfrm>
                            <a:off x="0" y="0"/>
                            <a:ext cx="390525" cy="238760"/>
                          </a:xfrm>
                          <a:prstGeom prst="rect">
                            <a:avLst/>
                          </a:prstGeom>
                          <a:noFill/>
                          <a:ln>
                            <a:noFill/>
                          </a:ln>
                        </pic:spPr>
                      </pic:pic>
                    </a:graphicData>
                  </a:graphic>
                </wp:inline>
              </w:drawing>
            </w:r>
            <w:r>
              <w:rPr>
                <w:sz w:val="24"/>
                <w:szCs w:val="24"/>
              </w:rPr>
              <w:t>，在</w:t>
            </w:r>
            <w:r>
              <w:rPr>
                <w:sz w:val="24"/>
                <w:szCs w:val="24"/>
              </w:rPr>
              <w:drawing>
                <wp:inline distT="0" distB="0" distL="114300" distR="114300">
                  <wp:extent cx="139065" cy="164465"/>
                  <wp:effectExtent l="0" t="0" r="13335" b="4445"/>
                  <wp:docPr id="3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
                          <pic:cNvPicPr>
                            <a:picLocks noChangeAspect="1"/>
                          </pic:cNvPicPr>
                        </pic:nvPicPr>
                        <pic:blipFill>
                          <a:blip r:embed="rId32"/>
                          <a:stretch>
                            <a:fillRect/>
                          </a:stretch>
                        </pic:blipFill>
                        <pic:spPr>
                          <a:xfrm>
                            <a:off x="0" y="0"/>
                            <a:ext cx="139065" cy="164465"/>
                          </a:xfrm>
                          <a:prstGeom prst="rect">
                            <a:avLst/>
                          </a:prstGeom>
                          <a:noFill/>
                          <a:ln>
                            <a:noFill/>
                          </a:ln>
                        </pic:spPr>
                      </pic:pic>
                    </a:graphicData>
                  </a:graphic>
                </wp:inline>
              </w:drawing>
            </w:r>
            <w:r>
              <w:rPr>
                <w:sz w:val="24"/>
                <w:szCs w:val="24"/>
              </w:rPr>
              <w:t>时间内该声源工作时间为</w:t>
            </w:r>
            <w:r>
              <w:rPr>
                <w:sz w:val="24"/>
                <w:szCs w:val="24"/>
              </w:rPr>
              <w:drawing>
                <wp:inline distT="0" distB="0" distL="114300" distR="114300">
                  <wp:extent cx="292100" cy="240665"/>
                  <wp:effectExtent l="0" t="0" r="12700" b="5080"/>
                  <wp:docPr id="2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2"/>
                          <pic:cNvPicPr>
                            <a:picLocks noChangeAspect="1"/>
                          </pic:cNvPicPr>
                        </pic:nvPicPr>
                        <pic:blipFill>
                          <a:blip r:embed="rId35"/>
                          <a:stretch>
                            <a:fillRect/>
                          </a:stretch>
                        </pic:blipFill>
                        <pic:spPr>
                          <a:xfrm>
                            <a:off x="0" y="0"/>
                            <a:ext cx="292100" cy="240665"/>
                          </a:xfrm>
                          <a:prstGeom prst="rect">
                            <a:avLst/>
                          </a:prstGeom>
                          <a:noFill/>
                          <a:ln>
                            <a:noFill/>
                          </a:ln>
                        </pic:spPr>
                      </pic:pic>
                    </a:graphicData>
                  </a:graphic>
                </wp:inline>
              </w:drawing>
            </w:r>
            <w:r>
              <w:rPr>
                <w:sz w:val="24"/>
                <w:szCs w:val="24"/>
              </w:rPr>
              <w:t>，则预测点的总等效声级为：</w:t>
            </w:r>
          </w:p>
          <w:p w14:paraId="46FE2FC2">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sz w:val="24"/>
                <w:szCs w:val="24"/>
              </w:rPr>
            </w:pPr>
            <w:r>
              <w:rPr>
                <w:sz w:val="24"/>
                <w:szCs w:val="24"/>
              </w:rPr>
              <w:drawing>
                <wp:inline distT="0" distB="0" distL="114300" distR="114300">
                  <wp:extent cx="3276600" cy="480060"/>
                  <wp:effectExtent l="0" t="0" r="0" b="152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6"/>
                          <a:stretch>
                            <a:fillRect/>
                          </a:stretch>
                        </pic:blipFill>
                        <pic:spPr>
                          <a:xfrm>
                            <a:off x="0" y="0"/>
                            <a:ext cx="3276600" cy="480060"/>
                          </a:xfrm>
                          <a:prstGeom prst="rect">
                            <a:avLst/>
                          </a:prstGeom>
                          <a:noFill/>
                          <a:ln>
                            <a:noFill/>
                          </a:ln>
                        </pic:spPr>
                      </pic:pic>
                    </a:graphicData>
                  </a:graphic>
                </wp:inline>
              </w:drawing>
            </w:r>
          </w:p>
          <w:p w14:paraId="77B3E309">
            <w:pPr>
              <w:widowControl/>
              <w:snapToGrid w:val="0"/>
              <w:spacing w:line="360" w:lineRule="auto"/>
              <w:ind w:firstLine="480" w:firstLineChars="200"/>
              <w:jc w:val="left"/>
              <w:rPr>
                <w:sz w:val="24"/>
                <w:szCs w:val="24"/>
              </w:rPr>
            </w:pPr>
            <w:r>
              <w:rPr>
                <w:sz w:val="24"/>
                <w:szCs w:val="24"/>
              </w:rPr>
              <w:t>式中：</w:t>
            </w:r>
            <w:r>
              <w:rPr>
                <w:sz w:val="24"/>
                <w:szCs w:val="24"/>
              </w:rPr>
              <w:drawing>
                <wp:inline distT="0" distB="0" distL="114300" distR="114300">
                  <wp:extent cx="139065" cy="164465"/>
                  <wp:effectExtent l="0" t="0" r="13335" b="4445"/>
                  <wp:docPr id="3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4"/>
                          <pic:cNvPicPr>
                            <a:picLocks noChangeAspect="1"/>
                          </pic:cNvPicPr>
                        </pic:nvPicPr>
                        <pic:blipFill>
                          <a:blip r:embed="rId32"/>
                          <a:stretch>
                            <a:fillRect/>
                          </a:stretch>
                        </pic:blipFill>
                        <pic:spPr>
                          <a:xfrm>
                            <a:off x="0" y="0"/>
                            <a:ext cx="139065" cy="164465"/>
                          </a:xfrm>
                          <a:prstGeom prst="rect">
                            <a:avLst/>
                          </a:prstGeom>
                          <a:noFill/>
                          <a:ln>
                            <a:noFill/>
                          </a:ln>
                        </pic:spPr>
                      </pic:pic>
                    </a:graphicData>
                  </a:graphic>
                </wp:inline>
              </w:drawing>
            </w:r>
            <w:r>
              <w:rPr>
                <w:sz w:val="24"/>
                <w:szCs w:val="24"/>
              </w:rPr>
              <w:t>—计算等效声级的时间，h；</w:t>
            </w:r>
          </w:p>
          <w:p w14:paraId="2913822D">
            <w:pPr>
              <w:keepNext w:val="0"/>
              <w:keepLines w:val="0"/>
              <w:pageBreakBefore w:val="0"/>
              <w:widowControl/>
              <w:kinsoku/>
              <w:wordWrap/>
              <w:overflowPunct/>
              <w:topLinePunct w:val="0"/>
              <w:autoSpaceDE/>
              <w:autoSpaceDN/>
              <w:bidi w:val="0"/>
              <w:adjustRightInd/>
              <w:snapToGrid w:val="0"/>
              <w:spacing w:line="360" w:lineRule="auto"/>
              <w:ind w:firstLine="1200" w:firstLineChars="500"/>
              <w:jc w:val="left"/>
              <w:textAlignment w:val="auto"/>
              <w:rPr>
                <w:sz w:val="24"/>
                <w:szCs w:val="24"/>
              </w:rPr>
            </w:pPr>
            <w:r>
              <w:rPr>
                <w:sz w:val="24"/>
                <w:szCs w:val="24"/>
              </w:rPr>
              <w:drawing>
                <wp:inline distT="0" distB="0" distL="114300" distR="114300">
                  <wp:extent cx="175260" cy="175260"/>
                  <wp:effectExtent l="0" t="0" r="15240" b="15875"/>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37"/>
                          <a:stretch>
                            <a:fillRect/>
                          </a:stretch>
                        </pic:blipFill>
                        <pic:spPr>
                          <a:xfrm>
                            <a:off x="0" y="0"/>
                            <a:ext cx="175260" cy="175260"/>
                          </a:xfrm>
                          <a:prstGeom prst="rect">
                            <a:avLst/>
                          </a:prstGeom>
                          <a:noFill/>
                          <a:ln>
                            <a:noFill/>
                          </a:ln>
                        </pic:spPr>
                      </pic:pic>
                    </a:graphicData>
                  </a:graphic>
                </wp:inline>
              </w:drawing>
            </w:r>
            <w:r>
              <w:rPr>
                <w:sz w:val="24"/>
                <w:szCs w:val="24"/>
              </w:rPr>
              <w:t>—室外声源个数；</w:t>
            </w:r>
          </w:p>
          <w:p w14:paraId="6D14685D">
            <w:pPr>
              <w:keepNext w:val="0"/>
              <w:keepLines w:val="0"/>
              <w:pageBreakBefore w:val="0"/>
              <w:widowControl/>
              <w:kinsoku/>
              <w:wordWrap/>
              <w:overflowPunct/>
              <w:topLinePunct w:val="0"/>
              <w:autoSpaceDE/>
              <w:autoSpaceDN/>
              <w:bidi w:val="0"/>
              <w:adjustRightInd/>
              <w:snapToGrid w:val="0"/>
              <w:spacing w:line="360" w:lineRule="auto"/>
              <w:ind w:firstLine="1200" w:firstLineChars="500"/>
              <w:jc w:val="left"/>
              <w:textAlignment w:val="auto"/>
              <w:rPr>
                <w:sz w:val="24"/>
                <w:szCs w:val="24"/>
              </w:rPr>
            </w:pPr>
            <w:r>
              <w:rPr>
                <w:sz w:val="24"/>
                <w:szCs w:val="24"/>
              </w:rPr>
              <w:drawing>
                <wp:inline distT="0" distB="0" distL="114300" distR="114300">
                  <wp:extent cx="201930" cy="163830"/>
                  <wp:effectExtent l="0" t="0" r="0" b="5080"/>
                  <wp:docPr id="3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6"/>
                          <pic:cNvPicPr>
                            <a:picLocks noChangeAspect="1"/>
                          </pic:cNvPicPr>
                        </pic:nvPicPr>
                        <pic:blipFill>
                          <a:blip r:embed="rId38"/>
                          <a:stretch>
                            <a:fillRect/>
                          </a:stretch>
                        </pic:blipFill>
                        <pic:spPr>
                          <a:xfrm>
                            <a:off x="0" y="0"/>
                            <a:ext cx="201930" cy="163830"/>
                          </a:xfrm>
                          <a:prstGeom prst="rect">
                            <a:avLst/>
                          </a:prstGeom>
                          <a:noFill/>
                          <a:ln>
                            <a:noFill/>
                          </a:ln>
                        </pic:spPr>
                      </pic:pic>
                    </a:graphicData>
                  </a:graphic>
                </wp:inline>
              </w:drawing>
            </w:r>
            <w:r>
              <w:rPr>
                <w:sz w:val="24"/>
                <w:szCs w:val="24"/>
              </w:rPr>
              <w:t>—等效室外声源个数。</w:t>
            </w:r>
          </w:p>
          <w:p w14:paraId="2688B97D">
            <w:pPr>
              <w:widowControl/>
              <w:snapToGrid w:val="0"/>
              <w:spacing w:line="360" w:lineRule="auto"/>
              <w:ind w:firstLine="480" w:firstLineChars="200"/>
              <w:jc w:val="left"/>
              <w:rPr>
                <w:sz w:val="24"/>
                <w:szCs w:val="24"/>
              </w:rPr>
            </w:pPr>
            <w:r>
              <w:rPr>
                <w:rFonts w:hint="eastAsia"/>
                <w:sz w:val="24"/>
                <w:szCs w:val="24"/>
                <w:lang w:eastAsia="zh-CN"/>
              </w:rPr>
              <w:t>（</w:t>
            </w:r>
            <w:r>
              <w:rPr>
                <w:rFonts w:hint="eastAsia"/>
                <w:sz w:val="24"/>
                <w:szCs w:val="24"/>
                <w:lang w:val="en-US" w:eastAsia="zh-CN"/>
              </w:rPr>
              <w:t>4</w:t>
            </w:r>
            <w:r>
              <w:rPr>
                <w:rFonts w:hint="eastAsia"/>
                <w:sz w:val="24"/>
                <w:szCs w:val="24"/>
                <w:lang w:eastAsia="zh-CN"/>
              </w:rPr>
              <w:t>）</w:t>
            </w:r>
            <w:r>
              <w:rPr>
                <w:sz w:val="24"/>
                <w:szCs w:val="24"/>
              </w:rPr>
              <w:t>影响值计算：</w:t>
            </w:r>
          </w:p>
          <w:p w14:paraId="0EC728AA">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sz w:val="24"/>
                <w:szCs w:val="24"/>
              </w:rPr>
            </w:pPr>
            <w:r>
              <w:rPr>
                <w:sz w:val="24"/>
                <w:szCs w:val="24"/>
              </w:rPr>
              <w:drawing>
                <wp:inline distT="0" distB="0" distL="114300" distR="114300">
                  <wp:extent cx="2067560" cy="283845"/>
                  <wp:effectExtent l="0" t="0" r="0" b="1270"/>
                  <wp:docPr id="2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7"/>
                          <pic:cNvPicPr>
                            <a:picLocks noChangeAspect="1"/>
                          </pic:cNvPicPr>
                        </pic:nvPicPr>
                        <pic:blipFill>
                          <a:blip r:embed="rId39"/>
                          <a:stretch>
                            <a:fillRect/>
                          </a:stretch>
                        </pic:blipFill>
                        <pic:spPr>
                          <a:xfrm>
                            <a:off x="0" y="0"/>
                            <a:ext cx="2067560" cy="283845"/>
                          </a:xfrm>
                          <a:prstGeom prst="rect">
                            <a:avLst/>
                          </a:prstGeom>
                          <a:noFill/>
                          <a:ln>
                            <a:noFill/>
                          </a:ln>
                        </pic:spPr>
                      </pic:pic>
                    </a:graphicData>
                  </a:graphic>
                </wp:inline>
              </w:drawing>
            </w:r>
          </w:p>
          <w:p w14:paraId="68564D5D">
            <w:pPr>
              <w:widowControl/>
              <w:snapToGrid w:val="0"/>
              <w:spacing w:line="360" w:lineRule="auto"/>
              <w:ind w:firstLine="480" w:firstLineChars="200"/>
              <w:jc w:val="left"/>
              <w:rPr>
                <w:sz w:val="24"/>
                <w:szCs w:val="24"/>
              </w:rPr>
            </w:pPr>
            <w:r>
              <w:rPr>
                <w:sz w:val="24"/>
                <w:szCs w:val="24"/>
              </w:rPr>
              <w:t>式中</w:t>
            </w:r>
            <w:r>
              <w:rPr>
                <w:rFonts w:hint="eastAsia"/>
                <w:sz w:val="24"/>
                <w:szCs w:val="24"/>
                <w:lang w:eastAsia="zh-CN"/>
              </w:rPr>
              <w:t>，</w:t>
            </w:r>
            <w:r>
              <w:rPr>
                <w:sz w:val="24"/>
                <w:szCs w:val="24"/>
              </w:rPr>
              <w:t>Leqg——建设项目声源在预测点的等效声级贡献值，dB（A）。</w:t>
            </w:r>
          </w:p>
          <w:p w14:paraId="248C3F3C">
            <w:pPr>
              <w:keepNext w:val="0"/>
              <w:keepLines w:val="0"/>
              <w:pageBreakBefore w:val="0"/>
              <w:widowControl/>
              <w:kinsoku/>
              <w:wordWrap/>
              <w:overflowPunct/>
              <w:topLinePunct w:val="0"/>
              <w:autoSpaceDE/>
              <w:autoSpaceDN/>
              <w:bidi w:val="0"/>
              <w:adjustRightInd/>
              <w:snapToGrid w:val="0"/>
              <w:spacing w:line="360" w:lineRule="auto"/>
              <w:ind w:firstLine="1200" w:firstLineChars="500"/>
              <w:jc w:val="left"/>
              <w:textAlignment w:val="auto"/>
              <w:rPr>
                <w:color w:val="auto"/>
                <w:sz w:val="24"/>
                <w:szCs w:val="24"/>
              </w:rPr>
            </w:pPr>
            <w:r>
              <w:rPr>
                <w:color w:val="auto"/>
                <w:sz w:val="24"/>
                <w:szCs w:val="24"/>
              </w:rPr>
              <w:t>Leqb——预测点背景值，dB（A）。</w:t>
            </w:r>
          </w:p>
          <w:p w14:paraId="54FF7297">
            <w:pPr>
              <w:spacing w:line="360" w:lineRule="auto"/>
              <w:ind w:firstLine="480" w:firstLineChars="200"/>
              <w:rPr>
                <w:rFonts w:hint="eastAsia" w:eastAsia="宋体"/>
                <w:color w:val="auto"/>
                <w:sz w:val="24"/>
                <w:szCs w:val="24"/>
                <w:lang w:eastAsia="zh-CN"/>
              </w:rPr>
            </w:pPr>
            <w:r>
              <w:rPr>
                <w:color w:val="auto"/>
                <w:sz w:val="24"/>
                <w:szCs w:val="24"/>
              </w:rPr>
              <w:t>根据产生噪声设备噪声源强、相应的预测模式进行预测。项目周边50m范围内无声环境敏感目标。环境噪声预测结果见下表</w:t>
            </w:r>
            <w:r>
              <w:rPr>
                <w:rFonts w:hint="eastAsia"/>
                <w:color w:val="auto"/>
                <w:sz w:val="24"/>
                <w:szCs w:val="24"/>
                <w:lang w:eastAsia="zh-CN"/>
              </w:rPr>
              <w:t>。</w:t>
            </w:r>
          </w:p>
          <w:p w14:paraId="68FAAABF">
            <w:pPr>
              <w:keepNext/>
              <w:keepLines/>
              <w:tabs>
                <w:tab w:val="left" w:pos="0"/>
                <w:tab w:val="left" w:pos="180"/>
                <w:tab w:val="left" w:pos="1418"/>
                <w:tab w:val="left" w:pos="2976"/>
              </w:tabs>
              <w:jc w:val="center"/>
              <w:outlineLvl w:val="7"/>
              <w:rPr>
                <w:b/>
                <w:bCs/>
                <w:color w:val="auto"/>
              </w:rPr>
            </w:pPr>
            <w:r>
              <w:rPr>
                <w:b/>
                <w:bCs/>
                <w:color w:val="auto"/>
              </w:rPr>
              <w:t>表4</w:t>
            </w:r>
            <w:r>
              <w:rPr>
                <w:rFonts w:hint="eastAsia"/>
                <w:b/>
                <w:bCs/>
                <w:color w:val="auto"/>
                <w:lang w:val="en-US" w:eastAsia="zh-CN"/>
              </w:rPr>
              <w:t xml:space="preserve">-16 </w:t>
            </w:r>
            <w:r>
              <w:rPr>
                <w:b/>
                <w:bCs/>
                <w:color w:val="auto"/>
              </w:rPr>
              <w:t>项目环境噪声预测结果统计表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70"/>
              <w:gridCol w:w="853"/>
              <w:gridCol w:w="1271"/>
              <w:gridCol w:w="1271"/>
              <w:gridCol w:w="1271"/>
              <w:gridCol w:w="1271"/>
              <w:gridCol w:w="1689"/>
            </w:tblGrid>
            <w:tr w14:paraId="704CD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4" w:type="pct"/>
                  <w:noWrap w:val="0"/>
                  <w:vAlign w:val="center"/>
                </w:tcPr>
                <w:p w14:paraId="2864DBA8">
                  <w:pPr>
                    <w:jc w:val="center"/>
                    <w:rPr>
                      <w:rFonts w:eastAsia="宋体" w:cs="宋体"/>
                      <w:color w:val="auto"/>
                    </w:rPr>
                  </w:pPr>
                  <w:r>
                    <w:rPr>
                      <w:rFonts w:eastAsia="宋体" w:cs="宋体"/>
                      <w:color w:val="auto"/>
                    </w:rPr>
                    <w:t>位置</w:t>
                  </w:r>
                </w:p>
              </w:tc>
              <w:tc>
                <w:tcPr>
                  <w:tcW w:w="479" w:type="pct"/>
                  <w:noWrap w:val="0"/>
                  <w:vAlign w:val="center"/>
                </w:tcPr>
                <w:p w14:paraId="53DEDAE2">
                  <w:pPr>
                    <w:jc w:val="center"/>
                    <w:rPr>
                      <w:rFonts w:eastAsia="宋体" w:cs="宋体"/>
                      <w:color w:val="auto"/>
                      <w:lang w:eastAsia="zh-CN"/>
                    </w:rPr>
                  </w:pPr>
                  <w:r>
                    <w:rPr>
                      <w:rFonts w:eastAsia="宋体" w:cs="宋体"/>
                      <w:color w:val="auto"/>
                      <w:lang w:eastAsia="zh-CN"/>
                    </w:rPr>
                    <w:t>时段</w:t>
                  </w:r>
                </w:p>
              </w:tc>
              <w:tc>
                <w:tcPr>
                  <w:tcW w:w="714" w:type="pct"/>
                  <w:noWrap w:val="0"/>
                  <w:vAlign w:val="center"/>
                </w:tcPr>
                <w:p w14:paraId="4D3BFEF7">
                  <w:pPr>
                    <w:jc w:val="center"/>
                    <w:rPr>
                      <w:rFonts w:eastAsia="宋体" w:cs="宋体"/>
                      <w:color w:val="auto"/>
                    </w:rPr>
                  </w:pPr>
                  <w:r>
                    <w:rPr>
                      <w:rFonts w:eastAsia="宋体" w:cs="宋体"/>
                      <w:color w:val="auto"/>
                      <w:lang w:eastAsia="zh-CN"/>
                    </w:rPr>
                    <w:t>背景</w:t>
                  </w:r>
                  <w:r>
                    <w:rPr>
                      <w:rFonts w:eastAsia="宋体" w:cs="宋体"/>
                      <w:color w:val="auto"/>
                    </w:rPr>
                    <w:t>值</w:t>
                  </w:r>
                </w:p>
              </w:tc>
              <w:tc>
                <w:tcPr>
                  <w:tcW w:w="714" w:type="pct"/>
                  <w:noWrap w:val="0"/>
                  <w:vAlign w:val="center"/>
                </w:tcPr>
                <w:p w14:paraId="2267C7C1">
                  <w:pPr>
                    <w:jc w:val="center"/>
                    <w:rPr>
                      <w:rFonts w:eastAsia="宋体" w:cs="宋体"/>
                      <w:color w:val="auto"/>
                    </w:rPr>
                  </w:pPr>
                  <w:r>
                    <w:rPr>
                      <w:rFonts w:eastAsia="宋体" w:cs="宋体"/>
                      <w:color w:val="auto"/>
                    </w:rPr>
                    <w:t>贡献值</w:t>
                  </w:r>
                </w:p>
              </w:tc>
              <w:tc>
                <w:tcPr>
                  <w:tcW w:w="714" w:type="pct"/>
                  <w:noWrap w:val="0"/>
                  <w:vAlign w:val="center"/>
                </w:tcPr>
                <w:p w14:paraId="27A8A6D7">
                  <w:pPr>
                    <w:jc w:val="center"/>
                    <w:rPr>
                      <w:rFonts w:eastAsia="宋体" w:cs="宋体"/>
                      <w:color w:val="auto"/>
                    </w:rPr>
                  </w:pPr>
                  <w:r>
                    <w:rPr>
                      <w:rFonts w:eastAsia="宋体" w:cs="宋体"/>
                      <w:color w:val="auto"/>
                    </w:rPr>
                    <w:t>预测值</w:t>
                  </w:r>
                </w:p>
              </w:tc>
              <w:tc>
                <w:tcPr>
                  <w:tcW w:w="714" w:type="pct"/>
                  <w:noWrap w:val="0"/>
                  <w:vAlign w:val="center"/>
                </w:tcPr>
                <w:p w14:paraId="4F2DFFA4">
                  <w:pPr>
                    <w:jc w:val="center"/>
                    <w:rPr>
                      <w:rFonts w:eastAsia="宋体" w:cs="宋体"/>
                      <w:color w:val="auto"/>
                    </w:rPr>
                  </w:pPr>
                  <w:r>
                    <w:rPr>
                      <w:rFonts w:eastAsia="宋体" w:cs="宋体"/>
                      <w:color w:val="auto"/>
                    </w:rPr>
                    <w:t>标准值</w:t>
                  </w:r>
                </w:p>
              </w:tc>
              <w:tc>
                <w:tcPr>
                  <w:tcW w:w="949" w:type="pct"/>
                  <w:noWrap w:val="0"/>
                  <w:vAlign w:val="center"/>
                </w:tcPr>
                <w:p w14:paraId="4A61B9C7">
                  <w:pPr>
                    <w:jc w:val="center"/>
                    <w:rPr>
                      <w:rFonts w:eastAsia="宋体" w:cs="宋体"/>
                      <w:color w:val="auto"/>
                    </w:rPr>
                  </w:pPr>
                  <w:r>
                    <w:rPr>
                      <w:rFonts w:eastAsia="宋体" w:cs="宋体"/>
                      <w:color w:val="auto"/>
                    </w:rPr>
                    <w:t>评价结果</w:t>
                  </w:r>
                </w:p>
              </w:tc>
            </w:tr>
            <w:tr w14:paraId="60289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4" w:type="pct"/>
                  <w:vMerge w:val="restart"/>
                  <w:noWrap w:val="0"/>
                  <w:vAlign w:val="center"/>
                </w:tcPr>
                <w:p w14:paraId="3F433E28">
                  <w:pPr>
                    <w:jc w:val="center"/>
                    <w:rPr>
                      <w:rFonts w:eastAsia="宋体" w:cs="宋体"/>
                      <w:color w:val="auto"/>
                    </w:rPr>
                  </w:pPr>
                  <w:r>
                    <w:rPr>
                      <w:rFonts w:eastAsia="宋体" w:cs="宋体"/>
                      <w:color w:val="auto"/>
                    </w:rPr>
                    <w:t>东厂界</w:t>
                  </w:r>
                </w:p>
              </w:tc>
              <w:tc>
                <w:tcPr>
                  <w:tcW w:w="479" w:type="pct"/>
                  <w:noWrap w:val="0"/>
                  <w:vAlign w:val="center"/>
                </w:tcPr>
                <w:p w14:paraId="31D9C333">
                  <w:pPr>
                    <w:jc w:val="center"/>
                    <w:rPr>
                      <w:rFonts w:eastAsia="宋体" w:cs="宋体"/>
                      <w:color w:val="auto"/>
                    </w:rPr>
                  </w:pPr>
                  <w:r>
                    <w:rPr>
                      <w:rFonts w:eastAsia="宋体" w:cs="宋体"/>
                      <w:color w:val="auto"/>
                    </w:rPr>
                    <w:t>昼</w:t>
                  </w:r>
                </w:p>
              </w:tc>
              <w:tc>
                <w:tcPr>
                  <w:tcW w:w="714" w:type="pct"/>
                  <w:noWrap w:val="0"/>
                  <w:vAlign w:val="center"/>
                </w:tcPr>
                <w:p w14:paraId="04F30D3C">
                  <w:pPr>
                    <w:jc w:val="center"/>
                    <w:rPr>
                      <w:rFonts w:hint="default" w:eastAsia="宋体" w:cs="宋体"/>
                      <w:color w:val="auto"/>
                      <w:lang w:val="en-US" w:eastAsia="zh-CN"/>
                    </w:rPr>
                  </w:pPr>
                  <w:r>
                    <w:rPr>
                      <w:rFonts w:hint="eastAsia" w:cs="宋体"/>
                      <w:color w:val="auto"/>
                      <w:lang w:val="en-US" w:eastAsia="zh-CN"/>
                    </w:rPr>
                    <w:t>58</w:t>
                  </w:r>
                </w:p>
              </w:tc>
              <w:tc>
                <w:tcPr>
                  <w:tcW w:w="714" w:type="pct"/>
                  <w:noWrap w:val="0"/>
                  <w:vAlign w:val="center"/>
                </w:tcPr>
                <w:p w14:paraId="1D418E27">
                  <w:pPr>
                    <w:jc w:val="center"/>
                    <w:rPr>
                      <w:rFonts w:hint="default" w:ascii="Calibri" w:hAnsi="Calibri" w:eastAsia="宋体" w:cs="宋体"/>
                      <w:color w:val="auto"/>
                      <w:kern w:val="2"/>
                      <w:sz w:val="21"/>
                      <w:szCs w:val="21"/>
                      <w:lang w:val="en-US" w:eastAsia="zh-CN" w:bidi="ar-SA"/>
                    </w:rPr>
                  </w:pPr>
                  <w:r>
                    <w:rPr>
                      <w:rFonts w:hint="eastAsia" w:cs="宋体"/>
                      <w:color w:val="auto"/>
                      <w:lang w:val="en-US" w:eastAsia="zh-CN"/>
                    </w:rPr>
                    <w:t>37.8</w:t>
                  </w:r>
                </w:p>
              </w:tc>
              <w:tc>
                <w:tcPr>
                  <w:tcW w:w="714" w:type="pct"/>
                  <w:noWrap w:val="0"/>
                  <w:vAlign w:val="center"/>
                </w:tcPr>
                <w:p w14:paraId="06D286A3">
                  <w:pPr>
                    <w:jc w:val="center"/>
                    <w:rPr>
                      <w:rFonts w:hint="default" w:eastAsia="宋体" w:cs="宋体"/>
                      <w:color w:val="auto"/>
                      <w:lang w:val="en-US" w:eastAsia="zh-CN"/>
                    </w:rPr>
                  </w:pPr>
                  <w:r>
                    <w:rPr>
                      <w:rFonts w:hint="eastAsia" w:cs="宋体"/>
                      <w:color w:val="auto"/>
                      <w:lang w:val="en-US" w:eastAsia="zh-CN"/>
                    </w:rPr>
                    <w:t>57.1</w:t>
                  </w:r>
                </w:p>
              </w:tc>
              <w:tc>
                <w:tcPr>
                  <w:tcW w:w="714" w:type="pct"/>
                  <w:noWrap w:val="0"/>
                  <w:vAlign w:val="center"/>
                </w:tcPr>
                <w:p w14:paraId="6DA3D930">
                  <w:pPr>
                    <w:jc w:val="center"/>
                    <w:rPr>
                      <w:rFonts w:hint="default" w:eastAsia="宋体" w:cs="宋体"/>
                      <w:color w:val="auto"/>
                      <w:lang w:val="en-US" w:eastAsia="zh-CN"/>
                    </w:rPr>
                  </w:pPr>
                  <w:r>
                    <w:rPr>
                      <w:rFonts w:hint="eastAsia" w:cs="宋体"/>
                      <w:color w:val="auto"/>
                      <w:lang w:val="en-US" w:eastAsia="zh-CN"/>
                    </w:rPr>
                    <w:t>65</w:t>
                  </w:r>
                </w:p>
              </w:tc>
              <w:tc>
                <w:tcPr>
                  <w:tcW w:w="949" w:type="pct"/>
                  <w:noWrap/>
                  <w:vAlign w:val="center"/>
                </w:tcPr>
                <w:p w14:paraId="35F064C7">
                  <w:pPr>
                    <w:jc w:val="center"/>
                    <w:rPr>
                      <w:rFonts w:eastAsia="宋体" w:cs="宋体"/>
                      <w:color w:val="auto"/>
                    </w:rPr>
                  </w:pPr>
                  <w:r>
                    <w:rPr>
                      <w:rFonts w:eastAsia="宋体" w:cs="宋体"/>
                      <w:color w:val="auto"/>
                    </w:rPr>
                    <w:t>达标</w:t>
                  </w:r>
                </w:p>
              </w:tc>
            </w:tr>
            <w:tr w14:paraId="65933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4" w:type="pct"/>
                  <w:vMerge w:val="continue"/>
                  <w:noWrap w:val="0"/>
                  <w:vAlign w:val="center"/>
                </w:tcPr>
                <w:p w14:paraId="5F887912">
                  <w:pPr>
                    <w:jc w:val="center"/>
                    <w:rPr>
                      <w:rFonts w:eastAsia="宋体" w:cs="宋体"/>
                      <w:color w:val="auto"/>
                    </w:rPr>
                  </w:pPr>
                </w:p>
              </w:tc>
              <w:tc>
                <w:tcPr>
                  <w:tcW w:w="479" w:type="pct"/>
                  <w:noWrap w:val="0"/>
                  <w:vAlign w:val="center"/>
                </w:tcPr>
                <w:p w14:paraId="08FA5D3D">
                  <w:pPr>
                    <w:jc w:val="center"/>
                    <w:rPr>
                      <w:rFonts w:eastAsia="宋体" w:cs="宋体"/>
                      <w:color w:val="auto"/>
                    </w:rPr>
                  </w:pPr>
                  <w:r>
                    <w:rPr>
                      <w:rFonts w:eastAsia="宋体" w:cs="宋体"/>
                      <w:color w:val="auto"/>
                    </w:rPr>
                    <w:t>夜</w:t>
                  </w:r>
                </w:p>
              </w:tc>
              <w:tc>
                <w:tcPr>
                  <w:tcW w:w="714" w:type="pct"/>
                  <w:noWrap w:val="0"/>
                  <w:vAlign w:val="center"/>
                </w:tcPr>
                <w:p w14:paraId="528FF58B">
                  <w:pPr>
                    <w:jc w:val="center"/>
                    <w:rPr>
                      <w:rFonts w:hint="default" w:eastAsia="宋体" w:cs="宋体"/>
                      <w:color w:val="auto"/>
                      <w:lang w:val="en-US" w:eastAsia="zh-CN"/>
                    </w:rPr>
                  </w:pPr>
                  <w:r>
                    <w:rPr>
                      <w:rFonts w:hint="eastAsia" w:cs="宋体"/>
                      <w:color w:val="auto"/>
                      <w:lang w:val="en-US" w:eastAsia="zh-CN"/>
                    </w:rPr>
                    <w:t>48</w:t>
                  </w:r>
                </w:p>
              </w:tc>
              <w:tc>
                <w:tcPr>
                  <w:tcW w:w="714" w:type="pct"/>
                  <w:noWrap w:val="0"/>
                  <w:vAlign w:val="center"/>
                </w:tcPr>
                <w:p w14:paraId="208A69E0">
                  <w:pPr>
                    <w:jc w:val="center"/>
                    <w:rPr>
                      <w:rFonts w:hint="default" w:ascii="Calibri" w:hAnsi="Calibri" w:eastAsia="宋体" w:cs="宋体"/>
                      <w:color w:val="auto"/>
                      <w:kern w:val="2"/>
                      <w:sz w:val="21"/>
                      <w:szCs w:val="21"/>
                      <w:lang w:val="en-US" w:eastAsia="zh-CN" w:bidi="ar-SA"/>
                    </w:rPr>
                  </w:pPr>
                  <w:r>
                    <w:rPr>
                      <w:rFonts w:hint="eastAsia" w:cs="宋体"/>
                      <w:color w:val="auto"/>
                      <w:lang w:val="en-US" w:eastAsia="zh-CN"/>
                    </w:rPr>
                    <w:t>37.8</w:t>
                  </w:r>
                </w:p>
              </w:tc>
              <w:tc>
                <w:tcPr>
                  <w:tcW w:w="714" w:type="pct"/>
                  <w:noWrap w:val="0"/>
                  <w:vAlign w:val="center"/>
                </w:tcPr>
                <w:p w14:paraId="56279FC7">
                  <w:pPr>
                    <w:jc w:val="center"/>
                    <w:rPr>
                      <w:rFonts w:hint="default" w:eastAsia="宋体" w:cs="宋体"/>
                      <w:color w:val="auto"/>
                      <w:lang w:val="en-US" w:eastAsia="zh-CN"/>
                    </w:rPr>
                  </w:pPr>
                  <w:r>
                    <w:rPr>
                      <w:rFonts w:hint="eastAsia" w:cs="宋体"/>
                      <w:color w:val="auto"/>
                      <w:lang w:val="en-US" w:eastAsia="zh-CN"/>
                    </w:rPr>
                    <w:t>46.1</w:t>
                  </w:r>
                </w:p>
              </w:tc>
              <w:tc>
                <w:tcPr>
                  <w:tcW w:w="714" w:type="pct"/>
                  <w:noWrap w:val="0"/>
                  <w:vAlign w:val="center"/>
                </w:tcPr>
                <w:p w14:paraId="25B6960E">
                  <w:pPr>
                    <w:jc w:val="center"/>
                    <w:rPr>
                      <w:rFonts w:hint="default" w:eastAsia="宋体" w:cs="宋体"/>
                      <w:color w:val="auto"/>
                      <w:lang w:val="en-US" w:eastAsia="zh-CN"/>
                    </w:rPr>
                  </w:pPr>
                  <w:r>
                    <w:rPr>
                      <w:rFonts w:hint="eastAsia" w:cs="宋体"/>
                      <w:color w:val="auto"/>
                      <w:lang w:val="en-US" w:eastAsia="zh-CN"/>
                    </w:rPr>
                    <w:t>55</w:t>
                  </w:r>
                </w:p>
              </w:tc>
              <w:tc>
                <w:tcPr>
                  <w:tcW w:w="949" w:type="pct"/>
                  <w:noWrap/>
                  <w:vAlign w:val="center"/>
                </w:tcPr>
                <w:p w14:paraId="2465F5BA">
                  <w:pPr>
                    <w:jc w:val="center"/>
                    <w:rPr>
                      <w:rFonts w:eastAsia="宋体" w:cs="宋体"/>
                      <w:color w:val="auto"/>
                    </w:rPr>
                  </w:pPr>
                  <w:r>
                    <w:rPr>
                      <w:rFonts w:hint="eastAsia" w:eastAsia="宋体" w:cs="宋体"/>
                      <w:color w:val="auto"/>
                    </w:rPr>
                    <w:t>达标</w:t>
                  </w:r>
                </w:p>
              </w:tc>
            </w:tr>
            <w:tr w14:paraId="3B4F7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4" w:type="pct"/>
                  <w:vMerge w:val="restart"/>
                  <w:noWrap w:val="0"/>
                  <w:vAlign w:val="center"/>
                </w:tcPr>
                <w:p w14:paraId="40894B29">
                  <w:pPr>
                    <w:jc w:val="center"/>
                    <w:rPr>
                      <w:rFonts w:eastAsia="宋体" w:cs="宋体"/>
                      <w:color w:val="auto"/>
                    </w:rPr>
                  </w:pPr>
                  <w:r>
                    <w:rPr>
                      <w:rFonts w:eastAsia="宋体" w:cs="宋体"/>
                      <w:color w:val="auto"/>
                    </w:rPr>
                    <w:t>南厂界</w:t>
                  </w:r>
                </w:p>
              </w:tc>
              <w:tc>
                <w:tcPr>
                  <w:tcW w:w="479" w:type="pct"/>
                  <w:noWrap w:val="0"/>
                  <w:vAlign w:val="center"/>
                </w:tcPr>
                <w:p w14:paraId="2CA07986">
                  <w:pPr>
                    <w:jc w:val="center"/>
                    <w:rPr>
                      <w:rFonts w:eastAsia="宋体" w:cs="宋体"/>
                      <w:color w:val="auto"/>
                    </w:rPr>
                  </w:pPr>
                  <w:r>
                    <w:rPr>
                      <w:rFonts w:eastAsia="宋体" w:cs="宋体"/>
                      <w:color w:val="auto"/>
                    </w:rPr>
                    <w:t>昼</w:t>
                  </w:r>
                </w:p>
              </w:tc>
              <w:tc>
                <w:tcPr>
                  <w:tcW w:w="714" w:type="pct"/>
                  <w:noWrap w:val="0"/>
                  <w:vAlign w:val="center"/>
                </w:tcPr>
                <w:p w14:paraId="1AA0E8FF">
                  <w:pPr>
                    <w:jc w:val="center"/>
                    <w:rPr>
                      <w:rFonts w:hint="default" w:eastAsia="宋体" w:cs="宋体"/>
                      <w:color w:val="auto"/>
                      <w:lang w:val="en-US" w:eastAsia="zh-CN"/>
                    </w:rPr>
                  </w:pPr>
                  <w:r>
                    <w:rPr>
                      <w:rFonts w:hint="eastAsia" w:cs="宋体"/>
                      <w:color w:val="auto"/>
                      <w:lang w:val="en-US" w:eastAsia="zh-CN"/>
                    </w:rPr>
                    <w:t>51</w:t>
                  </w:r>
                </w:p>
              </w:tc>
              <w:tc>
                <w:tcPr>
                  <w:tcW w:w="714" w:type="pct"/>
                  <w:noWrap w:val="0"/>
                  <w:vAlign w:val="center"/>
                </w:tcPr>
                <w:p w14:paraId="5BFF89EE">
                  <w:pPr>
                    <w:jc w:val="center"/>
                    <w:rPr>
                      <w:rFonts w:hint="default" w:ascii="Calibri" w:hAnsi="Calibri" w:eastAsia="宋体" w:cs="宋体"/>
                      <w:color w:val="auto"/>
                      <w:kern w:val="2"/>
                      <w:sz w:val="21"/>
                      <w:szCs w:val="21"/>
                      <w:lang w:val="en-US" w:eastAsia="zh-CN" w:bidi="ar-SA"/>
                    </w:rPr>
                  </w:pPr>
                  <w:r>
                    <w:rPr>
                      <w:rFonts w:hint="eastAsia" w:cs="宋体"/>
                      <w:color w:val="auto"/>
                      <w:lang w:val="en-US" w:eastAsia="zh-CN"/>
                    </w:rPr>
                    <w:t>34.9</w:t>
                  </w:r>
                </w:p>
              </w:tc>
              <w:tc>
                <w:tcPr>
                  <w:tcW w:w="714" w:type="pct"/>
                  <w:noWrap w:val="0"/>
                  <w:vAlign w:val="center"/>
                </w:tcPr>
                <w:p w14:paraId="7D02C8B6">
                  <w:pPr>
                    <w:jc w:val="center"/>
                    <w:rPr>
                      <w:rFonts w:hint="default" w:eastAsia="宋体" w:cs="宋体"/>
                      <w:color w:val="auto"/>
                      <w:lang w:val="en-US" w:eastAsia="zh-CN"/>
                    </w:rPr>
                  </w:pPr>
                  <w:r>
                    <w:rPr>
                      <w:rFonts w:hint="eastAsia" w:cs="宋体"/>
                      <w:color w:val="auto"/>
                      <w:lang w:val="en-US" w:eastAsia="zh-CN"/>
                    </w:rPr>
                    <w:t>58.8</w:t>
                  </w:r>
                </w:p>
              </w:tc>
              <w:tc>
                <w:tcPr>
                  <w:tcW w:w="714" w:type="pct"/>
                  <w:noWrap w:val="0"/>
                  <w:vAlign w:val="center"/>
                </w:tcPr>
                <w:p w14:paraId="52E327AD">
                  <w:pPr>
                    <w:jc w:val="center"/>
                    <w:rPr>
                      <w:rFonts w:hint="default" w:eastAsia="宋体" w:cs="宋体"/>
                      <w:color w:val="auto"/>
                      <w:lang w:val="en-US" w:eastAsia="zh-CN"/>
                    </w:rPr>
                  </w:pPr>
                  <w:r>
                    <w:rPr>
                      <w:rFonts w:hint="eastAsia" w:cs="宋体"/>
                      <w:color w:val="auto"/>
                      <w:lang w:val="en-US" w:eastAsia="zh-CN"/>
                    </w:rPr>
                    <w:t>65</w:t>
                  </w:r>
                </w:p>
              </w:tc>
              <w:tc>
                <w:tcPr>
                  <w:tcW w:w="949" w:type="pct"/>
                  <w:noWrap/>
                  <w:vAlign w:val="center"/>
                </w:tcPr>
                <w:p w14:paraId="697A492F">
                  <w:pPr>
                    <w:jc w:val="center"/>
                    <w:rPr>
                      <w:rFonts w:eastAsia="宋体" w:cs="宋体"/>
                      <w:color w:val="auto"/>
                    </w:rPr>
                  </w:pPr>
                  <w:r>
                    <w:rPr>
                      <w:rFonts w:hint="eastAsia" w:eastAsia="宋体" w:cs="宋体"/>
                      <w:color w:val="auto"/>
                    </w:rPr>
                    <w:t>达标</w:t>
                  </w:r>
                </w:p>
              </w:tc>
            </w:tr>
            <w:tr w14:paraId="63D22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4" w:type="pct"/>
                  <w:vMerge w:val="continue"/>
                  <w:noWrap w:val="0"/>
                  <w:vAlign w:val="center"/>
                </w:tcPr>
                <w:p w14:paraId="71882DBA">
                  <w:pPr>
                    <w:jc w:val="center"/>
                    <w:rPr>
                      <w:rFonts w:eastAsia="宋体" w:cs="宋体"/>
                      <w:color w:val="auto"/>
                    </w:rPr>
                  </w:pPr>
                </w:p>
              </w:tc>
              <w:tc>
                <w:tcPr>
                  <w:tcW w:w="479" w:type="pct"/>
                  <w:noWrap w:val="0"/>
                  <w:vAlign w:val="center"/>
                </w:tcPr>
                <w:p w14:paraId="0B3FA6A3">
                  <w:pPr>
                    <w:jc w:val="center"/>
                    <w:rPr>
                      <w:rFonts w:eastAsia="宋体" w:cs="宋体"/>
                      <w:color w:val="auto"/>
                    </w:rPr>
                  </w:pPr>
                  <w:r>
                    <w:rPr>
                      <w:rFonts w:eastAsia="宋体" w:cs="宋体"/>
                      <w:color w:val="auto"/>
                    </w:rPr>
                    <w:t>夜</w:t>
                  </w:r>
                </w:p>
              </w:tc>
              <w:tc>
                <w:tcPr>
                  <w:tcW w:w="714" w:type="pct"/>
                  <w:noWrap w:val="0"/>
                  <w:vAlign w:val="center"/>
                </w:tcPr>
                <w:p w14:paraId="5C54EE60">
                  <w:pPr>
                    <w:jc w:val="center"/>
                    <w:rPr>
                      <w:rFonts w:hint="default" w:eastAsia="宋体" w:cs="宋体"/>
                      <w:color w:val="auto"/>
                      <w:lang w:val="en-US" w:eastAsia="zh-CN"/>
                    </w:rPr>
                  </w:pPr>
                  <w:r>
                    <w:rPr>
                      <w:rFonts w:hint="eastAsia" w:cs="宋体"/>
                      <w:color w:val="auto"/>
                      <w:lang w:val="en-US" w:eastAsia="zh-CN"/>
                    </w:rPr>
                    <w:t>46</w:t>
                  </w:r>
                </w:p>
              </w:tc>
              <w:tc>
                <w:tcPr>
                  <w:tcW w:w="714" w:type="pct"/>
                  <w:noWrap w:val="0"/>
                  <w:vAlign w:val="center"/>
                </w:tcPr>
                <w:p w14:paraId="6CA79999">
                  <w:pPr>
                    <w:jc w:val="center"/>
                    <w:rPr>
                      <w:rFonts w:hint="default" w:ascii="Calibri" w:hAnsi="Calibri" w:eastAsia="宋体" w:cs="宋体"/>
                      <w:color w:val="auto"/>
                      <w:kern w:val="2"/>
                      <w:sz w:val="21"/>
                      <w:szCs w:val="21"/>
                      <w:lang w:val="en-US" w:eastAsia="zh-CN" w:bidi="ar-SA"/>
                    </w:rPr>
                  </w:pPr>
                  <w:r>
                    <w:rPr>
                      <w:rFonts w:hint="eastAsia" w:cs="宋体"/>
                      <w:color w:val="auto"/>
                      <w:lang w:val="en-US" w:eastAsia="zh-CN"/>
                    </w:rPr>
                    <w:t>34.9</w:t>
                  </w:r>
                </w:p>
              </w:tc>
              <w:tc>
                <w:tcPr>
                  <w:tcW w:w="714" w:type="pct"/>
                  <w:noWrap w:val="0"/>
                  <w:vAlign w:val="center"/>
                </w:tcPr>
                <w:p w14:paraId="3203C82C">
                  <w:pPr>
                    <w:jc w:val="center"/>
                    <w:rPr>
                      <w:rFonts w:hint="default" w:eastAsia="宋体" w:cs="宋体"/>
                      <w:color w:val="auto"/>
                      <w:lang w:val="en-US" w:eastAsia="zh-CN"/>
                    </w:rPr>
                  </w:pPr>
                  <w:r>
                    <w:rPr>
                      <w:rFonts w:hint="eastAsia" w:cs="宋体"/>
                      <w:color w:val="auto"/>
                      <w:lang w:val="en-US" w:eastAsia="zh-CN"/>
                    </w:rPr>
                    <w:t>48.3</w:t>
                  </w:r>
                </w:p>
              </w:tc>
              <w:tc>
                <w:tcPr>
                  <w:tcW w:w="714" w:type="pct"/>
                  <w:noWrap w:val="0"/>
                  <w:vAlign w:val="center"/>
                </w:tcPr>
                <w:p w14:paraId="4C4DDA87">
                  <w:pPr>
                    <w:jc w:val="center"/>
                    <w:rPr>
                      <w:rFonts w:hint="default" w:eastAsia="宋体" w:cs="宋体"/>
                      <w:color w:val="auto"/>
                      <w:lang w:val="en-US" w:eastAsia="zh-CN"/>
                    </w:rPr>
                  </w:pPr>
                  <w:r>
                    <w:rPr>
                      <w:rFonts w:hint="eastAsia" w:cs="宋体"/>
                      <w:color w:val="auto"/>
                      <w:lang w:val="en-US" w:eastAsia="zh-CN"/>
                    </w:rPr>
                    <w:t>55</w:t>
                  </w:r>
                </w:p>
              </w:tc>
              <w:tc>
                <w:tcPr>
                  <w:tcW w:w="949" w:type="pct"/>
                  <w:noWrap/>
                  <w:vAlign w:val="center"/>
                </w:tcPr>
                <w:p w14:paraId="0DE3650B">
                  <w:pPr>
                    <w:jc w:val="center"/>
                    <w:rPr>
                      <w:rFonts w:eastAsia="宋体" w:cs="宋体"/>
                      <w:color w:val="auto"/>
                    </w:rPr>
                  </w:pPr>
                  <w:r>
                    <w:rPr>
                      <w:rFonts w:hint="eastAsia" w:eastAsia="宋体" w:cs="宋体"/>
                      <w:color w:val="auto"/>
                    </w:rPr>
                    <w:t>达标</w:t>
                  </w:r>
                </w:p>
              </w:tc>
            </w:tr>
            <w:tr w14:paraId="5A1B6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4" w:type="pct"/>
                  <w:vMerge w:val="restart"/>
                  <w:noWrap w:val="0"/>
                  <w:vAlign w:val="center"/>
                </w:tcPr>
                <w:p w14:paraId="1556E452">
                  <w:pPr>
                    <w:jc w:val="center"/>
                    <w:rPr>
                      <w:rFonts w:eastAsia="宋体" w:cs="宋体"/>
                      <w:color w:val="auto"/>
                    </w:rPr>
                  </w:pPr>
                  <w:r>
                    <w:rPr>
                      <w:rFonts w:eastAsia="宋体" w:cs="宋体"/>
                      <w:color w:val="auto"/>
                    </w:rPr>
                    <w:t>西厂界</w:t>
                  </w:r>
                </w:p>
              </w:tc>
              <w:tc>
                <w:tcPr>
                  <w:tcW w:w="479" w:type="pct"/>
                  <w:noWrap w:val="0"/>
                  <w:vAlign w:val="center"/>
                </w:tcPr>
                <w:p w14:paraId="64E274D1">
                  <w:pPr>
                    <w:jc w:val="center"/>
                    <w:rPr>
                      <w:rFonts w:eastAsia="宋体" w:cs="宋体"/>
                      <w:color w:val="auto"/>
                    </w:rPr>
                  </w:pPr>
                  <w:r>
                    <w:rPr>
                      <w:rFonts w:eastAsia="宋体" w:cs="宋体"/>
                      <w:color w:val="auto"/>
                    </w:rPr>
                    <w:t>昼</w:t>
                  </w:r>
                </w:p>
              </w:tc>
              <w:tc>
                <w:tcPr>
                  <w:tcW w:w="714" w:type="pct"/>
                  <w:noWrap w:val="0"/>
                  <w:vAlign w:val="center"/>
                </w:tcPr>
                <w:p w14:paraId="23A4E6B9">
                  <w:pPr>
                    <w:jc w:val="center"/>
                    <w:rPr>
                      <w:rFonts w:hint="default" w:eastAsia="宋体" w:cs="宋体"/>
                      <w:color w:val="auto"/>
                      <w:lang w:val="en-US" w:eastAsia="zh-CN"/>
                    </w:rPr>
                  </w:pPr>
                  <w:r>
                    <w:rPr>
                      <w:rFonts w:hint="eastAsia" w:cs="宋体"/>
                      <w:color w:val="auto"/>
                      <w:lang w:val="en-US" w:eastAsia="zh-CN"/>
                    </w:rPr>
                    <w:t>53</w:t>
                  </w:r>
                </w:p>
              </w:tc>
              <w:tc>
                <w:tcPr>
                  <w:tcW w:w="714" w:type="pct"/>
                  <w:noWrap w:val="0"/>
                  <w:vAlign w:val="center"/>
                </w:tcPr>
                <w:p w14:paraId="59BF1F93">
                  <w:pPr>
                    <w:jc w:val="center"/>
                    <w:rPr>
                      <w:rFonts w:hint="default" w:ascii="Calibri" w:hAnsi="Calibri" w:eastAsia="宋体" w:cs="宋体"/>
                      <w:color w:val="auto"/>
                      <w:kern w:val="2"/>
                      <w:sz w:val="21"/>
                      <w:szCs w:val="21"/>
                      <w:lang w:val="en-US" w:eastAsia="zh-CN" w:bidi="ar-SA"/>
                    </w:rPr>
                  </w:pPr>
                  <w:r>
                    <w:rPr>
                      <w:rFonts w:hint="eastAsia" w:cs="宋体"/>
                      <w:color w:val="auto"/>
                      <w:lang w:val="en-US" w:eastAsia="zh-CN"/>
                    </w:rPr>
                    <w:t>31.0</w:t>
                  </w:r>
                </w:p>
              </w:tc>
              <w:tc>
                <w:tcPr>
                  <w:tcW w:w="714" w:type="pct"/>
                  <w:noWrap w:val="0"/>
                  <w:vAlign w:val="center"/>
                </w:tcPr>
                <w:p w14:paraId="62A23508">
                  <w:pPr>
                    <w:jc w:val="center"/>
                    <w:rPr>
                      <w:rFonts w:hint="default" w:eastAsia="宋体" w:cs="宋体"/>
                      <w:color w:val="auto"/>
                      <w:lang w:val="en-US" w:eastAsia="zh-CN"/>
                    </w:rPr>
                  </w:pPr>
                  <w:r>
                    <w:rPr>
                      <w:rFonts w:hint="eastAsia" w:cs="宋体"/>
                      <w:color w:val="auto"/>
                      <w:lang w:val="en-US" w:eastAsia="zh-CN"/>
                    </w:rPr>
                    <w:t>57.5</w:t>
                  </w:r>
                </w:p>
              </w:tc>
              <w:tc>
                <w:tcPr>
                  <w:tcW w:w="714" w:type="pct"/>
                  <w:noWrap w:val="0"/>
                  <w:vAlign w:val="center"/>
                </w:tcPr>
                <w:p w14:paraId="41F21C46">
                  <w:pPr>
                    <w:jc w:val="center"/>
                    <w:rPr>
                      <w:rFonts w:hint="default" w:eastAsia="宋体" w:cs="宋体"/>
                      <w:color w:val="auto"/>
                      <w:lang w:val="en-US" w:eastAsia="zh-CN"/>
                    </w:rPr>
                  </w:pPr>
                  <w:r>
                    <w:rPr>
                      <w:rFonts w:hint="eastAsia" w:cs="宋体"/>
                      <w:color w:val="auto"/>
                      <w:lang w:val="en-US" w:eastAsia="zh-CN"/>
                    </w:rPr>
                    <w:t>65</w:t>
                  </w:r>
                </w:p>
              </w:tc>
              <w:tc>
                <w:tcPr>
                  <w:tcW w:w="949" w:type="pct"/>
                  <w:noWrap/>
                  <w:vAlign w:val="center"/>
                </w:tcPr>
                <w:p w14:paraId="5F4B0560">
                  <w:pPr>
                    <w:jc w:val="center"/>
                    <w:rPr>
                      <w:rFonts w:eastAsia="宋体" w:cs="宋体"/>
                      <w:color w:val="auto"/>
                    </w:rPr>
                  </w:pPr>
                  <w:r>
                    <w:rPr>
                      <w:rFonts w:hint="eastAsia" w:eastAsia="宋体" w:cs="宋体"/>
                      <w:color w:val="auto"/>
                    </w:rPr>
                    <w:t>达标</w:t>
                  </w:r>
                </w:p>
              </w:tc>
            </w:tr>
            <w:tr w14:paraId="3DE7E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4" w:type="pct"/>
                  <w:vMerge w:val="continue"/>
                  <w:noWrap w:val="0"/>
                  <w:vAlign w:val="center"/>
                </w:tcPr>
                <w:p w14:paraId="50AEE4D5">
                  <w:pPr>
                    <w:jc w:val="center"/>
                    <w:rPr>
                      <w:rFonts w:eastAsia="宋体" w:cs="宋体"/>
                      <w:color w:val="auto"/>
                    </w:rPr>
                  </w:pPr>
                </w:p>
              </w:tc>
              <w:tc>
                <w:tcPr>
                  <w:tcW w:w="479" w:type="pct"/>
                  <w:noWrap w:val="0"/>
                  <w:vAlign w:val="center"/>
                </w:tcPr>
                <w:p w14:paraId="14AB0336">
                  <w:pPr>
                    <w:jc w:val="center"/>
                    <w:rPr>
                      <w:rFonts w:eastAsia="宋体" w:cs="宋体"/>
                      <w:color w:val="auto"/>
                    </w:rPr>
                  </w:pPr>
                  <w:r>
                    <w:rPr>
                      <w:rFonts w:eastAsia="宋体" w:cs="宋体"/>
                      <w:color w:val="auto"/>
                    </w:rPr>
                    <w:t>夜</w:t>
                  </w:r>
                </w:p>
              </w:tc>
              <w:tc>
                <w:tcPr>
                  <w:tcW w:w="714" w:type="pct"/>
                  <w:noWrap w:val="0"/>
                  <w:vAlign w:val="center"/>
                </w:tcPr>
                <w:p w14:paraId="0569CD13">
                  <w:pPr>
                    <w:jc w:val="center"/>
                    <w:rPr>
                      <w:rFonts w:hint="default" w:eastAsia="宋体" w:cs="宋体"/>
                      <w:color w:val="auto"/>
                      <w:lang w:val="en-US" w:eastAsia="zh-CN"/>
                    </w:rPr>
                  </w:pPr>
                  <w:r>
                    <w:rPr>
                      <w:rFonts w:hint="eastAsia" w:cs="宋体"/>
                      <w:color w:val="auto"/>
                      <w:lang w:val="en-US" w:eastAsia="zh-CN"/>
                    </w:rPr>
                    <w:t>44</w:t>
                  </w:r>
                </w:p>
              </w:tc>
              <w:tc>
                <w:tcPr>
                  <w:tcW w:w="714" w:type="pct"/>
                  <w:noWrap w:val="0"/>
                  <w:vAlign w:val="center"/>
                </w:tcPr>
                <w:p w14:paraId="12167AC4">
                  <w:pPr>
                    <w:jc w:val="center"/>
                    <w:rPr>
                      <w:rFonts w:hint="default" w:ascii="Calibri" w:hAnsi="Calibri" w:eastAsia="宋体" w:cs="宋体"/>
                      <w:color w:val="auto"/>
                      <w:kern w:val="2"/>
                      <w:sz w:val="21"/>
                      <w:szCs w:val="21"/>
                      <w:lang w:val="en-US" w:eastAsia="zh-CN" w:bidi="ar-SA"/>
                    </w:rPr>
                  </w:pPr>
                  <w:r>
                    <w:rPr>
                      <w:rFonts w:hint="eastAsia" w:cs="宋体"/>
                      <w:color w:val="auto"/>
                      <w:lang w:val="en-US" w:eastAsia="zh-CN"/>
                    </w:rPr>
                    <w:t>31.0</w:t>
                  </w:r>
                </w:p>
              </w:tc>
              <w:tc>
                <w:tcPr>
                  <w:tcW w:w="714" w:type="pct"/>
                  <w:noWrap w:val="0"/>
                  <w:vAlign w:val="center"/>
                </w:tcPr>
                <w:p w14:paraId="12C7D5C8">
                  <w:pPr>
                    <w:jc w:val="center"/>
                    <w:rPr>
                      <w:rFonts w:hint="default" w:eastAsia="宋体" w:cs="宋体"/>
                      <w:color w:val="auto"/>
                      <w:lang w:val="en-US" w:eastAsia="zh-CN"/>
                    </w:rPr>
                  </w:pPr>
                  <w:r>
                    <w:rPr>
                      <w:rFonts w:hint="eastAsia" w:cs="宋体"/>
                      <w:color w:val="auto"/>
                      <w:lang w:val="en-US" w:eastAsia="zh-CN"/>
                    </w:rPr>
                    <w:t>49.4</w:t>
                  </w:r>
                </w:p>
              </w:tc>
              <w:tc>
                <w:tcPr>
                  <w:tcW w:w="714" w:type="pct"/>
                  <w:noWrap w:val="0"/>
                  <w:vAlign w:val="center"/>
                </w:tcPr>
                <w:p w14:paraId="3FF662F9">
                  <w:pPr>
                    <w:jc w:val="center"/>
                    <w:rPr>
                      <w:rFonts w:hint="default" w:eastAsia="宋体" w:cs="宋体"/>
                      <w:color w:val="auto"/>
                      <w:lang w:val="en-US" w:eastAsia="zh-CN"/>
                    </w:rPr>
                  </w:pPr>
                  <w:r>
                    <w:rPr>
                      <w:rFonts w:hint="eastAsia" w:cs="宋体"/>
                      <w:color w:val="auto"/>
                      <w:lang w:val="en-US" w:eastAsia="zh-CN"/>
                    </w:rPr>
                    <w:t>55</w:t>
                  </w:r>
                </w:p>
              </w:tc>
              <w:tc>
                <w:tcPr>
                  <w:tcW w:w="949" w:type="pct"/>
                  <w:noWrap/>
                  <w:vAlign w:val="center"/>
                </w:tcPr>
                <w:p w14:paraId="77FF1045">
                  <w:pPr>
                    <w:jc w:val="center"/>
                    <w:rPr>
                      <w:rFonts w:eastAsia="宋体" w:cs="宋体"/>
                      <w:color w:val="auto"/>
                    </w:rPr>
                  </w:pPr>
                  <w:r>
                    <w:rPr>
                      <w:rFonts w:hint="eastAsia" w:eastAsia="宋体" w:cs="宋体"/>
                      <w:color w:val="auto"/>
                    </w:rPr>
                    <w:t>达标</w:t>
                  </w:r>
                </w:p>
              </w:tc>
            </w:tr>
            <w:tr w14:paraId="3112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4" w:type="pct"/>
                  <w:vMerge w:val="restart"/>
                  <w:noWrap w:val="0"/>
                  <w:vAlign w:val="center"/>
                </w:tcPr>
                <w:p w14:paraId="6894D8F1">
                  <w:pPr>
                    <w:jc w:val="center"/>
                    <w:rPr>
                      <w:rFonts w:eastAsia="宋体" w:cs="宋体"/>
                      <w:color w:val="auto"/>
                    </w:rPr>
                  </w:pPr>
                  <w:r>
                    <w:rPr>
                      <w:rFonts w:eastAsia="宋体" w:cs="宋体"/>
                      <w:color w:val="auto"/>
                    </w:rPr>
                    <w:t>北厂界</w:t>
                  </w:r>
                </w:p>
              </w:tc>
              <w:tc>
                <w:tcPr>
                  <w:tcW w:w="479" w:type="pct"/>
                  <w:noWrap w:val="0"/>
                  <w:vAlign w:val="center"/>
                </w:tcPr>
                <w:p w14:paraId="15ECF257">
                  <w:pPr>
                    <w:jc w:val="center"/>
                    <w:rPr>
                      <w:rFonts w:eastAsia="宋体" w:cs="宋体"/>
                      <w:color w:val="auto"/>
                    </w:rPr>
                  </w:pPr>
                  <w:r>
                    <w:rPr>
                      <w:rFonts w:eastAsia="宋体" w:cs="宋体"/>
                      <w:color w:val="auto"/>
                    </w:rPr>
                    <w:t>昼</w:t>
                  </w:r>
                </w:p>
              </w:tc>
              <w:tc>
                <w:tcPr>
                  <w:tcW w:w="714" w:type="pct"/>
                  <w:noWrap w:val="0"/>
                  <w:vAlign w:val="center"/>
                </w:tcPr>
                <w:p w14:paraId="2BA3205D">
                  <w:pPr>
                    <w:jc w:val="center"/>
                    <w:rPr>
                      <w:rFonts w:hint="default" w:eastAsia="宋体" w:cs="宋体"/>
                      <w:color w:val="auto"/>
                      <w:lang w:val="en-US" w:eastAsia="zh-CN"/>
                    </w:rPr>
                  </w:pPr>
                  <w:r>
                    <w:rPr>
                      <w:rFonts w:hint="eastAsia" w:cs="宋体"/>
                      <w:color w:val="auto"/>
                      <w:lang w:val="en-US" w:eastAsia="zh-CN"/>
                    </w:rPr>
                    <w:t>60</w:t>
                  </w:r>
                </w:p>
              </w:tc>
              <w:tc>
                <w:tcPr>
                  <w:tcW w:w="714" w:type="pct"/>
                  <w:noWrap w:val="0"/>
                  <w:vAlign w:val="center"/>
                </w:tcPr>
                <w:p w14:paraId="6CC5961D">
                  <w:pPr>
                    <w:jc w:val="center"/>
                    <w:rPr>
                      <w:rFonts w:hint="default" w:ascii="Calibri" w:hAnsi="Calibri" w:eastAsia="宋体" w:cs="宋体"/>
                      <w:color w:val="auto"/>
                      <w:kern w:val="2"/>
                      <w:sz w:val="21"/>
                      <w:szCs w:val="21"/>
                      <w:lang w:val="en-US" w:eastAsia="zh-CN" w:bidi="ar-SA"/>
                    </w:rPr>
                  </w:pPr>
                  <w:r>
                    <w:rPr>
                      <w:rFonts w:hint="eastAsia" w:cs="宋体"/>
                      <w:color w:val="auto"/>
                      <w:lang w:val="en-US" w:eastAsia="zh-CN"/>
                    </w:rPr>
                    <w:t>40.0</w:t>
                  </w:r>
                </w:p>
              </w:tc>
              <w:tc>
                <w:tcPr>
                  <w:tcW w:w="714" w:type="pct"/>
                  <w:noWrap w:val="0"/>
                  <w:vAlign w:val="center"/>
                </w:tcPr>
                <w:p w14:paraId="67993E76">
                  <w:pPr>
                    <w:jc w:val="center"/>
                    <w:rPr>
                      <w:rFonts w:hint="default" w:eastAsia="宋体" w:cs="宋体"/>
                      <w:color w:val="auto"/>
                      <w:lang w:val="en-US" w:eastAsia="zh-CN"/>
                    </w:rPr>
                  </w:pPr>
                  <w:r>
                    <w:rPr>
                      <w:rFonts w:hint="eastAsia" w:cs="宋体"/>
                      <w:color w:val="auto"/>
                      <w:lang w:val="en-US" w:eastAsia="zh-CN"/>
                    </w:rPr>
                    <w:t>56.9</w:t>
                  </w:r>
                </w:p>
              </w:tc>
              <w:tc>
                <w:tcPr>
                  <w:tcW w:w="714" w:type="pct"/>
                  <w:noWrap w:val="0"/>
                  <w:vAlign w:val="center"/>
                </w:tcPr>
                <w:p w14:paraId="299BBFF8">
                  <w:pPr>
                    <w:jc w:val="center"/>
                    <w:rPr>
                      <w:rFonts w:hint="default" w:eastAsia="宋体" w:cs="宋体"/>
                      <w:color w:val="auto"/>
                      <w:lang w:val="en-US" w:eastAsia="zh-CN"/>
                    </w:rPr>
                  </w:pPr>
                  <w:r>
                    <w:rPr>
                      <w:rFonts w:hint="eastAsia" w:cs="宋体"/>
                      <w:color w:val="auto"/>
                      <w:lang w:val="en-US" w:eastAsia="zh-CN"/>
                    </w:rPr>
                    <w:t>65</w:t>
                  </w:r>
                </w:p>
              </w:tc>
              <w:tc>
                <w:tcPr>
                  <w:tcW w:w="949" w:type="pct"/>
                  <w:noWrap/>
                  <w:vAlign w:val="center"/>
                </w:tcPr>
                <w:p w14:paraId="56B66482">
                  <w:pPr>
                    <w:jc w:val="center"/>
                    <w:rPr>
                      <w:rFonts w:eastAsia="宋体" w:cs="宋体"/>
                      <w:color w:val="auto"/>
                    </w:rPr>
                  </w:pPr>
                  <w:r>
                    <w:rPr>
                      <w:rFonts w:hint="eastAsia" w:eastAsia="宋体" w:cs="宋体"/>
                      <w:color w:val="auto"/>
                    </w:rPr>
                    <w:t>达标</w:t>
                  </w:r>
                </w:p>
              </w:tc>
            </w:tr>
            <w:tr w14:paraId="6310A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4" w:type="pct"/>
                  <w:vMerge w:val="continue"/>
                  <w:noWrap w:val="0"/>
                  <w:vAlign w:val="center"/>
                </w:tcPr>
                <w:p w14:paraId="5B5B72B8">
                  <w:pPr>
                    <w:jc w:val="center"/>
                    <w:rPr>
                      <w:rFonts w:eastAsia="宋体" w:cs="宋体"/>
                      <w:color w:val="auto"/>
                    </w:rPr>
                  </w:pPr>
                </w:p>
              </w:tc>
              <w:tc>
                <w:tcPr>
                  <w:tcW w:w="479" w:type="pct"/>
                  <w:noWrap w:val="0"/>
                  <w:vAlign w:val="center"/>
                </w:tcPr>
                <w:p w14:paraId="2CEE2188">
                  <w:pPr>
                    <w:jc w:val="center"/>
                    <w:rPr>
                      <w:rFonts w:eastAsia="宋体" w:cs="宋体"/>
                      <w:color w:val="auto"/>
                    </w:rPr>
                  </w:pPr>
                  <w:r>
                    <w:rPr>
                      <w:rFonts w:eastAsia="宋体" w:cs="宋体"/>
                      <w:color w:val="auto"/>
                    </w:rPr>
                    <w:t>夜</w:t>
                  </w:r>
                </w:p>
              </w:tc>
              <w:tc>
                <w:tcPr>
                  <w:tcW w:w="714" w:type="pct"/>
                  <w:noWrap w:val="0"/>
                  <w:vAlign w:val="center"/>
                </w:tcPr>
                <w:p w14:paraId="4128BDCC">
                  <w:pPr>
                    <w:jc w:val="center"/>
                    <w:rPr>
                      <w:rFonts w:hint="default" w:eastAsia="宋体" w:cs="宋体"/>
                      <w:color w:val="auto"/>
                      <w:lang w:val="en-US" w:eastAsia="zh-CN"/>
                    </w:rPr>
                  </w:pPr>
                  <w:r>
                    <w:rPr>
                      <w:rFonts w:hint="eastAsia" w:cs="宋体"/>
                      <w:color w:val="auto"/>
                      <w:lang w:val="en-US" w:eastAsia="zh-CN"/>
                    </w:rPr>
                    <w:t>49</w:t>
                  </w:r>
                </w:p>
              </w:tc>
              <w:tc>
                <w:tcPr>
                  <w:tcW w:w="714" w:type="pct"/>
                  <w:noWrap w:val="0"/>
                  <w:vAlign w:val="center"/>
                </w:tcPr>
                <w:p w14:paraId="4B2D47B1">
                  <w:pPr>
                    <w:jc w:val="center"/>
                    <w:rPr>
                      <w:rFonts w:hint="default" w:ascii="Calibri" w:hAnsi="Calibri" w:eastAsia="宋体" w:cs="宋体"/>
                      <w:color w:val="auto"/>
                      <w:kern w:val="2"/>
                      <w:sz w:val="21"/>
                      <w:szCs w:val="21"/>
                      <w:lang w:val="en-US" w:eastAsia="zh-CN" w:bidi="ar-SA"/>
                    </w:rPr>
                  </w:pPr>
                  <w:r>
                    <w:rPr>
                      <w:rFonts w:hint="eastAsia" w:cs="宋体"/>
                      <w:color w:val="auto"/>
                      <w:lang w:val="en-US" w:eastAsia="zh-CN"/>
                    </w:rPr>
                    <w:t>40.0</w:t>
                  </w:r>
                </w:p>
              </w:tc>
              <w:tc>
                <w:tcPr>
                  <w:tcW w:w="714" w:type="pct"/>
                  <w:noWrap w:val="0"/>
                  <w:vAlign w:val="center"/>
                </w:tcPr>
                <w:p w14:paraId="4E2B3E7C">
                  <w:pPr>
                    <w:jc w:val="center"/>
                    <w:rPr>
                      <w:rFonts w:hint="default" w:eastAsia="宋体" w:cs="宋体"/>
                      <w:color w:val="auto"/>
                      <w:lang w:val="en-US" w:eastAsia="zh-CN"/>
                    </w:rPr>
                  </w:pPr>
                  <w:r>
                    <w:rPr>
                      <w:rFonts w:hint="eastAsia" w:cs="宋体"/>
                      <w:color w:val="auto"/>
                      <w:lang w:val="en-US" w:eastAsia="zh-CN"/>
                    </w:rPr>
                    <w:t>46.6</w:t>
                  </w:r>
                </w:p>
              </w:tc>
              <w:tc>
                <w:tcPr>
                  <w:tcW w:w="714" w:type="pct"/>
                  <w:noWrap w:val="0"/>
                  <w:vAlign w:val="center"/>
                </w:tcPr>
                <w:p w14:paraId="2E04D608">
                  <w:pPr>
                    <w:jc w:val="center"/>
                    <w:rPr>
                      <w:rFonts w:hint="default" w:eastAsia="宋体" w:cs="宋体"/>
                      <w:color w:val="auto"/>
                      <w:lang w:val="en-US" w:eastAsia="zh-CN"/>
                    </w:rPr>
                  </w:pPr>
                  <w:r>
                    <w:rPr>
                      <w:rFonts w:hint="eastAsia" w:cs="宋体"/>
                      <w:color w:val="auto"/>
                      <w:lang w:val="en-US" w:eastAsia="zh-CN"/>
                    </w:rPr>
                    <w:t>55</w:t>
                  </w:r>
                </w:p>
              </w:tc>
              <w:tc>
                <w:tcPr>
                  <w:tcW w:w="949" w:type="pct"/>
                  <w:noWrap/>
                  <w:vAlign w:val="center"/>
                </w:tcPr>
                <w:p w14:paraId="1421A6BB">
                  <w:pPr>
                    <w:jc w:val="center"/>
                    <w:rPr>
                      <w:rFonts w:eastAsia="宋体" w:cs="宋体"/>
                      <w:color w:val="auto"/>
                    </w:rPr>
                  </w:pPr>
                  <w:r>
                    <w:rPr>
                      <w:rFonts w:hint="eastAsia" w:eastAsia="宋体" w:cs="宋体"/>
                      <w:color w:val="auto"/>
                    </w:rPr>
                    <w:t>达标</w:t>
                  </w:r>
                </w:p>
              </w:tc>
            </w:tr>
          </w:tbl>
          <w:p w14:paraId="773C27CD">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color w:val="auto"/>
                <w:sz w:val="24"/>
                <w:szCs w:val="24"/>
              </w:rPr>
            </w:pPr>
            <w:r>
              <w:rPr>
                <w:color w:val="auto"/>
                <w:sz w:val="24"/>
                <w:szCs w:val="24"/>
              </w:rPr>
              <w:t>预测评价结果表明：</w:t>
            </w:r>
            <w:r>
              <w:rPr>
                <w:rFonts w:hint="eastAsia" w:eastAsia="宋体" w:cs="宋体"/>
                <w:color w:val="auto"/>
                <w:sz w:val="24"/>
                <w:szCs w:val="24"/>
                <w:lang w:val="en-US" w:eastAsia="zh-CN"/>
              </w:rPr>
              <w:t>扩建项目完成后，本</w:t>
            </w:r>
            <w:r>
              <w:rPr>
                <w:rFonts w:eastAsia="宋体" w:cs="宋体"/>
                <w:color w:val="auto"/>
                <w:sz w:val="24"/>
                <w:szCs w:val="24"/>
              </w:rPr>
              <w:t>项目</w:t>
            </w:r>
            <w:r>
              <w:rPr>
                <w:rFonts w:hint="eastAsia" w:eastAsia="宋体" w:cs="宋体"/>
                <w:color w:val="auto"/>
                <w:sz w:val="24"/>
                <w:szCs w:val="24"/>
                <w:lang w:val="en-US" w:eastAsia="zh-CN"/>
              </w:rPr>
              <w:t>区</w:t>
            </w:r>
            <w:r>
              <w:rPr>
                <w:rFonts w:hint="eastAsia" w:eastAsia="宋体" w:cs="宋体"/>
                <w:color w:val="auto"/>
                <w:sz w:val="24"/>
                <w:szCs w:val="24"/>
              </w:rPr>
              <w:t>东厂界</w:t>
            </w:r>
            <w:r>
              <w:rPr>
                <w:rFonts w:hint="eastAsia" w:eastAsia="宋体" w:cs="宋体"/>
                <w:color w:val="auto"/>
                <w:sz w:val="24"/>
                <w:szCs w:val="24"/>
                <w:lang w:eastAsia="zh-CN"/>
              </w:rPr>
              <w:t>、</w:t>
            </w:r>
            <w:r>
              <w:rPr>
                <w:rFonts w:hint="eastAsia" w:eastAsia="宋体" w:cs="宋体"/>
                <w:color w:val="auto"/>
                <w:sz w:val="24"/>
                <w:szCs w:val="24"/>
              </w:rPr>
              <w:t>南厂界、西厂界、北厂界噪声排放满足《工业企业厂界环境噪声排放标准》（</w:t>
            </w:r>
            <w:r>
              <w:rPr>
                <w:rFonts w:eastAsia="宋体" w:cs="宋体"/>
                <w:color w:val="auto"/>
                <w:sz w:val="24"/>
                <w:szCs w:val="24"/>
              </w:rPr>
              <w:t>GB</w:t>
            </w:r>
            <w:r>
              <w:rPr>
                <w:rFonts w:hint="eastAsia" w:cs="宋体"/>
                <w:color w:val="auto"/>
                <w:sz w:val="24"/>
                <w:szCs w:val="24"/>
                <w:lang w:val="en-US" w:eastAsia="zh-CN"/>
              </w:rPr>
              <w:t xml:space="preserve"> </w:t>
            </w:r>
            <w:r>
              <w:rPr>
                <w:rFonts w:eastAsia="宋体" w:cs="宋体"/>
                <w:color w:val="auto"/>
                <w:sz w:val="24"/>
                <w:szCs w:val="24"/>
              </w:rPr>
              <w:t>12348-2008</w:t>
            </w:r>
            <w:r>
              <w:rPr>
                <w:rFonts w:hint="eastAsia" w:eastAsia="宋体" w:cs="宋体"/>
                <w:color w:val="auto"/>
                <w:sz w:val="24"/>
                <w:szCs w:val="24"/>
              </w:rPr>
              <w:t>）</w:t>
            </w:r>
            <w:r>
              <w:rPr>
                <w:rFonts w:hint="eastAsia" w:cs="宋体"/>
                <w:color w:val="auto"/>
                <w:sz w:val="24"/>
                <w:szCs w:val="24"/>
                <w:lang w:val="en-US" w:eastAsia="zh-CN"/>
              </w:rPr>
              <w:t>3</w:t>
            </w:r>
            <w:r>
              <w:rPr>
                <w:rFonts w:hint="eastAsia" w:eastAsia="宋体" w:cs="宋体"/>
                <w:color w:val="auto"/>
                <w:sz w:val="24"/>
                <w:szCs w:val="24"/>
              </w:rPr>
              <w:t>类标准要求</w:t>
            </w:r>
            <w:r>
              <w:rPr>
                <w:color w:val="auto"/>
                <w:sz w:val="24"/>
                <w:szCs w:val="24"/>
              </w:rPr>
              <w:t>。</w:t>
            </w:r>
          </w:p>
          <w:p w14:paraId="2EB45151">
            <w:pPr>
              <w:pStyle w:val="12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cs="Times New Roman"/>
                <w:b w:val="0"/>
                <w:bCs w:val="0"/>
                <w:color w:val="auto"/>
                <w:kern w:val="2"/>
                <w:sz w:val="24"/>
                <w:szCs w:val="24"/>
                <w:lang w:val="en-US" w:eastAsia="zh-CN" w:bidi="ar-SA"/>
              </w:rPr>
              <w:t>4</w:t>
            </w:r>
            <w:r>
              <w:rPr>
                <w:rFonts w:hint="eastAsia" w:ascii="Times New Roman" w:hAnsi="Times New Roman" w:eastAsia="宋体" w:cs="Times New Roman"/>
                <w:b w:val="0"/>
                <w:bCs w:val="0"/>
                <w:color w:val="auto"/>
                <w:kern w:val="2"/>
                <w:sz w:val="24"/>
                <w:szCs w:val="24"/>
                <w:lang w:val="en-US" w:eastAsia="zh-CN" w:bidi="ar-SA"/>
              </w:rPr>
              <w:t>、监测要求</w:t>
            </w:r>
          </w:p>
          <w:p w14:paraId="74D8BC72">
            <w:pPr>
              <w:pStyle w:val="12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参照《排污单位自行监测技术指南 总则》（HJ</w:t>
            </w:r>
            <w:r>
              <w:rPr>
                <w:rFonts w:hint="eastAsia" w:cs="Times New Roman"/>
                <w:b w:val="0"/>
                <w:bCs w:val="0"/>
                <w:color w:val="auto"/>
                <w:kern w:val="2"/>
                <w:sz w:val="24"/>
                <w:szCs w:val="24"/>
                <w:lang w:val="en-US" w:eastAsia="zh-CN" w:bidi="ar-SA"/>
              </w:rPr>
              <w:t xml:space="preserve"> </w:t>
            </w:r>
            <w:r>
              <w:rPr>
                <w:rFonts w:hint="eastAsia" w:ascii="Times New Roman" w:hAnsi="Times New Roman" w:eastAsia="宋体" w:cs="Times New Roman"/>
                <w:b w:val="0"/>
                <w:bCs w:val="0"/>
                <w:color w:val="auto"/>
                <w:kern w:val="2"/>
                <w:sz w:val="24"/>
                <w:szCs w:val="24"/>
                <w:lang w:val="en-US" w:eastAsia="zh-CN" w:bidi="ar-SA"/>
              </w:rPr>
              <w:t>819-2017）、《排污许可证申请与核发技术规范 工业噪声》（HJ</w:t>
            </w:r>
            <w:r>
              <w:rPr>
                <w:rFonts w:hint="eastAsia" w:cs="Times New Roman"/>
                <w:b w:val="0"/>
                <w:bCs w:val="0"/>
                <w:color w:val="auto"/>
                <w:kern w:val="2"/>
                <w:sz w:val="24"/>
                <w:szCs w:val="24"/>
                <w:lang w:val="en-US" w:eastAsia="zh-CN" w:bidi="ar-SA"/>
              </w:rPr>
              <w:t xml:space="preserve"> </w:t>
            </w:r>
            <w:r>
              <w:rPr>
                <w:rFonts w:hint="eastAsia" w:ascii="Times New Roman" w:hAnsi="Times New Roman" w:eastAsia="宋体" w:cs="Times New Roman"/>
                <w:b w:val="0"/>
                <w:bCs w:val="0"/>
                <w:color w:val="auto"/>
                <w:kern w:val="2"/>
                <w:sz w:val="24"/>
                <w:szCs w:val="24"/>
                <w:lang w:val="en-US" w:eastAsia="zh-CN" w:bidi="ar-SA"/>
              </w:rPr>
              <w:t>1301-2023），本项目噪声监测计划如下表。</w:t>
            </w:r>
          </w:p>
          <w:p w14:paraId="051037BE">
            <w:pPr>
              <w:pStyle w:val="126"/>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表4-</w:t>
            </w:r>
            <w:r>
              <w:rPr>
                <w:rFonts w:hint="eastAsia" w:cs="Times New Roman"/>
                <w:b/>
                <w:bCs/>
                <w:color w:val="auto"/>
                <w:kern w:val="2"/>
                <w:sz w:val="21"/>
                <w:szCs w:val="21"/>
                <w:lang w:val="en-US" w:eastAsia="zh-CN" w:bidi="ar-SA"/>
              </w:rPr>
              <w:t xml:space="preserve">17 </w:t>
            </w:r>
            <w:r>
              <w:rPr>
                <w:rFonts w:hint="eastAsia" w:ascii="Times New Roman" w:hAnsi="Times New Roman" w:eastAsia="宋体" w:cs="Times New Roman"/>
                <w:b/>
                <w:bCs/>
                <w:color w:val="auto"/>
                <w:kern w:val="2"/>
                <w:sz w:val="21"/>
                <w:szCs w:val="21"/>
                <w:lang w:val="en-US" w:eastAsia="zh-CN" w:bidi="ar-SA"/>
              </w:rPr>
              <w:t>厂界噪声监测计划一览表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9"/>
              <w:gridCol w:w="3214"/>
              <w:gridCol w:w="2704"/>
            </w:tblGrid>
            <w:tr w14:paraId="08FA0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4" w:type="pct"/>
                  <w:tcBorders>
                    <w:top w:val="single" w:color="auto" w:sz="4" w:space="0"/>
                    <w:left w:val="single" w:color="auto" w:sz="4" w:space="0"/>
                    <w:bottom w:val="single" w:color="auto" w:sz="4" w:space="0"/>
                    <w:right w:val="single" w:color="auto" w:sz="4" w:space="0"/>
                  </w:tcBorders>
                  <w:vAlign w:val="center"/>
                </w:tcPr>
                <w:p w14:paraId="6621384B">
                  <w:pPr>
                    <w:tabs>
                      <w:tab w:val="left" w:pos="1215"/>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监测点位</w:t>
                  </w:r>
                </w:p>
              </w:tc>
              <w:tc>
                <w:tcPr>
                  <w:tcW w:w="1806" w:type="pct"/>
                  <w:tcBorders>
                    <w:top w:val="single" w:color="auto" w:sz="4" w:space="0"/>
                    <w:left w:val="single" w:color="auto" w:sz="4" w:space="0"/>
                    <w:bottom w:val="single" w:color="auto" w:sz="4" w:space="0"/>
                    <w:right w:val="single" w:color="auto" w:sz="4" w:space="0"/>
                  </w:tcBorders>
                  <w:vAlign w:val="center"/>
                </w:tcPr>
                <w:p w14:paraId="32676E57">
                  <w:pPr>
                    <w:tabs>
                      <w:tab w:val="left" w:pos="1215"/>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监测指标</w:t>
                  </w:r>
                </w:p>
              </w:tc>
              <w:tc>
                <w:tcPr>
                  <w:tcW w:w="1519" w:type="pct"/>
                  <w:tcBorders>
                    <w:top w:val="single" w:color="auto" w:sz="4" w:space="0"/>
                    <w:left w:val="single" w:color="auto" w:sz="4" w:space="0"/>
                    <w:bottom w:val="single" w:color="auto" w:sz="4" w:space="0"/>
                    <w:right w:val="single" w:color="auto" w:sz="4" w:space="0"/>
                  </w:tcBorders>
                  <w:vAlign w:val="center"/>
                </w:tcPr>
                <w:p w14:paraId="3C6BA863">
                  <w:pPr>
                    <w:tabs>
                      <w:tab w:val="left" w:pos="1215"/>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监测频次</w:t>
                  </w:r>
                </w:p>
              </w:tc>
            </w:tr>
            <w:tr w14:paraId="5EE2C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4" w:type="pct"/>
                  <w:tcBorders>
                    <w:top w:val="single" w:color="auto" w:sz="4" w:space="0"/>
                    <w:left w:val="single" w:color="auto" w:sz="4" w:space="0"/>
                    <w:bottom w:val="single" w:color="auto" w:sz="4" w:space="0"/>
                    <w:right w:val="single" w:color="auto" w:sz="4" w:space="0"/>
                  </w:tcBorders>
                  <w:vAlign w:val="center"/>
                </w:tcPr>
                <w:p w14:paraId="31B25947">
                  <w:pPr>
                    <w:tabs>
                      <w:tab w:val="left" w:pos="1215"/>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东厂界</w:t>
                  </w:r>
                </w:p>
              </w:tc>
              <w:tc>
                <w:tcPr>
                  <w:tcW w:w="1806" w:type="pct"/>
                  <w:tcBorders>
                    <w:top w:val="single" w:color="auto" w:sz="4" w:space="0"/>
                    <w:left w:val="single" w:color="auto" w:sz="4" w:space="0"/>
                    <w:bottom w:val="single" w:color="auto" w:sz="4" w:space="0"/>
                    <w:right w:val="single" w:color="auto" w:sz="4" w:space="0"/>
                  </w:tcBorders>
                  <w:vAlign w:val="center"/>
                </w:tcPr>
                <w:p w14:paraId="65847268">
                  <w:pPr>
                    <w:tabs>
                      <w:tab w:val="left" w:pos="1215"/>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等效连续A声级</w:t>
                  </w:r>
                </w:p>
              </w:tc>
              <w:tc>
                <w:tcPr>
                  <w:tcW w:w="1519" w:type="pct"/>
                  <w:tcBorders>
                    <w:top w:val="single" w:color="auto" w:sz="4" w:space="0"/>
                    <w:left w:val="single" w:color="auto" w:sz="4" w:space="0"/>
                    <w:bottom w:val="single" w:color="auto" w:sz="4" w:space="0"/>
                    <w:right w:val="single" w:color="auto" w:sz="4" w:space="0"/>
                  </w:tcBorders>
                  <w:vAlign w:val="center"/>
                </w:tcPr>
                <w:p w14:paraId="13DD21C5">
                  <w:pPr>
                    <w:tabs>
                      <w:tab w:val="left" w:pos="1215"/>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一次/季度</w:t>
                  </w:r>
                </w:p>
              </w:tc>
            </w:tr>
            <w:tr w14:paraId="5D484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4" w:type="pct"/>
                  <w:tcBorders>
                    <w:top w:val="single" w:color="auto" w:sz="4" w:space="0"/>
                    <w:left w:val="single" w:color="auto" w:sz="4" w:space="0"/>
                    <w:bottom w:val="single" w:color="auto" w:sz="4" w:space="0"/>
                    <w:right w:val="single" w:color="auto" w:sz="4" w:space="0"/>
                  </w:tcBorders>
                  <w:vAlign w:val="center"/>
                </w:tcPr>
                <w:p w14:paraId="35C044E8">
                  <w:pPr>
                    <w:tabs>
                      <w:tab w:val="left" w:pos="1215"/>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南厂界</w:t>
                  </w:r>
                </w:p>
              </w:tc>
              <w:tc>
                <w:tcPr>
                  <w:tcW w:w="1806" w:type="pct"/>
                  <w:tcBorders>
                    <w:top w:val="single" w:color="auto" w:sz="4" w:space="0"/>
                    <w:left w:val="single" w:color="auto" w:sz="4" w:space="0"/>
                    <w:bottom w:val="single" w:color="auto" w:sz="4" w:space="0"/>
                    <w:right w:val="single" w:color="auto" w:sz="4" w:space="0"/>
                  </w:tcBorders>
                  <w:vAlign w:val="center"/>
                </w:tcPr>
                <w:p w14:paraId="719BDCF0">
                  <w:pPr>
                    <w:tabs>
                      <w:tab w:val="left" w:pos="1215"/>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等效连续A声级</w:t>
                  </w:r>
                </w:p>
              </w:tc>
              <w:tc>
                <w:tcPr>
                  <w:tcW w:w="1519" w:type="pct"/>
                  <w:tcBorders>
                    <w:top w:val="single" w:color="auto" w:sz="4" w:space="0"/>
                    <w:left w:val="single" w:color="auto" w:sz="4" w:space="0"/>
                    <w:bottom w:val="single" w:color="auto" w:sz="4" w:space="0"/>
                    <w:right w:val="single" w:color="auto" w:sz="4" w:space="0"/>
                  </w:tcBorders>
                  <w:vAlign w:val="center"/>
                </w:tcPr>
                <w:p w14:paraId="343E2882">
                  <w:pPr>
                    <w:tabs>
                      <w:tab w:val="left" w:pos="1215"/>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一次/季度</w:t>
                  </w:r>
                </w:p>
              </w:tc>
            </w:tr>
            <w:tr w14:paraId="70A9F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4" w:type="pct"/>
                  <w:tcBorders>
                    <w:top w:val="single" w:color="auto" w:sz="4" w:space="0"/>
                    <w:left w:val="single" w:color="auto" w:sz="4" w:space="0"/>
                    <w:bottom w:val="single" w:color="auto" w:sz="4" w:space="0"/>
                    <w:right w:val="single" w:color="auto" w:sz="4" w:space="0"/>
                  </w:tcBorders>
                  <w:vAlign w:val="center"/>
                </w:tcPr>
                <w:p w14:paraId="6C79761A">
                  <w:pPr>
                    <w:tabs>
                      <w:tab w:val="left" w:pos="1215"/>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西厂界</w:t>
                  </w:r>
                </w:p>
              </w:tc>
              <w:tc>
                <w:tcPr>
                  <w:tcW w:w="1806" w:type="pct"/>
                  <w:tcBorders>
                    <w:top w:val="single" w:color="auto" w:sz="4" w:space="0"/>
                    <w:left w:val="single" w:color="auto" w:sz="4" w:space="0"/>
                    <w:bottom w:val="single" w:color="auto" w:sz="4" w:space="0"/>
                    <w:right w:val="single" w:color="auto" w:sz="4" w:space="0"/>
                  </w:tcBorders>
                  <w:vAlign w:val="center"/>
                </w:tcPr>
                <w:p w14:paraId="596C2BDC">
                  <w:pPr>
                    <w:tabs>
                      <w:tab w:val="left" w:pos="1215"/>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等效连续A声级</w:t>
                  </w:r>
                </w:p>
              </w:tc>
              <w:tc>
                <w:tcPr>
                  <w:tcW w:w="1519" w:type="pct"/>
                  <w:tcBorders>
                    <w:top w:val="single" w:color="auto" w:sz="4" w:space="0"/>
                    <w:left w:val="single" w:color="auto" w:sz="4" w:space="0"/>
                    <w:bottom w:val="single" w:color="auto" w:sz="4" w:space="0"/>
                    <w:right w:val="single" w:color="auto" w:sz="4" w:space="0"/>
                  </w:tcBorders>
                  <w:vAlign w:val="center"/>
                </w:tcPr>
                <w:p w14:paraId="6DDCC8B6">
                  <w:pPr>
                    <w:tabs>
                      <w:tab w:val="left" w:pos="1215"/>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一次/季度</w:t>
                  </w:r>
                </w:p>
              </w:tc>
            </w:tr>
            <w:tr w14:paraId="72A4E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4" w:type="pct"/>
                  <w:tcBorders>
                    <w:top w:val="single" w:color="auto" w:sz="4" w:space="0"/>
                    <w:left w:val="single" w:color="auto" w:sz="4" w:space="0"/>
                    <w:bottom w:val="single" w:color="auto" w:sz="4" w:space="0"/>
                    <w:right w:val="single" w:color="auto" w:sz="4" w:space="0"/>
                  </w:tcBorders>
                  <w:vAlign w:val="center"/>
                </w:tcPr>
                <w:p w14:paraId="6A5E23B2">
                  <w:pPr>
                    <w:tabs>
                      <w:tab w:val="left" w:pos="1215"/>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北厂界</w:t>
                  </w:r>
                </w:p>
              </w:tc>
              <w:tc>
                <w:tcPr>
                  <w:tcW w:w="1806" w:type="pct"/>
                  <w:tcBorders>
                    <w:top w:val="single" w:color="auto" w:sz="4" w:space="0"/>
                    <w:left w:val="single" w:color="auto" w:sz="4" w:space="0"/>
                    <w:bottom w:val="single" w:color="auto" w:sz="4" w:space="0"/>
                    <w:right w:val="single" w:color="auto" w:sz="4" w:space="0"/>
                  </w:tcBorders>
                  <w:vAlign w:val="center"/>
                </w:tcPr>
                <w:p w14:paraId="389E04EC">
                  <w:pPr>
                    <w:tabs>
                      <w:tab w:val="left" w:pos="1215"/>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等效连续A声级</w:t>
                  </w:r>
                </w:p>
              </w:tc>
              <w:tc>
                <w:tcPr>
                  <w:tcW w:w="1519" w:type="pct"/>
                  <w:tcBorders>
                    <w:top w:val="single" w:color="auto" w:sz="4" w:space="0"/>
                    <w:left w:val="single" w:color="auto" w:sz="4" w:space="0"/>
                    <w:bottom w:val="single" w:color="auto" w:sz="4" w:space="0"/>
                    <w:right w:val="single" w:color="auto" w:sz="4" w:space="0"/>
                  </w:tcBorders>
                  <w:vAlign w:val="center"/>
                </w:tcPr>
                <w:p w14:paraId="00885E25">
                  <w:pPr>
                    <w:tabs>
                      <w:tab w:val="left" w:pos="1215"/>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一次/季度</w:t>
                  </w:r>
                </w:p>
              </w:tc>
            </w:tr>
          </w:tbl>
          <w:p w14:paraId="74EE9466">
            <w:pPr>
              <w:pStyle w:val="12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color w:val="0000FF"/>
                <w:kern w:val="2"/>
                <w:sz w:val="24"/>
                <w:szCs w:val="24"/>
                <w:lang w:val="en-US" w:eastAsia="zh-CN" w:bidi="ar-SA"/>
              </w:rPr>
            </w:pPr>
            <w:r>
              <w:rPr>
                <w:rFonts w:hint="eastAsia" w:ascii="Times New Roman" w:hAnsi="Times New Roman" w:eastAsia="宋体" w:cs="Times New Roman"/>
                <w:b/>
                <w:bCs/>
                <w:color w:val="0000FF"/>
                <w:kern w:val="2"/>
                <w:sz w:val="24"/>
                <w:szCs w:val="24"/>
                <w:lang w:val="en-US" w:eastAsia="zh-CN" w:bidi="ar-SA"/>
              </w:rPr>
              <w:t>四、固体废物</w:t>
            </w:r>
          </w:p>
          <w:p w14:paraId="633F2C3A">
            <w:pPr>
              <w:pStyle w:val="47"/>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default"/>
                <w:color w:val="0000FF"/>
                <w:lang w:val="en-US" w:eastAsia="zh-CN"/>
              </w:rPr>
            </w:pPr>
            <w:r>
              <w:rPr>
                <w:rFonts w:hint="eastAsia"/>
                <w:color w:val="0000FF"/>
                <w:lang w:val="en-US" w:eastAsia="zh-CN"/>
              </w:rPr>
              <w:t>1、固废产生情况</w:t>
            </w:r>
          </w:p>
          <w:p w14:paraId="2CC06072">
            <w:pPr>
              <w:pStyle w:val="47"/>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eastAsia"/>
                <w:color w:val="0000FF"/>
                <w:highlight w:val="yellow"/>
                <w:lang w:val="en-US" w:eastAsia="zh-CN"/>
              </w:rPr>
            </w:pPr>
            <w:r>
              <w:rPr>
                <w:rFonts w:hint="eastAsia"/>
                <w:color w:val="0000FF"/>
                <w:lang w:val="en-US" w:eastAsia="zh-CN"/>
              </w:rPr>
              <w:t>本项目不新增员工，由企业内部调配，因此本项目不新增生活垃圾。主要固废为盛装容器或包装物及窑灰。</w:t>
            </w:r>
          </w:p>
          <w:p w14:paraId="203119E1">
            <w:pPr>
              <w:pStyle w:val="47"/>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eastAsia"/>
                <w:color w:val="0000FF"/>
                <w:lang w:val="en-US" w:eastAsia="zh-CN"/>
              </w:rPr>
            </w:pPr>
            <w:r>
              <w:rPr>
                <w:rFonts w:hint="eastAsia" w:cs="Times New Roman"/>
                <w:color w:val="0000FF"/>
                <w:kern w:val="0"/>
                <w:sz w:val="24"/>
                <w:szCs w:val="21"/>
                <w:lang w:val="en-US" w:eastAsia="zh-CN" w:bidi="ar-SA"/>
              </w:rPr>
              <w:t>（1）</w:t>
            </w:r>
            <w:r>
              <w:rPr>
                <w:rFonts w:hint="eastAsia"/>
                <w:color w:val="0000FF"/>
                <w:lang w:val="en-US" w:eastAsia="zh-CN"/>
              </w:rPr>
              <w:t>废容器或包装物</w:t>
            </w:r>
          </w:p>
          <w:p w14:paraId="34905883">
            <w:pPr>
              <w:pStyle w:val="47"/>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eastAsia"/>
                <w:color w:val="0000FF"/>
                <w:lang w:val="en-US" w:eastAsia="zh-CN"/>
              </w:rPr>
            </w:pPr>
            <w:r>
              <w:rPr>
                <w:rFonts w:hint="eastAsia"/>
                <w:color w:val="0000FF"/>
                <w:lang w:val="en-US" w:eastAsia="zh-CN"/>
              </w:rPr>
              <w:t>主要为捆绑废纺的布条，或包装用的袋子，根据《水泥窑协同处置危险废物环境保护技术规范》（HJ 662-2013）说明，可清洗后重复使用；对于污染严重不便清洗的包装物进入水泥窑进行处置，不外排。</w:t>
            </w:r>
          </w:p>
          <w:p w14:paraId="6FEDE564">
            <w:pPr>
              <w:pStyle w:val="47"/>
              <w:keepNext w:val="0"/>
              <w:keepLines w:val="0"/>
              <w:pageBreakBefore w:val="0"/>
              <w:numPr>
                <w:ilvl w:val="0"/>
                <w:numId w:val="0"/>
              </w:numPr>
              <w:kinsoku/>
              <w:wordWrap/>
              <w:overflowPunct/>
              <w:topLinePunct w:val="0"/>
              <w:autoSpaceDE/>
              <w:autoSpaceDN/>
              <w:bidi w:val="0"/>
              <w:adjustRightInd/>
              <w:snapToGrid/>
              <w:ind w:firstLine="480" w:firstLineChars="200"/>
              <w:textAlignment w:val="auto"/>
              <w:rPr>
                <w:rFonts w:hint="eastAsia"/>
                <w:color w:val="0000FF"/>
                <w:lang w:val="en-US" w:eastAsia="zh-CN"/>
              </w:rPr>
            </w:pPr>
            <w:r>
              <w:rPr>
                <w:rFonts w:hint="eastAsia" w:cs="Times New Roman"/>
                <w:color w:val="0000FF"/>
                <w:kern w:val="0"/>
                <w:sz w:val="24"/>
                <w:szCs w:val="21"/>
                <w:lang w:val="en-US" w:eastAsia="zh-CN" w:bidi="ar-SA"/>
              </w:rPr>
              <w:t>（2）</w:t>
            </w:r>
            <w:r>
              <w:rPr>
                <w:rFonts w:hint="eastAsia"/>
                <w:color w:val="0000FF"/>
                <w:lang w:val="en-US" w:eastAsia="zh-CN"/>
              </w:rPr>
              <w:t>窑灰</w:t>
            </w:r>
          </w:p>
          <w:p w14:paraId="46209175">
            <w:pPr>
              <w:pStyle w:val="123"/>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color w:val="0000FF"/>
                <w:lang w:val="en-US" w:eastAsia="zh-CN"/>
              </w:rPr>
            </w:pPr>
            <w:r>
              <w:rPr>
                <w:rFonts w:hint="eastAsia"/>
                <w:color w:val="0000FF"/>
                <w:lang w:val="en-US" w:eastAsia="zh-CN"/>
              </w:rPr>
              <w:t>本项目产生的窑灰依托现有水泥生产线窑灰返窑系统。项目建成后，由于产尘量不变，窑尾布袋除尘器收集的窑灰量为39164t/a，收集后均返回生料磨中，不外排。</w:t>
            </w:r>
          </w:p>
          <w:p w14:paraId="5C71E172">
            <w:pPr>
              <w:pStyle w:val="123"/>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color w:val="0000FF"/>
                <w:highlight w:val="yellow"/>
                <w:lang w:val="en-US" w:eastAsia="zh-CN"/>
              </w:rPr>
            </w:pPr>
            <w:r>
              <w:rPr>
                <w:rFonts w:hint="eastAsia"/>
                <w:color w:val="0000FF"/>
                <w:lang w:val="en-US" w:eastAsia="zh-CN"/>
              </w:rPr>
              <w:t>本项目固废产生及处置情况详见下表。</w:t>
            </w:r>
          </w:p>
          <w:p w14:paraId="0EC46CD5">
            <w:pPr>
              <w:pStyle w:val="123"/>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FF"/>
                <w:kern w:val="2"/>
                <w:sz w:val="21"/>
                <w:szCs w:val="21"/>
                <w:lang w:val="en-US" w:eastAsia="zh-CN" w:bidi="ar-SA"/>
              </w:rPr>
            </w:pPr>
            <w:r>
              <w:rPr>
                <w:rFonts w:hint="eastAsia" w:ascii="Times New Roman" w:hAnsi="Times New Roman" w:eastAsia="宋体" w:cs="Times New Roman"/>
                <w:b/>
                <w:bCs/>
                <w:color w:val="0000FF"/>
                <w:kern w:val="2"/>
                <w:sz w:val="21"/>
                <w:szCs w:val="21"/>
                <w:lang w:val="en-US" w:eastAsia="zh-CN" w:bidi="ar-SA"/>
              </w:rPr>
              <w:t>表4-</w:t>
            </w:r>
            <w:r>
              <w:rPr>
                <w:rFonts w:hint="eastAsia" w:cs="Times New Roman"/>
                <w:b/>
                <w:bCs/>
                <w:color w:val="0000FF"/>
                <w:kern w:val="2"/>
                <w:sz w:val="21"/>
                <w:szCs w:val="21"/>
                <w:lang w:val="en-US" w:eastAsia="zh-CN" w:bidi="ar-SA"/>
              </w:rPr>
              <w:t xml:space="preserve">18 </w:t>
            </w:r>
            <w:r>
              <w:rPr>
                <w:rFonts w:hint="eastAsia" w:ascii="Times New Roman" w:hAnsi="Times New Roman" w:eastAsia="宋体" w:cs="Times New Roman"/>
                <w:b/>
                <w:bCs/>
                <w:color w:val="0000FF"/>
                <w:kern w:val="2"/>
                <w:sz w:val="21"/>
                <w:szCs w:val="21"/>
                <w:lang w:val="en-US" w:eastAsia="zh-CN" w:bidi="ar-SA"/>
              </w:rPr>
              <w:t>项目固体废物产生情况表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1780"/>
              <w:gridCol w:w="1519"/>
              <w:gridCol w:w="1196"/>
              <w:gridCol w:w="1335"/>
              <w:gridCol w:w="1976"/>
            </w:tblGrid>
            <w:tr w14:paraId="7BD9D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3" w:type="pct"/>
                  <w:vAlign w:val="center"/>
                </w:tcPr>
                <w:p w14:paraId="789B4AEE">
                  <w:pPr>
                    <w:tabs>
                      <w:tab w:val="left" w:pos="1215"/>
                    </w:tabs>
                    <w:adjustRightInd w:val="0"/>
                    <w:snapToGrid w:val="0"/>
                    <w:jc w:val="center"/>
                    <w:rPr>
                      <w:rFonts w:hint="default"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产生源</w:t>
                  </w:r>
                </w:p>
              </w:tc>
              <w:tc>
                <w:tcPr>
                  <w:tcW w:w="1000" w:type="pct"/>
                  <w:vAlign w:val="center"/>
                </w:tcPr>
                <w:p w14:paraId="045B9155">
                  <w:pPr>
                    <w:tabs>
                      <w:tab w:val="left" w:pos="1215"/>
                    </w:tabs>
                    <w:adjustRightInd w:val="0"/>
                    <w:snapToGrid w:val="0"/>
                    <w:jc w:val="center"/>
                    <w:rPr>
                      <w:rFonts w:hint="default"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名称</w:t>
                  </w:r>
                </w:p>
              </w:tc>
              <w:tc>
                <w:tcPr>
                  <w:tcW w:w="853" w:type="pct"/>
                  <w:vAlign w:val="center"/>
                </w:tcPr>
                <w:p w14:paraId="3014311E">
                  <w:pPr>
                    <w:tabs>
                      <w:tab w:val="left" w:pos="1215"/>
                    </w:tabs>
                    <w:adjustRightInd w:val="0"/>
                    <w:snapToGrid w:val="0"/>
                    <w:jc w:val="center"/>
                    <w:rPr>
                      <w:rFonts w:hint="default"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属性</w:t>
                  </w:r>
                </w:p>
              </w:tc>
              <w:tc>
                <w:tcPr>
                  <w:tcW w:w="672" w:type="pct"/>
                  <w:vAlign w:val="center"/>
                </w:tcPr>
                <w:p w14:paraId="2BF350EC">
                  <w:pPr>
                    <w:tabs>
                      <w:tab w:val="left" w:pos="1215"/>
                    </w:tabs>
                    <w:adjustRightInd w:val="0"/>
                    <w:snapToGrid w:val="0"/>
                    <w:jc w:val="center"/>
                    <w:rPr>
                      <w:rFonts w:hint="default"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物理性状</w:t>
                  </w:r>
                </w:p>
              </w:tc>
              <w:tc>
                <w:tcPr>
                  <w:tcW w:w="750" w:type="pct"/>
                  <w:vAlign w:val="center"/>
                </w:tcPr>
                <w:p w14:paraId="4C349BC6">
                  <w:pPr>
                    <w:tabs>
                      <w:tab w:val="left" w:pos="1215"/>
                    </w:tabs>
                    <w:adjustRightInd w:val="0"/>
                    <w:snapToGrid w:val="0"/>
                    <w:jc w:val="center"/>
                    <w:rPr>
                      <w:rFonts w:hint="default"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产生量（t/a）</w:t>
                  </w:r>
                </w:p>
              </w:tc>
              <w:tc>
                <w:tcPr>
                  <w:tcW w:w="1110" w:type="pct"/>
                  <w:vAlign w:val="center"/>
                </w:tcPr>
                <w:p w14:paraId="03EE72AC">
                  <w:pPr>
                    <w:tabs>
                      <w:tab w:val="left" w:pos="1215"/>
                    </w:tabs>
                    <w:adjustRightInd w:val="0"/>
                    <w:snapToGrid w:val="0"/>
                    <w:jc w:val="center"/>
                    <w:rPr>
                      <w:rFonts w:hint="default"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处置方式</w:t>
                  </w:r>
                </w:p>
              </w:tc>
            </w:tr>
            <w:tr w14:paraId="17CF4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3" w:type="pct"/>
                  <w:vAlign w:val="center"/>
                </w:tcPr>
                <w:p w14:paraId="60DAAB5B">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替代燃料</w:t>
                  </w:r>
                </w:p>
              </w:tc>
              <w:tc>
                <w:tcPr>
                  <w:tcW w:w="1000" w:type="pct"/>
                  <w:vAlign w:val="center"/>
                </w:tcPr>
                <w:p w14:paraId="4FFA6620">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废容器或包装物</w:t>
                  </w:r>
                </w:p>
              </w:tc>
              <w:tc>
                <w:tcPr>
                  <w:tcW w:w="853" w:type="pct"/>
                  <w:vAlign w:val="center"/>
                </w:tcPr>
                <w:p w14:paraId="78478479">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一般工业固废</w:t>
                  </w:r>
                </w:p>
              </w:tc>
              <w:tc>
                <w:tcPr>
                  <w:tcW w:w="672" w:type="pct"/>
                  <w:vAlign w:val="center"/>
                </w:tcPr>
                <w:p w14:paraId="3CE24AF8">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固态</w:t>
                  </w:r>
                </w:p>
              </w:tc>
              <w:tc>
                <w:tcPr>
                  <w:tcW w:w="750" w:type="pct"/>
                  <w:vAlign w:val="center"/>
                </w:tcPr>
                <w:p w14:paraId="03C9C75A">
                  <w:pPr>
                    <w:tabs>
                      <w:tab w:val="left" w:pos="1215"/>
                    </w:tabs>
                    <w:adjustRightInd w:val="0"/>
                    <w:snapToGrid w:val="0"/>
                    <w:jc w:val="center"/>
                    <w:rPr>
                      <w:rFonts w:hint="default"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w:t>
                  </w:r>
                </w:p>
              </w:tc>
              <w:tc>
                <w:tcPr>
                  <w:tcW w:w="1110" w:type="pct"/>
                  <w:vAlign w:val="center"/>
                </w:tcPr>
                <w:p w14:paraId="3D46A930">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重复利用或进入水泥窑处置，不外排</w:t>
                  </w:r>
                </w:p>
              </w:tc>
            </w:tr>
            <w:tr w14:paraId="0E954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3" w:type="pct"/>
                  <w:vAlign w:val="center"/>
                </w:tcPr>
                <w:p w14:paraId="5BDB35F4">
                  <w:pPr>
                    <w:tabs>
                      <w:tab w:val="left" w:pos="1215"/>
                    </w:tabs>
                    <w:adjustRightInd w:val="0"/>
                    <w:snapToGrid w:val="0"/>
                    <w:jc w:val="center"/>
                    <w:rPr>
                      <w:rFonts w:hint="default"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除尘系统</w:t>
                  </w:r>
                </w:p>
              </w:tc>
              <w:tc>
                <w:tcPr>
                  <w:tcW w:w="1000" w:type="pct"/>
                  <w:vAlign w:val="center"/>
                </w:tcPr>
                <w:p w14:paraId="33F6E3F6">
                  <w:pPr>
                    <w:tabs>
                      <w:tab w:val="left" w:pos="1215"/>
                    </w:tabs>
                    <w:adjustRightInd w:val="0"/>
                    <w:snapToGrid w:val="0"/>
                    <w:jc w:val="center"/>
                    <w:rPr>
                      <w:rFonts w:hint="default"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窑灰</w:t>
                  </w:r>
                </w:p>
              </w:tc>
              <w:tc>
                <w:tcPr>
                  <w:tcW w:w="853" w:type="pct"/>
                  <w:vAlign w:val="center"/>
                </w:tcPr>
                <w:p w14:paraId="3CD3D068">
                  <w:pPr>
                    <w:tabs>
                      <w:tab w:val="left" w:pos="1215"/>
                    </w:tabs>
                    <w:adjustRightInd w:val="0"/>
                    <w:snapToGrid w:val="0"/>
                    <w:jc w:val="center"/>
                    <w:rPr>
                      <w:rFonts w:hint="default"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一般工业固废</w:t>
                  </w:r>
                </w:p>
              </w:tc>
              <w:tc>
                <w:tcPr>
                  <w:tcW w:w="672" w:type="pct"/>
                  <w:vAlign w:val="center"/>
                </w:tcPr>
                <w:p w14:paraId="194ECC7B">
                  <w:pPr>
                    <w:tabs>
                      <w:tab w:val="left" w:pos="1215"/>
                    </w:tabs>
                    <w:adjustRightInd w:val="0"/>
                    <w:snapToGrid w:val="0"/>
                    <w:jc w:val="center"/>
                    <w:rPr>
                      <w:rFonts w:hint="default"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固态</w:t>
                  </w:r>
                </w:p>
              </w:tc>
              <w:tc>
                <w:tcPr>
                  <w:tcW w:w="750" w:type="pct"/>
                  <w:vAlign w:val="center"/>
                </w:tcPr>
                <w:p w14:paraId="710BC354">
                  <w:pPr>
                    <w:tabs>
                      <w:tab w:val="left" w:pos="1215"/>
                    </w:tabs>
                    <w:adjustRightInd w:val="0"/>
                    <w:snapToGrid w:val="0"/>
                    <w:jc w:val="center"/>
                    <w:rPr>
                      <w:rFonts w:hint="default"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39164</w:t>
                  </w:r>
                </w:p>
              </w:tc>
              <w:tc>
                <w:tcPr>
                  <w:tcW w:w="1110" w:type="pct"/>
                  <w:vAlign w:val="center"/>
                </w:tcPr>
                <w:p w14:paraId="2877BBA3">
                  <w:pPr>
                    <w:tabs>
                      <w:tab w:val="left" w:pos="1215"/>
                    </w:tabs>
                    <w:adjustRightInd w:val="0"/>
                    <w:snapToGrid w:val="0"/>
                    <w:jc w:val="center"/>
                    <w:rPr>
                      <w:rFonts w:hint="default"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返回水泥窑焚烧</w:t>
                  </w:r>
                </w:p>
              </w:tc>
            </w:tr>
          </w:tbl>
          <w:p w14:paraId="0C50A559">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FF"/>
                <w:kern w:val="0"/>
                <w:sz w:val="24"/>
                <w:szCs w:val="21"/>
                <w:lang w:val="en-US" w:eastAsia="zh-CN" w:bidi="ar-SA"/>
              </w:rPr>
            </w:pPr>
            <w:r>
              <w:rPr>
                <w:rFonts w:hint="eastAsia" w:ascii="Times New Roman" w:hAnsi="Times New Roman" w:eastAsia="宋体" w:cs="Times New Roman"/>
                <w:color w:val="0000FF"/>
                <w:kern w:val="0"/>
                <w:sz w:val="24"/>
                <w:szCs w:val="21"/>
                <w:lang w:val="en-US" w:eastAsia="zh-CN" w:bidi="ar-SA"/>
              </w:rPr>
              <w:t>2、固体废物环境管理要求</w:t>
            </w:r>
          </w:p>
          <w:p w14:paraId="6B397468">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FF"/>
                <w:kern w:val="0"/>
                <w:sz w:val="24"/>
                <w:szCs w:val="21"/>
                <w:lang w:val="en-US" w:eastAsia="zh-CN" w:bidi="ar-SA"/>
              </w:rPr>
            </w:pPr>
            <w:r>
              <w:rPr>
                <w:rFonts w:hint="eastAsia" w:ascii="Times New Roman" w:hAnsi="Times New Roman" w:eastAsia="宋体" w:cs="Times New Roman"/>
                <w:color w:val="0000FF"/>
                <w:kern w:val="0"/>
                <w:sz w:val="24"/>
                <w:szCs w:val="21"/>
                <w:lang w:val="en-US" w:eastAsia="zh-CN" w:bidi="ar-SA"/>
              </w:rPr>
              <w:t>本项目运营期产生的固体废物主要为除尘器收集的粉尘等。项目固体废物处理处置遵循“减量化、资源化、无害化”的原则，实行分类收集、贮存和运输。</w:t>
            </w:r>
          </w:p>
          <w:p w14:paraId="0F291BA8">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FF"/>
                <w:kern w:val="0"/>
                <w:sz w:val="24"/>
                <w:szCs w:val="21"/>
                <w:lang w:val="en-US" w:eastAsia="zh-CN" w:bidi="ar-SA"/>
              </w:rPr>
            </w:pPr>
            <w:r>
              <w:rPr>
                <w:rFonts w:hint="eastAsia" w:ascii="Times New Roman" w:hAnsi="Times New Roman" w:eastAsia="宋体" w:cs="Times New Roman"/>
                <w:color w:val="0000FF"/>
                <w:kern w:val="0"/>
                <w:sz w:val="24"/>
                <w:szCs w:val="21"/>
                <w:lang w:val="en-US" w:eastAsia="zh-CN" w:bidi="ar-SA"/>
              </w:rPr>
              <w:t>本环评要求对生产固废和生活固废进行分类管理，除尘器收尘不直接卸落到地面，卸灰区密闭；废滤袋由厂家更换后带走回收，不暂存。</w:t>
            </w:r>
          </w:p>
          <w:p w14:paraId="342A84CB">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FF"/>
                <w:kern w:val="0"/>
                <w:sz w:val="24"/>
                <w:szCs w:val="21"/>
                <w:lang w:val="en-US" w:eastAsia="zh-CN" w:bidi="ar-SA"/>
              </w:rPr>
            </w:pPr>
            <w:r>
              <w:rPr>
                <w:rFonts w:hint="eastAsia" w:ascii="Times New Roman" w:hAnsi="Times New Roman" w:eastAsia="宋体" w:cs="Times New Roman"/>
                <w:color w:val="0000FF"/>
                <w:kern w:val="0"/>
                <w:sz w:val="24"/>
                <w:szCs w:val="21"/>
                <w:lang w:val="en-US" w:eastAsia="zh-CN" w:bidi="ar-SA"/>
              </w:rPr>
              <w:t>综上所述，本项目产生的固体废物采取以上措施后，均可得到合理利用和处置，对外界环境影响较小，措施可行。</w:t>
            </w:r>
          </w:p>
          <w:p w14:paraId="5804BDC9">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FF"/>
                <w:kern w:val="0"/>
                <w:sz w:val="24"/>
                <w:szCs w:val="21"/>
                <w:lang w:val="en-US" w:eastAsia="zh-CN" w:bidi="ar-SA"/>
              </w:rPr>
            </w:pPr>
            <w:r>
              <w:rPr>
                <w:rFonts w:hint="eastAsia" w:ascii="Times New Roman" w:hAnsi="Times New Roman" w:eastAsia="宋体" w:cs="Times New Roman"/>
                <w:color w:val="0000FF"/>
                <w:kern w:val="0"/>
                <w:sz w:val="24"/>
                <w:szCs w:val="21"/>
                <w:lang w:val="en-US" w:eastAsia="zh-CN" w:bidi="ar-SA"/>
              </w:rPr>
              <w:t>3、</w:t>
            </w:r>
            <w:r>
              <w:rPr>
                <w:rFonts w:hint="eastAsia" w:cs="Times New Roman"/>
                <w:color w:val="0000FF"/>
                <w:kern w:val="0"/>
                <w:sz w:val="24"/>
                <w:szCs w:val="21"/>
                <w:lang w:val="en-US" w:eastAsia="zh-CN" w:bidi="ar-SA"/>
              </w:rPr>
              <w:t>固废暂存场所设置规范性分析</w:t>
            </w:r>
          </w:p>
          <w:p w14:paraId="582EFDED">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FF"/>
                <w:kern w:val="0"/>
                <w:sz w:val="24"/>
                <w:szCs w:val="21"/>
                <w:lang w:val="en-US" w:eastAsia="zh-CN" w:bidi="ar-SA"/>
              </w:rPr>
            </w:pPr>
            <w:r>
              <w:rPr>
                <w:rFonts w:hint="eastAsia" w:cs="Times New Roman"/>
                <w:color w:val="0000FF"/>
                <w:kern w:val="0"/>
                <w:sz w:val="24"/>
                <w:szCs w:val="21"/>
                <w:lang w:val="en-US" w:eastAsia="zh-CN" w:bidi="ar-SA"/>
              </w:rPr>
              <w:t>本项目依托</w:t>
            </w:r>
            <w:r>
              <w:rPr>
                <w:rFonts w:hint="default" w:ascii="Times New Roman" w:hAnsi="Times New Roman" w:eastAsia="宋体" w:cs="Times New Roman"/>
                <w:color w:val="0000FF"/>
                <w:kern w:val="0"/>
                <w:sz w:val="24"/>
                <w:szCs w:val="21"/>
                <w:lang w:val="en-US" w:eastAsia="zh-CN" w:bidi="ar-SA"/>
              </w:rPr>
              <w:t>现有工程</w:t>
            </w:r>
            <w:r>
              <w:rPr>
                <w:rFonts w:hint="eastAsia" w:cs="Times New Roman"/>
                <w:color w:val="0000FF"/>
                <w:kern w:val="0"/>
                <w:sz w:val="24"/>
                <w:szCs w:val="21"/>
                <w:lang w:val="en-US" w:eastAsia="zh-CN" w:bidi="ar-SA"/>
              </w:rPr>
              <w:t>，厂内现有</w:t>
            </w:r>
            <w:r>
              <w:rPr>
                <w:rFonts w:hint="default" w:ascii="Times New Roman" w:hAnsi="Times New Roman" w:eastAsia="宋体" w:cs="Times New Roman"/>
                <w:color w:val="0000FF"/>
                <w:kern w:val="0"/>
                <w:sz w:val="24"/>
                <w:szCs w:val="21"/>
                <w:lang w:val="en-US" w:eastAsia="zh-CN" w:bidi="ar-SA"/>
              </w:rPr>
              <w:t>一般固废贮存场所已做好防雨、防风、防渗漏等措施，满足《一般工业固体废物贮存和填埋污染控制标准》（GB</w:t>
            </w:r>
            <w:r>
              <w:rPr>
                <w:rFonts w:hint="eastAsia" w:cs="Times New Roman"/>
                <w:color w:val="0000FF"/>
                <w:kern w:val="0"/>
                <w:sz w:val="24"/>
                <w:szCs w:val="21"/>
                <w:lang w:val="en-US" w:eastAsia="zh-CN" w:bidi="ar-SA"/>
              </w:rPr>
              <w:t xml:space="preserve"> </w:t>
            </w:r>
            <w:r>
              <w:rPr>
                <w:rFonts w:hint="default" w:ascii="Times New Roman" w:hAnsi="Times New Roman" w:eastAsia="宋体" w:cs="Times New Roman"/>
                <w:color w:val="0000FF"/>
                <w:kern w:val="0"/>
                <w:sz w:val="24"/>
                <w:szCs w:val="21"/>
                <w:lang w:val="en-US" w:eastAsia="zh-CN" w:bidi="ar-SA"/>
              </w:rPr>
              <w:t>18599-2020）相关要求；危险废物主要为废机油，贮存场所已做好防雨、防风、防渗漏、防腐等措施，满足《危险废物贮存污染控制标准》（GB 18597-2023）及其修改单中的相关要求。</w:t>
            </w:r>
          </w:p>
          <w:p w14:paraId="3D24B075">
            <w:pPr>
              <w:pStyle w:val="12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五、项目“三本账”分析</w:t>
            </w:r>
          </w:p>
          <w:p w14:paraId="380D535E">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1"/>
                <w:lang w:val="en-US" w:eastAsia="zh-CN" w:bidi="ar-SA"/>
              </w:rPr>
            </w:pPr>
            <w:r>
              <w:rPr>
                <w:rFonts w:hint="eastAsia" w:ascii="Times New Roman" w:hAnsi="Times New Roman" w:eastAsia="宋体" w:cs="Times New Roman"/>
                <w:color w:val="auto"/>
                <w:kern w:val="0"/>
                <w:sz w:val="24"/>
                <w:szCs w:val="21"/>
                <w:lang w:val="en-US" w:eastAsia="zh-CN" w:bidi="ar-SA"/>
              </w:rPr>
              <w:t>根据对该项目产污环节及污染物排放情况分析，可得项目“三本账”情况，具体见下表。</w:t>
            </w:r>
          </w:p>
          <w:p w14:paraId="60A60E75">
            <w:pPr>
              <w:pStyle w:val="123"/>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表4-</w:t>
            </w:r>
            <w:r>
              <w:rPr>
                <w:rFonts w:hint="eastAsia" w:cs="Times New Roman"/>
                <w:b/>
                <w:bCs/>
                <w:color w:val="auto"/>
                <w:kern w:val="2"/>
                <w:sz w:val="21"/>
                <w:szCs w:val="21"/>
                <w:lang w:val="en-US" w:eastAsia="zh-CN" w:bidi="ar-SA"/>
              </w:rPr>
              <w:t>19</w:t>
            </w:r>
            <w:r>
              <w:rPr>
                <w:rFonts w:hint="eastAsia" w:ascii="Times New Roman" w:hAnsi="Times New Roman" w:eastAsia="宋体" w:cs="Times New Roman"/>
                <w:b/>
                <w:bCs/>
                <w:color w:val="auto"/>
                <w:kern w:val="2"/>
                <w:sz w:val="21"/>
                <w:szCs w:val="21"/>
                <w:lang w:val="en-US" w:eastAsia="zh-CN" w:bidi="ar-SA"/>
              </w:rPr>
              <w:t xml:space="preserve"> 项目“三本账”情况一览表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5"/>
              <w:gridCol w:w="853"/>
              <w:gridCol w:w="1319"/>
              <w:gridCol w:w="1185"/>
              <w:gridCol w:w="1185"/>
              <w:gridCol w:w="1467"/>
              <w:gridCol w:w="1145"/>
              <w:gridCol w:w="1242"/>
            </w:tblGrid>
            <w:tr w14:paraId="2A327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5" w:type="dxa"/>
                  <w:vAlign w:val="center"/>
                </w:tcPr>
                <w:p w14:paraId="683E9F14">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污染源</w:t>
                  </w:r>
                </w:p>
              </w:tc>
              <w:tc>
                <w:tcPr>
                  <w:tcW w:w="853" w:type="dxa"/>
                  <w:vAlign w:val="center"/>
                </w:tcPr>
                <w:p w14:paraId="2D69EBA4">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污染物种类</w:t>
                  </w:r>
                </w:p>
              </w:tc>
              <w:tc>
                <w:tcPr>
                  <w:tcW w:w="1319" w:type="dxa"/>
                  <w:vAlign w:val="center"/>
                </w:tcPr>
                <w:p w14:paraId="5EA715A6">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现有排放量</w:t>
                  </w:r>
                </w:p>
              </w:tc>
              <w:tc>
                <w:tcPr>
                  <w:tcW w:w="1185" w:type="dxa"/>
                  <w:vAlign w:val="center"/>
                </w:tcPr>
                <w:p w14:paraId="238C5E35">
                  <w:pPr>
                    <w:tabs>
                      <w:tab w:val="left" w:pos="1215"/>
                    </w:tabs>
                    <w:adjustRightInd w:val="0"/>
                    <w:snapToGrid w:val="0"/>
                    <w:jc w:val="center"/>
                    <w:rPr>
                      <w:rFonts w:hint="eastAsia" w:ascii="Times New Roman" w:hAnsi="Times New Roman" w:eastAsia="宋体" w:cs="Times New Roman"/>
                      <w:color w:val="auto"/>
                      <w:lang w:val="en-US" w:eastAsia="zh-CN"/>
                    </w:rPr>
                  </w:pPr>
                  <w:r>
                    <w:rPr>
                      <w:rFonts w:hint="eastAsia" w:cs="Times New Roman"/>
                      <w:color w:val="auto"/>
                      <w:lang w:val="en-US" w:eastAsia="zh-CN"/>
                    </w:rPr>
                    <w:t>改扩建产生量</w:t>
                  </w:r>
                </w:p>
              </w:tc>
              <w:tc>
                <w:tcPr>
                  <w:tcW w:w="1185" w:type="dxa"/>
                  <w:vAlign w:val="center"/>
                </w:tcPr>
                <w:p w14:paraId="181D8497">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改</w:t>
                  </w:r>
                  <w:r>
                    <w:rPr>
                      <w:rFonts w:hint="eastAsia" w:cs="Times New Roman"/>
                      <w:color w:val="auto"/>
                      <w:lang w:val="en-US" w:eastAsia="zh-CN"/>
                    </w:rPr>
                    <w:t>后</w:t>
                  </w:r>
                  <w:r>
                    <w:rPr>
                      <w:rFonts w:hint="eastAsia" w:ascii="Times New Roman" w:hAnsi="Times New Roman" w:eastAsia="宋体" w:cs="Times New Roman"/>
                      <w:color w:val="auto"/>
                      <w:lang w:val="en-US" w:eastAsia="zh-CN"/>
                    </w:rPr>
                    <w:t>扩建排放量</w:t>
                  </w:r>
                </w:p>
              </w:tc>
              <w:tc>
                <w:tcPr>
                  <w:tcW w:w="1467" w:type="dxa"/>
                  <w:vAlign w:val="center"/>
                </w:tcPr>
                <w:p w14:paraId="119D940F">
                  <w:pPr>
                    <w:tabs>
                      <w:tab w:val="left" w:pos="1215"/>
                    </w:tabs>
                    <w:adjustRightInd w:val="0"/>
                    <w:snapToGrid w:val="0"/>
                    <w:jc w:val="center"/>
                    <w:rPr>
                      <w:rFonts w:hint="default" w:ascii="Times New Roman" w:hAnsi="Times New Roman" w:eastAsia="宋体" w:cs="Times New Roman"/>
                      <w:color w:val="0000FF"/>
                      <w:shd w:val="clear" w:color="auto" w:fill="auto"/>
                      <w:lang w:val="en-US" w:eastAsia="zh-CN"/>
                    </w:rPr>
                  </w:pPr>
                  <w:r>
                    <w:rPr>
                      <w:rFonts w:hint="eastAsia" w:ascii="Times New Roman" w:hAnsi="Times New Roman" w:eastAsia="宋体" w:cs="Times New Roman"/>
                      <w:color w:val="0000FF"/>
                      <w:shd w:val="clear" w:color="auto" w:fill="auto"/>
                      <w:lang w:val="en-US" w:eastAsia="zh-CN"/>
                    </w:rPr>
                    <w:t>“以新带老”削减量</w:t>
                  </w:r>
                </w:p>
              </w:tc>
              <w:tc>
                <w:tcPr>
                  <w:tcW w:w="1145" w:type="dxa"/>
                  <w:vAlign w:val="center"/>
                </w:tcPr>
                <w:p w14:paraId="7E3711A6">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最终排放量</w:t>
                  </w:r>
                </w:p>
              </w:tc>
              <w:tc>
                <w:tcPr>
                  <w:tcW w:w="1242" w:type="dxa"/>
                  <w:vAlign w:val="center"/>
                </w:tcPr>
                <w:p w14:paraId="76C126D0">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排放增减量</w:t>
                  </w:r>
                </w:p>
              </w:tc>
            </w:tr>
            <w:tr w14:paraId="36F4E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5" w:type="dxa"/>
                  <w:vMerge w:val="restart"/>
                  <w:vAlign w:val="center"/>
                </w:tcPr>
                <w:p w14:paraId="5F1A0495">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废气</w:t>
                  </w:r>
                </w:p>
              </w:tc>
              <w:tc>
                <w:tcPr>
                  <w:tcW w:w="853" w:type="dxa"/>
                  <w:vAlign w:val="center"/>
                </w:tcPr>
                <w:p w14:paraId="5A666C7E">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sz w:val="21"/>
                      <w:szCs w:val="21"/>
                      <w:lang w:val="en-US" w:eastAsia="zh-CN"/>
                    </w:rPr>
                    <w:t>SO</w:t>
                  </w:r>
                  <w:r>
                    <w:rPr>
                      <w:rFonts w:hint="eastAsia" w:ascii="Times New Roman" w:hAnsi="Times New Roman" w:cs="Times New Roman"/>
                      <w:color w:val="auto"/>
                      <w:sz w:val="21"/>
                      <w:szCs w:val="21"/>
                      <w:vertAlign w:val="subscript"/>
                      <w:lang w:val="en-US" w:eastAsia="zh-CN"/>
                    </w:rPr>
                    <w:t>2</w:t>
                  </w:r>
                </w:p>
              </w:tc>
              <w:tc>
                <w:tcPr>
                  <w:tcW w:w="1319" w:type="dxa"/>
                  <w:vAlign w:val="center"/>
                </w:tcPr>
                <w:p w14:paraId="0CFBA8CA">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57.2</w:t>
                  </w:r>
                </w:p>
              </w:tc>
              <w:tc>
                <w:tcPr>
                  <w:tcW w:w="1185" w:type="dxa"/>
                  <w:vAlign w:val="center"/>
                </w:tcPr>
                <w:p w14:paraId="4C297644">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46.288</w:t>
                  </w:r>
                </w:p>
              </w:tc>
              <w:tc>
                <w:tcPr>
                  <w:tcW w:w="1185" w:type="dxa"/>
                  <w:vAlign w:val="center"/>
                </w:tcPr>
                <w:p w14:paraId="6ADD134F">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46.288</w:t>
                  </w:r>
                </w:p>
              </w:tc>
              <w:tc>
                <w:tcPr>
                  <w:tcW w:w="1467" w:type="dxa"/>
                  <w:vAlign w:val="center"/>
                </w:tcPr>
                <w:p w14:paraId="6A490418">
                  <w:pPr>
                    <w:tabs>
                      <w:tab w:val="left" w:pos="1215"/>
                    </w:tabs>
                    <w:adjustRightInd w:val="0"/>
                    <w:snapToGrid w:val="0"/>
                    <w:jc w:val="center"/>
                    <w:rPr>
                      <w:rFonts w:hint="default" w:ascii="Times New Roman" w:hAnsi="Times New Roman" w:eastAsia="宋体" w:cs="Times New Roman"/>
                      <w:color w:val="0000FF"/>
                      <w:shd w:val="clear" w:color="auto" w:fill="auto"/>
                      <w:lang w:val="en-US" w:eastAsia="zh-CN"/>
                    </w:rPr>
                  </w:pPr>
                  <w:r>
                    <w:rPr>
                      <w:rFonts w:hint="eastAsia" w:cs="Times New Roman"/>
                      <w:color w:val="0000FF"/>
                      <w:shd w:val="clear" w:color="auto" w:fill="auto"/>
                      <w:lang w:val="en-US" w:eastAsia="zh-CN"/>
                    </w:rPr>
                    <w:t>8.622</w:t>
                  </w:r>
                </w:p>
              </w:tc>
              <w:tc>
                <w:tcPr>
                  <w:tcW w:w="1145" w:type="dxa"/>
                  <w:vAlign w:val="center"/>
                </w:tcPr>
                <w:p w14:paraId="18A64C8A">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46.288</w:t>
                  </w:r>
                </w:p>
              </w:tc>
              <w:tc>
                <w:tcPr>
                  <w:tcW w:w="1242" w:type="dxa"/>
                  <w:vAlign w:val="center"/>
                </w:tcPr>
                <w:p w14:paraId="054B8945">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-8.622</w:t>
                  </w:r>
                </w:p>
              </w:tc>
            </w:tr>
            <w:tr w14:paraId="5C871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5" w:type="dxa"/>
                  <w:vMerge w:val="continue"/>
                  <w:vAlign w:val="center"/>
                </w:tcPr>
                <w:p w14:paraId="5D4A6CD9">
                  <w:pPr>
                    <w:tabs>
                      <w:tab w:val="left" w:pos="1215"/>
                    </w:tabs>
                    <w:adjustRightInd w:val="0"/>
                    <w:snapToGrid w:val="0"/>
                    <w:jc w:val="center"/>
                    <w:rPr>
                      <w:rFonts w:hint="default" w:ascii="Times New Roman" w:hAnsi="Times New Roman" w:eastAsia="宋体" w:cs="Times New Roman"/>
                      <w:color w:val="auto"/>
                      <w:lang w:val="en-US" w:eastAsia="zh-CN"/>
                    </w:rPr>
                  </w:pPr>
                </w:p>
              </w:tc>
              <w:tc>
                <w:tcPr>
                  <w:tcW w:w="853" w:type="dxa"/>
                  <w:vAlign w:val="center"/>
                </w:tcPr>
                <w:p w14:paraId="2AF9DA8F">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sz w:val="21"/>
                      <w:szCs w:val="21"/>
                      <w:lang w:val="en-US" w:eastAsia="zh-CN"/>
                    </w:rPr>
                    <w:t>颗粒物</w:t>
                  </w:r>
                </w:p>
              </w:tc>
              <w:tc>
                <w:tcPr>
                  <w:tcW w:w="1319" w:type="dxa"/>
                  <w:vAlign w:val="center"/>
                </w:tcPr>
                <w:p w14:paraId="7A8AEFDE">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30.99</w:t>
                  </w:r>
                </w:p>
              </w:tc>
              <w:tc>
                <w:tcPr>
                  <w:tcW w:w="1185" w:type="dxa"/>
                  <w:vAlign w:val="center"/>
                </w:tcPr>
                <w:p w14:paraId="37E1F127">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0</w:t>
                  </w:r>
                </w:p>
              </w:tc>
              <w:tc>
                <w:tcPr>
                  <w:tcW w:w="1185" w:type="dxa"/>
                  <w:vAlign w:val="center"/>
                </w:tcPr>
                <w:p w14:paraId="493A4698">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w:t>
                  </w:r>
                </w:p>
              </w:tc>
              <w:tc>
                <w:tcPr>
                  <w:tcW w:w="1467" w:type="dxa"/>
                  <w:vAlign w:val="center"/>
                </w:tcPr>
                <w:p w14:paraId="24808F98">
                  <w:pPr>
                    <w:tabs>
                      <w:tab w:val="left" w:pos="1215"/>
                    </w:tabs>
                    <w:adjustRightInd w:val="0"/>
                    <w:snapToGrid w:val="0"/>
                    <w:jc w:val="center"/>
                    <w:rPr>
                      <w:rFonts w:hint="default" w:ascii="Times New Roman" w:hAnsi="Times New Roman" w:eastAsia="宋体" w:cs="Times New Roman"/>
                      <w:color w:val="0000FF"/>
                      <w:shd w:val="clear" w:color="auto" w:fill="auto"/>
                      <w:lang w:val="en-US" w:eastAsia="zh-CN"/>
                    </w:rPr>
                  </w:pPr>
                  <w:r>
                    <w:rPr>
                      <w:rFonts w:hint="eastAsia" w:cs="Times New Roman"/>
                      <w:color w:val="0000FF"/>
                      <w:shd w:val="clear" w:color="auto" w:fill="auto"/>
                      <w:lang w:val="en-US" w:eastAsia="zh-CN"/>
                    </w:rPr>
                    <w:t>0</w:t>
                  </w:r>
                </w:p>
              </w:tc>
              <w:tc>
                <w:tcPr>
                  <w:tcW w:w="1145" w:type="dxa"/>
                  <w:vAlign w:val="center"/>
                </w:tcPr>
                <w:p w14:paraId="1ED35DDA">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30.99</w:t>
                  </w:r>
                </w:p>
              </w:tc>
              <w:tc>
                <w:tcPr>
                  <w:tcW w:w="1242" w:type="dxa"/>
                  <w:vAlign w:val="center"/>
                </w:tcPr>
                <w:p w14:paraId="4634F2EA">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w:t>
                  </w:r>
                </w:p>
              </w:tc>
            </w:tr>
            <w:tr w14:paraId="524CF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5" w:type="dxa"/>
                  <w:vMerge w:val="continue"/>
                  <w:vAlign w:val="center"/>
                </w:tcPr>
                <w:p w14:paraId="632D32CA">
                  <w:pPr>
                    <w:tabs>
                      <w:tab w:val="left" w:pos="1215"/>
                    </w:tabs>
                    <w:adjustRightInd w:val="0"/>
                    <w:snapToGrid w:val="0"/>
                    <w:jc w:val="center"/>
                    <w:rPr>
                      <w:rFonts w:hint="default" w:ascii="Times New Roman" w:hAnsi="Times New Roman" w:eastAsia="宋体" w:cs="Times New Roman"/>
                      <w:color w:val="auto"/>
                      <w:lang w:val="en-US" w:eastAsia="zh-CN"/>
                    </w:rPr>
                  </w:pPr>
                </w:p>
              </w:tc>
              <w:tc>
                <w:tcPr>
                  <w:tcW w:w="853" w:type="dxa"/>
                  <w:vAlign w:val="center"/>
                </w:tcPr>
                <w:p w14:paraId="398C3CDE">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sz w:val="21"/>
                      <w:szCs w:val="21"/>
                      <w:lang w:val="en-US" w:eastAsia="zh-CN"/>
                    </w:rPr>
                    <w:t>NO</w:t>
                  </w:r>
                  <w:r>
                    <w:rPr>
                      <w:rFonts w:hint="eastAsia" w:ascii="Times New Roman" w:hAnsi="Times New Roman" w:cs="Times New Roman"/>
                      <w:color w:val="auto"/>
                      <w:sz w:val="21"/>
                      <w:szCs w:val="21"/>
                      <w:vertAlign w:val="baseline"/>
                      <w:lang w:val="en-US" w:eastAsia="zh-CN"/>
                    </w:rPr>
                    <w:t>x</w:t>
                  </w:r>
                </w:p>
              </w:tc>
              <w:tc>
                <w:tcPr>
                  <w:tcW w:w="1319" w:type="dxa"/>
                  <w:vAlign w:val="center"/>
                </w:tcPr>
                <w:p w14:paraId="7AB6D70E">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415.72</w:t>
                  </w:r>
                </w:p>
              </w:tc>
              <w:tc>
                <w:tcPr>
                  <w:tcW w:w="1185" w:type="dxa"/>
                  <w:vAlign w:val="center"/>
                </w:tcPr>
                <w:p w14:paraId="42B745B0">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0</w:t>
                  </w:r>
                </w:p>
              </w:tc>
              <w:tc>
                <w:tcPr>
                  <w:tcW w:w="1185" w:type="dxa"/>
                  <w:vAlign w:val="center"/>
                </w:tcPr>
                <w:p w14:paraId="2B22BC5C">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w:t>
                  </w:r>
                </w:p>
              </w:tc>
              <w:tc>
                <w:tcPr>
                  <w:tcW w:w="1467" w:type="dxa"/>
                  <w:vAlign w:val="center"/>
                </w:tcPr>
                <w:p w14:paraId="7F3C74BC">
                  <w:pPr>
                    <w:tabs>
                      <w:tab w:val="left" w:pos="1215"/>
                    </w:tabs>
                    <w:adjustRightInd w:val="0"/>
                    <w:snapToGrid w:val="0"/>
                    <w:jc w:val="center"/>
                    <w:rPr>
                      <w:rFonts w:hint="default" w:ascii="Times New Roman" w:hAnsi="Times New Roman" w:eastAsia="宋体" w:cs="Times New Roman"/>
                      <w:color w:val="0000FF"/>
                      <w:shd w:val="clear" w:color="auto" w:fill="auto"/>
                      <w:lang w:val="en-US" w:eastAsia="zh-CN"/>
                    </w:rPr>
                  </w:pPr>
                  <w:r>
                    <w:rPr>
                      <w:rFonts w:hint="eastAsia" w:cs="Times New Roman"/>
                      <w:color w:val="0000FF"/>
                      <w:shd w:val="clear" w:color="auto" w:fill="auto"/>
                      <w:lang w:val="en-US" w:eastAsia="zh-CN"/>
                    </w:rPr>
                    <w:t>0</w:t>
                  </w:r>
                </w:p>
              </w:tc>
              <w:tc>
                <w:tcPr>
                  <w:tcW w:w="1145" w:type="dxa"/>
                  <w:vAlign w:val="center"/>
                </w:tcPr>
                <w:p w14:paraId="1A7BC15C">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415.72</w:t>
                  </w:r>
                </w:p>
              </w:tc>
              <w:tc>
                <w:tcPr>
                  <w:tcW w:w="1242" w:type="dxa"/>
                  <w:vAlign w:val="center"/>
                </w:tcPr>
                <w:p w14:paraId="16C0A854">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w:t>
                  </w:r>
                </w:p>
              </w:tc>
            </w:tr>
            <w:tr w14:paraId="53279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5" w:type="dxa"/>
                  <w:vMerge w:val="continue"/>
                  <w:vAlign w:val="center"/>
                </w:tcPr>
                <w:p w14:paraId="2CEE5512">
                  <w:pPr>
                    <w:tabs>
                      <w:tab w:val="left" w:pos="1215"/>
                    </w:tabs>
                    <w:adjustRightInd w:val="0"/>
                    <w:snapToGrid w:val="0"/>
                    <w:jc w:val="center"/>
                    <w:rPr>
                      <w:rFonts w:hint="default" w:ascii="Times New Roman" w:hAnsi="Times New Roman" w:eastAsia="宋体" w:cs="Times New Roman"/>
                      <w:color w:val="auto"/>
                      <w:lang w:val="en-US" w:eastAsia="zh-CN"/>
                    </w:rPr>
                  </w:pPr>
                </w:p>
              </w:tc>
              <w:tc>
                <w:tcPr>
                  <w:tcW w:w="853" w:type="dxa"/>
                  <w:vAlign w:val="center"/>
                </w:tcPr>
                <w:p w14:paraId="633C1369">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sz w:val="21"/>
                      <w:szCs w:val="21"/>
                      <w:lang w:val="en-US" w:eastAsia="zh-CN"/>
                    </w:rPr>
                    <w:t>氨</w:t>
                  </w:r>
                </w:p>
              </w:tc>
              <w:tc>
                <w:tcPr>
                  <w:tcW w:w="1319" w:type="dxa"/>
                  <w:vAlign w:val="center"/>
                </w:tcPr>
                <w:p w14:paraId="4350D2E1">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2.942</w:t>
                  </w:r>
                </w:p>
              </w:tc>
              <w:tc>
                <w:tcPr>
                  <w:tcW w:w="1185" w:type="dxa"/>
                  <w:vAlign w:val="center"/>
                </w:tcPr>
                <w:p w14:paraId="09331C64">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2.942</w:t>
                  </w:r>
                </w:p>
              </w:tc>
              <w:tc>
                <w:tcPr>
                  <w:tcW w:w="1185" w:type="dxa"/>
                  <w:vAlign w:val="center"/>
                </w:tcPr>
                <w:p w14:paraId="6A80798B">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2.942</w:t>
                  </w:r>
                </w:p>
              </w:tc>
              <w:tc>
                <w:tcPr>
                  <w:tcW w:w="1467" w:type="dxa"/>
                  <w:vAlign w:val="center"/>
                </w:tcPr>
                <w:p w14:paraId="1451181E">
                  <w:pPr>
                    <w:tabs>
                      <w:tab w:val="left" w:pos="1215"/>
                    </w:tabs>
                    <w:adjustRightInd w:val="0"/>
                    <w:snapToGrid w:val="0"/>
                    <w:jc w:val="center"/>
                    <w:rPr>
                      <w:rFonts w:hint="default" w:ascii="Times New Roman" w:hAnsi="Times New Roman" w:eastAsia="宋体" w:cs="Times New Roman"/>
                      <w:color w:val="0000FF"/>
                      <w:shd w:val="clear" w:color="auto" w:fill="auto"/>
                      <w:lang w:val="en-US" w:eastAsia="zh-CN"/>
                    </w:rPr>
                  </w:pPr>
                  <w:r>
                    <w:rPr>
                      <w:rFonts w:hint="eastAsia" w:cs="Times New Roman"/>
                      <w:color w:val="0000FF"/>
                      <w:shd w:val="clear" w:color="auto" w:fill="auto"/>
                      <w:lang w:val="en-US" w:eastAsia="zh-CN"/>
                    </w:rPr>
                    <w:t>0</w:t>
                  </w:r>
                </w:p>
              </w:tc>
              <w:tc>
                <w:tcPr>
                  <w:tcW w:w="1145" w:type="dxa"/>
                  <w:vAlign w:val="center"/>
                </w:tcPr>
                <w:p w14:paraId="14FD112E">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2.942</w:t>
                  </w:r>
                </w:p>
              </w:tc>
              <w:tc>
                <w:tcPr>
                  <w:tcW w:w="1242" w:type="dxa"/>
                  <w:vAlign w:val="center"/>
                </w:tcPr>
                <w:p w14:paraId="6D7E2126">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w:t>
                  </w:r>
                </w:p>
              </w:tc>
            </w:tr>
            <w:tr w14:paraId="3978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5" w:type="dxa"/>
                  <w:vMerge w:val="continue"/>
                  <w:vAlign w:val="center"/>
                </w:tcPr>
                <w:p w14:paraId="2A07262C">
                  <w:pPr>
                    <w:tabs>
                      <w:tab w:val="left" w:pos="1215"/>
                    </w:tabs>
                    <w:adjustRightInd w:val="0"/>
                    <w:snapToGrid w:val="0"/>
                    <w:jc w:val="center"/>
                    <w:rPr>
                      <w:rFonts w:hint="default" w:ascii="Times New Roman" w:hAnsi="Times New Roman" w:eastAsia="宋体" w:cs="Times New Roman"/>
                      <w:color w:val="auto"/>
                      <w:lang w:val="en-US" w:eastAsia="zh-CN"/>
                    </w:rPr>
                  </w:pPr>
                </w:p>
              </w:tc>
              <w:tc>
                <w:tcPr>
                  <w:tcW w:w="853" w:type="dxa"/>
                  <w:vAlign w:val="center"/>
                </w:tcPr>
                <w:p w14:paraId="26D64A8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sz w:val="21"/>
                      <w:szCs w:val="21"/>
                      <w:lang w:val="en-US" w:eastAsia="zh-CN"/>
                    </w:rPr>
                    <w:t>HCl</w:t>
                  </w:r>
                </w:p>
              </w:tc>
              <w:tc>
                <w:tcPr>
                  <w:tcW w:w="1319" w:type="dxa"/>
                  <w:vAlign w:val="center"/>
                </w:tcPr>
                <w:p w14:paraId="07BB68A0">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w:t>
                  </w:r>
                </w:p>
              </w:tc>
              <w:tc>
                <w:tcPr>
                  <w:tcW w:w="1185" w:type="dxa"/>
                  <w:vAlign w:val="center"/>
                </w:tcPr>
                <w:p w14:paraId="07361FE0">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35.877</w:t>
                  </w:r>
                </w:p>
              </w:tc>
              <w:tc>
                <w:tcPr>
                  <w:tcW w:w="1185" w:type="dxa"/>
                  <w:vAlign w:val="center"/>
                </w:tcPr>
                <w:p w14:paraId="08BF73EB">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35.877</w:t>
                  </w:r>
                </w:p>
              </w:tc>
              <w:tc>
                <w:tcPr>
                  <w:tcW w:w="1467" w:type="dxa"/>
                  <w:vAlign w:val="center"/>
                </w:tcPr>
                <w:p w14:paraId="431BAEF4">
                  <w:pPr>
                    <w:tabs>
                      <w:tab w:val="left" w:pos="1215"/>
                    </w:tabs>
                    <w:adjustRightInd w:val="0"/>
                    <w:snapToGrid w:val="0"/>
                    <w:jc w:val="center"/>
                    <w:rPr>
                      <w:rFonts w:hint="default" w:ascii="Times New Roman" w:hAnsi="Times New Roman" w:eastAsia="宋体" w:cs="Times New Roman"/>
                      <w:color w:val="0000FF"/>
                      <w:shd w:val="clear" w:color="auto" w:fill="auto"/>
                      <w:lang w:val="en-US" w:eastAsia="zh-CN"/>
                    </w:rPr>
                  </w:pPr>
                  <w:r>
                    <w:rPr>
                      <w:rFonts w:hint="eastAsia" w:cs="Times New Roman"/>
                      <w:color w:val="0000FF"/>
                      <w:shd w:val="clear" w:color="auto" w:fill="auto"/>
                      <w:lang w:val="en-US" w:eastAsia="zh-CN"/>
                    </w:rPr>
                    <w:t>0</w:t>
                  </w:r>
                </w:p>
              </w:tc>
              <w:tc>
                <w:tcPr>
                  <w:tcW w:w="1145" w:type="dxa"/>
                  <w:vAlign w:val="center"/>
                </w:tcPr>
                <w:p w14:paraId="087F223C">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35.877</w:t>
                  </w:r>
                </w:p>
              </w:tc>
              <w:tc>
                <w:tcPr>
                  <w:tcW w:w="1242" w:type="dxa"/>
                  <w:vAlign w:val="center"/>
                </w:tcPr>
                <w:p w14:paraId="5A519127">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+35.877</w:t>
                  </w:r>
                </w:p>
              </w:tc>
            </w:tr>
            <w:tr w14:paraId="011CC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5" w:type="dxa"/>
                  <w:vMerge w:val="continue"/>
                  <w:vAlign w:val="center"/>
                </w:tcPr>
                <w:p w14:paraId="6CCC44D0">
                  <w:pPr>
                    <w:tabs>
                      <w:tab w:val="left" w:pos="1215"/>
                    </w:tabs>
                    <w:adjustRightInd w:val="0"/>
                    <w:snapToGrid w:val="0"/>
                    <w:jc w:val="center"/>
                    <w:rPr>
                      <w:rFonts w:hint="default" w:ascii="Times New Roman" w:hAnsi="Times New Roman" w:eastAsia="宋体" w:cs="Times New Roman"/>
                      <w:color w:val="auto"/>
                      <w:lang w:val="en-US" w:eastAsia="zh-CN"/>
                    </w:rPr>
                  </w:pPr>
                </w:p>
              </w:tc>
              <w:tc>
                <w:tcPr>
                  <w:tcW w:w="853" w:type="dxa"/>
                  <w:vAlign w:val="center"/>
                </w:tcPr>
                <w:p w14:paraId="0D2B63E9">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sz w:val="21"/>
                      <w:szCs w:val="21"/>
                      <w:lang w:val="en-US" w:eastAsia="zh-CN"/>
                    </w:rPr>
                    <w:t>HF</w:t>
                  </w:r>
                </w:p>
              </w:tc>
              <w:tc>
                <w:tcPr>
                  <w:tcW w:w="1319" w:type="dxa"/>
                  <w:vAlign w:val="center"/>
                </w:tcPr>
                <w:p w14:paraId="535FD688">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3.3476</w:t>
                  </w:r>
                </w:p>
              </w:tc>
              <w:tc>
                <w:tcPr>
                  <w:tcW w:w="1185" w:type="dxa"/>
                  <w:vAlign w:val="center"/>
                </w:tcPr>
                <w:p w14:paraId="0BDF033A">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3.345</w:t>
                  </w:r>
                </w:p>
              </w:tc>
              <w:tc>
                <w:tcPr>
                  <w:tcW w:w="1185" w:type="dxa"/>
                  <w:vAlign w:val="center"/>
                </w:tcPr>
                <w:p w14:paraId="2B912910">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3.345</w:t>
                  </w:r>
                </w:p>
              </w:tc>
              <w:tc>
                <w:tcPr>
                  <w:tcW w:w="1467" w:type="dxa"/>
                  <w:vAlign w:val="center"/>
                </w:tcPr>
                <w:p w14:paraId="78399001">
                  <w:pPr>
                    <w:tabs>
                      <w:tab w:val="left" w:pos="1215"/>
                    </w:tabs>
                    <w:adjustRightInd w:val="0"/>
                    <w:snapToGrid w:val="0"/>
                    <w:jc w:val="center"/>
                    <w:rPr>
                      <w:rFonts w:hint="default" w:ascii="Times New Roman" w:hAnsi="Times New Roman" w:eastAsia="宋体" w:cs="Times New Roman"/>
                      <w:color w:val="0000FF"/>
                      <w:shd w:val="clear" w:color="auto" w:fill="auto"/>
                      <w:lang w:val="en-US" w:eastAsia="zh-CN"/>
                    </w:rPr>
                  </w:pPr>
                  <w:r>
                    <w:rPr>
                      <w:rFonts w:hint="eastAsia" w:cs="Times New Roman"/>
                      <w:color w:val="0000FF"/>
                      <w:shd w:val="clear" w:color="auto" w:fill="auto"/>
                      <w:lang w:val="en-US" w:eastAsia="zh-CN"/>
                    </w:rPr>
                    <w:t>0.3196</w:t>
                  </w:r>
                </w:p>
              </w:tc>
              <w:tc>
                <w:tcPr>
                  <w:tcW w:w="1145" w:type="dxa"/>
                  <w:vAlign w:val="center"/>
                </w:tcPr>
                <w:p w14:paraId="1BB5A085">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3.345</w:t>
                  </w:r>
                </w:p>
              </w:tc>
              <w:tc>
                <w:tcPr>
                  <w:tcW w:w="1242" w:type="dxa"/>
                  <w:vAlign w:val="center"/>
                </w:tcPr>
                <w:p w14:paraId="0604BDA7">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-0.3196</w:t>
                  </w:r>
                </w:p>
              </w:tc>
            </w:tr>
            <w:tr w14:paraId="20F6F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5" w:type="dxa"/>
                  <w:vMerge w:val="continue"/>
                  <w:vAlign w:val="center"/>
                </w:tcPr>
                <w:p w14:paraId="179CEB8C">
                  <w:pPr>
                    <w:tabs>
                      <w:tab w:val="left" w:pos="1215"/>
                    </w:tabs>
                    <w:adjustRightInd w:val="0"/>
                    <w:snapToGrid w:val="0"/>
                    <w:jc w:val="center"/>
                    <w:rPr>
                      <w:rFonts w:hint="default" w:ascii="Times New Roman" w:hAnsi="Times New Roman" w:eastAsia="宋体" w:cs="Times New Roman"/>
                      <w:color w:val="auto"/>
                      <w:lang w:val="en-US" w:eastAsia="zh-CN"/>
                    </w:rPr>
                  </w:pPr>
                </w:p>
              </w:tc>
              <w:tc>
                <w:tcPr>
                  <w:tcW w:w="853" w:type="dxa"/>
                  <w:vAlign w:val="center"/>
                </w:tcPr>
                <w:p w14:paraId="405768FB">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sz w:val="21"/>
                      <w:szCs w:val="21"/>
                      <w:lang w:val="en-US" w:eastAsia="zh-CN"/>
                    </w:rPr>
                    <w:t>Hg</w:t>
                  </w:r>
                </w:p>
              </w:tc>
              <w:tc>
                <w:tcPr>
                  <w:tcW w:w="1319" w:type="dxa"/>
                  <w:vAlign w:val="center"/>
                </w:tcPr>
                <w:p w14:paraId="784AA924">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0.0001</w:t>
                  </w:r>
                </w:p>
              </w:tc>
              <w:tc>
                <w:tcPr>
                  <w:tcW w:w="1185" w:type="dxa"/>
                  <w:vAlign w:val="center"/>
                </w:tcPr>
                <w:p w14:paraId="21BF8B81">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0.00303</w:t>
                  </w:r>
                </w:p>
              </w:tc>
              <w:tc>
                <w:tcPr>
                  <w:tcW w:w="1185" w:type="dxa"/>
                  <w:vAlign w:val="center"/>
                </w:tcPr>
                <w:p w14:paraId="287E1664">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0.00303</w:t>
                  </w:r>
                </w:p>
              </w:tc>
              <w:tc>
                <w:tcPr>
                  <w:tcW w:w="1467" w:type="dxa"/>
                  <w:vAlign w:val="center"/>
                </w:tcPr>
                <w:p w14:paraId="4FD2FD1A">
                  <w:pPr>
                    <w:tabs>
                      <w:tab w:val="left" w:pos="1215"/>
                    </w:tabs>
                    <w:adjustRightInd w:val="0"/>
                    <w:snapToGrid w:val="0"/>
                    <w:jc w:val="center"/>
                    <w:rPr>
                      <w:rFonts w:hint="default" w:ascii="Times New Roman" w:hAnsi="Times New Roman" w:eastAsia="宋体" w:cs="Times New Roman"/>
                      <w:color w:val="0000FF"/>
                      <w:shd w:val="clear" w:color="auto" w:fill="auto"/>
                      <w:lang w:val="en-US" w:eastAsia="zh-CN"/>
                    </w:rPr>
                  </w:pPr>
                  <w:r>
                    <w:rPr>
                      <w:rFonts w:hint="eastAsia" w:cs="Times New Roman"/>
                      <w:color w:val="0000FF"/>
                      <w:shd w:val="clear" w:color="auto" w:fill="auto"/>
                      <w:lang w:val="en-US" w:eastAsia="zh-CN"/>
                    </w:rPr>
                    <w:t>0</w:t>
                  </w:r>
                </w:p>
              </w:tc>
              <w:tc>
                <w:tcPr>
                  <w:tcW w:w="1145" w:type="dxa"/>
                  <w:vAlign w:val="center"/>
                </w:tcPr>
                <w:p w14:paraId="1E7479B3">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0.00303</w:t>
                  </w:r>
                </w:p>
              </w:tc>
              <w:tc>
                <w:tcPr>
                  <w:tcW w:w="1242" w:type="dxa"/>
                  <w:vAlign w:val="center"/>
                </w:tcPr>
                <w:p w14:paraId="69463EE9">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+0.00429</w:t>
                  </w:r>
                </w:p>
              </w:tc>
            </w:tr>
            <w:tr w14:paraId="72E92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5" w:type="dxa"/>
                  <w:vMerge w:val="continue"/>
                  <w:vAlign w:val="center"/>
                </w:tcPr>
                <w:p w14:paraId="7876481F">
                  <w:pPr>
                    <w:tabs>
                      <w:tab w:val="left" w:pos="1215"/>
                    </w:tabs>
                    <w:adjustRightInd w:val="0"/>
                    <w:snapToGrid w:val="0"/>
                    <w:jc w:val="center"/>
                    <w:rPr>
                      <w:rFonts w:hint="default" w:ascii="Times New Roman" w:hAnsi="Times New Roman" w:eastAsia="宋体" w:cs="Times New Roman"/>
                      <w:color w:val="auto"/>
                      <w:lang w:val="en-US" w:eastAsia="zh-CN"/>
                    </w:rPr>
                  </w:pPr>
                </w:p>
              </w:tc>
              <w:tc>
                <w:tcPr>
                  <w:tcW w:w="853" w:type="dxa"/>
                  <w:vAlign w:val="center"/>
                </w:tcPr>
                <w:p w14:paraId="4E640FAC">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sz w:val="21"/>
                      <w:szCs w:val="21"/>
                      <w:lang w:val="en-US" w:eastAsia="zh-CN"/>
                    </w:rPr>
                    <w:t>Cd</w:t>
                  </w:r>
                </w:p>
              </w:tc>
              <w:tc>
                <w:tcPr>
                  <w:tcW w:w="1319" w:type="dxa"/>
                  <w:vAlign w:val="center"/>
                </w:tcPr>
                <w:p w14:paraId="52B8238C">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w:t>
                  </w:r>
                </w:p>
              </w:tc>
              <w:tc>
                <w:tcPr>
                  <w:tcW w:w="1185" w:type="dxa"/>
                  <w:vAlign w:val="center"/>
                </w:tcPr>
                <w:p w14:paraId="5842A326">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0.00126</w:t>
                  </w:r>
                </w:p>
              </w:tc>
              <w:tc>
                <w:tcPr>
                  <w:tcW w:w="1185" w:type="dxa"/>
                  <w:vAlign w:val="center"/>
                </w:tcPr>
                <w:p w14:paraId="42809E46">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0.00126</w:t>
                  </w:r>
                </w:p>
              </w:tc>
              <w:tc>
                <w:tcPr>
                  <w:tcW w:w="1467" w:type="dxa"/>
                  <w:vAlign w:val="center"/>
                </w:tcPr>
                <w:p w14:paraId="71CA64FC">
                  <w:pPr>
                    <w:tabs>
                      <w:tab w:val="left" w:pos="1215"/>
                    </w:tabs>
                    <w:adjustRightInd w:val="0"/>
                    <w:snapToGrid w:val="0"/>
                    <w:jc w:val="center"/>
                    <w:rPr>
                      <w:rFonts w:hint="default" w:ascii="Times New Roman" w:hAnsi="Times New Roman" w:eastAsia="宋体" w:cs="Times New Roman"/>
                      <w:color w:val="0000FF"/>
                      <w:shd w:val="clear" w:color="auto" w:fill="auto"/>
                      <w:lang w:val="en-US" w:eastAsia="zh-CN"/>
                    </w:rPr>
                  </w:pPr>
                  <w:r>
                    <w:rPr>
                      <w:rFonts w:hint="eastAsia" w:cs="Times New Roman"/>
                      <w:color w:val="0000FF"/>
                      <w:shd w:val="clear" w:color="auto" w:fill="auto"/>
                      <w:lang w:val="en-US" w:eastAsia="zh-CN"/>
                    </w:rPr>
                    <w:t>0</w:t>
                  </w:r>
                </w:p>
              </w:tc>
              <w:tc>
                <w:tcPr>
                  <w:tcW w:w="1145" w:type="dxa"/>
                  <w:vAlign w:val="center"/>
                </w:tcPr>
                <w:p w14:paraId="7265217F">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0.00126</w:t>
                  </w:r>
                </w:p>
              </w:tc>
              <w:tc>
                <w:tcPr>
                  <w:tcW w:w="1242" w:type="dxa"/>
                  <w:vAlign w:val="center"/>
                </w:tcPr>
                <w:p w14:paraId="6174EA1C">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+0.00126</w:t>
                  </w:r>
                </w:p>
              </w:tc>
            </w:tr>
            <w:tr w14:paraId="1F062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5" w:type="dxa"/>
                  <w:vMerge w:val="continue"/>
                  <w:vAlign w:val="center"/>
                </w:tcPr>
                <w:p w14:paraId="31981055">
                  <w:pPr>
                    <w:tabs>
                      <w:tab w:val="left" w:pos="1215"/>
                    </w:tabs>
                    <w:adjustRightInd w:val="0"/>
                    <w:snapToGrid w:val="0"/>
                    <w:jc w:val="center"/>
                    <w:rPr>
                      <w:rFonts w:hint="default" w:ascii="Times New Roman" w:hAnsi="Times New Roman" w:eastAsia="宋体" w:cs="Times New Roman"/>
                      <w:color w:val="auto"/>
                      <w:lang w:val="en-US" w:eastAsia="zh-CN"/>
                    </w:rPr>
                  </w:pPr>
                </w:p>
              </w:tc>
              <w:tc>
                <w:tcPr>
                  <w:tcW w:w="853" w:type="dxa"/>
                  <w:vAlign w:val="center"/>
                </w:tcPr>
                <w:p w14:paraId="6EC9585A">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lang w:val="en-US" w:eastAsia="zh-CN"/>
                    </w:rPr>
                  </w:pPr>
                  <w:r>
                    <w:rPr>
                      <w:rFonts w:hint="eastAsia" w:cs="Times New Roman"/>
                      <w:color w:val="auto"/>
                      <w:sz w:val="21"/>
                      <w:szCs w:val="21"/>
                      <w:lang w:val="en-US" w:eastAsia="zh-CN"/>
                    </w:rPr>
                    <w:t>As</w:t>
                  </w:r>
                </w:p>
              </w:tc>
              <w:tc>
                <w:tcPr>
                  <w:tcW w:w="1319" w:type="dxa"/>
                  <w:vAlign w:val="center"/>
                </w:tcPr>
                <w:p w14:paraId="12B12803">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w:t>
                  </w:r>
                </w:p>
              </w:tc>
              <w:tc>
                <w:tcPr>
                  <w:tcW w:w="1185" w:type="dxa"/>
                  <w:vAlign w:val="center"/>
                </w:tcPr>
                <w:p w14:paraId="3A86FED2">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0.002408</w:t>
                  </w:r>
                </w:p>
              </w:tc>
              <w:tc>
                <w:tcPr>
                  <w:tcW w:w="1185" w:type="dxa"/>
                  <w:vAlign w:val="center"/>
                </w:tcPr>
                <w:p w14:paraId="45506492">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0.002408</w:t>
                  </w:r>
                </w:p>
              </w:tc>
              <w:tc>
                <w:tcPr>
                  <w:tcW w:w="1467" w:type="dxa"/>
                  <w:vAlign w:val="center"/>
                </w:tcPr>
                <w:p w14:paraId="03DAEA41">
                  <w:pPr>
                    <w:tabs>
                      <w:tab w:val="left" w:pos="1215"/>
                    </w:tabs>
                    <w:adjustRightInd w:val="0"/>
                    <w:snapToGrid w:val="0"/>
                    <w:jc w:val="center"/>
                    <w:rPr>
                      <w:rFonts w:hint="default" w:ascii="Times New Roman" w:hAnsi="Times New Roman" w:eastAsia="宋体" w:cs="Times New Roman"/>
                      <w:color w:val="0000FF"/>
                      <w:shd w:val="clear" w:color="auto" w:fill="auto"/>
                      <w:lang w:val="en-US" w:eastAsia="zh-CN"/>
                    </w:rPr>
                  </w:pPr>
                  <w:r>
                    <w:rPr>
                      <w:rFonts w:hint="eastAsia" w:cs="Times New Roman"/>
                      <w:color w:val="0000FF"/>
                      <w:shd w:val="clear" w:color="auto" w:fill="auto"/>
                      <w:lang w:val="en-US" w:eastAsia="zh-CN"/>
                    </w:rPr>
                    <w:t>0</w:t>
                  </w:r>
                </w:p>
              </w:tc>
              <w:tc>
                <w:tcPr>
                  <w:tcW w:w="1145" w:type="dxa"/>
                  <w:vAlign w:val="center"/>
                </w:tcPr>
                <w:p w14:paraId="26F2DB06">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0.002408</w:t>
                  </w:r>
                </w:p>
              </w:tc>
              <w:tc>
                <w:tcPr>
                  <w:tcW w:w="1242" w:type="dxa"/>
                  <w:vAlign w:val="center"/>
                </w:tcPr>
                <w:p w14:paraId="6819153B">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+0.002408</w:t>
                  </w:r>
                </w:p>
              </w:tc>
            </w:tr>
            <w:tr w14:paraId="1FEBD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5" w:type="dxa"/>
                  <w:vMerge w:val="continue"/>
                  <w:vAlign w:val="center"/>
                </w:tcPr>
                <w:p w14:paraId="5E4A8352">
                  <w:pPr>
                    <w:tabs>
                      <w:tab w:val="left" w:pos="1215"/>
                    </w:tabs>
                    <w:adjustRightInd w:val="0"/>
                    <w:snapToGrid w:val="0"/>
                    <w:jc w:val="center"/>
                    <w:rPr>
                      <w:rFonts w:hint="default" w:ascii="Times New Roman" w:hAnsi="Times New Roman" w:eastAsia="宋体" w:cs="Times New Roman"/>
                      <w:color w:val="auto"/>
                      <w:lang w:val="en-US" w:eastAsia="zh-CN"/>
                    </w:rPr>
                  </w:pPr>
                </w:p>
              </w:tc>
              <w:tc>
                <w:tcPr>
                  <w:tcW w:w="853" w:type="dxa"/>
                  <w:vAlign w:val="center"/>
                </w:tcPr>
                <w:p w14:paraId="238A83F2">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sz w:val="21"/>
                      <w:szCs w:val="21"/>
                      <w:lang w:val="en-US" w:eastAsia="zh-CN"/>
                    </w:rPr>
                    <w:t>Pb</w:t>
                  </w:r>
                </w:p>
              </w:tc>
              <w:tc>
                <w:tcPr>
                  <w:tcW w:w="1319" w:type="dxa"/>
                  <w:vAlign w:val="center"/>
                </w:tcPr>
                <w:p w14:paraId="4CE017DC">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w:t>
                  </w:r>
                </w:p>
              </w:tc>
              <w:tc>
                <w:tcPr>
                  <w:tcW w:w="1185" w:type="dxa"/>
                  <w:vAlign w:val="center"/>
                </w:tcPr>
                <w:p w14:paraId="15A1868C">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0.0322</w:t>
                  </w:r>
                </w:p>
              </w:tc>
              <w:tc>
                <w:tcPr>
                  <w:tcW w:w="1185" w:type="dxa"/>
                  <w:vAlign w:val="center"/>
                </w:tcPr>
                <w:p w14:paraId="55F6CD24">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0.0322</w:t>
                  </w:r>
                </w:p>
              </w:tc>
              <w:tc>
                <w:tcPr>
                  <w:tcW w:w="1467" w:type="dxa"/>
                  <w:vAlign w:val="center"/>
                </w:tcPr>
                <w:p w14:paraId="2AA2A555">
                  <w:pPr>
                    <w:tabs>
                      <w:tab w:val="left" w:pos="1215"/>
                    </w:tabs>
                    <w:adjustRightInd w:val="0"/>
                    <w:snapToGrid w:val="0"/>
                    <w:jc w:val="center"/>
                    <w:rPr>
                      <w:rFonts w:hint="default" w:ascii="Times New Roman" w:hAnsi="Times New Roman" w:eastAsia="宋体" w:cs="Times New Roman"/>
                      <w:color w:val="0000FF"/>
                      <w:shd w:val="clear" w:color="auto" w:fill="auto"/>
                      <w:lang w:val="en-US" w:eastAsia="zh-CN"/>
                    </w:rPr>
                  </w:pPr>
                  <w:r>
                    <w:rPr>
                      <w:rFonts w:hint="eastAsia" w:cs="Times New Roman"/>
                      <w:color w:val="0000FF"/>
                      <w:shd w:val="clear" w:color="auto" w:fill="auto"/>
                      <w:lang w:val="en-US" w:eastAsia="zh-CN"/>
                    </w:rPr>
                    <w:t>0</w:t>
                  </w:r>
                </w:p>
              </w:tc>
              <w:tc>
                <w:tcPr>
                  <w:tcW w:w="1145" w:type="dxa"/>
                  <w:vAlign w:val="center"/>
                </w:tcPr>
                <w:p w14:paraId="550C7ED6">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0.0322</w:t>
                  </w:r>
                </w:p>
              </w:tc>
              <w:tc>
                <w:tcPr>
                  <w:tcW w:w="1242" w:type="dxa"/>
                  <w:vAlign w:val="center"/>
                </w:tcPr>
                <w:p w14:paraId="141C4F6D">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+0.0322</w:t>
                  </w:r>
                </w:p>
              </w:tc>
            </w:tr>
            <w:tr w14:paraId="767EC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5" w:type="dxa"/>
                  <w:vMerge w:val="continue"/>
                  <w:vAlign w:val="center"/>
                </w:tcPr>
                <w:p w14:paraId="77630D94">
                  <w:pPr>
                    <w:tabs>
                      <w:tab w:val="left" w:pos="1215"/>
                    </w:tabs>
                    <w:adjustRightInd w:val="0"/>
                    <w:snapToGrid w:val="0"/>
                    <w:jc w:val="center"/>
                    <w:rPr>
                      <w:rFonts w:hint="default" w:ascii="Times New Roman" w:hAnsi="Times New Roman" w:eastAsia="宋体" w:cs="Times New Roman"/>
                      <w:color w:val="auto"/>
                      <w:lang w:val="en-US" w:eastAsia="zh-CN"/>
                    </w:rPr>
                  </w:pPr>
                </w:p>
              </w:tc>
              <w:tc>
                <w:tcPr>
                  <w:tcW w:w="853" w:type="dxa"/>
                  <w:vAlign w:val="center"/>
                </w:tcPr>
                <w:p w14:paraId="1802B26E">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sz w:val="21"/>
                      <w:szCs w:val="21"/>
                      <w:lang w:val="en-US" w:eastAsia="zh-CN"/>
                    </w:rPr>
                    <w:t>二噁英类</w:t>
                  </w:r>
                </w:p>
              </w:tc>
              <w:tc>
                <w:tcPr>
                  <w:tcW w:w="1319" w:type="dxa"/>
                  <w:vAlign w:val="center"/>
                </w:tcPr>
                <w:p w14:paraId="01BEB230">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w:t>
                  </w:r>
                </w:p>
              </w:tc>
              <w:tc>
                <w:tcPr>
                  <w:tcW w:w="1185" w:type="dxa"/>
                  <w:vAlign w:val="center"/>
                </w:tcPr>
                <w:p w14:paraId="73DEE244">
                  <w:pPr>
                    <w:tabs>
                      <w:tab w:val="left" w:pos="1215"/>
                    </w:tabs>
                    <w:adjustRightInd w:val="0"/>
                    <w:snapToGrid w:val="0"/>
                    <w:jc w:val="center"/>
                    <w:rPr>
                      <w:rFonts w:hint="default" w:ascii="Times New Roman" w:hAnsi="Times New Roman" w:cs="Times New Roman"/>
                      <w:color w:val="auto"/>
                      <w:lang w:val="en-US" w:eastAsia="zh-CN"/>
                    </w:rPr>
                  </w:pPr>
                  <w:r>
                    <w:rPr>
                      <w:rFonts w:hint="eastAsia" w:cs="Times New Roman"/>
                      <w:color w:val="auto"/>
                      <w:lang w:val="en-US" w:eastAsia="zh-CN"/>
                    </w:rPr>
                    <w:t>8.72×10</w:t>
                  </w:r>
                  <w:r>
                    <w:rPr>
                      <w:rFonts w:hint="eastAsia" w:ascii="Times New Roman" w:hAnsi="Times New Roman" w:cs="Times New Roman"/>
                      <w:color w:val="auto"/>
                      <w:vertAlign w:val="superscript"/>
                      <w:lang w:val="en-US" w:eastAsia="zh-CN"/>
                    </w:rPr>
                    <w:t>-8</w:t>
                  </w:r>
                </w:p>
              </w:tc>
              <w:tc>
                <w:tcPr>
                  <w:tcW w:w="1185" w:type="dxa"/>
                  <w:vAlign w:val="center"/>
                </w:tcPr>
                <w:p w14:paraId="6B934AD5">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8.72×10</w:t>
                  </w:r>
                  <w:r>
                    <w:rPr>
                      <w:rFonts w:hint="eastAsia" w:ascii="Times New Roman" w:hAnsi="Times New Roman" w:cs="Times New Roman"/>
                      <w:color w:val="auto"/>
                      <w:vertAlign w:val="superscript"/>
                      <w:lang w:val="en-US" w:eastAsia="zh-CN"/>
                    </w:rPr>
                    <w:t>-8</w:t>
                  </w:r>
                </w:p>
              </w:tc>
              <w:tc>
                <w:tcPr>
                  <w:tcW w:w="1467" w:type="dxa"/>
                  <w:vAlign w:val="center"/>
                </w:tcPr>
                <w:p w14:paraId="299D1A78">
                  <w:pPr>
                    <w:tabs>
                      <w:tab w:val="left" w:pos="1215"/>
                    </w:tabs>
                    <w:adjustRightInd w:val="0"/>
                    <w:snapToGrid w:val="0"/>
                    <w:jc w:val="center"/>
                    <w:rPr>
                      <w:rFonts w:hint="default" w:ascii="Times New Roman" w:hAnsi="Times New Roman" w:eastAsia="宋体" w:cs="Times New Roman"/>
                      <w:color w:val="0000FF"/>
                      <w:shd w:val="clear" w:color="auto" w:fill="auto"/>
                      <w:lang w:val="en-US" w:eastAsia="zh-CN"/>
                    </w:rPr>
                  </w:pPr>
                  <w:r>
                    <w:rPr>
                      <w:rFonts w:hint="eastAsia" w:cs="Times New Roman"/>
                      <w:color w:val="0000FF"/>
                      <w:shd w:val="clear" w:color="auto" w:fill="auto"/>
                      <w:lang w:val="en-US" w:eastAsia="zh-CN"/>
                    </w:rPr>
                    <w:t>0</w:t>
                  </w:r>
                </w:p>
              </w:tc>
              <w:tc>
                <w:tcPr>
                  <w:tcW w:w="1145" w:type="dxa"/>
                  <w:vAlign w:val="center"/>
                </w:tcPr>
                <w:p w14:paraId="28541E2A">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8.72×10</w:t>
                  </w:r>
                  <w:r>
                    <w:rPr>
                      <w:rFonts w:hint="eastAsia" w:ascii="Times New Roman" w:hAnsi="Times New Roman" w:cs="Times New Roman"/>
                      <w:color w:val="auto"/>
                      <w:vertAlign w:val="superscript"/>
                      <w:lang w:val="en-US" w:eastAsia="zh-CN"/>
                    </w:rPr>
                    <w:t>-8</w:t>
                  </w:r>
                </w:p>
              </w:tc>
              <w:tc>
                <w:tcPr>
                  <w:tcW w:w="1242" w:type="dxa"/>
                  <w:vAlign w:val="center"/>
                </w:tcPr>
                <w:p w14:paraId="1B427709">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+8.72×10</w:t>
                  </w:r>
                  <w:r>
                    <w:rPr>
                      <w:rFonts w:hint="eastAsia" w:ascii="Times New Roman" w:hAnsi="Times New Roman" w:cs="Times New Roman"/>
                      <w:color w:val="auto"/>
                      <w:vertAlign w:val="superscript"/>
                      <w:lang w:val="en-US" w:eastAsia="zh-CN"/>
                    </w:rPr>
                    <w:t>-8</w:t>
                  </w:r>
                </w:p>
              </w:tc>
            </w:tr>
            <w:tr w14:paraId="28116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5" w:type="dxa"/>
                  <w:vMerge w:val="continue"/>
                  <w:vAlign w:val="center"/>
                </w:tcPr>
                <w:p w14:paraId="6D0C88F2">
                  <w:pPr>
                    <w:tabs>
                      <w:tab w:val="left" w:pos="1215"/>
                    </w:tabs>
                    <w:adjustRightInd w:val="0"/>
                    <w:snapToGrid w:val="0"/>
                    <w:jc w:val="center"/>
                    <w:rPr>
                      <w:rFonts w:hint="default" w:ascii="Times New Roman" w:hAnsi="Times New Roman" w:eastAsia="宋体" w:cs="Times New Roman"/>
                      <w:color w:val="auto"/>
                      <w:lang w:val="en-US" w:eastAsia="zh-CN"/>
                    </w:rPr>
                  </w:pPr>
                </w:p>
              </w:tc>
              <w:tc>
                <w:tcPr>
                  <w:tcW w:w="853" w:type="dxa"/>
                  <w:vAlign w:val="center"/>
                </w:tcPr>
                <w:p w14:paraId="376B99D1">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sz w:val="21"/>
                      <w:szCs w:val="21"/>
                      <w:lang w:val="en-US" w:eastAsia="zh-CN"/>
                    </w:rPr>
                    <w:t>CO</w:t>
                  </w:r>
                  <w:r>
                    <w:rPr>
                      <w:rFonts w:hint="eastAsia" w:ascii="Times New Roman" w:hAnsi="Times New Roman" w:cs="Times New Roman"/>
                      <w:color w:val="auto"/>
                      <w:sz w:val="21"/>
                      <w:szCs w:val="21"/>
                      <w:vertAlign w:val="subscript"/>
                      <w:lang w:val="en-US" w:eastAsia="zh-CN"/>
                    </w:rPr>
                    <w:t>2</w:t>
                  </w:r>
                </w:p>
              </w:tc>
              <w:tc>
                <w:tcPr>
                  <w:tcW w:w="1319" w:type="dxa"/>
                  <w:vAlign w:val="center"/>
                </w:tcPr>
                <w:p w14:paraId="4A3AC3D9">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667741.9697</w:t>
                  </w:r>
                </w:p>
              </w:tc>
              <w:tc>
                <w:tcPr>
                  <w:tcW w:w="1185" w:type="dxa"/>
                  <w:vAlign w:val="center"/>
                </w:tcPr>
                <w:p w14:paraId="0FAD6531">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541559.72</w:t>
                  </w:r>
                </w:p>
              </w:tc>
              <w:tc>
                <w:tcPr>
                  <w:tcW w:w="1185" w:type="dxa"/>
                  <w:vAlign w:val="center"/>
                </w:tcPr>
                <w:p w14:paraId="06A6539A">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541559.72</w:t>
                  </w:r>
                </w:p>
              </w:tc>
              <w:tc>
                <w:tcPr>
                  <w:tcW w:w="1467" w:type="dxa"/>
                  <w:vAlign w:val="center"/>
                </w:tcPr>
                <w:p w14:paraId="79A4459B">
                  <w:pPr>
                    <w:tabs>
                      <w:tab w:val="left" w:pos="1215"/>
                    </w:tabs>
                    <w:adjustRightInd w:val="0"/>
                    <w:snapToGrid w:val="0"/>
                    <w:jc w:val="center"/>
                    <w:rPr>
                      <w:rFonts w:hint="default" w:ascii="Times New Roman" w:hAnsi="Times New Roman" w:eastAsia="宋体" w:cs="Times New Roman"/>
                      <w:color w:val="0000FF"/>
                      <w:shd w:val="clear" w:color="auto" w:fill="auto"/>
                      <w:lang w:val="en-US" w:eastAsia="zh-CN"/>
                    </w:rPr>
                  </w:pPr>
                  <w:r>
                    <w:rPr>
                      <w:rFonts w:hint="eastAsia" w:cs="Times New Roman"/>
                      <w:color w:val="0000FF"/>
                      <w:shd w:val="clear" w:color="auto" w:fill="auto"/>
                      <w:lang w:val="en-US" w:eastAsia="zh-CN"/>
                    </w:rPr>
                    <w:t>107472.64</w:t>
                  </w:r>
                </w:p>
              </w:tc>
              <w:tc>
                <w:tcPr>
                  <w:tcW w:w="1145" w:type="dxa"/>
                  <w:vAlign w:val="center"/>
                </w:tcPr>
                <w:p w14:paraId="1ADB7C56">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541559.72</w:t>
                  </w:r>
                </w:p>
              </w:tc>
              <w:tc>
                <w:tcPr>
                  <w:tcW w:w="1242" w:type="dxa"/>
                  <w:vAlign w:val="center"/>
                </w:tcPr>
                <w:p w14:paraId="023988B2">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-107472.64</w:t>
                  </w:r>
                </w:p>
              </w:tc>
            </w:tr>
            <w:tr w14:paraId="26CD0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5" w:type="dxa"/>
                  <w:vMerge w:val="restart"/>
                  <w:vAlign w:val="center"/>
                </w:tcPr>
                <w:p w14:paraId="17BAD8FD">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废水</w:t>
                  </w:r>
                </w:p>
              </w:tc>
              <w:tc>
                <w:tcPr>
                  <w:tcW w:w="853" w:type="dxa"/>
                  <w:vAlign w:val="center"/>
                </w:tcPr>
                <w:p w14:paraId="2256260B">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COD</w:t>
                  </w:r>
                </w:p>
              </w:tc>
              <w:tc>
                <w:tcPr>
                  <w:tcW w:w="1319" w:type="dxa"/>
                  <w:vAlign w:val="center"/>
                </w:tcPr>
                <w:p w14:paraId="17A2BE45">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w:t>
                  </w:r>
                </w:p>
              </w:tc>
              <w:tc>
                <w:tcPr>
                  <w:tcW w:w="1185" w:type="dxa"/>
                  <w:vAlign w:val="center"/>
                </w:tcPr>
                <w:p w14:paraId="050E4115">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0</w:t>
                  </w:r>
                </w:p>
              </w:tc>
              <w:tc>
                <w:tcPr>
                  <w:tcW w:w="1185" w:type="dxa"/>
                  <w:vAlign w:val="center"/>
                </w:tcPr>
                <w:p w14:paraId="34FA5260">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w:t>
                  </w:r>
                </w:p>
              </w:tc>
              <w:tc>
                <w:tcPr>
                  <w:tcW w:w="1467" w:type="dxa"/>
                  <w:vAlign w:val="center"/>
                </w:tcPr>
                <w:p w14:paraId="1A884FC3">
                  <w:pPr>
                    <w:tabs>
                      <w:tab w:val="left" w:pos="1215"/>
                    </w:tabs>
                    <w:adjustRightInd w:val="0"/>
                    <w:snapToGrid w:val="0"/>
                    <w:jc w:val="center"/>
                    <w:rPr>
                      <w:rFonts w:hint="default" w:ascii="Times New Roman" w:hAnsi="Times New Roman" w:eastAsia="宋体" w:cs="Times New Roman"/>
                      <w:color w:val="0000FF"/>
                      <w:shd w:val="clear" w:color="auto" w:fill="auto"/>
                      <w:lang w:val="en-US" w:eastAsia="zh-CN"/>
                    </w:rPr>
                  </w:pPr>
                  <w:r>
                    <w:rPr>
                      <w:rFonts w:hint="eastAsia" w:cs="Times New Roman"/>
                      <w:color w:val="0000FF"/>
                      <w:shd w:val="clear" w:color="auto" w:fill="auto"/>
                      <w:lang w:val="en-US" w:eastAsia="zh-CN"/>
                    </w:rPr>
                    <w:t>0</w:t>
                  </w:r>
                </w:p>
              </w:tc>
              <w:tc>
                <w:tcPr>
                  <w:tcW w:w="1145" w:type="dxa"/>
                  <w:vAlign w:val="center"/>
                </w:tcPr>
                <w:p w14:paraId="389A9820">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w:t>
                  </w:r>
                </w:p>
              </w:tc>
              <w:tc>
                <w:tcPr>
                  <w:tcW w:w="1242" w:type="dxa"/>
                  <w:vAlign w:val="center"/>
                </w:tcPr>
                <w:p w14:paraId="7C6C7E07">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w:t>
                  </w:r>
                </w:p>
              </w:tc>
            </w:tr>
            <w:tr w14:paraId="5FAF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5" w:type="dxa"/>
                  <w:vMerge w:val="continue"/>
                  <w:vAlign w:val="center"/>
                </w:tcPr>
                <w:p w14:paraId="45BB298B">
                  <w:pPr>
                    <w:tabs>
                      <w:tab w:val="left" w:pos="1215"/>
                    </w:tabs>
                    <w:adjustRightInd w:val="0"/>
                    <w:snapToGrid w:val="0"/>
                    <w:jc w:val="center"/>
                    <w:rPr>
                      <w:rFonts w:hint="default" w:ascii="Times New Roman" w:hAnsi="Times New Roman" w:eastAsia="宋体" w:cs="Times New Roman"/>
                      <w:color w:val="auto"/>
                      <w:lang w:val="en-US" w:eastAsia="zh-CN"/>
                    </w:rPr>
                  </w:pPr>
                </w:p>
              </w:tc>
              <w:tc>
                <w:tcPr>
                  <w:tcW w:w="853" w:type="dxa"/>
                  <w:vAlign w:val="center"/>
                </w:tcPr>
                <w:p w14:paraId="2EE415D2">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氨氮</w:t>
                  </w:r>
                </w:p>
              </w:tc>
              <w:tc>
                <w:tcPr>
                  <w:tcW w:w="1319" w:type="dxa"/>
                  <w:vAlign w:val="center"/>
                </w:tcPr>
                <w:p w14:paraId="0B7D99EF">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w:t>
                  </w:r>
                </w:p>
              </w:tc>
              <w:tc>
                <w:tcPr>
                  <w:tcW w:w="1185" w:type="dxa"/>
                  <w:vAlign w:val="center"/>
                </w:tcPr>
                <w:p w14:paraId="098F1382">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0</w:t>
                  </w:r>
                </w:p>
              </w:tc>
              <w:tc>
                <w:tcPr>
                  <w:tcW w:w="1185" w:type="dxa"/>
                  <w:vAlign w:val="center"/>
                </w:tcPr>
                <w:p w14:paraId="50278C84">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w:t>
                  </w:r>
                </w:p>
              </w:tc>
              <w:tc>
                <w:tcPr>
                  <w:tcW w:w="1467" w:type="dxa"/>
                  <w:vAlign w:val="center"/>
                </w:tcPr>
                <w:p w14:paraId="553BA53A">
                  <w:pPr>
                    <w:tabs>
                      <w:tab w:val="left" w:pos="1215"/>
                    </w:tabs>
                    <w:adjustRightInd w:val="0"/>
                    <w:snapToGrid w:val="0"/>
                    <w:jc w:val="center"/>
                    <w:rPr>
                      <w:rFonts w:hint="default" w:ascii="Times New Roman" w:hAnsi="Times New Roman" w:eastAsia="宋体" w:cs="Times New Roman"/>
                      <w:color w:val="0000FF"/>
                      <w:shd w:val="clear" w:color="auto" w:fill="auto"/>
                      <w:lang w:val="en-US" w:eastAsia="zh-CN"/>
                    </w:rPr>
                  </w:pPr>
                  <w:r>
                    <w:rPr>
                      <w:rFonts w:hint="eastAsia" w:cs="Times New Roman"/>
                      <w:color w:val="0000FF"/>
                      <w:shd w:val="clear" w:color="auto" w:fill="auto"/>
                      <w:lang w:val="en-US" w:eastAsia="zh-CN"/>
                    </w:rPr>
                    <w:t>0</w:t>
                  </w:r>
                </w:p>
              </w:tc>
              <w:tc>
                <w:tcPr>
                  <w:tcW w:w="1145" w:type="dxa"/>
                  <w:vAlign w:val="center"/>
                </w:tcPr>
                <w:p w14:paraId="44A63261">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w:t>
                  </w:r>
                </w:p>
              </w:tc>
              <w:tc>
                <w:tcPr>
                  <w:tcW w:w="1242" w:type="dxa"/>
                  <w:vAlign w:val="center"/>
                </w:tcPr>
                <w:p w14:paraId="007CC8EA">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w:t>
                  </w:r>
                </w:p>
              </w:tc>
            </w:tr>
            <w:tr w14:paraId="220B5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505" w:type="dxa"/>
                  <w:vMerge w:val="restart"/>
                  <w:vAlign w:val="center"/>
                </w:tcPr>
                <w:p w14:paraId="7C0D5AE9">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固废</w:t>
                  </w:r>
                </w:p>
              </w:tc>
              <w:tc>
                <w:tcPr>
                  <w:tcW w:w="853" w:type="dxa"/>
                  <w:vAlign w:val="center"/>
                </w:tcPr>
                <w:p w14:paraId="29F2292C">
                  <w:pPr>
                    <w:tabs>
                      <w:tab w:val="left" w:pos="1215"/>
                    </w:tabs>
                    <w:adjustRightInd w:val="0"/>
                    <w:snapToGrid w:val="0"/>
                    <w:jc w:val="center"/>
                    <w:rPr>
                      <w:rFonts w:hint="eastAsia" w:cs="Times New Roman"/>
                      <w:color w:val="auto"/>
                      <w:sz w:val="21"/>
                      <w:szCs w:val="21"/>
                      <w:lang w:val="en-US" w:eastAsia="zh-CN"/>
                    </w:rPr>
                  </w:pPr>
                  <w:r>
                    <w:rPr>
                      <w:rFonts w:hint="eastAsia" w:ascii="Times New Roman" w:hAnsi="Times New Roman" w:eastAsia="宋体" w:cs="Times New Roman"/>
                      <w:color w:val="auto"/>
                      <w:lang w:val="en-US" w:eastAsia="zh-CN"/>
                    </w:rPr>
                    <w:t>废容器或包装物</w:t>
                  </w:r>
                </w:p>
              </w:tc>
              <w:tc>
                <w:tcPr>
                  <w:tcW w:w="1319" w:type="dxa"/>
                  <w:vAlign w:val="center"/>
                </w:tcPr>
                <w:p w14:paraId="70AD74B3">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w:t>
                  </w:r>
                </w:p>
              </w:tc>
              <w:tc>
                <w:tcPr>
                  <w:tcW w:w="1185" w:type="dxa"/>
                  <w:vAlign w:val="center"/>
                </w:tcPr>
                <w:p w14:paraId="0D21F6B2">
                  <w:pPr>
                    <w:tabs>
                      <w:tab w:val="left" w:pos="1215"/>
                    </w:tabs>
                    <w:adjustRightInd w:val="0"/>
                    <w:snapToGrid w:val="0"/>
                    <w:jc w:val="center"/>
                    <w:rPr>
                      <w:rFonts w:hint="default" w:cs="Times New Roman"/>
                      <w:color w:val="auto"/>
                      <w:lang w:val="en-US" w:eastAsia="zh-CN"/>
                    </w:rPr>
                  </w:pPr>
                  <w:r>
                    <w:rPr>
                      <w:rFonts w:hint="eastAsia" w:cs="Times New Roman"/>
                      <w:color w:val="auto"/>
                      <w:lang w:val="en-US" w:eastAsia="zh-CN"/>
                    </w:rPr>
                    <w:t>0</w:t>
                  </w:r>
                </w:p>
              </w:tc>
              <w:tc>
                <w:tcPr>
                  <w:tcW w:w="1185" w:type="dxa"/>
                  <w:vAlign w:val="center"/>
                </w:tcPr>
                <w:p w14:paraId="3CA63574">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w:t>
                  </w:r>
                </w:p>
              </w:tc>
              <w:tc>
                <w:tcPr>
                  <w:tcW w:w="1467" w:type="dxa"/>
                  <w:vAlign w:val="center"/>
                </w:tcPr>
                <w:p w14:paraId="34EA841E">
                  <w:pPr>
                    <w:tabs>
                      <w:tab w:val="left" w:pos="1215"/>
                    </w:tabs>
                    <w:adjustRightInd w:val="0"/>
                    <w:snapToGrid w:val="0"/>
                    <w:jc w:val="center"/>
                    <w:rPr>
                      <w:rFonts w:hint="default" w:ascii="Times New Roman" w:hAnsi="Times New Roman" w:eastAsia="宋体" w:cs="Times New Roman"/>
                      <w:color w:val="0000FF"/>
                      <w:shd w:val="clear" w:color="auto" w:fill="auto"/>
                      <w:lang w:val="en-US" w:eastAsia="zh-CN"/>
                    </w:rPr>
                  </w:pPr>
                  <w:r>
                    <w:rPr>
                      <w:rFonts w:hint="eastAsia" w:cs="Times New Roman"/>
                      <w:color w:val="0000FF"/>
                      <w:shd w:val="clear" w:color="auto" w:fill="auto"/>
                      <w:lang w:val="en-US" w:eastAsia="zh-CN"/>
                    </w:rPr>
                    <w:t>0</w:t>
                  </w:r>
                </w:p>
              </w:tc>
              <w:tc>
                <w:tcPr>
                  <w:tcW w:w="1145" w:type="dxa"/>
                  <w:vAlign w:val="center"/>
                </w:tcPr>
                <w:p w14:paraId="1EDDBA55">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w:t>
                  </w:r>
                </w:p>
              </w:tc>
              <w:tc>
                <w:tcPr>
                  <w:tcW w:w="1242" w:type="dxa"/>
                  <w:vAlign w:val="center"/>
                </w:tcPr>
                <w:p w14:paraId="4D60AAA2">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w:t>
                  </w:r>
                </w:p>
              </w:tc>
            </w:tr>
            <w:tr w14:paraId="53491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5" w:type="dxa"/>
                  <w:vMerge w:val="continue"/>
                  <w:vAlign w:val="center"/>
                </w:tcPr>
                <w:p w14:paraId="26F26AD6">
                  <w:pPr>
                    <w:tabs>
                      <w:tab w:val="left" w:pos="1215"/>
                    </w:tabs>
                    <w:adjustRightInd w:val="0"/>
                    <w:snapToGrid w:val="0"/>
                    <w:jc w:val="center"/>
                    <w:rPr>
                      <w:rFonts w:hint="eastAsia" w:cs="Times New Roman"/>
                      <w:color w:val="auto"/>
                      <w:lang w:val="en-US" w:eastAsia="zh-CN"/>
                    </w:rPr>
                  </w:pPr>
                </w:p>
              </w:tc>
              <w:tc>
                <w:tcPr>
                  <w:tcW w:w="853" w:type="dxa"/>
                  <w:vAlign w:val="center"/>
                </w:tcPr>
                <w:p w14:paraId="76257963">
                  <w:pPr>
                    <w:tabs>
                      <w:tab w:val="left" w:pos="1215"/>
                    </w:tabs>
                    <w:adjustRightInd w:val="0"/>
                    <w:snapToGrid w:val="0"/>
                    <w:jc w:val="center"/>
                    <w:rPr>
                      <w:rFonts w:hint="eastAsia" w:cs="Times New Roman"/>
                      <w:color w:val="auto"/>
                      <w:sz w:val="21"/>
                      <w:szCs w:val="21"/>
                      <w:lang w:val="en-US" w:eastAsia="zh-CN"/>
                    </w:rPr>
                  </w:pPr>
                  <w:r>
                    <w:rPr>
                      <w:rFonts w:hint="eastAsia" w:ascii="Times New Roman" w:hAnsi="Times New Roman" w:eastAsia="宋体" w:cs="Times New Roman"/>
                      <w:color w:val="auto"/>
                      <w:lang w:val="en-US" w:eastAsia="zh-CN"/>
                    </w:rPr>
                    <w:t>窑灰</w:t>
                  </w:r>
                </w:p>
              </w:tc>
              <w:tc>
                <w:tcPr>
                  <w:tcW w:w="1319" w:type="dxa"/>
                  <w:vAlign w:val="center"/>
                </w:tcPr>
                <w:p w14:paraId="4C15DBA6">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w:t>
                  </w:r>
                </w:p>
              </w:tc>
              <w:tc>
                <w:tcPr>
                  <w:tcW w:w="1185" w:type="dxa"/>
                  <w:vAlign w:val="center"/>
                </w:tcPr>
                <w:p w14:paraId="47FFEFFD">
                  <w:pPr>
                    <w:tabs>
                      <w:tab w:val="left" w:pos="1215"/>
                    </w:tabs>
                    <w:adjustRightInd w:val="0"/>
                    <w:snapToGrid w:val="0"/>
                    <w:jc w:val="center"/>
                    <w:rPr>
                      <w:rFonts w:hint="default" w:cs="Times New Roman"/>
                      <w:color w:val="auto"/>
                      <w:lang w:val="en-US" w:eastAsia="zh-CN"/>
                    </w:rPr>
                  </w:pPr>
                  <w:r>
                    <w:rPr>
                      <w:rFonts w:hint="eastAsia" w:cs="Times New Roman"/>
                      <w:color w:val="auto"/>
                      <w:lang w:val="en-US" w:eastAsia="zh-CN"/>
                    </w:rPr>
                    <w:t>39164</w:t>
                  </w:r>
                </w:p>
              </w:tc>
              <w:tc>
                <w:tcPr>
                  <w:tcW w:w="1185" w:type="dxa"/>
                  <w:vAlign w:val="center"/>
                </w:tcPr>
                <w:p w14:paraId="78DF3BA2">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w:t>
                  </w:r>
                </w:p>
              </w:tc>
              <w:tc>
                <w:tcPr>
                  <w:tcW w:w="1467" w:type="dxa"/>
                  <w:vAlign w:val="center"/>
                </w:tcPr>
                <w:p w14:paraId="70E2C4CC">
                  <w:pPr>
                    <w:tabs>
                      <w:tab w:val="left" w:pos="1215"/>
                    </w:tabs>
                    <w:adjustRightInd w:val="0"/>
                    <w:snapToGrid w:val="0"/>
                    <w:jc w:val="center"/>
                    <w:rPr>
                      <w:rFonts w:hint="default" w:ascii="Times New Roman" w:hAnsi="Times New Roman" w:eastAsia="宋体" w:cs="Times New Roman"/>
                      <w:color w:val="0000FF"/>
                      <w:shd w:val="clear" w:color="auto" w:fill="auto"/>
                      <w:lang w:val="en-US" w:eastAsia="zh-CN"/>
                    </w:rPr>
                  </w:pPr>
                  <w:r>
                    <w:rPr>
                      <w:rFonts w:hint="eastAsia" w:cs="Times New Roman"/>
                      <w:color w:val="0000FF"/>
                      <w:shd w:val="clear" w:color="auto" w:fill="auto"/>
                      <w:lang w:val="en-US" w:eastAsia="zh-CN"/>
                    </w:rPr>
                    <w:t>0</w:t>
                  </w:r>
                </w:p>
              </w:tc>
              <w:tc>
                <w:tcPr>
                  <w:tcW w:w="1145" w:type="dxa"/>
                  <w:vAlign w:val="center"/>
                </w:tcPr>
                <w:p w14:paraId="0C98FC1E">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w:t>
                  </w:r>
                </w:p>
              </w:tc>
              <w:tc>
                <w:tcPr>
                  <w:tcW w:w="1242" w:type="dxa"/>
                  <w:vAlign w:val="center"/>
                </w:tcPr>
                <w:p w14:paraId="46CD589D">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0</w:t>
                  </w:r>
                </w:p>
              </w:tc>
            </w:tr>
            <w:tr w14:paraId="74F35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5" w:type="dxa"/>
                  <w:vMerge w:val="continue"/>
                  <w:vAlign w:val="center"/>
                </w:tcPr>
                <w:p w14:paraId="638F4432">
                  <w:pPr>
                    <w:tabs>
                      <w:tab w:val="left" w:pos="1215"/>
                    </w:tabs>
                    <w:adjustRightInd w:val="0"/>
                    <w:snapToGrid w:val="0"/>
                    <w:jc w:val="center"/>
                    <w:rPr>
                      <w:rFonts w:hint="eastAsia" w:cs="Times New Roman"/>
                      <w:color w:val="auto"/>
                      <w:lang w:val="en-US" w:eastAsia="zh-CN"/>
                    </w:rPr>
                  </w:pPr>
                </w:p>
              </w:tc>
              <w:tc>
                <w:tcPr>
                  <w:tcW w:w="853" w:type="dxa"/>
                  <w:vAlign w:val="center"/>
                </w:tcPr>
                <w:p w14:paraId="7FD144D7">
                  <w:pPr>
                    <w:adjustRightInd w:val="0"/>
                    <w:snapToGrid w:val="0"/>
                    <w:jc w:val="center"/>
                    <w:rPr>
                      <w:rFonts w:hint="eastAsia" w:ascii="Times New Roman" w:hAnsi="Times New Roman" w:eastAsia="宋体" w:cs="Times New Roman"/>
                      <w:color w:val="auto"/>
                      <w:lang w:val="en-US" w:eastAsia="zh-CN"/>
                    </w:rPr>
                  </w:pPr>
                  <w:r>
                    <w:rPr>
                      <w:rFonts w:hint="eastAsia" w:cs="Times New Roman"/>
                      <w:bCs/>
                      <w:color w:val="auto"/>
                      <w:szCs w:val="21"/>
                      <w:lang w:val="en-US" w:eastAsia="zh-CN"/>
                    </w:rPr>
                    <w:t>一般固废</w:t>
                  </w:r>
                </w:p>
              </w:tc>
              <w:tc>
                <w:tcPr>
                  <w:tcW w:w="1319" w:type="dxa"/>
                  <w:vAlign w:val="center"/>
                </w:tcPr>
                <w:p w14:paraId="31F6C28A">
                  <w:pPr>
                    <w:adjustRightInd w:val="0"/>
                    <w:snapToGrid w:val="0"/>
                    <w:jc w:val="center"/>
                    <w:rPr>
                      <w:rFonts w:hint="eastAsia" w:cs="Times New Roman"/>
                      <w:color w:val="auto"/>
                      <w:lang w:val="en-US" w:eastAsia="zh-CN"/>
                    </w:rPr>
                  </w:pPr>
                  <w:r>
                    <w:rPr>
                      <w:rFonts w:hint="eastAsia" w:cs="Times New Roman"/>
                      <w:bCs/>
                      <w:color w:val="auto"/>
                      <w:szCs w:val="21"/>
                      <w:lang w:val="en-US" w:eastAsia="zh-CN"/>
                    </w:rPr>
                    <w:t>483300</w:t>
                  </w:r>
                </w:p>
              </w:tc>
              <w:tc>
                <w:tcPr>
                  <w:tcW w:w="1185" w:type="dxa"/>
                  <w:vAlign w:val="center"/>
                </w:tcPr>
                <w:p w14:paraId="1325ED22">
                  <w:pPr>
                    <w:tabs>
                      <w:tab w:val="left" w:pos="1215"/>
                    </w:tabs>
                    <w:adjustRightInd w:val="0"/>
                    <w:snapToGrid w:val="0"/>
                    <w:jc w:val="center"/>
                    <w:rPr>
                      <w:rFonts w:hint="default" w:cs="Times New Roman"/>
                      <w:color w:val="auto"/>
                      <w:lang w:val="en-US" w:eastAsia="zh-CN"/>
                    </w:rPr>
                  </w:pPr>
                  <w:r>
                    <w:rPr>
                      <w:rFonts w:hint="eastAsia" w:cs="Times New Roman"/>
                      <w:color w:val="auto"/>
                      <w:lang w:val="en-US" w:eastAsia="zh-CN"/>
                    </w:rPr>
                    <w:t>0</w:t>
                  </w:r>
                </w:p>
              </w:tc>
              <w:tc>
                <w:tcPr>
                  <w:tcW w:w="1185" w:type="dxa"/>
                  <w:vAlign w:val="center"/>
                </w:tcPr>
                <w:p w14:paraId="13A9325A">
                  <w:pPr>
                    <w:tabs>
                      <w:tab w:val="left" w:pos="1215"/>
                    </w:tabs>
                    <w:adjustRightInd w:val="0"/>
                    <w:snapToGrid w:val="0"/>
                    <w:jc w:val="center"/>
                    <w:rPr>
                      <w:rFonts w:hint="default" w:cs="Times New Roman"/>
                      <w:color w:val="auto"/>
                      <w:lang w:val="en-US" w:eastAsia="zh-CN"/>
                    </w:rPr>
                  </w:pPr>
                  <w:r>
                    <w:rPr>
                      <w:rFonts w:hint="eastAsia" w:cs="Times New Roman"/>
                      <w:color w:val="auto"/>
                      <w:lang w:val="en-US" w:eastAsia="zh-CN"/>
                    </w:rPr>
                    <w:t>0</w:t>
                  </w:r>
                </w:p>
              </w:tc>
              <w:tc>
                <w:tcPr>
                  <w:tcW w:w="1467" w:type="dxa"/>
                  <w:vAlign w:val="center"/>
                </w:tcPr>
                <w:p w14:paraId="1DABBE8E">
                  <w:pPr>
                    <w:tabs>
                      <w:tab w:val="left" w:pos="1215"/>
                    </w:tabs>
                    <w:adjustRightInd w:val="0"/>
                    <w:snapToGrid w:val="0"/>
                    <w:jc w:val="center"/>
                    <w:rPr>
                      <w:rFonts w:hint="default" w:cs="Times New Roman"/>
                      <w:color w:val="0000FF"/>
                      <w:shd w:val="clear" w:color="auto" w:fill="auto"/>
                      <w:lang w:val="en-US" w:eastAsia="zh-CN"/>
                    </w:rPr>
                  </w:pPr>
                  <w:r>
                    <w:rPr>
                      <w:rFonts w:hint="eastAsia" w:cs="Times New Roman"/>
                      <w:color w:val="0000FF"/>
                      <w:shd w:val="clear" w:color="auto" w:fill="auto"/>
                      <w:lang w:val="en-US" w:eastAsia="zh-CN"/>
                    </w:rPr>
                    <w:t>0</w:t>
                  </w:r>
                </w:p>
              </w:tc>
              <w:tc>
                <w:tcPr>
                  <w:tcW w:w="1145" w:type="dxa"/>
                  <w:vAlign w:val="center"/>
                </w:tcPr>
                <w:p w14:paraId="6E05E60B">
                  <w:pPr>
                    <w:adjustRightInd w:val="0"/>
                    <w:snapToGrid w:val="0"/>
                    <w:jc w:val="center"/>
                    <w:rPr>
                      <w:rFonts w:hint="eastAsia" w:cs="Times New Roman"/>
                      <w:color w:val="auto"/>
                      <w:lang w:val="en-US" w:eastAsia="zh-CN"/>
                    </w:rPr>
                  </w:pPr>
                  <w:r>
                    <w:rPr>
                      <w:rFonts w:hint="eastAsia" w:cs="Times New Roman"/>
                      <w:bCs/>
                      <w:color w:val="auto"/>
                      <w:szCs w:val="21"/>
                      <w:lang w:val="en-US" w:eastAsia="zh-CN"/>
                    </w:rPr>
                    <w:t>483300</w:t>
                  </w:r>
                </w:p>
              </w:tc>
              <w:tc>
                <w:tcPr>
                  <w:tcW w:w="1242" w:type="dxa"/>
                  <w:vAlign w:val="center"/>
                </w:tcPr>
                <w:p w14:paraId="5F2052D0">
                  <w:pPr>
                    <w:tabs>
                      <w:tab w:val="left" w:pos="1215"/>
                    </w:tabs>
                    <w:adjustRightInd w:val="0"/>
                    <w:snapToGrid w:val="0"/>
                    <w:jc w:val="center"/>
                    <w:rPr>
                      <w:rFonts w:hint="default" w:cs="Times New Roman"/>
                      <w:color w:val="auto"/>
                      <w:lang w:val="en-US" w:eastAsia="zh-CN"/>
                    </w:rPr>
                  </w:pPr>
                  <w:r>
                    <w:rPr>
                      <w:rFonts w:hint="eastAsia" w:cs="Times New Roman"/>
                      <w:color w:val="auto"/>
                      <w:lang w:val="en-US" w:eastAsia="zh-CN"/>
                    </w:rPr>
                    <w:t>0</w:t>
                  </w:r>
                </w:p>
              </w:tc>
            </w:tr>
            <w:tr w14:paraId="7FA5E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5" w:type="dxa"/>
                  <w:vMerge w:val="continue"/>
                  <w:vAlign w:val="center"/>
                </w:tcPr>
                <w:p w14:paraId="3FD871C2">
                  <w:pPr>
                    <w:tabs>
                      <w:tab w:val="left" w:pos="1215"/>
                    </w:tabs>
                    <w:adjustRightInd w:val="0"/>
                    <w:snapToGrid w:val="0"/>
                    <w:jc w:val="center"/>
                    <w:rPr>
                      <w:rFonts w:hint="eastAsia" w:cs="Times New Roman"/>
                      <w:color w:val="auto"/>
                      <w:lang w:val="en-US" w:eastAsia="zh-CN"/>
                    </w:rPr>
                  </w:pPr>
                </w:p>
              </w:tc>
              <w:tc>
                <w:tcPr>
                  <w:tcW w:w="853" w:type="dxa"/>
                  <w:vAlign w:val="center"/>
                </w:tcPr>
                <w:p w14:paraId="4BBA8050">
                  <w:pPr>
                    <w:adjustRightInd w:val="0"/>
                    <w:snapToGrid w:val="0"/>
                    <w:jc w:val="center"/>
                    <w:rPr>
                      <w:rFonts w:hint="eastAsia" w:ascii="Times New Roman" w:hAnsi="Times New Roman" w:eastAsia="宋体" w:cs="Times New Roman"/>
                      <w:color w:val="auto"/>
                      <w:lang w:val="en-US" w:eastAsia="zh-CN"/>
                    </w:rPr>
                  </w:pPr>
                  <w:r>
                    <w:rPr>
                      <w:rFonts w:hint="eastAsia" w:cs="Times New Roman"/>
                      <w:bCs/>
                      <w:color w:val="auto"/>
                      <w:szCs w:val="21"/>
                      <w:lang w:val="en-US" w:eastAsia="zh-CN"/>
                    </w:rPr>
                    <w:t>危险废物</w:t>
                  </w:r>
                </w:p>
              </w:tc>
              <w:tc>
                <w:tcPr>
                  <w:tcW w:w="1319" w:type="dxa"/>
                  <w:vAlign w:val="center"/>
                </w:tcPr>
                <w:p w14:paraId="58FD6E1D">
                  <w:pPr>
                    <w:adjustRightInd w:val="0"/>
                    <w:snapToGrid w:val="0"/>
                    <w:jc w:val="center"/>
                    <w:rPr>
                      <w:rFonts w:hint="eastAsia" w:cs="Times New Roman"/>
                      <w:color w:val="auto"/>
                      <w:lang w:val="en-US" w:eastAsia="zh-CN"/>
                    </w:rPr>
                  </w:pPr>
                  <w:r>
                    <w:rPr>
                      <w:rFonts w:hint="eastAsia" w:cs="Times New Roman"/>
                      <w:bCs/>
                      <w:color w:val="auto"/>
                      <w:szCs w:val="21"/>
                      <w:lang w:val="en-US" w:eastAsia="zh-CN"/>
                    </w:rPr>
                    <w:t>47.85</w:t>
                  </w:r>
                </w:p>
              </w:tc>
              <w:tc>
                <w:tcPr>
                  <w:tcW w:w="1185" w:type="dxa"/>
                  <w:vAlign w:val="center"/>
                </w:tcPr>
                <w:p w14:paraId="755DA502">
                  <w:pPr>
                    <w:tabs>
                      <w:tab w:val="left" w:pos="1215"/>
                    </w:tabs>
                    <w:adjustRightInd w:val="0"/>
                    <w:snapToGrid w:val="0"/>
                    <w:jc w:val="center"/>
                    <w:rPr>
                      <w:rFonts w:hint="default" w:cs="Times New Roman"/>
                      <w:color w:val="auto"/>
                      <w:lang w:val="en-US" w:eastAsia="zh-CN"/>
                    </w:rPr>
                  </w:pPr>
                  <w:r>
                    <w:rPr>
                      <w:rFonts w:hint="eastAsia" w:cs="Times New Roman"/>
                      <w:color w:val="auto"/>
                      <w:lang w:val="en-US" w:eastAsia="zh-CN"/>
                    </w:rPr>
                    <w:t>0</w:t>
                  </w:r>
                </w:p>
              </w:tc>
              <w:tc>
                <w:tcPr>
                  <w:tcW w:w="1185" w:type="dxa"/>
                  <w:vAlign w:val="center"/>
                </w:tcPr>
                <w:p w14:paraId="5AB96474">
                  <w:pPr>
                    <w:tabs>
                      <w:tab w:val="left" w:pos="1215"/>
                    </w:tabs>
                    <w:adjustRightInd w:val="0"/>
                    <w:snapToGrid w:val="0"/>
                    <w:jc w:val="center"/>
                    <w:rPr>
                      <w:rFonts w:hint="default" w:cs="Times New Roman"/>
                      <w:color w:val="auto"/>
                      <w:lang w:val="en-US" w:eastAsia="zh-CN"/>
                    </w:rPr>
                  </w:pPr>
                  <w:r>
                    <w:rPr>
                      <w:rFonts w:hint="eastAsia" w:cs="Times New Roman"/>
                      <w:color w:val="auto"/>
                      <w:lang w:val="en-US" w:eastAsia="zh-CN"/>
                    </w:rPr>
                    <w:t>0</w:t>
                  </w:r>
                </w:p>
              </w:tc>
              <w:tc>
                <w:tcPr>
                  <w:tcW w:w="1467" w:type="dxa"/>
                  <w:vAlign w:val="center"/>
                </w:tcPr>
                <w:p w14:paraId="692AB0C2">
                  <w:pPr>
                    <w:tabs>
                      <w:tab w:val="left" w:pos="1215"/>
                    </w:tabs>
                    <w:adjustRightInd w:val="0"/>
                    <w:snapToGrid w:val="0"/>
                    <w:jc w:val="center"/>
                    <w:rPr>
                      <w:rFonts w:hint="default" w:cs="Times New Roman"/>
                      <w:color w:val="0000FF"/>
                      <w:shd w:val="clear" w:color="auto" w:fill="auto"/>
                      <w:lang w:val="en-US" w:eastAsia="zh-CN"/>
                    </w:rPr>
                  </w:pPr>
                  <w:r>
                    <w:rPr>
                      <w:rFonts w:hint="eastAsia" w:cs="Times New Roman"/>
                      <w:color w:val="0000FF"/>
                      <w:shd w:val="clear" w:color="auto" w:fill="auto"/>
                      <w:lang w:val="en-US" w:eastAsia="zh-CN"/>
                    </w:rPr>
                    <w:t>0</w:t>
                  </w:r>
                </w:p>
              </w:tc>
              <w:tc>
                <w:tcPr>
                  <w:tcW w:w="1145" w:type="dxa"/>
                  <w:vAlign w:val="center"/>
                </w:tcPr>
                <w:p w14:paraId="1BE959FC">
                  <w:pPr>
                    <w:adjustRightInd w:val="0"/>
                    <w:snapToGrid w:val="0"/>
                    <w:jc w:val="center"/>
                    <w:rPr>
                      <w:rFonts w:hint="eastAsia" w:cs="Times New Roman"/>
                      <w:color w:val="auto"/>
                      <w:lang w:val="en-US" w:eastAsia="zh-CN"/>
                    </w:rPr>
                  </w:pPr>
                  <w:r>
                    <w:rPr>
                      <w:rFonts w:hint="eastAsia" w:cs="Times New Roman"/>
                      <w:bCs/>
                      <w:color w:val="auto"/>
                      <w:szCs w:val="21"/>
                      <w:lang w:val="en-US" w:eastAsia="zh-CN"/>
                    </w:rPr>
                    <w:t>47.85</w:t>
                  </w:r>
                </w:p>
              </w:tc>
              <w:tc>
                <w:tcPr>
                  <w:tcW w:w="1242" w:type="dxa"/>
                  <w:vAlign w:val="center"/>
                </w:tcPr>
                <w:p w14:paraId="54AC3ACE">
                  <w:pPr>
                    <w:tabs>
                      <w:tab w:val="left" w:pos="1215"/>
                    </w:tabs>
                    <w:adjustRightInd w:val="0"/>
                    <w:snapToGrid w:val="0"/>
                    <w:jc w:val="center"/>
                    <w:rPr>
                      <w:rFonts w:hint="default" w:cs="Times New Roman"/>
                      <w:color w:val="auto"/>
                      <w:lang w:val="en-US" w:eastAsia="zh-CN"/>
                    </w:rPr>
                  </w:pPr>
                  <w:r>
                    <w:rPr>
                      <w:rFonts w:hint="eastAsia" w:cs="Times New Roman"/>
                      <w:color w:val="auto"/>
                      <w:lang w:val="en-US" w:eastAsia="zh-CN"/>
                    </w:rPr>
                    <w:t>0</w:t>
                  </w:r>
                </w:p>
              </w:tc>
            </w:tr>
            <w:tr w14:paraId="02124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5" w:type="dxa"/>
                  <w:vMerge w:val="continue"/>
                  <w:vAlign w:val="center"/>
                </w:tcPr>
                <w:p w14:paraId="097ED707">
                  <w:pPr>
                    <w:tabs>
                      <w:tab w:val="left" w:pos="1215"/>
                    </w:tabs>
                    <w:adjustRightInd w:val="0"/>
                    <w:snapToGrid w:val="0"/>
                    <w:jc w:val="center"/>
                    <w:rPr>
                      <w:rFonts w:hint="eastAsia" w:cs="Times New Roman"/>
                      <w:color w:val="auto"/>
                      <w:lang w:val="en-US" w:eastAsia="zh-CN"/>
                    </w:rPr>
                  </w:pPr>
                </w:p>
              </w:tc>
              <w:tc>
                <w:tcPr>
                  <w:tcW w:w="853" w:type="dxa"/>
                  <w:vAlign w:val="center"/>
                </w:tcPr>
                <w:p w14:paraId="343D6FA7">
                  <w:pPr>
                    <w:adjustRightInd w:val="0"/>
                    <w:snapToGrid w:val="0"/>
                    <w:jc w:val="center"/>
                    <w:rPr>
                      <w:rFonts w:hint="eastAsia" w:ascii="Times New Roman" w:hAnsi="Times New Roman" w:eastAsia="宋体" w:cs="Times New Roman"/>
                      <w:color w:val="auto"/>
                      <w:lang w:val="en-US" w:eastAsia="zh-CN"/>
                    </w:rPr>
                  </w:pPr>
                  <w:r>
                    <w:rPr>
                      <w:rFonts w:hint="eastAsia" w:cs="Times New Roman"/>
                      <w:bCs/>
                      <w:color w:val="auto"/>
                      <w:szCs w:val="21"/>
                      <w:lang w:val="en-US" w:eastAsia="zh-CN"/>
                    </w:rPr>
                    <w:t>生活垃圾</w:t>
                  </w:r>
                </w:p>
              </w:tc>
              <w:tc>
                <w:tcPr>
                  <w:tcW w:w="1319" w:type="dxa"/>
                  <w:vAlign w:val="center"/>
                </w:tcPr>
                <w:p w14:paraId="7931C7F6">
                  <w:pPr>
                    <w:adjustRightInd w:val="0"/>
                    <w:snapToGrid w:val="0"/>
                    <w:jc w:val="center"/>
                    <w:rPr>
                      <w:rFonts w:hint="eastAsia" w:cs="Times New Roman"/>
                      <w:color w:val="auto"/>
                      <w:lang w:val="en-US" w:eastAsia="zh-CN"/>
                    </w:rPr>
                  </w:pPr>
                  <w:r>
                    <w:rPr>
                      <w:rFonts w:hint="eastAsia" w:cs="Times New Roman"/>
                      <w:bCs/>
                      <w:color w:val="auto"/>
                      <w:szCs w:val="21"/>
                      <w:lang w:val="en-US" w:eastAsia="zh-CN"/>
                    </w:rPr>
                    <w:t>60</w:t>
                  </w:r>
                </w:p>
              </w:tc>
              <w:tc>
                <w:tcPr>
                  <w:tcW w:w="1185" w:type="dxa"/>
                  <w:vAlign w:val="center"/>
                </w:tcPr>
                <w:p w14:paraId="460DD014">
                  <w:pPr>
                    <w:tabs>
                      <w:tab w:val="left" w:pos="1215"/>
                    </w:tabs>
                    <w:adjustRightInd w:val="0"/>
                    <w:snapToGrid w:val="0"/>
                    <w:jc w:val="center"/>
                    <w:rPr>
                      <w:rFonts w:hint="default" w:cs="Times New Roman"/>
                      <w:color w:val="auto"/>
                      <w:lang w:val="en-US" w:eastAsia="zh-CN"/>
                    </w:rPr>
                  </w:pPr>
                  <w:r>
                    <w:rPr>
                      <w:rFonts w:hint="eastAsia" w:cs="Times New Roman"/>
                      <w:color w:val="auto"/>
                      <w:lang w:val="en-US" w:eastAsia="zh-CN"/>
                    </w:rPr>
                    <w:t>0</w:t>
                  </w:r>
                </w:p>
              </w:tc>
              <w:tc>
                <w:tcPr>
                  <w:tcW w:w="1185" w:type="dxa"/>
                  <w:vAlign w:val="center"/>
                </w:tcPr>
                <w:p w14:paraId="29C87B44">
                  <w:pPr>
                    <w:tabs>
                      <w:tab w:val="left" w:pos="1215"/>
                    </w:tabs>
                    <w:adjustRightInd w:val="0"/>
                    <w:snapToGrid w:val="0"/>
                    <w:jc w:val="center"/>
                    <w:rPr>
                      <w:rFonts w:hint="default" w:cs="Times New Roman"/>
                      <w:color w:val="auto"/>
                      <w:lang w:val="en-US" w:eastAsia="zh-CN"/>
                    </w:rPr>
                  </w:pPr>
                  <w:r>
                    <w:rPr>
                      <w:rFonts w:hint="eastAsia" w:cs="Times New Roman"/>
                      <w:color w:val="auto"/>
                      <w:lang w:val="en-US" w:eastAsia="zh-CN"/>
                    </w:rPr>
                    <w:t>0</w:t>
                  </w:r>
                </w:p>
              </w:tc>
              <w:tc>
                <w:tcPr>
                  <w:tcW w:w="1467" w:type="dxa"/>
                  <w:vAlign w:val="center"/>
                </w:tcPr>
                <w:p w14:paraId="7C2CC169">
                  <w:pPr>
                    <w:tabs>
                      <w:tab w:val="left" w:pos="1215"/>
                    </w:tabs>
                    <w:adjustRightInd w:val="0"/>
                    <w:snapToGrid w:val="0"/>
                    <w:jc w:val="center"/>
                    <w:rPr>
                      <w:rFonts w:hint="default" w:cs="Times New Roman"/>
                      <w:color w:val="0000FF"/>
                      <w:shd w:val="clear" w:color="auto" w:fill="auto"/>
                      <w:lang w:val="en-US" w:eastAsia="zh-CN"/>
                    </w:rPr>
                  </w:pPr>
                  <w:r>
                    <w:rPr>
                      <w:rFonts w:hint="eastAsia" w:cs="Times New Roman"/>
                      <w:color w:val="0000FF"/>
                      <w:shd w:val="clear" w:color="auto" w:fill="auto"/>
                      <w:lang w:val="en-US" w:eastAsia="zh-CN"/>
                    </w:rPr>
                    <w:t>0</w:t>
                  </w:r>
                </w:p>
              </w:tc>
              <w:tc>
                <w:tcPr>
                  <w:tcW w:w="1145" w:type="dxa"/>
                  <w:vAlign w:val="center"/>
                </w:tcPr>
                <w:p w14:paraId="42002B0A">
                  <w:pPr>
                    <w:adjustRightInd w:val="0"/>
                    <w:snapToGrid w:val="0"/>
                    <w:jc w:val="center"/>
                    <w:rPr>
                      <w:rFonts w:hint="eastAsia" w:cs="Times New Roman"/>
                      <w:color w:val="auto"/>
                      <w:lang w:val="en-US" w:eastAsia="zh-CN"/>
                    </w:rPr>
                  </w:pPr>
                  <w:r>
                    <w:rPr>
                      <w:rFonts w:hint="eastAsia" w:cs="Times New Roman"/>
                      <w:bCs/>
                      <w:color w:val="auto"/>
                      <w:szCs w:val="21"/>
                      <w:lang w:val="en-US" w:eastAsia="zh-CN"/>
                    </w:rPr>
                    <w:t>60</w:t>
                  </w:r>
                </w:p>
              </w:tc>
              <w:tc>
                <w:tcPr>
                  <w:tcW w:w="1242" w:type="dxa"/>
                  <w:vAlign w:val="center"/>
                </w:tcPr>
                <w:p w14:paraId="75C5F1DD">
                  <w:pPr>
                    <w:tabs>
                      <w:tab w:val="left" w:pos="1215"/>
                    </w:tabs>
                    <w:adjustRightInd w:val="0"/>
                    <w:snapToGrid w:val="0"/>
                    <w:jc w:val="center"/>
                    <w:rPr>
                      <w:rFonts w:hint="default" w:cs="Times New Roman"/>
                      <w:color w:val="auto"/>
                      <w:lang w:val="en-US" w:eastAsia="zh-CN"/>
                    </w:rPr>
                  </w:pPr>
                  <w:r>
                    <w:rPr>
                      <w:rFonts w:hint="eastAsia" w:cs="Times New Roman"/>
                      <w:color w:val="auto"/>
                      <w:lang w:val="en-US" w:eastAsia="zh-CN"/>
                    </w:rPr>
                    <w:t>0</w:t>
                  </w:r>
                </w:p>
              </w:tc>
            </w:tr>
          </w:tbl>
          <w:p w14:paraId="30891FD8">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kern w:val="0"/>
                <w:sz w:val="24"/>
                <w:szCs w:val="21"/>
                <w:lang w:val="en-US" w:eastAsia="zh-CN" w:bidi="ar-SA"/>
              </w:rPr>
            </w:pPr>
            <w:r>
              <w:rPr>
                <w:rFonts w:hint="eastAsia" w:cs="Times New Roman"/>
                <w:color w:val="auto"/>
                <w:kern w:val="0"/>
                <w:sz w:val="24"/>
                <w:szCs w:val="21"/>
                <w:lang w:val="en-US" w:eastAsia="zh-CN" w:bidi="ar-SA"/>
              </w:rPr>
              <w:t>本项目无生产废水产生，不新增员工，现有工作人员产生的生活污水经公司地埋式系列污水成套设备进行处理，处理后的水质，能够满足《污水综合排放标准》（GB 8978-1996）表4中一级标准，其中10t/d用于绿化浇洒，其余30t/d排入龙湖开发区污水处理厂。</w:t>
            </w:r>
          </w:p>
          <w:p w14:paraId="48F4A6D9">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szCs w:val="21"/>
                <w:vertAlign w:val="baseline"/>
                <w:lang w:val="en-US" w:eastAsia="zh-CN" w:bidi="ar-SA"/>
              </w:rPr>
            </w:pPr>
            <w:r>
              <w:rPr>
                <w:rFonts w:hint="eastAsia" w:cs="Times New Roman"/>
                <w:color w:val="auto"/>
                <w:kern w:val="0"/>
                <w:sz w:val="24"/>
                <w:szCs w:val="21"/>
                <w:lang w:val="en-US" w:eastAsia="zh-CN" w:bidi="ar-SA"/>
              </w:rPr>
              <w:t>根据上表可知，本项目协同处置一般固废替代部分燃煤项目实施后，公司二氧化硫、氟化物、CO</w:t>
            </w:r>
            <w:r>
              <w:rPr>
                <w:rFonts w:hint="eastAsia" w:cs="Times New Roman"/>
                <w:color w:val="auto"/>
                <w:kern w:val="0"/>
                <w:sz w:val="24"/>
                <w:szCs w:val="21"/>
                <w:vertAlign w:val="subscript"/>
                <w:lang w:val="en-US" w:eastAsia="zh-CN" w:bidi="ar-SA"/>
              </w:rPr>
              <w:t>2</w:t>
            </w:r>
            <w:r>
              <w:rPr>
                <w:rFonts w:hint="eastAsia" w:cs="Times New Roman"/>
                <w:color w:val="auto"/>
                <w:kern w:val="0"/>
                <w:sz w:val="24"/>
                <w:szCs w:val="21"/>
                <w:vertAlign w:val="baseline"/>
                <w:lang w:val="en-US" w:eastAsia="zh-CN" w:bidi="ar-SA"/>
              </w:rPr>
              <w:t>排放量都将减少，氮氧化物、颗粒物排放量不变，其余重金属类有所增加，但排放量总体较少，对周围环境影响较小。</w:t>
            </w:r>
          </w:p>
          <w:p w14:paraId="592B0DB2">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0000FF"/>
                <w:kern w:val="0"/>
                <w:sz w:val="24"/>
                <w:szCs w:val="21"/>
                <w:vertAlign w:val="baseline"/>
                <w:lang w:val="en-US" w:eastAsia="zh-CN" w:bidi="ar-SA"/>
              </w:rPr>
            </w:pPr>
            <w:r>
              <w:rPr>
                <w:rFonts w:hint="eastAsia" w:ascii="Times New Roman" w:hAnsi="Times New Roman" w:eastAsia="宋体" w:cs="Times New Roman"/>
                <w:b/>
                <w:bCs/>
                <w:color w:val="0000FF"/>
                <w:kern w:val="0"/>
                <w:sz w:val="24"/>
                <w:szCs w:val="21"/>
                <w:vertAlign w:val="baseline"/>
                <w:lang w:val="en-US" w:eastAsia="zh-CN" w:bidi="ar-SA"/>
              </w:rPr>
              <w:t>六、</w:t>
            </w:r>
            <w:r>
              <w:rPr>
                <w:rFonts w:hint="eastAsia" w:cs="Times New Roman"/>
                <w:b/>
                <w:bCs/>
                <w:color w:val="0000FF"/>
                <w:kern w:val="0"/>
                <w:sz w:val="24"/>
                <w:szCs w:val="21"/>
                <w:vertAlign w:val="baseline"/>
                <w:lang w:val="en-US" w:eastAsia="zh-CN" w:bidi="ar-SA"/>
              </w:rPr>
              <w:t>土壤、地下水</w:t>
            </w:r>
          </w:p>
          <w:p w14:paraId="5C731635">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FF"/>
                <w:kern w:val="0"/>
                <w:sz w:val="24"/>
                <w:szCs w:val="21"/>
                <w:lang w:val="zh-CN" w:eastAsia="zh-CN" w:bidi="ar-SA"/>
              </w:rPr>
            </w:pPr>
            <w:r>
              <w:rPr>
                <w:rFonts w:hint="eastAsia" w:cs="Times New Roman"/>
                <w:color w:val="0000FF"/>
                <w:kern w:val="0"/>
                <w:sz w:val="24"/>
                <w:szCs w:val="21"/>
                <w:lang w:val="en-US" w:eastAsia="zh-CN" w:bidi="ar-SA"/>
              </w:rPr>
              <w:t>1、土壤、</w:t>
            </w:r>
            <w:r>
              <w:rPr>
                <w:rFonts w:hint="eastAsia" w:cs="Times New Roman"/>
                <w:color w:val="0000FF"/>
                <w:kern w:val="0"/>
                <w:sz w:val="24"/>
                <w:szCs w:val="21"/>
                <w:lang w:val="zh-CN" w:eastAsia="zh-CN" w:bidi="ar-SA"/>
              </w:rPr>
              <w:t xml:space="preserve">地下水污染途径分析 </w:t>
            </w:r>
          </w:p>
          <w:p w14:paraId="58FBCE53">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FF"/>
                <w:kern w:val="0"/>
                <w:sz w:val="24"/>
                <w:szCs w:val="21"/>
                <w:lang w:val="zh-CN" w:eastAsia="zh-CN" w:bidi="ar-SA"/>
              </w:rPr>
            </w:pPr>
            <w:r>
              <w:rPr>
                <w:rFonts w:hint="eastAsia" w:cs="Times New Roman"/>
                <w:color w:val="0000FF"/>
                <w:kern w:val="0"/>
                <w:sz w:val="24"/>
                <w:szCs w:val="21"/>
                <w:lang w:val="en-US" w:eastAsia="zh-CN" w:bidi="ar-SA"/>
              </w:rPr>
              <w:t>替代燃料</w:t>
            </w:r>
            <w:r>
              <w:rPr>
                <w:rFonts w:hint="eastAsia" w:cs="Times New Roman"/>
                <w:color w:val="0000FF"/>
                <w:kern w:val="0"/>
                <w:sz w:val="24"/>
                <w:szCs w:val="21"/>
                <w:lang w:val="zh-CN" w:eastAsia="zh-CN" w:bidi="ar-SA"/>
              </w:rPr>
              <w:t>渗滤液造成地下水、土壤污染；本项目营运期焚烧系统产生的焚烧尾气涉及微量重金属（含汞及其化合物、镉、砷、铅、铬等）、二噁英外排对土壤有大气沉降影响。</w:t>
            </w:r>
          </w:p>
          <w:p w14:paraId="5C85F7A5">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FF"/>
                <w:kern w:val="0"/>
                <w:sz w:val="24"/>
                <w:szCs w:val="21"/>
                <w:lang w:val="zh-CN" w:eastAsia="zh-CN" w:bidi="ar-SA"/>
              </w:rPr>
            </w:pPr>
            <w:r>
              <w:rPr>
                <w:rFonts w:hint="eastAsia" w:cs="Times New Roman"/>
                <w:color w:val="0000FF"/>
                <w:kern w:val="0"/>
                <w:sz w:val="24"/>
                <w:szCs w:val="21"/>
                <w:lang w:val="en-US" w:eastAsia="zh-CN" w:bidi="ar-SA"/>
              </w:rPr>
              <w:t>2、土壤、</w:t>
            </w:r>
            <w:r>
              <w:rPr>
                <w:rFonts w:hint="eastAsia" w:cs="Times New Roman"/>
                <w:color w:val="0000FF"/>
                <w:kern w:val="0"/>
                <w:sz w:val="24"/>
                <w:szCs w:val="21"/>
                <w:lang w:val="zh-CN" w:eastAsia="zh-CN" w:bidi="ar-SA"/>
              </w:rPr>
              <w:t xml:space="preserve">地下水污染防治措施 </w:t>
            </w:r>
          </w:p>
          <w:p w14:paraId="43F6E624">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FF"/>
                <w:kern w:val="0"/>
                <w:sz w:val="24"/>
                <w:szCs w:val="21"/>
                <w:lang w:val="zh-CN" w:eastAsia="zh-CN" w:bidi="ar-SA"/>
              </w:rPr>
            </w:pPr>
            <w:r>
              <w:rPr>
                <w:rFonts w:hint="eastAsia" w:cs="Times New Roman"/>
                <w:color w:val="0000FF"/>
                <w:kern w:val="0"/>
                <w:sz w:val="24"/>
                <w:szCs w:val="21"/>
                <w:lang w:val="zh-CN" w:eastAsia="zh-CN" w:bidi="ar-SA"/>
              </w:rPr>
              <w:t>企业应加强生产设备的管理，对可能产生“跑、冒、滴、漏”的场地进行防渗处理。根据项目各功能单元是否可能对地下水及土壤造成污染及其风险程度，将项目所在区域划分为一般防渗区和简单防渗区。一般防渗区是可能会对地下水造成污染，但危害性或风险程度相对较低的区域。简单防渗区为不会对地下水造成污染的区域。本项目根据不同污染途径类型采取相应的防治措施，地下水、土壤污染防治实行分区防渗。一般防渗区主要包括替代燃料暂存库、</w:t>
            </w:r>
            <w:r>
              <w:rPr>
                <w:rFonts w:hint="eastAsia" w:cs="Times New Roman"/>
                <w:color w:val="0000FF"/>
                <w:kern w:val="0"/>
                <w:sz w:val="24"/>
                <w:szCs w:val="21"/>
                <w:lang w:val="en-US" w:eastAsia="zh-CN" w:bidi="ar-SA"/>
              </w:rPr>
              <w:t>原煤堆棚等</w:t>
            </w:r>
            <w:r>
              <w:rPr>
                <w:rFonts w:hint="eastAsia" w:cs="Times New Roman"/>
                <w:color w:val="0000FF"/>
                <w:kern w:val="0"/>
                <w:sz w:val="24"/>
                <w:szCs w:val="21"/>
                <w:lang w:val="zh-CN" w:eastAsia="zh-CN" w:bidi="ar-SA"/>
              </w:rPr>
              <w:t>；简单防渗区主要包括办公区和化验室，为依托工程，现已根据要求进行简单防渗。本项目分区防渗措施</w:t>
            </w:r>
            <w:r>
              <w:rPr>
                <w:rFonts w:hint="eastAsia" w:cs="Times New Roman"/>
                <w:color w:val="0000FF"/>
                <w:kern w:val="0"/>
                <w:sz w:val="24"/>
                <w:szCs w:val="21"/>
                <w:lang w:val="en-US" w:eastAsia="zh-CN" w:bidi="ar-SA"/>
              </w:rPr>
              <w:t>见下表</w:t>
            </w:r>
            <w:r>
              <w:rPr>
                <w:rFonts w:hint="eastAsia" w:cs="Times New Roman"/>
                <w:color w:val="0000FF"/>
                <w:kern w:val="0"/>
                <w:sz w:val="24"/>
                <w:szCs w:val="21"/>
                <w:lang w:val="zh-CN" w:eastAsia="zh-CN" w:bidi="ar-SA"/>
              </w:rPr>
              <w:t>。</w:t>
            </w:r>
          </w:p>
          <w:p w14:paraId="445DD766">
            <w:pPr>
              <w:pStyle w:val="76"/>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cs="Times New Roman"/>
                <w:color w:val="0000FF"/>
                <w:sz w:val="21"/>
                <w:szCs w:val="21"/>
                <w:highlight w:val="none"/>
                <w:lang w:val="zh-CN"/>
              </w:rPr>
            </w:pPr>
            <w:r>
              <w:rPr>
                <w:rFonts w:hint="default" w:ascii="Times New Roman" w:hAnsi="Times New Roman" w:cs="Times New Roman"/>
                <w:color w:val="0000FF"/>
                <w:sz w:val="21"/>
                <w:szCs w:val="21"/>
                <w:highlight w:val="none"/>
                <w:lang w:val="zh-CN"/>
              </w:rPr>
              <w:t>表</w:t>
            </w:r>
            <w:r>
              <w:rPr>
                <w:rFonts w:hint="default" w:ascii="Times New Roman" w:hAnsi="Times New Roman" w:cs="Times New Roman"/>
                <w:color w:val="0000FF"/>
                <w:sz w:val="21"/>
                <w:szCs w:val="21"/>
                <w:highlight w:val="none"/>
                <w:lang w:val="en-US" w:eastAsia="zh-CN"/>
              </w:rPr>
              <w:t>4-</w:t>
            </w:r>
            <w:r>
              <w:rPr>
                <w:rFonts w:hint="eastAsia" w:ascii="Times New Roman" w:cs="Times New Roman"/>
                <w:color w:val="0000FF"/>
                <w:sz w:val="21"/>
                <w:szCs w:val="21"/>
                <w:highlight w:val="none"/>
                <w:lang w:val="en-US" w:eastAsia="zh-CN"/>
              </w:rPr>
              <w:t>20</w:t>
            </w:r>
            <w:r>
              <w:rPr>
                <w:rFonts w:hint="default" w:ascii="Times New Roman" w:hAnsi="Times New Roman" w:cs="Times New Roman"/>
                <w:color w:val="0000FF"/>
                <w:sz w:val="21"/>
                <w:szCs w:val="21"/>
                <w:highlight w:val="none"/>
                <w:lang w:val="en-US" w:eastAsia="zh-CN"/>
              </w:rPr>
              <w:t xml:space="preserve"> </w:t>
            </w:r>
            <w:r>
              <w:rPr>
                <w:rFonts w:hint="default" w:ascii="Times New Roman" w:hAnsi="Times New Roman" w:cs="Times New Roman"/>
                <w:color w:val="0000FF"/>
                <w:sz w:val="21"/>
                <w:szCs w:val="21"/>
                <w:highlight w:val="none"/>
                <w:lang w:val="zh-CN"/>
              </w:rPr>
              <w:t>本项目分区防渗方案及防渗措施表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2847"/>
              <w:gridCol w:w="4954"/>
            </w:tblGrid>
            <w:tr w14:paraId="4A94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6" w:type="pct"/>
                  <w:noWrap w:val="0"/>
                  <w:vAlign w:val="center"/>
                </w:tcPr>
                <w:p w14:paraId="36B8C68A">
                  <w:pPr>
                    <w:widowControl/>
                    <w:jc w:val="center"/>
                    <w:rPr>
                      <w:color w:val="0000FF"/>
                      <w:kern w:val="0"/>
                    </w:rPr>
                  </w:pPr>
                  <w:r>
                    <w:rPr>
                      <w:color w:val="0000FF"/>
                      <w:kern w:val="0"/>
                    </w:rPr>
                    <w:t>防渗级别</w:t>
                  </w:r>
                </w:p>
              </w:tc>
              <w:tc>
                <w:tcPr>
                  <w:tcW w:w="1599" w:type="pct"/>
                  <w:noWrap w:val="0"/>
                  <w:vAlign w:val="center"/>
                </w:tcPr>
                <w:p w14:paraId="310943EF">
                  <w:pPr>
                    <w:widowControl/>
                    <w:jc w:val="center"/>
                    <w:rPr>
                      <w:color w:val="0000FF"/>
                      <w:kern w:val="0"/>
                    </w:rPr>
                  </w:pPr>
                  <w:r>
                    <w:rPr>
                      <w:color w:val="0000FF"/>
                      <w:kern w:val="0"/>
                    </w:rPr>
                    <w:t>区域</w:t>
                  </w:r>
                </w:p>
              </w:tc>
              <w:tc>
                <w:tcPr>
                  <w:tcW w:w="2783" w:type="pct"/>
                  <w:noWrap w:val="0"/>
                  <w:vAlign w:val="center"/>
                </w:tcPr>
                <w:p w14:paraId="3E7A0BCD">
                  <w:pPr>
                    <w:widowControl/>
                    <w:jc w:val="center"/>
                    <w:rPr>
                      <w:color w:val="0000FF"/>
                      <w:kern w:val="0"/>
                    </w:rPr>
                  </w:pPr>
                  <w:r>
                    <w:rPr>
                      <w:color w:val="0000FF"/>
                      <w:kern w:val="0"/>
                    </w:rPr>
                    <w:t>防渗要求</w:t>
                  </w:r>
                </w:p>
              </w:tc>
            </w:tr>
            <w:tr w14:paraId="0A7C5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6" w:type="pct"/>
                  <w:noWrap w:val="0"/>
                  <w:vAlign w:val="center"/>
                </w:tcPr>
                <w:p w14:paraId="0EB14E8E">
                  <w:pPr>
                    <w:widowControl/>
                    <w:jc w:val="center"/>
                    <w:rPr>
                      <w:rFonts w:hint="eastAsia" w:eastAsia="宋体"/>
                      <w:color w:val="0000FF"/>
                      <w:kern w:val="0"/>
                      <w:lang w:eastAsia="zh-CN"/>
                    </w:rPr>
                  </w:pPr>
                  <w:r>
                    <w:rPr>
                      <w:rFonts w:hint="eastAsia"/>
                      <w:color w:val="0000FF"/>
                      <w:kern w:val="0"/>
                      <w:lang w:eastAsia="zh-CN"/>
                    </w:rPr>
                    <w:t>简单防渗</w:t>
                  </w:r>
                </w:p>
              </w:tc>
              <w:tc>
                <w:tcPr>
                  <w:tcW w:w="1599" w:type="pct"/>
                  <w:noWrap w:val="0"/>
                  <w:vAlign w:val="center"/>
                </w:tcPr>
                <w:p w14:paraId="55F28BFB">
                  <w:pPr>
                    <w:widowControl/>
                    <w:jc w:val="center"/>
                    <w:rPr>
                      <w:rFonts w:hint="eastAsia" w:eastAsia="宋体"/>
                      <w:color w:val="0000FF"/>
                      <w:kern w:val="0"/>
                      <w:lang w:eastAsia="zh-CN"/>
                    </w:rPr>
                  </w:pPr>
                  <w:r>
                    <w:rPr>
                      <w:rFonts w:hint="eastAsia" w:eastAsia="宋体"/>
                      <w:color w:val="0000FF"/>
                      <w:kern w:val="0"/>
                      <w:lang w:eastAsia="zh-CN"/>
                    </w:rPr>
                    <w:t>办公区和化验室</w:t>
                  </w:r>
                </w:p>
              </w:tc>
              <w:tc>
                <w:tcPr>
                  <w:tcW w:w="2783" w:type="pct"/>
                  <w:noWrap w:val="0"/>
                  <w:vAlign w:val="center"/>
                </w:tcPr>
                <w:p w14:paraId="4AD0777B">
                  <w:pPr>
                    <w:widowControl/>
                    <w:jc w:val="center"/>
                    <w:rPr>
                      <w:rFonts w:hint="eastAsia" w:eastAsia="宋体"/>
                      <w:color w:val="0000FF"/>
                      <w:kern w:val="0"/>
                      <w:lang w:val="en-US" w:eastAsia="zh-CN"/>
                    </w:rPr>
                  </w:pPr>
                  <w:r>
                    <w:rPr>
                      <w:rFonts w:hint="eastAsia"/>
                      <w:color w:val="0000FF"/>
                      <w:kern w:val="0"/>
                      <w:lang w:eastAsia="zh-CN"/>
                    </w:rPr>
                    <w:t>一般地面硬化</w:t>
                  </w:r>
                </w:p>
              </w:tc>
            </w:tr>
            <w:tr w14:paraId="537D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6" w:type="pct"/>
                  <w:noWrap w:val="0"/>
                  <w:vAlign w:val="center"/>
                </w:tcPr>
                <w:p w14:paraId="50318C95">
                  <w:pPr>
                    <w:widowControl/>
                    <w:jc w:val="center"/>
                    <w:rPr>
                      <w:color w:val="0000FF"/>
                      <w:kern w:val="0"/>
                    </w:rPr>
                  </w:pPr>
                  <w:r>
                    <w:rPr>
                      <w:color w:val="0000FF"/>
                      <w:kern w:val="0"/>
                    </w:rPr>
                    <w:t>一般防渗</w:t>
                  </w:r>
                </w:p>
              </w:tc>
              <w:tc>
                <w:tcPr>
                  <w:tcW w:w="1599" w:type="pct"/>
                  <w:noWrap w:val="0"/>
                  <w:vAlign w:val="center"/>
                </w:tcPr>
                <w:p w14:paraId="6AE56C8E">
                  <w:pPr>
                    <w:widowControl/>
                    <w:jc w:val="center"/>
                    <w:rPr>
                      <w:rFonts w:hint="eastAsia" w:eastAsia="宋体"/>
                      <w:color w:val="0000FF"/>
                      <w:kern w:val="0"/>
                      <w:lang w:eastAsia="zh-CN"/>
                    </w:rPr>
                  </w:pPr>
                  <w:r>
                    <w:rPr>
                      <w:rFonts w:hint="eastAsia"/>
                      <w:color w:val="0000FF"/>
                      <w:kern w:val="0"/>
                      <w:lang w:eastAsia="zh-CN"/>
                    </w:rPr>
                    <w:t>原煤堆棚、替代燃料暂存库、一般固废库</w:t>
                  </w:r>
                </w:p>
              </w:tc>
              <w:tc>
                <w:tcPr>
                  <w:tcW w:w="2783" w:type="pct"/>
                  <w:noWrap w:val="0"/>
                  <w:vAlign w:val="center"/>
                </w:tcPr>
                <w:p w14:paraId="064FEA18">
                  <w:pPr>
                    <w:widowControl/>
                    <w:jc w:val="center"/>
                    <w:rPr>
                      <w:color w:val="0000FF"/>
                      <w:kern w:val="0"/>
                    </w:rPr>
                  </w:pPr>
                  <w:r>
                    <w:rPr>
                      <w:rFonts w:hint="eastAsia"/>
                      <w:color w:val="0000FF"/>
                      <w:kern w:val="0"/>
                    </w:rPr>
                    <w:t>等效黏土防渗层Mb≧1.5m，渗透系数≤10</w:t>
                  </w:r>
                  <w:r>
                    <w:rPr>
                      <w:rFonts w:hint="eastAsia"/>
                      <w:color w:val="0000FF"/>
                      <w:kern w:val="0"/>
                      <w:vertAlign w:val="superscript"/>
                    </w:rPr>
                    <w:t>-7</w:t>
                  </w:r>
                  <w:r>
                    <w:rPr>
                      <w:rFonts w:hint="eastAsia"/>
                      <w:color w:val="0000FF"/>
                      <w:kern w:val="0"/>
                    </w:rPr>
                    <w:t>cm/s</w:t>
                  </w:r>
                </w:p>
              </w:tc>
            </w:tr>
            <w:tr w14:paraId="71E7A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6" w:type="pct"/>
                  <w:noWrap w:val="0"/>
                  <w:vAlign w:val="center"/>
                </w:tcPr>
                <w:p w14:paraId="655A0DAD">
                  <w:pPr>
                    <w:widowControl/>
                    <w:jc w:val="center"/>
                    <w:rPr>
                      <w:color w:val="0000FF"/>
                      <w:kern w:val="0"/>
                    </w:rPr>
                  </w:pPr>
                  <w:r>
                    <w:rPr>
                      <w:rFonts w:hint="eastAsia"/>
                      <w:color w:val="0000FF"/>
                      <w:kern w:val="0"/>
                      <w:lang w:eastAsia="zh-CN"/>
                    </w:rPr>
                    <w:t>重点防渗</w:t>
                  </w:r>
                </w:p>
              </w:tc>
              <w:tc>
                <w:tcPr>
                  <w:tcW w:w="1599" w:type="pct"/>
                  <w:noWrap w:val="0"/>
                  <w:vAlign w:val="center"/>
                </w:tcPr>
                <w:p w14:paraId="49B01E87">
                  <w:pPr>
                    <w:widowControl/>
                    <w:jc w:val="center"/>
                    <w:rPr>
                      <w:rFonts w:hint="eastAsia"/>
                      <w:color w:val="0000FF"/>
                      <w:kern w:val="0"/>
                      <w:lang w:eastAsia="zh-CN"/>
                    </w:rPr>
                  </w:pPr>
                  <w:r>
                    <w:rPr>
                      <w:rFonts w:hint="eastAsia" w:eastAsia="宋体"/>
                      <w:color w:val="0000FF"/>
                      <w:kern w:val="0"/>
                      <w:lang w:eastAsia="zh-CN"/>
                    </w:rPr>
                    <w:t>危废库</w:t>
                  </w:r>
                </w:p>
              </w:tc>
              <w:tc>
                <w:tcPr>
                  <w:tcW w:w="2783" w:type="pct"/>
                  <w:noWrap w:val="0"/>
                  <w:vAlign w:val="center"/>
                </w:tcPr>
                <w:p w14:paraId="61DBB82D">
                  <w:pPr>
                    <w:widowControl/>
                    <w:jc w:val="center"/>
                    <w:rPr>
                      <w:color w:val="0000FF"/>
                      <w:kern w:val="0"/>
                    </w:rPr>
                  </w:pPr>
                  <w:r>
                    <w:rPr>
                      <w:rFonts w:hint="eastAsia"/>
                      <w:color w:val="0000FF"/>
                      <w:kern w:val="0"/>
                      <w:lang w:val="en-US" w:eastAsia="zh-CN"/>
                    </w:rPr>
                    <w:t>等效黏土防渗层Mb≧6.0m，渗透系数≤10</w:t>
                  </w:r>
                  <w:r>
                    <w:rPr>
                      <w:rFonts w:hint="eastAsia"/>
                      <w:color w:val="0000FF"/>
                      <w:kern w:val="0"/>
                      <w:vertAlign w:val="superscript"/>
                      <w:lang w:val="en-US" w:eastAsia="zh-CN"/>
                    </w:rPr>
                    <w:t>-7</w:t>
                  </w:r>
                  <w:r>
                    <w:rPr>
                      <w:rFonts w:hint="eastAsia"/>
                      <w:color w:val="0000FF"/>
                      <w:kern w:val="0"/>
                      <w:lang w:val="en-US" w:eastAsia="zh-CN"/>
                    </w:rPr>
                    <w:t>cm/s</w:t>
                  </w:r>
                </w:p>
              </w:tc>
            </w:tr>
          </w:tbl>
          <w:p w14:paraId="2BA246CA">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FF"/>
                <w:kern w:val="0"/>
                <w:sz w:val="24"/>
                <w:szCs w:val="21"/>
                <w:lang w:val="en-US" w:eastAsia="zh-CN" w:bidi="ar-SA"/>
              </w:rPr>
            </w:pPr>
            <w:r>
              <w:rPr>
                <w:rFonts w:hint="eastAsia" w:cs="Times New Roman"/>
                <w:color w:val="0000FF"/>
                <w:kern w:val="0"/>
                <w:sz w:val="24"/>
                <w:szCs w:val="21"/>
                <w:lang w:val="en-US" w:eastAsia="zh-CN" w:bidi="ar-SA"/>
              </w:rPr>
              <w:t xml:space="preserve">对于大气沉降造成的土壤污染，主要通过合理设计停留时间及焚烧温度等参数，从源头减少重金属、二噁英类物质的产生，从而减少由于大气沉降造成的土壤污染。通过限制重金属的投加量和投加速率控制排放烟气中的重金属浓度满足相关标准限值要求；水泥窑协同处置固体废物在经过一系列处理措施后，二噁英类污染物是可以满足《水泥窑协同处置固体废物污染控制标准》（GB 30485-2013）中相关标准限值要求。 </w:t>
            </w:r>
          </w:p>
          <w:p w14:paraId="1ACA0608">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FF"/>
                <w:kern w:val="0"/>
                <w:sz w:val="24"/>
                <w:szCs w:val="21"/>
                <w:lang w:val="en-US" w:eastAsia="zh-CN" w:bidi="ar-SA"/>
              </w:rPr>
            </w:pPr>
            <w:r>
              <w:rPr>
                <w:rFonts w:hint="eastAsia" w:cs="Times New Roman"/>
                <w:color w:val="0000FF"/>
                <w:kern w:val="0"/>
                <w:sz w:val="24"/>
                <w:szCs w:val="21"/>
                <w:lang w:val="en-US" w:eastAsia="zh-CN" w:bidi="ar-SA"/>
              </w:rPr>
              <w:t xml:space="preserve">3、跟踪监测 </w:t>
            </w:r>
          </w:p>
          <w:p w14:paraId="65387896">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FF"/>
                <w:kern w:val="0"/>
                <w:sz w:val="24"/>
                <w:szCs w:val="21"/>
                <w:lang w:val="en-US" w:eastAsia="zh-CN" w:bidi="ar-SA"/>
              </w:rPr>
            </w:pPr>
            <w:r>
              <w:rPr>
                <w:rFonts w:hint="eastAsia" w:cs="Times New Roman"/>
                <w:color w:val="0000FF"/>
                <w:kern w:val="0"/>
                <w:sz w:val="24"/>
                <w:szCs w:val="21"/>
                <w:lang w:val="en-US" w:eastAsia="zh-CN" w:bidi="ar-SA"/>
              </w:rPr>
              <w:t>根据《排污单位自行监测技术指南 水泥工业》（HJ 848-2017），本项目可不开展地下水跟踪监测；本项目土壤跟踪监测点位监测指标、最低监测频次按下表执行。</w:t>
            </w:r>
          </w:p>
          <w:p w14:paraId="0EC3051F">
            <w:pPr>
              <w:pStyle w:val="76"/>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eastAsia="宋体" w:cs="Times New Roman"/>
                <w:color w:val="0000FF"/>
                <w:sz w:val="21"/>
                <w:szCs w:val="21"/>
                <w:highlight w:val="none"/>
                <w:lang w:val="zh-CN"/>
              </w:rPr>
            </w:pPr>
            <w:r>
              <w:rPr>
                <w:rFonts w:hint="eastAsia" w:ascii="Times New Roman" w:hAnsi="Times New Roman" w:eastAsia="宋体" w:cs="Times New Roman"/>
                <w:color w:val="0000FF"/>
                <w:sz w:val="21"/>
                <w:szCs w:val="21"/>
                <w:highlight w:val="none"/>
                <w:lang w:val="zh-CN"/>
              </w:rPr>
              <w:t>表</w:t>
            </w:r>
            <w:r>
              <w:rPr>
                <w:rFonts w:hint="eastAsia" w:ascii="Times New Roman" w:hAnsi="Times New Roman" w:eastAsia="宋体" w:cs="Times New Roman"/>
                <w:color w:val="0000FF"/>
                <w:sz w:val="21"/>
                <w:szCs w:val="21"/>
                <w:highlight w:val="none"/>
                <w:lang w:val="en-US" w:eastAsia="zh-CN"/>
              </w:rPr>
              <w:t>4-</w:t>
            </w:r>
            <w:r>
              <w:rPr>
                <w:rFonts w:hint="eastAsia" w:ascii="Times New Roman" w:cs="Times New Roman"/>
                <w:color w:val="0000FF"/>
                <w:sz w:val="21"/>
                <w:szCs w:val="21"/>
                <w:highlight w:val="none"/>
                <w:lang w:val="en-US" w:eastAsia="zh-CN"/>
              </w:rPr>
              <w:t>21</w:t>
            </w:r>
            <w:r>
              <w:rPr>
                <w:rFonts w:hint="eastAsia" w:ascii="Times New Roman" w:hAnsi="Times New Roman" w:eastAsia="宋体" w:cs="Times New Roman"/>
                <w:color w:val="0000FF"/>
                <w:sz w:val="21"/>
                <w:szCs w:val="21"/>
                <w:highlight w:val="none"/>
                <w:lang w:val="en-US" w:eastAsia="zh-CN"/>
              </w:rPr>
              <w:t xml:space="preserve"> </w:t>
            </w:r>
            <w:r>
              <w:rPr>
                <w:rFonts w:hint="eastAsia" w:ascii="Times New Roman" w:hAnsi="Times New Roman" w:eastAsia="宋体" w:cs="Times New Roman"/>
                <w:color w:val="0000FF"/>
                <w:sz w:val="21"/>
                <w:szCs w:val="21"/>
                <w:highlight w:val="none"/>
                <w:lang w:val="zh-CN"/>
              </w:rPr>
              <w:t>土壤环境跟踪监测一览表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910"/>
              <w:gridCol w:w="5008"/>
              <w:gridCol w:w="1257"/>
            </w:tblGrid>
            <w:tr w14:paraId="787F9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6" w:type="pct"/>
                  <w:vAlign w:val="center"/>
                </w:tcPr>
                <w:p w14:paraId="29B6FC55">
                  <w:pPr>
                    <w:pStyle w:val="76"/>
                    <w:keepNext w:val="0"/>
                    <w:keepLines w:val="0"/>
                    <w:pageBreakBefore w:val="0"/>
                    <w:kinsoku/>
                    <w:wordWrap/>
                    <w:overflowPunct/>
                    <w:topLinePunct w:val="0"/>
                    <w:autoSpaceDE/>
                    <w:autoSpaceDN/>
                    <w:bidi w:val="0"/>
                    <w:spacing w:line="240" w:lineRule="auto"/>
                    <w:ind w:firstLine="0"/>
                    <w:jc w:val="center"/>
                    <w:rPr>
                      <w:rFonts w:hint="default" w:ascii="Times New Roman" w:hAnsi="Times New Roman" w:eastAsia="宋体" w:cs="Times New Roman"/>
                      <w:b w:val="0"/>
                      <w:bCs w:val="0"/>
                      <w:color w:val="0000FF"/>
                      <w:sz w:val="21"/>
                      <w:szCs w:val="21"/>
                    </w:rPr>
                  </w:pPr>
                  <w:r>
                    <w:rPr>
                      <w:rFonts w:hint="default" w:ascii="Times New Roman" w:hAnsi="Times New Roman" w:eastAsia="宋体" w:cs="Times New Roman"/>
                      <w:b w:val="0"/>
                      <w:bCs w:val="0"/>
                      <w:color w:val="0000FF"/>
                      <w:sz w:val="21"/>
                      <w:szCs w:val="21"/>
                    </w:rPr>
                    <w:t>序号</w:t>
                  </w:r>
                </w:p>
              </w:tc>
              <w:tc>
                <w:tcPr>
                  <w:tcW w:w="1073" w:type="pct"/>
                  <w:vAlign w:val="center"/>
                </w:tcPr>
                <w:p w14:paraId="7A24CEF8">
                  <w:pPr>
                    <w:pStyle w:val="76"/>
                    <w:keepNext w:val="0"/>
                    <w:keepLines w:val="0"/>
                    <w:pageBreakBefore w:val="0"/>
                    <w:kinsoku/>
                    <w:wordWrap/>
                    <w:overflowPunct/>
                    <w:topLinePunct w:val="0"/>
                    <w:autoSpaceDE/>
                    <w:autoSpaceDN/>
                    <w:bidi w:val="0"/>
                    <w:spacing w:line="240" w:lineRule="auto"/>
                    <w:ind w:firstLine="0"/>
                    <w:jc w:val="center"/>
                    <w:rPr>
                      <w:rFonts w:hint="default" w:ascii="Times New Roman" w:hAnsi="Times New Roman" w:eastAsia="宋体" w:cs="Times New Roman"/>
                      <w:b w:val="0"/>
                      <w:bCs w:val="0"/>
                      <w:color w:val="0000FF"/>
                      <w:sz w:val="21"/>
                      <w:szCs w:val="21"/>
                    </w:rPr>
                  </w:pPr>
                  <w:r>
                    <w:rPr>
                      <w:rFonts w:hint="default" w:ascii="Times New Roman" w:hAnsi="Times New Roman" w:eastAsia="宋体" w:cs="Times New Roman"/>
                      <w:b w:val="0"/>
                      <w:bCs w:val="0"/>
                      <w:color w:val="0000FF"/>
                      <w:sz w:val="21"/>
                      <w:szCs w:val="21"/>
                    </w:rPr>
                    <w:t>监测点位</w:t>
                  </w:r>
                </w:p>
              </w:tc>
              <w:tc>
                <w:tcPr>
                  <w:tcW w:w="2813" w:type="pct"/>
                  <w:vAlign w:val="center"/>
                </w:tcPr>
                <w:p w14:paraId="5A2CAC28">
                  <w:pPr>
                    <w:pStyle w:val="76"/>
                    <w:keepNext w:val="0"/>
                    <w:keepLines w:val="0"/>
                    <w:pageBreakBefore w:val="0"/>
                    <w:kinsoku/>
                    <w:wordWrap/>
                    <w:overflowPunct/>
                    <w:topLinePunct w:val="0"/>
                    <w:autoSpaceDE/>
                    <w:autoSpaceDN/>
                    <w:bidi w:val="0"/>
                    <w:spacing w:line="240" w:lineRule="auto"/>
                    <w:ind w:firstLine="0"/>
                    <w:jc w:val="center"/>
                    <w:rPr>
                      <w:rFonts w:hint="default" w:ascii="Times New Roman" w:hAnsi="Times New Roman" w:eastAsia="宋体" w:cs="Times New Roman"/>
                      <w:b w:val="0"/>
                      <w:bCs w:val="0"/>
                      <w:color w:val="0000FF"/>
                      <w:sz w:val="21"/>
                      <w:szCs w:val="21"/>
                    </w:rPr>
                  </w:pPr>
                  <w:r>
                    <w:rPr>
                      <w:rFonts w:hint="default" w:ascii="Times New Roman" w:hAnsi="Times New Roman" w:eastAsia="宋体" w:cs="Times New Roman"/>
                      <w:b w:val="0"/>
                      <w:bCs w:val="0"/>
                      <w:color w:val="0000FF"/>
                      <w:sz w:val="21"/>
                      <w:szCs w:val="21"/>
                    </w:rPr>
                    <w:t>监测指标</w:t>
                  </w:r>
                </w:p>
              </w:tc>
              <w:tc>
                <w:tcPr>
                  <w:tcW w:w="706" w:type="pct"/>
                  <w:vAlign w:val="center"/>
                </w:tcPr>
                <w:p w14:paraId="340E5611">
                  <w:pPr>
                    <w:pStyle w:val="76"/>
                    <w:keepNext w:val="0"/>
                    <w:keepLines w:val="0"/>
                    <w:pageBreakBefore w:val="0"/>
                    <w:kinsoku/>
                    <w:wordWrap/>
                    <w:overflowPunct/>
                    <w:topLinePunct w:val="0"/>
                    <w:autoSpaceDE/>
                    <w:autoSpaceDN/>
                    <w:bidi w:val="0"/>
                    <w:spacing w:line="240" w:lineRule="auto"/>
                    <w:ind w:firstLine="0"/>
                    <w:jc w:val="center"/>
                    <w:rPr>
                      <w:rFonts w:hint="default" w:ascii="Times New Roman" w:hAnsi="Times New Roman" w:eastAsia="宋体" w:cs="Times New Roman"/>
                      <w:b w:val="0"/>
                      <w:bCs w:val="0"/>
                      <w:color w:val="0000FF"/>
                      <w:sz w:val="21"/>
                      <w:szCs w:val="21"/>
                    </w:rPr>
                  </w:pPr>
                  <w:r>
                    <w:rPr>
                      <w:rFonts w:hint="default" w:ascii="Times New Roman" w:hAnsi="Times New Roman" w:eastAsia="宋体" w:cs="Times New Roman"/>
                      <w:b w:val="0"/>
                      <w:bCs w:val="0"/>
                      <w:color w:val="0000FF"/>
                      <w:sz w:val="21"/>
                      <w:szCs w:val="21"/>
                    </w:rPr>
                    <w:t>监测频次</w:t>
                  </w:r>
                </w:p>
              </w:tc>
            </w:tr>
            <w:tr w14:paraId="0F04D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6" w:type="pct"/>
                  <w:vAlign w:val="center"/>
                </w:tcPr>
                <w:p w14:paraId="7C7C83EA">
                  <w:pPr>
                    <w:pStyle w:val="131"/>
                    <w:keepNext w:val="0"/>
                    <w:keepLines w:val="0"/>
                    <w:pageBreakBefore w:val="0"/>
                    <w:kinsoku/>
                    <w:wordWrap/>
                    <w:overflowPunct/>
                    <w:topLinePunct w:val="0"/>
                    <w:autoSpaceDE/>
                    <w:autoSpaceDN/>
                    <w:bidi w:val="0"/>
                    <w:spacing w:line="240" w:lineRule="auto"/>
                    <w:ind w:firstLine="0"/>
                    <w:jc w:val="center"/>
                    <w:rPr>
                      <w:rFonts w:hint="default" w:ascii="Times New Roman" w:hAnsi="Times New Roman" w:eastAsia="宋体" w:cs="Times New Roman"/>
                      <w:b w:val="0"/>
                      <w:bCs w:val="0"/>
                      <w:color w:val="0000FF"/>
                      <w:sz w:val="21"/>
                      <w:szCs w:val="21"/>
                    </w:rPr>
                  </w:pPr>
                  <w:r>
                    <w:rPr>
                      <w:rFonts w:hint="default" w:ascii="Times New Roman" w:hAnsi="Times New Roman" w:eastAsia="宋体" w:cs="Times New Roman"/>
                      <w:b w:val="0"/>
                      <w:bCs w:val="0"/>
                      <w:color w:val="0000FF"/>
                      <w:sz w:val="21"/>
                      <w:szCs w:val="21"/>
                    </w:rPr>
                    <w:t>1</w:t>
                  </w:r>
                </w:p>
              </w:tc>
              <w:tc>
                <w:tcPr>
                  <w:tcW w:w="1073" w:type="pct"/>
                  <w:vAlign w:val="center"/>
                </w:tcPr>
                <w:p w14:paraId="75D8B410">
                  <w:pPr>
                    <w:pStyle w:val="131"/>
                    <w:keepNext w:val="0"/>
                    <w:keepLines w:val="0"/>
                    <w:pageBreakBefore w:val="0"/>
                    <w:kinsoku/>
                    <w:wordWrap/>
                    <w:overflowPunct/>
                    <w:topLinePunct w:val="0"/>
                    <w:autoSpaceDE/>
                    <w:autoSpaceDN/>
                    <w:bidi w:val="0"/>
                    <w:spacing w:line="240" w:lineRule="auto"/>
                    <w:ind w:firstLine="0"/>
                    <w:jc w:val="center"/>
                    <w:rPr>
                      <w:rFonts w:hint="default" w:ascii="Times New Roman" w:hAnsi="Times New Roman" w:eastAsia="宋体" w:cs="Times New Roman"/>
                      <w:b w:val="0"/>
                      <w:bCs w:val="0"/>
                      <w:color w:val="0000FF"/>
                      <w:sz w:val="21"/>
                      <w:szCs w:val="21"/>
                    </w:rPr>
                  </w:pPr>
                  <w:r>
                    <w:rPr>
                      <w:rFonts w:hint="default" w:ascii="Times New Roman" w:hAnsi="Times New Roman" w:eastAsia="宋体" w:cs="Times New Roman"/>
                      <w:b w:val="0"/>
                      <w:bCs w:val="0"/>
                      <w:color w:val="0000FF"/>
                      <w:sz w:val="21"/>
                      <w:szCs w:val="21"/>
                    </w:rPr>
                    <w:t>厂区下风向土壤</w:t>
                  </w:r>
                </w:p>
              </w:tc>
              <w:tc>
                <w:tcPr>
                  <w:tcW w:w="2813" w:type="pct"/>
                  <w:vAlign w:val="center"/>
                </w:tcPr>
                <w:p w14:paraId="3BAB4325">
                  <w:pPr>
                    <w:pStyle w:val="131"/>
                    <w:keepNext w:val="0"/>
                    <w:keepLines w:val="0"/>
                    <w:pageBreakBefore w:val="0"/>
                    <w:kinsoku/>
                    <w:wordWrap/>
                    <w:overflowPunct/>
                    <w:topLinePunct w:val="0"/>
                    <w:autoSpaceDE/>
                    <w:autoSpaceDN/>
                    <w:bidi w:val="0"/>
                    <w:spacing w:line="240" w:lineRule="auto"/>
                    <w:ind w:firstLine="0"/>
                    <w:jc w:val="center"/>
                    <w:rPr>
                      <w:rFonts w:hint="default" w:ascii="Times New Roman" w:hAnsi="Times New Roman" w:eastAsia="宋体" w:cs="Times New Roman"/>
                      <w:b w:val="0"/>
                      <w:bCs w:val="0"/>
                      <w:color w:val="0000FF"/>
                      <w:sz w:val="21"/>
                      <w:szCs w:val="21"/>
                    </w:rPr>
                  </w:pPr>
                  <w:r>
                    <w:rPr>
                      <w:rFonts w:hint="default" w:ascii="Times New Roman" w:hAnsi="Times New Roman" w:eastAsia="宋体" w:cs="Times New Roman"/>
                      <w:b w:val="0"/>
                      <w:bCs w:val="0"/>
                      <w:color w:val="0000FF"/>
                      <w:sz w:val="21"/>
                      <w:szCs w:val="21"/>
                    </w:rPr>
                    <w:t>汞、镉、砷、铍、铬、锑、铜、钴、镍、钒等</w:t>
                  </w:r>
                </w:p>
              </w:tc>
              <w:tc>
                <w:tcPr>
                  <w:tcW w:w="706" w:type="pct"/>
                  <w:vAlign w:val="center"/>
                </w:tcPr>
                <w:p w14:paraId="338584BF">
                  <w:pPr>
                    <w:pStyle w:val="131"/>
                    <w:keepNext w:val="0"/>
                    <w:keepLines w:val="0"/>
                    <w:pageBreakBefore w:val="0"/>
                    <w:kinsoku/>
                    <w:wordWrap/>
                    <w:overflowPunct/>
                    <w:topLinePunct w:val="0"/>
                    <w:autoSpaceDE/>
                    <w:autoSpaceDN/>
                    <w:bidi w:val="0"/>
                    <w:spacing w:line="240" w:lineRule="auto"/>
                    <w:ind w:firstLine="0"/>
                    <w:jc w:val="center"/>
                    <w:rPr>
                      <w:rFonts w:hint="default" w:ascii="Times New Roman" w:hAnsi="Times New Roman" w:eastAsia="宋体" w:cs="Times New Roman"/>
                      <w:b w:val="0"/>
                      <w:bCs w:val="0"/>
                      <w:color w:val="0000FF"/>
                      <w:sz w:val="21"/>
                      <w:szCs w:val="21"/>
                    </w:rPr>
                  </w:pPr>
                  <w:r>
                    <w:rPr>
                      <w:rFonts w:hint="default" w:ascii="Times New Roman" w:hAnsi="Times New Roman" w:eastAsia="宋体" w:cs="Times New Roman"/>
                      <w:b w:val="0"/>
                      <w:bCs w:val="0"/>
                      <w:color w:val="0000FF"/>
                      <w:sz w:val="21"/>
                      <w:szCs w:val="21"/>
                    </w:rPr>
                    <w:t>每年 1次</w:t>
                  </w:r>
                </w:p>
              </w:tc>
            </w:tr>
          </w:tbl>
          <w:p w14:paraId="581939CC">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0000FF"/>
                <w:kern w:val="0"/>
                <w:sz w:val="24"/>
                <w:szCs w:val="21"/>
                <w:vertAlign w:val="baseline"/>
                <w:lang w:val="en-US" w:eastAsia="zh-CN" w:bidi="ar-SA"/>
              </w:rPr>
            </w:pPr>
            <w:r>
              <w:rPr>
                <w:rFonts w:hint="eastAsia" w:ascii="Times New Roman" w:hAnsi="Times New Roman" w:eastAsia="宋体" w:cs="Times New Roman"/>
                <w:b/>
                <w:bCs/>
                <w:color w:val="0000FF"/>
                <w:kern w:val="0"/>
                <w:sz w:val="24"/>
                <w:szCs w:val="21"/>
                <w:vertAlign w:val="baseline"/>
                <w:lang w:val="en-US" w:eastAsia="zh-CN" w:bidi="ar-SA"/>
              </w:rPr>
              <w:t>七、环境风险</w:t>
            </w:r>
          </w:p>
          <w:p w14:paraId="720902A5">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FF"/>
                <w:kern w:val="0"/>
                <w:sz w:val="24"/>
                <w:szCs w:val="21"/>
                <w:lang w:val="en-US" w:eastAsia="zh-CN" w:bidi="ar-SA"/>
              </w:rPr>
            </w:pPr>
            <w:r>
              <w:rPr>
                <w:rFonts w:hint="eastAsia" w:cs="Times New Roman"/>
                <w:color w:val="0000FF"/>
                <w:kern w:val="0"/>
                <w:sz w:val="24"/>
                <w:szCs w:val="21"/>
                <w:lang w:val="en-US" w:eastAsia="zh-CN" w:bidi="ar-SA"/>
              </w:rPr>
              <w:t xml:space="preserve">1、风险调查 </w:t>
            </w:r>
          </w:p>
          <w:p w14:paraId="4871528A">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FF"/>
                <w:kern w:val="0"/>
                <w:sz w:val="24"/>
                <w:szCs w:val="21"/>
                <w:lang w:val="en-US" w:eastAsia="zh-CN" w:bidi="ar-SA"/>
              </w:rPr>
            </w:pPr>
            <w:r>
              <w:rPr>
                <w:rFonts w:hint="eastAsia" w:cs="Times New Roman"/>
                <w:color w:val="0000FF"/>
                <w:kern w:val="0"/>
                <w:sz w:val="24"/>
                <w:szCs w:val="21"/>
                <w:lang w:val="en-US" w:eastAsia="zh-CN" w:bidi="ar-SA"/>
              </w:rPr>
              <w:t xml:space="preserve">本项目所涉及主要物质的危险性和毒性见下表。 </w:t>
            </w:r>
          </w:p>
          <w:p w14:paraId="6C390861">
            <w:pPr>
              <w:pStyle w:val="76"/>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baseline"/>
              <w:rPr>
                <w:rFonts w:hint="eastAsia" w:ascii="Times New Roman" w:hAnsi="Times New Roman" w:eastAsia="宋体" w:cs="Times New Roman"/>
                <w:color w:val="0000FF"/>
                <w:sz w:val="21"/>
                <w:szCs w:val="21"/>
                <w:highlight w:val="none"/>
                <w:lang w:val="zh-CN"/>
              </w:rPr>
            </w:pPr>
            <w:r>
              <w:rPr>
                <w:rFonts w:hint="eastAsia" w:ascii="Times New Roman" w:hAnsi="Times New Roman" w:eastAsia="宋体" w:cs="Times New Roman"/>
                <w:color w:val="0000FF"/>
                <w:sz w:val="21"/>
                <w:szCs w:val="21"/>
                <w:highlight w:val="none"/>
                <w:lang w:val="zh-CN"/>
              </w:rPr>
              <w:t>表</w:t>
            </w:r>
            <w:r>
              <w:rPr>
                <w:rFonts w:hint="eastAsia" w:ascii="Times New Roman" w:hAnsi="Times New Roman" w:eastAsia="宋体" w:cs="Times New Roman"/>
                <w:color w:val="0000FF"/>
                <w:sz w:val="21"/>
                <w:szCs w:val="21"/>
                <w:highlight w:val="none"/>
                <w:lang w:val="en-US" w:eastAsia="zh-CN"/>
              </w:rPr>
              <w:t>4-</w:t>
            </w:r>
            <w:r>
              <w:rPr>
                <w:rFonts w:hint="eastAsia" w:ascii="Times New Roman" w:cs="Times New Roman"/>
                <w:color w:val="0000FF"/>
                <w:sz w:val="21"/>
                <w:szCs w:val="21"/>
                <w:highlight w:val="none"/>
                <w:lang w:val="en-US" w:eastAsia="zh-CN"/>
              </w:rPr>
              <w:t>22</w:t>
            </w:r>
            <w:r>
              <w:rPr>
                <w:rFonts w:hint="eastAsia" w:ascii="Times New Roman" w:hAnsi="Times New Roman" w:eastAsia="宋体" w:cs="Times New Roman"/>
                <w:color w:val="0000FF"/>
                <w:sz w:val="21"/>
                <w:szCs w:val="21"/>
                <w:highlight w:val="none"/>
                <w:lang w:val="en-US" w:eastAsia="zh-CN"/>
              </w:rPr>
              <w:t xml:space="preserve"> </w:t>
            </w:r>
            <w:r>
              <w:rPr>
                <w:rFonts w:hint="eastAsia" w:ascii="Times New Roman" w:hAnsi="Times New Roman" w:eastAsia="宋体" w:cs="Times New Roman"/>
                <w:color w:val="0000FF"/>
                <w:sz w:val="21"/>
                <w:szCs w:val="21"/>
                <w:highlight w:val="none"/>
                <w:lang w:val="zh-CN"/>
              </w:rPr>
              <w:t>物质的危险性和毒性</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2568"/>
              <w:gridCol w:w="2717"/>
              <w:gridCol w:w="2341"/>
            </w:tblGrid>
            <w:tr w14:paraId="00265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pct"/>
                  <w:vAlign w:val="center"/>
                </w:tcPr>
                <w:p w14:paraId="490DBE3E">
                  <w:pPr>
                    <w:pStyle w:val="76"/>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eastAsia="宋体" w:cs="Times New Roman"/>
                      <w:b w:val="0"/>
                      <w:bCs w:val="0"/>
                      <w:color w:val="0000FF"/>
                      <w:sz w:val="21"/>
                      <w:szCs w:val="21"/>
                      <w:highlight w:val="none"/>
                      <w:lang w:val="en-US" w:eastAsia="zh-CN"/>
                    </w:rPr>
                  </w:pPr>
                  <w:r>
                    <w:rPr>
                      <w:rFonts w:hint="default" w:ascii="Times New Roman" w:hAnsi="Times New Roman" w:eastAsia="宋体" w:cs="Times New Roman"/>
                      <w:b w:val="0"/>
                      <w:bCs w:val="0"/>
                      <w:color w:val="0000FF"/>
                      <w:sz w:val="21"/>
                      <w:szCs w:val="21"/>
                      <w:highlight w:val="none"/>
                      <w:lang w:val="en-US" w:eastAsia="zh-CN"/>
                    </w:rPr>
                    <w:t>特性</w:t>
                  </w:r>
                </w:p>
              </w:tc>
              <w:tc>
                <w:tcPr>
                  <w:tcW w:w="1442" w:type="pct"/>
                  <w:vAlign w:val="center"/>
                </w:tcPr>
                <w:p w14:paraId="3EFD1836">
                  <w:pPr>
                    <w:pStyle w:val="76"/>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eastAsia="宋体" w:cs="Times New Roman"/>
                      <w:b w:val="0"/>
                      <w:bCs w:val="0"/>
                      <w:color w:val="0000FF"/>
                      <w:sz w:val="21"/>
                      <w:szCs w:val="21"/>
                      <w:highlight w:val="none"/>
                      <w:lang w:val="en-US" w:eastAsia="zh-CN"/>
                    </w:rPr>
                  </w:pPr>
                  <w:r>
                    <w:rPr>
                      <w:rFonts w:hint="default" w:ascii="Times New Roman" w:hAnsi="Times New Roman" w:eastAsia="宋体" w:cs="Times New Roman"/>
                      <w:b w:val="0"/>
                      <w:bCs w:val="0"/>
                      <w:color w:val="0000FF"/>
                      <w:sz w:val="21"/>
                      <w:szCs w:val="21"/>
                      <w:highlight w:val="none"/>
                      <w:lang w:val="en-US" w:eastAsia="zh-CN"/>
                    </w:rPr>
                    <w:t>氯化氢</w:t>
                  </w:r>
                </w:p>
              </w:tc>
              <w:tc>
                <w:tcPr>
                  <w:tcW w:w="1526" w:type="pct"/>
                  <w:vAlign w:val="center"/>
                </w:tcPr>
                <w:p w14:paraId="66800838">
                  <w:pPr>
                    <w:pStyle w:val="76"/>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eastAsia="宋体" w:cs="Times New Roman"/>
                      <w:b w:val="0"/>
                      <w:bCs w:val="0"/>
                      <w:color w:val="0000FF"/>
                      <w:sz w:val="21"/>
                      <w:szCs w:val="21"/>
                      <w:highlight w:val="none"/>
                      <w:lang w:val="en-US" w:eastAsia="zh-CN"/>
                    </w:rPr>
                  </w:pPr>
                  <w:r>
                    <w:rPr>
                      <w:rFonts w:hint="default" w:ascii="Times New Roman" w:hAnsi="Times New Roman" w:eastAsia="宋体" w:cs="Times New Roman"/>
                      <w:b w:val="0"/>
                      <w:bCs w:val="0"/>
                      <w:color w:val="0000FF"/>
                      <w:sz w:val="21"/>
                      <w:szCs w:val="21"/>
                      <w:highlight w:val="none"/>
                      <w:lang w:val="en-US" w:eastAsia="zh-CN"/>
                    </w:rPr>
                    <w:t>氟化氢</w:t>
                  </w:r>
                </w:p>
              </w:tc>
              <w:tc>
                <w:tcPr>
                  <w:tcW w:w="1315" w:type="pct"/>
                  <w:vAlign w:val="center"/>
                </w:tcPr>
                <w:p w14:paraId="0713D574">
                  <w:pPr>
                    <w:pStyle w:val="76"/>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baseline"/>
                    <w:rPr>
                      <w:rFonts w:hint="default" w:ascii="Times New Roman" w:hAnsi="Times New Roman" w:eastAsia="宋体" w:cs="Times New Roman"/>
                      <w:b w:val="0"/>
                      <w:bCs w:val="0"/>
                      <w:color w:val="0000FF"/>
                      <w:sz w:val="21"/>
                      <w:szCs w:val="21"/>
                      <w:highlight w:val="none"/>
                      <w:lang w:val="en-US" w:eastAsia="zh-CN"/>
                    </w:rPr>
                  </w:pPr>
                  <w:r>
                    <w:rPr>
                      <w:rFonts w:hint="default" w:ascii="Times New Roman" w:hAnsi="Times New Roman" w:eastAsia="宋体" w:cs="Times New Roman"/>
                      <w:b w:val="0"/>
                      <w:bCs w:val="0"/>
                      <w:color w:val="0000FF"/>
                      <w:sz w:val="21"/>
                      <w:szCs w:val="21"/>
                      <w:highlight w:val="none"/>
                      <w:lang w:val="en-US" w:eastAsia="zh-CN"/>
                    </w:rPr>
                    <w:t>二噁英</w:t>
                  </w:r>
                </w:p>
              </w:tc>
            </w:tr>
            <w:tr w14:paraId="08EEA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pct"/>
                  <w:vAlign w:val="center"/>
                </w:tcPr>
                <w:p w14:paraId="24F80B86">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分子式</w:t>
                  </w:r>
                </w:p>
              </w:tc>
              <w:tc>
                <w:tcPr>
                  <w:tcW w:w="1442" w:type="pct"/>
                  <w:vAlign w:val="center"/>
                </w:tcPr>
                <w:p w14:paraId="4FC153E0">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HCl</w:t>
                  </w:r>
                </w:p>
              </w:tc>
              <w:tc>
                <w:tcPr>
                  <w:tcW w:w="1526" w:type="pct"/>
                  <w:vAlign w:val="center"/>
                </w:tcPr>
                <w:p w14:paraId="5FFA306F">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HF</w:t>
                  </w:r>
                </w:p>
              </w:tc>
              <w:tc>
                <w:tcPr>
                  <w:tcW w:w="1315" w:type="pct"/>
                  <w:vAlign w:val="center"/>
                </w:tcPr>
                <w:p w14:paraId="016C1B2C">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C1</w:t>
                  </w:r>
                  <w:r>
                    <w:rPr>
                      <w:rFonts w:hint="default" w:ascii="Times New Roman" w:hAnsi="Times New Roman" w:eastAsia="宋体" w:cs="Times New Roman"/>
                      <w:color w:val="0000FF"/>
                      <w:vertAlign w:val="subscript"/>
                      <w:lang w:val="en-US" w:eastAsia="zh-CN"/>
                    </w:rPr>
                    <w:t>2</w:t>
                  </w:r>
                  <w:r>
                    <w:rPr>
                      <w:rFonts w:hint="default" w:ascii="Times New Roman" w:hAnsi="Times New Roman" w:eastAsia="宋体" w:cs="Times New Roman"/>
                      <w:color w:val="0000FF"/>
                      <w:lang w:val="en-US" w:eastAsia="zh-CN"/>
                    </w:rPr>
                    <w:t>H</w:t>
                  </w:r>
                  <w:r>
                    <w:rPr>
                      <w:rFonts w:hint="default" w:ascii="Times New Roman" w:hAnsi="Times New Roman" w:eastAsia="宋体" w:cs="Times New Roman"/>
                      <w:color w:val="0000FF"/>
                      <w:vertAlign w:val="subscript"/>
                      <w:lang w:val="en-US" w:eastAsia="zh-CN"/>
                    </w:rPr>
                    <w:t>4</w:t>
                  </w:r>
                  <w:r>
                    <w:rPr>
                      <w:rFonts w:hint="default" w:ascii="Times New Roman" w:hAnsi="Times New Roman" w:eastAsia="宋体" w:cs="Times New Roman"/>
                      <w:color w:val="0000FF"/>
                      <w:lang w:val="en-US" w:eastAsia="zh-CN"/>
                    </w:rPr>
                    <w:t>Cl</w:t>
                  </w:r>
                  <w:r>
                    <w:rPr>
                      <w:rFonts w:hint="default" w:ascii="Times New Roman" w:hAnsi="Times New Roman" w:eastAsia="宋体" w:cs="Times New Roman"/>
                      <w:color w:val="0000FF"/>
                      <w:vertAlign w:val="subscript"/>
                      <w:lang w:val="en-US" w:eastAsia="zh-CN"/>
                    </w:rPr>
                    <w:t>4</w:t>
                  </w:r>
                  <w:r>
                    <w:rPr>
                      <w:rFonts w:hint="default" w:ascii="Times New Roman" w:hAnsi="Times New Roman" w:eastAsia="宋体" w:cs="Times New Roman"/>
                      <w:color w:val="0000FF"/>
                      <w:lang w:val="en-US" w:eastAsia="zh-CN"/>
                    </w:rPr>
                    <w:t>O</w:t>
                  </w:r>
                  <w:r>
                    <w:rPr>
                      <w:rFonts w:hint="default" w:ascii="Times New Roman" w:hAnsi="Times New Roman" w:eastAsia="宋体" w:cs="Times New Roman"/>
                      <w:color w:val="0000FF"/>
                      <w:vertAlign w:val="subscript"/>
                      <w:lang w:val="en-US" w:eastAsia="zh-CN"/>
                    </w:rPr>
                    <w:t>2</w:t>
                  </w:r>
                </w:p>
              </w:tc>
            </w:tr>
            <w:tr w14:paraId="661DA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pct"/>
                  <w:vAlign w:val="center"/>
                </w:tcPr>
                <w:p w14:paraId="2821A409">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分子量</w:t>
                  </w:r>
                </w:p>
              </w:tc>
              <w:tc>
                <w:tcPr>
                  <w:tcW w:w="1442" w:type="pct"/>
                  <w:vAlign w:val="center"/>
                </w:tcPr>
                <w:p w14:paraId="5F184311">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37.46</w:t>
                  </w:r>
                </w:p>
              </w:tc>
              <w:tc>
                <w:tcPr>
                  <w:tcW w:w="1526" w:type="pct"/>
                  <w:vAlign w:val="center"/>
                </w:tcPr>
                <w:p w14:paraId="2A363624">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20.01</w:t>
                  </w:r>
                </w:p>
              </w:tc>
              <w:tc>
                <w:tcPr>
                  <w:tcW w:w="1315" w:type="pct"/>
                  <w:vAlign w:val="center"/>
                </w:tcPr>
                <w:p w14:paraId="4C9B99DB">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321.96</w:t>
                  </w:r>
                </w:p>
              </w:tc>
            </w:tr>
            <w:tr w14:paraId="24CF0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pct"/>
                  <w:vAlign w:val="center"/>
                </w:tcPr>
                <w:p w14:paraId="40C65B3C">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外观及性状</w:t>
                  </w:r>
                </w:p>
              </w:tc>
              <w:tc>
                <w:tcPr>
                  <w:tcW w:w="1442" w:type="pct"/>
                  <w:vAlign w:val="center"/>
                </w:tcPr>
                <w:p w14:paraId="5BD595C3">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刺激性的气味</w:t>
                  </w:r>
                </w:p>
              </w:tc>
              <w:tc>
                <w:tcPr>
                  <w:tcW w:w="1526" w:type="pct"/>
                  <w:vAlign w:val="center"/>
                </w:tcPr>
                <w:p w14:paraId="6253999A">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无色液体或气体</w:t>
                  </w:r>
                </w:p>
              </w:tc>
              <w:tc>
                <w:tcPr>
                  <w:tcW w:w="1315" w:type="pct"/>
                  <w:vAlign w:val="center"/>
                </w:tcPr>
                <w:p w14:paraId="6C7EE487">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无色无味气体</w:t>
                  </w:r>
                </w:p>
              </w:tc>
            </w:tr>
            <w:tr w14:paraId="64289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pct"/>
                  <w:vAlign w:val="center"/>
                </w:tcPr>
                <w:p w14:paraId="5E4279FE">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熔点</w:t>
                  </w:r>
                  <w:r>
                    <w:rPr>
                      <w:rFonts w:hint="eastAsia" w:ascii="Times New Roman" w:hAnsi="Times New Roman" w:eastAsia="宋体" w:cs="Times New Roman"/>
                      <w:color w:val="0000FF"/>
                      <w:lang w:val="en-US" w:eastAsia="zh-CN"/>
                    </w:rPr>
                    <w:t>（</w:t>
                  </w:r>
                  <w:r>
                    <w:rPr>
                      <w:rFonts w:hint="default" w:ascii="Times New Roman" w:hAnsi="Times New Roman" w:eastAsia="宋体" w:cs="Times New Roman"/>
                      <w:color w:val="0000FF"/>
                      <w:lang w:val="en-US" w:eastAsia="zh-CN"/>
                    </w:rPr>
                    <w:t>℃</w:t>
                  </w:r>
                  <w:r>
                    <w:rPr>
                      <w:rFonts w:hint="eastAsia" w:ascii="Times New Roman" w:hAnsi="Times New Roman" w:eastAsia="宋体" w:cs="Times New Roman"/>
                      <w:color w:val="0000FF"/>
                      <w:lang w:val="en-US" w:eastAsia="zh-CN"/>
                    </w:rPr>
                    <w:t>）</w:t>
                  </w:r>
                </w:p>
              </w:tc>
              <w:tc>
                <w:tcPr>
                  <w:tcW w:w="1442" w:type="pct"/>
                  <w:vAlign w:val="center"/>
                </w:tcPr>
                <w:p w14:paraId="6D81AA92">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-114.2</w:t>
                  </w:r>
                </w:p>
              </w:tc>
              <w:tc>
                <w:tcPr>
                  <w:tcW w:w="1526" w:type="pct"/>
                  <w:vAlign w:val="center"/>
                </w:tcPr>
                <w:p w14:paraId="3E1B7498">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183.7</w:t>
                  </w:r>
                </w:p>
              </w:tc>
              <w:tc>
                <w:tcPr>
                  <w:tcW w:w="1315" w:type="pct"/>
                  <w:vAlign w:val="center"/>
                </w:tcPr>
                <w:p w14:paraId="24FC0219">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w:t>
                  </w:r>
                </w:p>
              </w:tc>
            </w:tr>
            <w:tr w14:paraId="671FA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pct"/>
                  <w:vAlign w:val="center"/>
                </w:tcPr>
                <w:p w14:paraId="1E0074EA">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沸点</w:t>
                  </w:r>
                  <w:r>
                    <w:rPr>
                      <w:rFonts w:hint="eastAsia" w:ascii="Times New Roman" w:hAnsi="Times New Roman" w:eastAsia="宋体" w:cs="Times New Roman"/>
                      <w:color w:val="0000FF"/>
                      <w:lang w:val="en-US" w:eastAsia="zh-CN"/>
                    </w:rPr>
                    <w:t>（</w:t>
                  </w:r>
                  <w:r>
                    <w:rPr>
                      <w:rFonts w:hint="default" w:ascii="Times New Roman" w:hAnsi="Times New Roman" w:eastAsia="宋体" w:cs="Times New Roman"/>
                      <w:color w:val="0000FF"/>
                      <w:lang w:val="en-US" w:eastAsia="zh-CN"/>
                    </w:rPr>
                    <w:t>℃</w:t>
                  </w:r>
                  <w:r>
                    <w:rPr>
                      <w:rFonts w:hint="eastAsia" w:ascii="Times New Roman" w:hAnsi="Times New Roman" w:eastAsia="宋体" w:cs="Times New Roman"/>
                      <w:color w:val="0000FF"/>
                      <w:lang w:val="en-US" w:eastAsia="zh-CN"/>
                    </w:rPr>
                    <w:t>）</w:t>
                  </w:r>
                </w:p>
              </w:tc>
              <w:tc>
                <w:tcPr>
                  <w:tcW w:w="1442" w:type="pct"/>
                  <w:vAlign w:val="center"/>
                </w:tcPr>
                <w:p w14:paraId="644572C6">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-85</w:t>
                  </w:r>
                </w:p>
              </w:tc>
              <w:tc>
                <w:tcPr>
                  <w:tcW w:w="1526" w:type="pct"/>
                  <w:vAlign w:val="center"/>
                </w:tcPr>
                <w:p w14:paraId="7D085A6C">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19.5</w:t>
                  </w:r>
                </w:p>
              </w:tc>
              <w:tc>
                <w:tcPr>
                  <w:tcW w:w="1315" w:type="pct"/>
                  <w:vAlign w:val="center"/>
                </w:tcPr>
                <w:p w14:paraId="1B7ADAB9">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w:t>
                  </w:r>
                </w:p>
              </w:tc>
            </w:tr>
            <w:tr w14:paraId="473C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pct"/>
                  <w:vAlign w:val="center"/>
                </w:tcPr>
                <w:p w14:paraId="44BBFF98">
                  <w:pPr>
                    <w:tabs>
                      <w:tab w:val="left" w:pos="1215"/>
                    </w:tabs>
                    <w:adjustRightInd w:val="0"/>
                    <w:snapToGrid w:val="0"/>
                    <w:jc w:val="center"/>
                    <w:rPr>
                      <w:rFonts w:hint="default"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闪点（</w:t>
                  </w:r>
                  <w:r>
                    <w:rPr>
                      <w:rFonts w:hint="default" w:ascii="Times New Roman" w:hAnsi="Times New Roman" w:eastAsia="宋体" w:cs="Times New Roman"/>
                      <w:color w:val="0000FF"/>
                      <w:lang w:val="en-US" w:eastAsia="zh-CN"/>
                    </w:rPr>
                    <w:t>℃</w:t>
                  </w:r>
                  <w:r>
                    <w:rPr>
                      <w:rFonts w:hint="eastAsia" w:ascii="Times New Roman" w:hAnsi="Times New Roman" w:eastAsia="宋体" w:cs="Times New Roman"/>
                      <w:color w:val="0000FF"/>
                      <w:lang w:val="en-US" w:eastAsia="zh-CN"/>
                    </w:rPr>
                    <w:t>）</w:t>
                  </w:r>
                </w:p>
              </w:tc>
              <w:tc>
                <w:tcPr>
                  <w:tcW w:w="1442" w:type="pct"/>
                  <w:vAlign w:val="center"/>
                </w:tcPr>
                <w:p w14:paraId="00C33562">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w:t>
                  </w:r>
                </w:p>
              </w:tc>
              <w:tc>
                <w:tcPr>
                  <w:tcW w:w="1526" w:type="pct"/>
                  <w:vAlign w:val="center"/>
                </w:tcPr>
                <w:p w14:paraId="2BFA74B3">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w:t>
                  </w:r>
                </w:p>
              </w:tc>
              <w:tc>
                <w:tcPr>
                  <w:tcW w:w="1315" w:type="pct"/>
                  <w:vAlign w:val="center"/>
                </w:tcPr>
                <w:p w14:paraId="433584A4">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w:t>
                  </w:r>
                </w:p>
              </w:tc>
            </w:tr>
            <w:tr w14:paraId="0D08E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pct"/>
                  <w:vAlign w:val="center"/>
                </w:tcPr>
                <w:p w14:paraId="0423CA5B">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爆炸上下限</w:t>
                  </w:r>
                </w:p>
              </w:tc>
              <w:tc>
                <w:tcPr>
                  <w:tcW w:w="1442" w:type="pct"/>
                  <w:vAlign w:val="center"/>
                </w:tcPr>
                <w:p w14:paraId="34794D7B">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w:t>
                  </w:r>
                </w:p>
              </w:tc>
              <w:tc>
                <w:tcPr>
                  <w:tcW w:w="1526" w:type="pct"/>
                  <w:vAlign w:val="center"/>
                </w:tcPr>
                <w:p w14:paraId="6F107BCE">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w:t>
                  </w:r>
                </w:p>
              </w:tc>
              <w:tc>
                <w:tcPr>
                  <w:tcW w:w="1315" w:type="pct"/>
                  <w:vAlign w:val="center"/>
                </w:tcPr>
                <w:p w14:paraId="2D4882ED">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w:t>
                  </w:r>
                </w:p>
              </w:tc>
            </w:tr>
            <w:tr w14:paraId="791AC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pct"/>
                  <w:vAlign w:val="center"/>
                </w:tcPr>
                <w:p w14:paraId="307DD849">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溶解性</w:t>
                  </w:r>
                </w:p>
              </w:tc>
              <w:tc>
                <w:tcPr>
                  <w:tcW w:w="1442" w:type="pct"/>
                  <w:vAlign w:val="center"/>
                </w:tcPr>
                <w:p w14:paraId="24EB2B5F">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与水混溶</w:t>
                  </w:r>
                </w:p>
              </w:tc>
              <w:tc>
                <w:tcPr>
                  <w:tcW w:w="1526" w:type="pct"/>
                  <w:vAlign w:val="center"/>
                </w:tcPr>
                <w:p w14:paraId="3F8BC912">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易溶于水</w:t>
                  </w:r>
                </w:p>
              </w:tc>
              <w:tc>
                <w:tcPr>
                  <w:tcW w:w="1315" w:type="pct"/>
                  <w:vAlign w:val="center"/>
                </w:tcPr>
                <w:p w14:paraId="287F36D8">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w:t>
                  </w:r>
                </w:p>
              </w:tc>
            </w:tr>
            <w:tr w14:paraId="61B75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pct"/>
                  <w:vAlign w:val="center"/>
                </w:tcPr>
                <w:p w14:paraId="5AE6111B">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相对密度</w:t>
                  </w:r>
                </w:p>
              </w:tc>
              <w:tc>
                <w:tcPr>
                  <w:tcW w:w="1442" w:type="pct"/>
                  <w:vAlign w:val="center"/>
                </w:tcPr>
                <w:p w14:paraId="1772B1D4">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1.19</w:t>
                  </w:r>
                </w:p>
              </w:tc>
              <w:tc>
                <w:tcPr>
                  <w:tcW w:w="1526" w:type="pct"/>
                  <w:vAlign w:val="center"/>
                </w:tcPr>
                <w:p w14:paraId="3B931431">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1.15</w:t>
                  </w:r>
                </w:p>
              </w:tc>
              <w:tc>
                <w:tcPr>
                  <w:tcW w:w="1315" w:type="pct"/>
                  <w:vAlign w:val="center"/>
                </w:tcPr>
                <w:p w14:paraId="33D9AC46">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w:t>
                  </w:r>
                </w:p>
              </w:tc>
            </w:tr>
            <w:tr w14:paraId="4BA5E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pct"/>
                  <w:vAlign w:val="center"/>
                </w:tcPr>
                <w:p w14:paraId="34D6E5AF">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稳定性</w:t>
                  </w:r>
                </w:p>
              </w:tc>
              <w:tc>
                <w:tcPr>
                  <w:tcW w:w="1442" w:type="pct"/>
                  <w:vAlign w:val="center"/>
                </w:tcPr>
                <w:p w14:paraId="55211E76">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稳定</w:t>
                  </w:r>
                </w:p>
              </w:tc>
              <w:tc>
                <w:tcPr>
                  <w:tcW w:w="1526" w:type="pct"/>
                  <w:vAlign w:val="center"/>
                </w:tcPr>
                <w:p w14:paraId="269116F5">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稳定</w:t>
                  </w:r>
                </w:p>
              </w:tc>
              <w:tc>
                <w:tcPr>
                  <w:tcW w:w="1315" w:type="pct"/>
                  <w:vAlign w:val="center"/>
                </w:tcPr>
                <w:p w14:paraId="3DAD4E12">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500℃开始分解，800℃时21s内完全分解</w:t>
                  </w:r>
                </w:p>
              </w:tc>
            </w:tr>
            <w:tr w14:paraId="3FF64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pct"/>
                  <w:vAlign w:val="center"/>
                </w:tcPr>
                <w:p w14:paraId="4CA2A588">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危险性类别</w:t>
                  </w:r>
                </w:p>
              </w:tc>
              <w:tc>
                <w:tcPr>
                  <w:tcW w:w="1442" w:type="pct"/>
                  <w:vAlign w:val="center"/>
                </w:tcPr>
                <w:p w14:paraId="6D3FBA27">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2.2类（不燃气体）</w:t>
                  </w:r>
                </w:p>
              </w:tc>
              <w:tc>
                <w:tcPr>
                  <w:tcW w:w="1526" w:type="pct"/>
                  <w:vAlign w:val="center"/>
                </w:tcPr>
                <w:p w14:paraId="406D92A2">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8.1类（酸性腐蚀品）</w:t>
                  </w:r>
                </w:p>
              </w:tc>
              <w:tc>
                <w:tcPr>
                  <w:tcW w:w="1315" w:type="pct"/>
                  <w:vAlign w:val="center"/>
                </w:tcPr>
                <w:p w14:paraId="455548E2">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w:t>
                  </w:r>
                </w:p>
              </w:tc>
            </w:tr>
            <w:tr w14:paraId="34F31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pct"/>
                  <w:vAlign w:val="center"/>
                </w:tcPr>
                <w:p w14:paraId="12EC94C7">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燃烧爆炸性</w:t>
                  </w:r>
                </w:p>
              </w:tc>
              <w:tc>
                <w:tcPr>
                  <w:tcW w:w="1442" w:type="pct"/>
                  <w:vAlign w:val="center"/>
                </w:tcPr>
                <w:p w14:paraId="27D6A9C3">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不燃，强刺激性</w:t>
                  </w:r>
                </w:p>
              </w:tc>
              <w:tc>
                <w:tcPr>
                  <w:tcW w:w="1526" w:type="pct"/>
                  <w:vAlign w:val="center"/>
                </w:tcPr>
                <w:p w14:paraId="2CF8CDAD">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不燃，强腐蚀性、强刺激性</w:t>
                  </w:r>
                </w:p>
              </w:tc>
              <w:tc>
                <w:tcPr>
                  <w:tcW w:w="1315" w:type="pct"/>
                  <w:vAlign w:val="center"/>
                </w:tcPr>
                <w:p w14:paraId="67DC2126">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w:t>
                  </w:r>
                </w:p>
              </w:tc>
            </w:tr>
            <w:tr w14:paraId="64D66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pct"/>
                  <w:vAlign w:val="center"/>
                </w:tcPr>
                <w:p w14:paraId="4E3E4038">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毒性</w:t>
                  </w:r>
                </w:p>
              </w:tc>
              <w:tc>
                <w:tcPr>
                  <w:tcW w:w="1442" w:type="pct"/>
                  <w:vAlign w:val="center"/>
                </w:tcPr>
                <w:p w14:paraId="2A6A1D2B">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LC50</w:t>
                  </w:r>
                  <w:r>
                    <w:rPr>
                      <w:rFonts w:hint="eastAsia" w:ascii="Times New Roman" w:hAnsi="Times New Roman" w:eastAsia="宋体" w:cs="Times New Roman"/>
                      <w:color w:val="0000FF"/>
                      <w:lang w:val="en-US" w:eastAsia="zh-CN"/>
                    </w:rPr>
                    <w:t>：</w:t>
                  </w:r>
                  <w:r>
                    <w:rPr>
                      <w:rFonts w:hint="default" w:ascii="Times New Roman" w:hAnsi="Times New Roman" w:eastAsia="宋体" w:cs="Times New Roman"/>
                      <w:color w:val="0000FF"/>
                      <w:lang w:val="en-US" w:eastAsia="zh-CN"/>
                    </w:rPr>
                    <w:t>4600mg/m³，1小时</w:t>
                  </w:r>
                </w:p>
              </w:tc>
              <w:tc>
                <w:tcPr>
                  <w:tcW w:w="1526" w:type="pct"/>
                  <w:vAlign w:val="center"/>
                </w:tcPr>
                <w:p w14:paraId="23AC49D8">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LC50：1044mg/m³</w:t>
                  </w:r>
                </w:p>
              </w:tc>
              <w:tc>
                <w:tcPr>
                  <w:tcW w:w="1315" w:type="pct"/>
                  <w:vAlign w:val="center"/>
                </w:tcPr>
                <w:p w14:paraId="2EAAE64F">
                  <w:pPr>
                    <w:tabs>
                      <w:tab w:val="left" w:pos="1215"/>
                    </w:tabs>
                    <w:adjustRightInd w:val="0"/>
                    <w:snapToGrid w:val="0"/>
                    <w:jc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LD50：22500mg/m³</w:t>
                  </w:r>
                </w:p>
              </w:tc>
            </w:tr>
          </w:tbl>
          <w:p w14:paraId="1DD52DBD">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FF"/>
                <w:kern w:val="0"/>
                <w:sz w:val="24"/>
                <w:szCs w:val="21"/>
                <w:lang w:val="en-US" w:eastAsia="zh-CN" w:bidi="ar-SA"/>
              </w:rPr>
            </w:pPr>
            <w:r>
              <w:rPr>
                <w:rFonts w:hint="eastAsia" w:cs="Times New Roman"/>
                <w:color w:val="0000FF"/>
                <w:kern w:val="0"/>
                <w:sz w:val="24"/>
                <w:szCs w:val="21"/>
                <w:lang w:val="en-US" w:eastAsia="zh-CN" w:bidi="ar-SA"/>
              </w:rPr>
              <w:t>2、生产及公辅环保设施环境风险识别</w:t>
            </w:r>
          </w:p>
          <w:p w14:paraId="00C98750">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FF"/>
                <w:kern w:val="0"/>
                <w:sz w:val="24"/>
                <w:szCs w:val="21"/>
                <w:lang w:val="en-US" w:eastAsia="zh-CN" w:bidi="ar-SA"/>
              </w:rPr>
            </w:pPr>
            <w:r>
              <w:rPr>
                <w:rFonts w:hint="eastAsia" w:cs="Times New Roman"/>
                <w:color w:val="0000FF"/>
                <w:kern w:val="0"/>
                <w:sz w:val="24"/>
                <w:szCs w:val="21"/>
                <w:lang w:val="en-US" w:eastAsia="zh-CN" w:bidi="ar-SA"/>
              </w:rPr>
              <w:t>（1）生产装置区</w:t>
            </w:r>
          </w:p>
          <w:p w14:paraId="0499503E">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FF"/>
                <w:kern w:val="0"/>
                <w:sz w:val="24"/>
                <w:szCs w:val="21"/>
                <w:lang w:val="en-US" w:eastAsia="zh-CN" w:bidi="ar-SA"/>
              </w:rPr>
            </w:pPr>
            <w:r>
              <w:rPr>
                <w:rFonts w:hint="eastAsia" w:cs="Times New Roman"/>
                <w:color w:val="0000FF"/>
                <w:kern w:val="0"/>
                <w:sz w:val="24"/>
                <w:szCs w:val="21"/>
                <w:lang w:val="en-US" w:eastAsia="zh-CN" w:bidi="ar-SA"/>
              </w:rPr>
              <w:t>依据物质的危险、有害特性分析，项目生产过程及生产过程中涉及厂内废物及物料运输及其它用电设备等存在火灾、爆炸、腐蚀、中毒、窒息等危险有害性。另外，火灾、爆炸等事故可能伴随着HCl、HF、二噁英等次生污染物的产生和扩散，造成人员中毒等危险；本项目在水泥窑焚烧处理过程中，由于水泥窑管理及人为因素造成窑温不够、烟气停留时间不足情况下二噁英非正常排放；水泥窑内CO量过大造成爆炸事故对周围环境的影响。生产过程中各单元的主要危险、有害性分析详见下表。</w:t>
            </w:r>
          </w:p>
          <w:p w14:paraId="463EDC75">
            <w:pPr>
              <w:pStyle w:val="76"/>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baseline"/>
              <w:rPr>
                <w:rFonts w:hint="eastAsia" w:ascii="Times New Roman" w:hAnsi="Times New Roman" w:eastAsia="宋体" w:cs="Times New Roman"/>
                <w:color w:val="0000FF"/>
                <w:sz w:val="21"/>
                <w:szCs w:val="21"/>
                <w:highlight w:val="none"/>
                <w:lang w:val="zh-CN"/>
              </w:rPr>
            </w:pPr>
            <w:r>
              <w:rPr>
                <w:rFonts w:hint="eastAsia" w:ascii="Times New Roman" w:hAnsi="Times New Roman" w:eastAsia="宋体" w:cs="Times New Roman"/>
                <w:color w:val="0000FF"/>
                <w:sz w:val="21"/>
                <w:szCs w:val="21"/>
                <w:highlight w:val="none"/>
                <w:lang w:val="zh-CN"/>
              </w:rPr>
              <w:t>表</w:t>
            </w:r>
            <w:r>
              <w:rPr>
                <w:rFonts w:hint="eastAsia" w:ascii="Times New Roman" w:hAnsi="Times New Roman" w:eastAsia="宋体" w:cs="Times New Roman"/>
                <w:color w:val="0000FF"/>
                <w:sz w:val="21"/>
                <w:szCs w:val="21"/>
                <w:highlight w:val="none"/>
                <w:lang w:val="en-US" w:eastAsia="zh-CN"/>
              </w:rPr>
              <w:t>4-</w:t>
            </w:r>
            <w:r>
              <w:rPr>
                <w:rFonts w:hint="eastAsia" w:ascii="Times New Roman" w:cs="Times New Roman"/>
                <w:color w:val="0000FF"/>
                <w:sz w:val="21"/>
                <w:szCs w:val="21"/>
                <w:highlight w:val="none"/>
                <w:lang w:val="en-US" w:eastAsia="zh-CN"/>
              </w:rPr>
              <w:t>23</w:t>
            </w:r>
            <w:r>
              <w:rPr>
                <w:rFonts w:hint="eastAsia" w:ascii="Times New Roman" w:hAnsi="Times New Roman" w:eastAsia="宋体" w:cs="Times New Roman"/>
                <w:color w:val="0000FF"/>
                <w:sz w:val="21"/>
                <w:szCs w:val="21"/>
                <w:highlight w:val="none"/>
                <w:lang w:val="en-US" w:eastAsia="zh-CN"/>
              </w:rPr>
              <w:t xml:space="preserve"> </w:t>
            </w:r>
            <w:r>
              <w:rPr>
                <w:rFonts w:hint="eastAsia" w:ascii="Times New Roman" w:hAnsi="Times New Roman" w:eastAsia="宋体" w:cs="Times New Roman"/>
                <w:color w:val="0000FF"/>
                <w:sz w:val="21"/>
                <w:szCs w:val="21"/>
                <w:highlight w:val="none"/>
                <w:lang w:val="zh-CN"/>
              </w:rPr>
              <w:t>生产过程环境风险识别表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1081"/>
              <w:gridCol w:w="1982"/>
              <w:gridCol w:w="1965"/>
              <w:gridCol w:w="1500"/>
              <w:gridCol w:w="1532"/>
            </w:tblGrid>
            <w:tr w14:paraId="29CF7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2" w:type="pct"/>
                  <w:vAlign w:val="center"/>
                </w:tcPr>
                <w:p w14:paraId="6C83E8AD">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危险单元</w:t>
                  </w:r>
                </w:p>
              </w:tc>
              <w:tc>
                <w:tcPr>
                  <w:tcW w:w="607" w:type="pct"/>
                  <w:vAlign w:val="center"/>
                </w:tcPr>
                <w:p w14:paraId="38982B7B">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风险源</w:t>
                  </w:r>
                </w:p>
              </w:tc>
              <w:tc>
                <w:tcPr>
                  <w:tcW w:w="1113" w:type="pct"/>
                  <w:vAlign w:val="center"/>
                </w:tcPr>
                <w:p w14:paraId="4A317BD3">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主要危险物质</w:t>
                  </w:r>
                </w:p>
              </w:tc>
              <w:tc>
                <w:tcPr>
                  <w:tcW w:w="1103" w:type="pct"/>
                  <w:vAlign w:val="center"/>
                </w:tcPr>
                <w:p w14:paraId="3B40DE08">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环境风险类型</w:t>
                  </w:r>
                </w:p>
              </w:tc>
              <w:tc>
                <w:tcPr>
                  <w:tcW w:w="842" w:type="pct"/>
                  <w:vAlign w:val="center"/>
                </w:tcPr>
                <w:p w14:paraId="16D206E9">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环境影响途径</w:t>
                  </w:r>
                </w:p>
              </w:tc>
              <w:tc>
                <w:tcPr>
                  <w:tcW w:w="860" w:type="pct"/>
                  <w:vAlign w:val="center"/>
                </w:tcPr>
                <w:p w14:paraId="55494016">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可能受影响的环境敏感目标</w:t>
                  </w:r>
                </w:p>
              </w:tc>
            </w:tr>
            <w:tr w14:paraId="1D78C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2" w:type="pct"/>
                  <w:vMerge w:val="restart"/>
                  <w:vAlign w:val="center"/>
                </w:tcPr>
                <w:p w14:paraId="014124A5">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焚烧处理系统</w:t>
                  </w:r>
                </w:p>
              </w:tc>
              <w:tc>
                <w:tcPr>
                  <w:tcW w:w="607" w:type="pct"/>
                  <w:vMerge w:val="restart"/>
                  <w:vAlign w:val="center"/>
                </w:tcPr>
                <w:p w14:paraId="3BD53EB0">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水泥窑</w:t>
                  </w:r>
                </w:p>
              </w:tc>
              <w:tc>
                <w:tcPr>
                  <w:tcW w:w="1113" w:type="pct"/>
                  <w:vAlign w:val="center"/>
                </w:tcPr>
                <w:p w14:paraId="77C9FE22">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HC</w:t>
                  </w:r>
                  <w:r>
                    <w:rPr>
                      <w:rFonts w:hint="eastAsia" w:ascii="Times New Roman" w:hAnsi="Times New Roman" w:eastAsia="宋体" w:cs="Times New Roman"/>
                      <w:color w:val="0000FF"/>
                      <w:sz w:val="21"/>
                      <w:szCs w:val="21"/>
                      <w:lang w:val="en-US" w:eastAsia="zh-CN"/>
                    </w:rPr>
                    <w:t>l</w:t>
                  </w:r>
                  <w:r>
                    <w:rPr>
                      <w:rFonts w:hint="default" w:ascii="Times New Roman" w:hAnsi="Times New Roman" w:eastAsia="宋体" w:cs="Times New Roman"/>
                      <w:color w:val="0000FF"/>
                      <w:sz w:val="21"/>
                      <w:szCs w:val="21"/>
                      <w:lang w:val="en-US" w:eastAsia="zh-CN"/>
                    </w:rPr>
                    <w:t>、HF、二噁英等次生污染物</w:t>
                  </w:r>
                </w:p>
              </w:tc>
              <w:tc>
                <w:tcPr>
                  <w:tcW w:w="1103" w:type="pct"/>
                  <w:vAlign w:val="center"/>
                </w:tcPr>
                <w:p w14:paraId="53C38418">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点火或熄灭后再点火造成炉膛爆炸</w:t>
                  </w:r>
                </w:p>
              </w:tc>
              <w:tc>
                <w:tcPr>
                  <w:tcW w:w="842" w:type="pct"/>
                  <w:vMerge w:val="restart"/>
                  <w:vAlign w:val="center"/>
                </w:tcPr>
                <w:p w14:paraId="6EF3C2DE">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大气污染排放造成中毒</w:t>
                  </w:r>
                </w:p>
              </w:tc>
              <w:tc>
                <w:tcPr>
                  <w:tcW w:w="860" w:type="pct"/>
                  <w:vMerge w:val="restart"/>
                  <w:vAlign w:val="center"/>
                </w:tcPr>
                <w:p w14:paraId="15B708F3">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厂区周边敏感</w:t>
                  </w:r>
                </w:p>
              </w:tc>
            </w:tr>
            <w:tr w14:paraId="5F9A1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2" w:type="pct"/>
                  <w:vMerge w:val="continue"/>
                  <w:vAlign w:val="center"/>
                </w:tcPr>
                <w:p w14:paraId="29032117">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p>
              </w:tc>
              <w:tc>
                <w:tcPr>
                  <w:tcW w:w="607" w:type="pct"/>
                  <w:vMerge w:val="continue"/>
                  <w:vAlign w:val="center"/>
                </w:tcPr>
                <w:p w14:paraId="4A1155B1">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p>
              </w:tc>
              <w:tc>
                <w:tcPr>
                  <w:tcW w:w="1113" w:type="pct"/>
                  <w:vAlign w:val="center"/>
                </w:tcPr>
                <w:p w14:paraId="23A15DF2">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二噁英非正常排放</w:t>
                  </w:r>
                </w:p>
              </w:tc>
              <w:tc>
                <w:tcPr>
                  <w:tcW w:w="1103" w:type="pct"/>
                  <w:vAlign w:val="center"/>
                </w:tcPr>
                <w:p w14:paraId="25F31BD2">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非正常工况</w:t>
                  </w:r>
                </w:p>
              </w:tc>
              <w:tc>
                <w:tcPr>
                  <w:tcW w:w="842" w:type="pct"/>
                  <w:vMerge w:val="continue"/>
                  <w:vAlign w:val="center"/>
                </w:tcPr>
                <w:p w14:paraId="739D0F13">
                  <w:pPr>
                    <w:tabs>
                      <w:tab w:val="left" w:pos="1215"/>
                    </w:tabs>
                    <w:adjustRightInd w:val="0"/>
                    <w:snapToGrid w:val="0"/>
                    <w:jc w:val="both"/>
                    <w:rPr>
                      <w:rFonts w:hint="default" w:ascii="Times New Roman" w:hAnsi="Times New Roman" w:eastAsia="宋体" w:cs="Times New Roman"/>
                      <w:color w:val="0000FF"/>
                      <w:sz w:val="21"/>
                      <w:szCs w:val="21"/>
                      <w:lang w:val="en-US" w:eastAsia="zh-CN"/>
                    </w:rPr>
                  </w:pPr>
                </w:p>
              </w:tc>
              <w:tc>
                <w:tcPr>
                  <w:tcW w:w="860" w:type="pct"/>
                  <w:vMerge w:val="continue"/>
                  <w:vAlign w:val="center"/>
                </w:tcPr>
                <w:p w14:paraId="76EB1A0A">
                  <w:pPr>
                    <w:tabs>
                      <w:tab w:val="left" w:pos="1215"/>
                    </w:tabs>
                    <w:adjustRightInd w:val="0"/>
                    <w:snapToGrid w:val="0"/>
                    <w:jc w:val="both"/>
                    <w:rPr>
                      <w:rFonts w:hint="default" w:ascii="Times New Roman" w:hAnsi="Times New Roman" w:eastAsia="宋体" w:cs="Times New Roman"/>
                      <w:color w:val="0000FF"/>
                      <w:sz w:val="21"/>
                      <w:szCs w:val="21"/>
                      <w:lang w:val="en-US" w:eastAsia="zh-CN"/>
                    </w:rPr>
                  </w:pPr>
                </w:p>
              </w:tc>
            </w:tr>
            <w:tr w14:paraId="3152E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2" w:type="pct"/>
                  <w:vMerge w:val="continue"/>
                  <w:vAlign w:val="center"/>
                </w:tcPr>
                <w:p w14:paraId="0E917E24">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p>
              </w:tc>
              <w:tc>
                <w:tcPr>
                  <w:tcW w:w="607" w:type="pct"/>
                  <w:vMerge w:val="continue"/>
                  <w:vAlign w:val="center"/>
                </w:tcPr>
                <w:p w14:paraId="482CF051">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p>
              </w:tc>
              <w:tc>
                <w:tcPr>
                  <w:tcW w:w="1113" w:type="pct"/>
                  <w:vAlign w:val="center"/>
                </w:tcPr>
                <w:p w14:paraId="270E2D42">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CO</w:t>
                  </w:r>
                </w:p>
              </w:tc>
              <w:tc>
                <w:tcPr>
                  <w:tcW w:w="1103" w:type="pct"/>
                  <w:vAlign w:val="center"/>
                </w:tcPr>
                <w:p w14:paraId="0862775A">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CO量过大造成爆炸事故</w:t>
                  </w:r>
                </w:p>
              </w:tc>
              <w:tc>
                <w:tcPr>
                  <w:tcW w:w="842" w:type="pct"/>
                  <w:vMerge w:val="continue"/>
                  <w:vAlign w:val="center"/>
                </w:tcPr>
                <w:p w14:paraId="6D302E0D">
                  <w:pPr>
                    <w:tabs>
                      <w:tab w:val="left" w:pos="1215"/>
                    </w:tabs>
                    <w:adjustRightInd w:val="0"/>
                    <w:snapToGrid w:val="0"/>
                    <w:jc w:val="both"/>
                    <w:rPr>
                      <w:rFonts w:hint="default" w:ascii="Times New Roman" w:hAnsi="Times New Roman" w:eastAsia="宋体" w:cs="Times New Roman"/>
                      <w:color w:val="0000FF"/>
                      <w:sz w:val="21"/>
                      <w:szCs w:val="21"/>
                      <w:lang w:val="en-US" w:eastAsia="zh-CN"/>
                    </w:rPr>
                  </w:pPr>
                </w:p>
              </w:tc>
              <w:tc>
                <w:tcPr>
                  <w:tcW w:w="860" w:type="pct"/>
                  <w:vMerge w:val="continue"/>
                  <w:vAlign w:val="center"/>
                </w:tcPr>
                <w:p w14:paraId="07F09F0A">
                  <w:pPr>
                    <w:tabs>
                      <w:tab w:val="left" w:pos="1215"/>
                    </w:tabs>
                    <w:adjustRightInd w:val="0"/>
                    <w:snapToGrid w:val="0"/>
                    <w:jc w:val="both"/>
                    <w:rPr>
                      <w:rFonts w:hint="default" w:ascii="Times New Roman" w:hAnsi="Times New Roman" w:eastAsia="宋体" w:cs="Times New Roman"/>
                      <w:color w:val="0000FF"/>
                      <w:sz w:val="21"/>
                      <w:szCs w:val="21"/>
                      <w:lang w:val="en-US" w:eastAsia="zh-CN"/>
                    </w:rPr>
                  </w:pPr>
                </w:p>
              </w:tc>
            </w:tr>
          </w:tbl>
          <w:p w14:paraId="09142743">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FF"/>
                <w:kern w:val="0"/>
                <w:sz w:val="24"/>
                <w:szCs w:val="21"/>
                <w:lang w:val="en-US" w:eastAsia="zh-CN" w:bidi="ar-SA"/>
              </w:rPr>
            </w:pPr>
            <w:r>
              <w:rPr>
                <w:rFonts w:hint="eastAsia" w:cs="Times New Roman"/>
                <w:color w:val="0000FF"/>
                <w:kern w:val="0"/>
                <w:sz w:val="24"/>
                <w:szCs w:val="21"/>
                <w:lang w:val="en-US" w:eastAsia="zh-CN" w:bidi="ar-SA"/>
              </w:rPr>
              <w:t xml:space="preserve">（2）储运设施 </w:t>
            </w:r>
          </w:p>
          <w:p w14:paraId="5CA8BF67">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FF"/>
                <w:kern w:val="0"/>
                <w:sz w:val="24"/>
                <w:szCs w:val="21"/>
                <w:lang w:val="en-US" w:eastAsia="zh-CN" w:bidi="ar-SA"/>
              </w:rPr>
            </w:pPr>
            <w:r>
              <w:rPr>
                <w:rFonts w:hint="eastAsia" w:cs="Times New Roman"/>
                <w:color w:val="0000FF"/>
                <w:kern w:val="0"/>
                <w:sz w:val="24"/>
                <w:szCs w:val="21"/>
                <w:lang w:val="en-US" w:eastAsia="zh-CN" w:bidi="ar-SA"/>
              </w:rPr>
              <w:t xml:space="preserve">储运过程环境风险识别主要是物料在储运过程中的泄漏。替代燃料在运输过程中若因疏忽或交通事故导致物料散落，则会对区域环境造成污染，具有一定风险性。替代燃料贮存于相应的储存设施内，并采取相应的防渗措施。 </w:t>
            </w:r>
          </w:p>
          <w:p w14:paraId="6C682631">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FF"/>
                <w:kern w:val="0"/>
                <w:sz w:val="24"/>
                <w:szCs w:val="21"/>
                <w:lang w:val="en-US" w:eastAsia="zh-CN" w:bidi="ar-SA"/>
              </w:rPr>
            </w:pPr>
            <w:r>
              <w:rPr>
                <w:rFonts w:hint="eastAsia" w:cs="Times New Roman"/>
                <w:color w:val="0000FF"/>
                <w:kern w:val="0"/>
                <w:sz w:val="24"/>
                <w:szCs w:val="21"/>
                <w:lang w:val="en-US" w:eastAsia="zh-CN" w:bidi="ar-SA"/>
              </w:rPr>
              <w:t xml:space="preserve">（3）环保工程 </w:t>
            </w:r>
          </w:p>
          <w:p w14:paraId="34BD583B">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FF"/>
                <w:kern w:val="0"/>
                <w:sz w:val="24"/>
                <w:szCs w:val="21"/>
                <w:lang w:val="en-US" w:eastAsia="zh-CN" w:bidi="ar-SA"/>
              </w:rPr>
            </w:pPr>
            <w:r>
              <w:rPr>
                <w:rFonts w:hint="eastAsia" w:cs="Times New Roman"/>
                <w:color w:val="0000FF"/>
                <w:kern w:val="0"/>
                <w:sz w:val="24"/>
                <w:szCs w:val="21"/>
                <w:lang w:val="en-US" w:eastAsia="zh-CN" w:bidi="ar-SA"/>
              </w:rPr>
              <w:t>环保工程若发生故障，可能会造成污染物质未经处理直接排放。本项目废气主要通过水泥窑窑尾烟气处理措施处理后排放，有火灾、泄漏中毒的潜在风险。</w:t>
            </w:r>
          </w:p>
          <w:p w14:paraId="33A461D0">
            <w:pPr>
              <w:pStyle w:val="76"/>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baseline"/>
              <w:rPr>
                <w:rFonts w:hint="eastAsia" w:ascii="Times New Roman" w:hAnsi="Times New Roman" w:eastAsia="宋体" w:cs="Times New Roman"/>
                <w:color w:val="0000FF"/>
                <w:sz w:val="21"/>
                <w:szCs w:val="21"/>
                <w:highlight w:val="none"/>
                <w:lang w:val="zh-CN"/>
              </w:rPr>
            </w:pPr>
            <w:r>
              <w:rPr>
                <w:rFonts w:hint="eastAsia" w:ascii="Times New Roman" w:hAnsi="Times New Roman" w:eastAsia="宋体" w:cs="Times New Roman"/>
                <w:color w:val="0000FF"/>
                <w:sz w:val="21"/>
                <w:szCs w:val="21"/>
                <w:highlight w:val="none"/>
                <w:lang w:val="zh-CN"/>
              </w:rPr>
              <w:t>表</w:t>
            </w:r>
            <w:r>
              <w:rPr>
                <w:rFonts w:hint="eastAsia" w:ascii="Times New Roman" w:hAnsi="Times New Roman" w:eastAsia="宋体" w:cs="Times New Roman"/>
                <w:color w:val="0000FF"/>
                <w:sz w:val="21"/>
                <w:szCs w:val="21"/>
                <w:highlight w:val="none"/>
                <w:lang w:val="en-US" w:eastAsia="zh-CN"/>
              </w:rPr>
              <w:t>4-</w:t>
            </w:r>
            <w:r>
              <w:rPr>
                <w:rFonts w:hint="eastAsia" w:ascii="Times New Roman" w:cs="Times New Roman"/>
                <w:color w:val="0000FF"/>
                <w:sz w:val="21"/>
                <w:szCs w:val="21"/>
                <w:highlight w:val="none"/>
                <w:lang w:val="en-US" w:eastAsia="zh-CN"/>
              </w:rPr>
              <w:t>24</w:t>
            </w:r>
            <w:r>
              <w:rPr>
                <w:rFonts w:hint="eastAsia" w:ascii="Times New Roman" w:hAnsi="Times New Roman" w:eastAsia="宋体" w:cs="Times New Roman"/>
                <w:color w:val="0000FF"/>
                <w:sz w:val="21"/>
                <w:szCs w:val="21"/>
                <w:highlight w:val="none"/>
                <w:lang w:val="en-US" w:eastAsia="zh-CN"/>
              </w:rPr>
              <w:t xml:space="preserve"> </w:t>
            </w:r>
            <w:r>
              <w:rPr>
                <w:rFonts w:hint="eastAsia" w:ascii="Times New Roman" w:hAnsi="Times New Roman" w:eastAsia="宋体" w:cs="Times New Roman"/>
                <w:color w:val="0000FF"/>
                <w:sz w:val="21"/>
                <w:szCs w:val="21"/>
                <w:highlight w:val="none"/>
                <w:lang w:val="zh-CN"/>
              </w:rPr>
              <w:t>环保工程环境风险识别表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0"/>
              <w:gridCol w:w="1619"/>
              <w:gridCol w:w="1858"/>
              <w:gridCol w:w="1544"/>
              <w:gridCol w:w="2810"/>
            </w:tblGrid>
            <w:tr w14:paraId="3DBF3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pct"/>
                  <w:vAlign w:val="center"/>
                </w:tcPr>
                <w:p w14:paraId="0F6B33BF">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危险单元</w:t>
                  </w:r>
                </w:p>
              </w:tc>
              <w:tc>
                <w:tcPr>
                  <w:tcW w:w="909" w:type="pct"/>
                  <w:vAlign w:val="center"/>
                </w:tcPr>
                <w:p w14:paraId="74C82210">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风险源</w:t>
                  </w:r>
                </w:p>
              </w:tc>
              <w:tc>
                <w:tcPr>
                  <w:tcW w:w="1043" w:type="pct"/>
                  <w:vAlign w:val="center"/>
                </w:tcPr>
                <w:p w14:paraId="25E9F5BC">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环境风险类型</w:t>
                  </w:r>
                </w:p>
              </w:tc>
              <w:tc>
                <w:tcPr>
                  <w:tcW w:w="867" w:type="pct"/>
                  <w:vAlign w:val="center"/>
                </w:tcPr>
                <w:p w14:paraId="21C9BC0B">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环境影响途径</w:t>
                  </w:r>
                </w:p>
              </w:tc>
              <w:tc>
                <w:tcPr>
                  <w:tcW w:w="1578" w:type="pct"/>
                  <w:vAlign w:val="center"/>
                </w:tcPr>
                <w:p w14:paraId="0EE906E7">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可能受影响的环境敏感目标</w:t>
                  </w:r>
                </w:p>
              </w:tc>
            </w:tr>
            <w:tr w14:paraId="5DCEE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pct"/>
                  <w:vAlign w:val="center"/>
                </w:tcPr>
                <w:p w14:paraId="7E965ED7">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尾气处理</w:t>
                  </w:r>
                </w:p>
              </w:tc>
              <w:tc>
                <w:tcPr>
                  <w:tcW w:w="909" w:type="pct"/>
                  <w:vAlign w:val="center"/>
                </w:tcPr>
                <w:p w14:paraId="395B770C">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水泥窑窑尾烟气处理措施</w:t>
                  </w:r>
                </w:p>
              </w:tc>
              <w:tc>
                <w:tcPr>
                  <w:tcW w:w="1043" w:type="pct"/>
                  <w:vAlign w:val="center"/>
                </w:tcPr>
                <w:p w14:paraId="1228F342">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发生故障，可能造成污染物未经处理直接排放</w:t>
                  </w:r>
                </w:p>
              </w:tc>
              <w:tc>
                <w:tcPr>
                  <w:tcW w:w="867" w:type="pct"/>
                  <w:vMerge w:val="restart"/>
                  <w:vAlign w:val="center"/>
                </w:tcPr>
                <w:p w14:paraId="25D2EB78">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下风向大气环境污染</w:t>
                  </w:r>
                </w:p>
              </w:tc>
              <w:tc>
                <w:tcPr>
                  <w:tcW w:w="1578" w:type="pct"/>
                  <w:vMerge w:val="restart"/>
                  <w:vAlign w:val="center"/>
                </w:tcPr>
                <w:p w14:paraId="3537581F">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产生的次生/伴生污染物质可能影响厂内职工及下风向大气环境敏感目标</w:t>
                  </w:r>
                </w:p>
              </w:tc>
            </w:tr>
            <w:tr w14:paraId="5F5AC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pct"/>
                  <w:vAlign w:val="center"/>
                </w:tcPr>
                <w:p w14:paraId="20C244F6">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粉尘</w:t>
                  </w:r>
                </w:p>
              </w:tc>
              <w:tc>
                <w:tcPr>
                  <w:tcW w:w="909" w:type="pct"/>
                  <w:vAlign w:val="center"/>
                </w:tcPr>
                <w:p w14:paraId="66FDADC1">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布袋</w:t>
                  </w:r>
                  <w:r>
                    <w:rPr>
                      <w:rFonts w:hint="default" w:ascii="Times New Roman" w:hAnsi="Times New Roman" w:eastAsia="宋体" w:cs="Times New Roman"/>
                      <w:color w:val="0000FF"/>
                      <w:sz w:val="21"/>
                      <w:szCs w:val="21"/>
                      <w:lang w:val="en-US" w:eastAsia="zh-CN"/>
                    </w:rPr>
                    <w:t>除尘器处理措施</w:t>
                  </w:r>
                </w:p>
              </w:tc>
              <w:tc>
                <w:tcPr>
                  <w:tcW w:w="1043" w:type="pct"/>
                  <w:vAlign w:val="center"/>
                </w:tcPr>
                <w:p w14:paraId="025A3277">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发生故障，可能造成废气超标排放</w:t>
                  </w:r>
                </w:p>
              </w:tc>
              <w:tc>
                <w:tcPr>
                  <w:tcW w:w="867" w:type="pct"/>
                  <w:vMerge w:val="continue"/>
                  <w:vAlign w:val="center"/>
                </w:tcPr>
                <w:p w14:paraId="19389AE9">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p>
              </w:tc>
              <w:tc>
                <w:tcPr>
                  <w:tcW w:w="1578" w:type="pct"/>
                  <w:vMerge w:val="continue"/>
                  <w:vAlign w:val="center"/>
                </w:tcPr>
                <w:p w14:paraId="0459231B">
                  <w:pPr>
                    <w:tabs>
                      <w:tab w:val="left" w:pos="1215"/>
                    </w:tabs>
                    <w:adjustRightInd w:val="0"/>
                    <w:snapToGrid w:val="0"/>
                    <w:jc w:val="center"/>
                    <w:rPr>
                      <w:rFonts w:hint="default" w:ascii="Times New Roman" w:hAnsi="Times New Roman" w:eastAsia="宋体" w:cs="Times New Roman"/>
                      <w:color w:val="0000FF"/>
                      <w:sz w:val="21"/>
                      <w:szCs w:val="21"/>
                      <w:lang w:val="en-US" w:eastAsia="zh-CN"/>
                    </w:rPr>
                  </w:pPr>
                </w:p>
              </w:tc>
            </w:tr>
          </w:tbl>
          <w:p w14:paraId="45EAB176">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FF"/>
                <w:kern w:val="0"/>
                <w:sz w:val="24"/>
                <w:szCs w:val="21"/>
                <w:lang w:val="en-US" w:eastAsia="zh-CN" w:bidi="ar-SA"/>
              </w:rPr>
            </w:pPr>
            <w:r>
              <w:rPr>
                <w:rFonts w:hint="eastAsia" w:cs="Times New Roman"/>
                <w:color w:val="0000FF"/>
                <w:kern w:val="0"/>
                <w:sz w:val="24"/>
                <w:szCs w:val="21"/>
                <w:lang w:val="en-US" w:eastAsia="zh-CN" w:bidi="ar-SA"/>
              </w:rPr>
              <w:t>3、危险物质数量与临界量比值（Q）</w:t>
            </w:r>
          </w:p>
          <w:p w14:paraId="594A12C0">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0000FF"/>
                <w:kern w:val="0"/>
                <w:sz w:val="24"/>
                <w:szCs w:val="21"/>
                <w:vertAlign w:val="baseline"/>
                <w:lang w:val="en-US" w:eastAsia="zh-CN" w:bidi="ar-SA"/>
              </w:rPr>
            </w:pPr>
            <w:r>
              <w:rPr>
                <w:rFonts w:hint="eastAsia" w:cs="Times New Roman"/>
                <w:b w:val="0"/>
                <w:bCs w:val="0"/>
                <w:color w:val="0000FF"/>
                <w:kern w:val="0"/>
                <w:sz w:val="24"/>
                <w:szCs w:val="21"/>
                <w:vertAlign w:val="baseline"/>
                <w:lang w:val="en-US" w:eastAsia="zh-CN" w:bidi="ar-SA"/>
              </w:rPr>
              <w:t>根据《建设项目环境风险评价技术导则》（HJ 169-2018）附录C，危险物质数量与临界量的比值（Q）如下：</w:t>
            </w:r>
          </w:p>
          <w:p w14:paraId="4487F73B">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0000FF"/>
                <w:kern w:val="0"/>
                <w:sz w:val="24"/>
                <w:szCs w:val="21"/>
                <w:vertAlign w:val="baseline"/>
                <w:lang w:val="en-US" w:eastAsia="zh-CN" w:bidi="ar-SA"/>
              </w:rPr>
            </w:pPr>
            <w:r>
              <w:rPr>
                <w:rFonts w:hint="eastAsia" w:cs="Times New Roman"/>
                <w:b w:val="0"/>
                <w:bCs w:val="0"/>
                <w:color w:val="0000FF"/>
                <w:kern w:val="0"/>
                <w:sz w:val="24"/>
                <w:szCs w:val="21"/>
                <w:vertAlign w:val="baseline"/>
                <w:lang w:val="en-US" w:eastAsia="zh-CN" w:bidi="ar-SA"/>
              </w:rPr>
              <w:t>当只涉及一种危险物质时，计算该物质总量与临界量的比值，即为Q；当存在多种危险物质时，按照下列公式计算物质总量与临界量的比值（Q）；</w:t>
            </w:r>
          </w:p>
          <w:p w14:paraId="00AAB22F">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default" w:hAnsi="Cambria Math" w:cs="Times New Roman"/>
                <w:b w:val="0"/>
                <w:bCs w:val="0"/>
                <w:i w:val="0"/>
                <w:color w:val="0000FF"/>
                <w:kern w:val="0"/>
                <w:sz w:val="24"/>
                <w:szCs w:val="21"/>
                <w:vertAlign w:val="baseline"/>
                <w:lang w:val="en-US" w:eastAsia="zh-CN" w:bidi="ar-SA"/>
              </w:rPr>
            </w:pPr>
            <m:oMathPara>
              <m:oMath>
                <m:r>
                  <m:rPr>
                    <m:sty m:val="p"/>
                  </m:rPr>
                  <w:rPr>
                    <w:rFonts w:hint="default" w:ascii="Cambria Math" w:hAnsi="Cambria Math" w:cs="Times New Roman"/>
                    <w:color w:val="0000FF"/>
                    <w:kern w:val="0"/>
                    <w:sz w:val="24"/>
                    <w:szCs w:val="21"/>
                    <w:vertAlign w:val="baseline"/>
                    <w:lang w:val="en-US" w:eastAsia="zh-CN" w:bidi="ar-SA"/>
                  </w:rPr>
                  <m:t>Q=</m:t>
                </m:r>
                <m:f>
                  <m:fPr>
                    <m:ctrlPr>
                      <w:rPr>
                        <w:rFonts w:hint="default" w:ascii="Cambria Math" w:hAnsi="Cambria Math" w:cs="Times New Roman"/>
                        <w:b w:val="0"/>
                        <w:bCs w:val="0"/>
                        <w:color w:val="0000FF"/>
                        <w:kern w:val="0"/>
                        <w:sz w:val="24"/>
                        <w:szCs w:val="21"/>
                        <w:vertAlign w:val="baseline"/>
                        <w:lang w:val="en-US" w:eastAsia="zh-CN" w:bidi="ar-SA"/>
                      </w:rPr>
                    </m:ctrlPr>
                  </m:fPr>
                  <m:num>
                    <m:sSub>
                      <m:sSubPr>
                        <m:ctrlPr>
                          <w:rPr>
                            <w:rFonts w:hint="default" w:ascii="Cambria Math" w:hAnsi="Cambria Math" w:cs="Times New Roman"/>
                            <w:b w:val="0"/>
                            <w:bCs w:val="0"/>
                            <w:color w:val="0000FF"/>
                            <w:kern w:val="0"/>
                            <w:sz w:val="24"/>
                            <w:szCs w:val="21"/>
                            <w:vertAlign w:val="baseline"/>
                            <w:lang w:val="en-US" w:eastAsia="zh-CN" w:bidi="ar-SA"/>
                          </w:rPr>
                        </m:ctrlPr>
                      </m:sSubPr>
                      <m:e>
                        <m:r>
                          <m:rPr>
                            <m:sty m:val="p"/>
                          </m:rPr>
                          <w:rPr>
                            <w:rFonts w:hint="default" w:ascii="Cambria Math" w:hAnsi="Cambria Math" w:cs="Times New Roman"/>
                            <w:color w:val="0000FF"/>
                            <w:kern w:val="0"/>
                            <w:sz w:val="24"/>
                            <w:szCs w:val="21"/>
                            <w:vertAlign w:val="baseline"/>
                            <w:lang w:val="en-US" w:eastAsia="zh-CN" w:bidi="ar-SA"/>
                          </w:rPr>
                          <m:t>q</m:t>
                        </m:r>
                        <m:ctrlPr>
                          <w:rPr>
                            <w:rFonts w:hint="default" w:ascii="Cambria Math" w:hAnsi="Cambria Math" w:cs="Times New Roman"/>
                            <w:b w:val="0"/>
                            <w:bCs w:val="0"/>
                            <w:color w:val="0000FF"/>
                            <w:kern w:val="0"/>
                            <w:sz w:val="24"/>
                            <w:szCs w:val="21"/>
                            <w:vertAlign w:val="baseline"/>
                            <w:lang w:val="en-US" w:eastAsia="zh-CN" w:bidi="ar-SA"/>
                          </w:rPr>
                        </m:ctrlPr>
                      </m:e>
                      <m:sub>
                        <m:r>
                          <m:rPr>
                            <m:sty m:val="p"/>
                          </m:rPr>
                          <w:rPr>
                            <w:rFonts w:hint="default" w:ascii="Cambria Math" w:hAnsi="Cambria Math" w:cs="Times New Roman"/>
                            <w:color w:val="0000FF"/>
                            <w:kern w:val="0"/>
                            <w:sz w:val="24"/>
                            <w:szCs w:val="21"/>
                            <w:vertAlign w:val="baseline"/>
                            <w:lang w:val="en-US" w:eastAsia="zh-CN" w:bidi="ar-SA"/>
                          </w:rPr>
                          <m:t>1</m:t>
                        </m:r>
                        <m:ctrlPr>
                          <w:rPr>
                            <w:rFonts w:hint="default" w:ascii="Cambria Math" w:hAnsi="Cambria Math" w:cs="Times New Roman"/>
                            <w:b w:val="0"/>
                            <w:bCs w:val="0"/>
                            <w:color w:val="0000FF"/>
                            <w:kern w:val="0"/>
                            <w:sz w:val="24"/>
                            <w:szCs w:val="21"/>
                            <w:vertAlign w:val="baseline"/>
                            <w:lang w:val="en-US" w:eastAsia="zh-CN" w:bidi="ar-SA"/>
                          </w:rPr>
                        </m:ctrlPr>
                      </m:sub>
                    </m:sSub>
                    <m:ctrlPr>
                      <w:rPr>
                        <w:rFonts w:hint="default" w:ascii="Cambria Math" w:hAnsi="Cambria Math" w:cs="Times New Roman"/>
                        <w:b w:val="0"/>
                        <w:bCs w:val="0"/>
                        <w:color w:val="0000FF"/>
                        <w:kern w:val="0"/>
                        <w:sz w:val="24"/>
                        <w:szCs w:val="21"/>
                        <w:vertAlign w:val="baseline"/>
                        <w:lang w:val="en-US" w:eastAsia="zh-CN" w:bidi="ar-SA"/>
                      </w:rPr>
                    </m:ctrlPr>
                  </m:num>
                  <m:den>
                    <m:sSub>
                      <m:sSubPr>
                        <m:ctrlPr>
                          <w:rPr>
                            <w:rFonts w:hint="default" w:ascii="Cambria Math" w:hAnsi="Cambria Math" w:cs="Times New Roman"/>
                            <w:b w:val="0"/>
                            <w:bCs w:val="0"/>
                            <w:color w:val="0000FF"/>
                            <w:kern w:val="0"/>
                            <w:sz w:val="24"/>
                            <w:szCs w:val="21"/>
                            <w:vertAlign w:val="baseline"/>
                            <w:lang w:val="en-US" w:eastAsia="zh-CN" w:bidi="ar-SA"/>
                          </w:rPr>
                        </m:ctrlPr>
                      </m:sSubPr>
                      <m:e>
                        <m:r>
                          <m:rPr>
                            <m:sty m:val="p"/>
                          </m:rPr>
                          <w:rPr>
                            <w:rFonts w:hint="default" w:ascii="Cambria Math" w:hAnsi="Cambria Math" w:cs="Times New Roman"/>
                            <w:color w:val="0000FF"/>
                            <w:kern w:val="0"/>
                            <w:sz w:val="24"/>
                            <w:szCs w:val="21"/>
                            <w:vertAlign w:val="baseline"/>
                            <w:lang w:val="en-US" w:eastAsia="zh-CN" w:bidi="ar-SA"/>
                          </w:rPr>
                          <m:t>Q</m:t>
                        </m:r>
                        <m:ctrlPr>
                          <w:rPr>
                            <w:rFonts w:hint="default" w:ascii="Cambria Math" w:hAnsi="Cambria Math" w:cs="Times New Roman"/>
                            <w:b w:val="0"/>
                            <w:bCs w:val="0"/>
                            <w:color w:val="0000FF"/>
                            <w:kern w:val="0"/>
                            <w:sz w:val="24"/>
                            <w:szCs w:val="21"/>
                            <w:vertAlign w:val="baseline"/>
                            <w:lang w:val="en-US" w:eastAsia="zh-CN" w:bidi="ar-SA"/>
                          </w:rPr>
                        </m:ctrlPr>
                      </m:e>
                      <m:sub>
                        <m:r>
                          <m:rPr>
                            <m:sty m:val="p"/>
                          </m:rPr>
                          <w:rPr>
                            <w:rFonts w:hint="default" w:ascii="Cambria Math" w:hAnsi="Cambria Math" w:cs="Times New Roman"/>
                            <w:color w:val="0000FF"/>
                            <w:kern w:val="0"/>
                            <w:sz w:val="24"/>
                            <w:szCs w:val="21"/>
                            <w:vertAlign w:val="baseline"/>
                            <w:lang w:val="en-US" w:eastAsia="zh-CN" w:bidi="ar-SA"/>
                          </w:rPr>
                          <m:t>1</m:t>
                        </m:r>
                        <m:ctrlPr>
                          <w:rPr>
                            <w:rFonts w:hint="default" w:ascii="Cambria Math" w:hAnsi="Cambria Math" w:cs="Times New Roman"/>
                            <w:b w:val="0"/>
                            <w:bCs w:val="0"/>
                            <w:color w:val="0000FF"/>
                            <w:kern w:val="0"/>
                            <w:sz w:val="24"/>
                            <w:szCs w:val="21"/>
                            <w:vertAlign w:val="baseline"/>
                            <w:lang w:val="en-US" w:eastAsia="zh-CN" w:bidi="ar-SA"/>
                          </w:rPr>
                        </m:ctrlPr>
                      </m:sub>
                    </m:sSub>
                    <m:ctrlPr>
                      <w:rPr>
                        <w:rFonts w:hint="default" w:ascii="Cambria Math" w:hAnsi="Cambria Math" w:cs="Times New Roman"/>
                        <w:b w:val="0"/>
                        <w:bCs w:val="0"/>
                        <w:color w:val="0000FF"/>
                        <w:kern w:val="0"/>
                        <w:sz w:val="24"/>
                        <w:szCs w:val="21"/>
                        <w:vertAlign w:val="baseline"/>
                        <w:lang w:val="en-US" w:eastAsia="zh-CN" w:bidi="ar-SA"/>
                      </w:rPr>
                    </m:ctrlPr>
                  </m:den>
                </m:f>
                <m:r>
                  <m:rPr>
                    <m:sty m:val="p"/>
                  </m:rPr>
                  <w:rPr>
                    <w:rFonts w:hint="default" w:ascii="Cambria Math" w:hAnsi="Cambria Math" w:cs="Times New Roman"/>
                    <w:color w:val="0000FF"/>
                    <w:kern w:val="0"/>
                    <w:sz w:val="24"/>
                    <w:szCs w:val="21"/>
                    <w:vertAlign w:val="baseline"/>
                    <w:lang w:val="en-US" w:eastAsia="zh-CN" w:bidi="ar-SA"/>
                  </w:rPr>
                  <m:t>+</m:t>
                </m:r>
                <m:f>
                  <m:fPr>
                    <m:ctrlPr>
                      <w:rPr>
                        <w:rFonts w:hint="default" w:ascii="Cambria Math" w:hAnsi="Cambria Math" w:cs="Times New Roman"/>
                        <w:b w:val="0"/>
                        <w:bCs w:val="0"/>
                        <w:color w:val="0000FF"/>
                        <w:kern w:val="0"/>
                        <w:sz w:val="24"/>
                        <w:szCs w:val="21"/>
                        <w:vertAlign w:val="baseline"/>
                        <w:lang w:val="en-US" w:eastAsia="zh-CN" w:bidi="ar-SA"/>
                      </w:rPr>
                    </m:ctrlPr>
                  </m:fPr>
                  <m:num>
                    <m:sSub>
                      <m:sSubPr>
                        <m:ctrlPr>
                          <w:rPr>
                            <w:rFonts w:hint="default" w:ascii="Cambria Math" w:hAnsi="Cambria Math" w:cs="Times New Roman"/>
                            <w:b w:val="0"/>
                            <w:bCs w:val="0"/>
                            <w:color w:val="0000FF"/>
                            <w:kern w:val="0"/>
                            <w:sz w:val="24"/>
                            <w:szCs w:val="21"/>
                            <w:vertAlign w:val="baseline"/>
                            <w:lang w:val="en-US" w:eastAsia="zh-CN" w:bidi="ar-SA"/>
                          </w:rPr>
                        </m:ctrlPr>
                      </m:sSubPr>
                      <m:e>
                        <m:r>
                          <m:rPr>
                            <m:sty m:val="p"/>
                          </m:rPr>
                          <w:rPr>
                            <w:rFonts w:hint="default" w:ascii="Cambria Math" w:hAnsi="Cambria Math" w:cs="Times New Roman"/>
                            <w:color w:val="0000FF"/>
                            <w:kern w:val="0"/>
                            <w:sz w:val="24"/>
                            <w:szCs w:val="21"/>
                            <w:vertAlign w:val="baseline"/>
                            <w:lang w:val="en-US" w:eastAsia="zh-CN" w:bidi="ar-SA"/>
                          </w:rPr>
                          <m:t>q</m:t>
                        </m:r>
                        <m:ctrlPr>
                          <w:rPr>
                            <w:rFonts w:hint="default" w:ascii="Cambria Math" w:hAnsi="Cambria Math" w:cs="Times New Roman"/>
                            <w:b w:val="0"/>
                            <w:bCs w:val="0"/>
                            <w:color w:val="0000FF"/>
                            <w:kern w:val="0"/>
                            <w:sz w:val="24"/>
                            <w:szCs w:val="21"/>
                            <w:vertAlign w:val="baseline"/>
                            <w:lang w:val="en-US" w:eastAsia="zh-CN" w:bidi="ar-SA"/>
                          </w:rPr>
                        </m:ctrlPr>
                      </m:e>
                      <m:sub>
                        <m:r>
                          <m:rPr>
                            <m:sty m:val="p"/>
                          </m:rPr>
                          <w:rPr>
                            <w:rFonts w:hint="default" w:ascii="Cambria Math" w:hAnsi="Cambria Math" w:cs="Times New Roman"/>
                            <w:color w:val="0000FF"/>
                            <w:kern w:val="0"/>
                            <w:sz w:val="24"/>
                            <w:szCs w:val="21"/>
                            <w:vertAlign w:val="baseline"/>
                            <w:lang w:val="en-US" w:eastAsia="zh-CN" w:bidi="ar-SA"/>
                          </w:rPr>
                          <m:t>2</m:t>
                        </m:r>
                        <m:ctrlPr>
                          <w:rPr>
                            <w:rFonts w:hint="default" w:ascii="Cambria Math" w:hAnsi="Cambria Math" w:cs="Times New Roman"/>
                            <w:b w:val="0"/>
                            <w:bCs w:val="0"/>
                            <w:color w:val="0000FF"/>
                            <w:kern w:val="0"/>
                            <w:sz w:val="24"/>
                            <w:szCs w:val="21"/>
                            <w:vertAlign w:val="baseline"/>
                            <w:lang w:val="en-US" w:eastAsia="zh-CN" w:bidi="ar-SA"/>
                          </w:rPr>
                        </m:ctrlPr>
                      </m:sub>
                    </m:sSub>
                    <m:ctrlPr>
                      <w:rPr>
                        <w:rFonts w:hint="default" w:ascii="Cambria Math" w:hAnsi="Cambria Math" w:cs="Times New Roman"/>
                        <w:b w:val="0"/>
                        <w:bCs w:val="0"/>
                        <w:color w:val="0000FF"/>
                        <w:kern w:val="0"/>
                        <w:sz w:val="24"/>
                        <w:szCs w:val="21"/>
                        <w:vertAlign w:val="baseline"/>
                        <w:lang w:val="en-US" w:eastAsia="zh-CN" w:bidi="ar-SA"/>
                      </w:rPr>
                    </m:ctrlPr>
                  </m:num>
                  <m:den>
                    <m:sSub>
                      <m:sSubPr>
                        <m:ctrlPr>
                          <w:rPr>
                            <w:rFonts w:hint="default" w:ascii="Cambria Math" w:hAnsi="Cambria Math" w:cs="Times New Roman"/>
                            <w:b w:val="0"/>
                            <w:bCs w:val="0"/>
                            <w:color w:val="0000FF"/>
                            <w:kern w:val="0"/>
                            <w:sz w:val="24"/>
                            <w:szCs w:val="21"/>
                            <w:vertAlign w:val="baseline"/>
                            <w:lang w:val="en-US" w:eastAsia="zh-CN" w:bidi="ar-SA"/>
                          </w:rPr>
                        </m:ctrlPr>
                      </m:sSubPr>
                      <m:e>
                        <m:r>
                          <m:rPr>
                            <m:sty m:val="p"/>
                          </m:rPr>
                          <w:rPr>
                            <w:rFonts w:hint="default" w:ascii="Cambria Math" w:hAnsi="Cambria Math" w:cs="Times New Roman"/>
                            <w:color w:val="0000FF"/>
                            <w:kern w:val="0"/>
                            <w:sz w:val="24"/>
                            <w:szCs w:val="21"/>
                            <w:vertAlign w:val="baseline"/>
                            <w:lang w:val="en-US" w:eastAsia="zh-CN" w:bidi="ar-SA"/>
                          </w:rPr>
                          <m:t>Q</m:t>
                        </m:r>
                        <m:ctrlPr>
                          <w:rPr>
                            <w:rFonts w:hint="default" w:ascii="Cambria Math" w:hAnsi="Cambria Math" w:cs="Times New Roman"/>
                            <w:b w:val="0"/>
                            <w:bCs w:val="0"/>
                            <w:color w:val="0000FF"/>
                            <w:kern w:val="0"/>
                            <w:sz w:val="24"/>
                            <w:szCs w:val="21"/>
                            <w:vertAlign w:val="baseline"/>
                            <w:lang w:val="en-US" w:eastAsia="zh-CN" w:bidi="ar-SA"/>
                          </w:rPr>
                        </m:ctrlPr>
                      </m:e>
                      <m:sub>
                        <m:r>
                          <m:rPr>
                            <m:sty m:val="p"/>
                          </m:rPr>
                          <w:rPr>
                            <w:rFonts w:hint="default" w:ascii="Cambria Math" w:hAnsi="Cambria Math" w:cs="Times New Roman"/>
                            <w:color w:val="0000FF"/>
                            <w:kern w:val="0"/>
                            <w:sz w:val="24"/>
                            <w:szCs w:val="21"/>
                            <w:vertAlign w:val="baseline"/>
                            <w:lang w:val="en-US" w:eastAsia="zh-CN" w:bidi="ar-SA"/>
                          </w:rPr>
                          <m:t>2</m:t>
                        </m:r>
                        <m:ctrlPr>
                          <w:rPr>
                            <w:rFonts w:hint="default" w:ascii="Cambria Math" w:hAnsi="Cambria Math" w:cs="Times New Roman"/>
                            <w:b w:val="0"/>
                            <w:bCs w:val="0"/>
                            <w:color w:val="0000FF"/>
                            <w:kern w:val="0"/>
                            <w:sz w:val="24"/>
                            <w:szCs w:val="21"/>
                            <w:vertAlign w:val="baseline"/>
                            <w:lang w:val="en-US" w:eastAsia="zh-CN" w:bidi="ar-SA"/>
                          </w:rPr>
                        </m:ctrlPr>
                      </m:sub>
                    </m:sSub>
                    <m:ctrlPr>
                      <w:rPr>
                        <w:rFonts w:hint="default" w:ascii="Cambria Math" w:hAnsi="Cambria Math" w:cs="Times New Roman"/>
                        <w:b w:val="0"/>
                        <w:bCs w:val="0"/>
                        <w:color w:val="0000FF"/>
                        <w:kern w:val="0"/>
                        <w:sz w:val="24"/>
                        <w:szCs w:val="21"/>
                        <w:vertAlign w:val="baseline"/>
                        <w:lang w:val="en-US" w:eastAsia="zh-CN" w:bidi="ar-SA"/>
                      </w:rPr>
                    </m:ctrlPr>
                  </m:den>
                </m:f>
                <m:r>
                  <m:rPr>
                    <m:sty m:val="p"/>
                  </m:rPr>
                  <w:rPr>
                    <w:rFonts w:hint="default" w:ascii="Cambria Math" w:hAnsi="Cambria Math" w:cs="Times New Roman"/>
                    <w:color w:val="0000FF"/>
                    <w:kern w:val="0"/>
                    <w:sz w:val="24"/>
                    <w:szCs w:val="21"/>
                    <w:vertAlign w:val="baseline"/>
                    <w:lang w:val="en-US" w:eastAsia="zh-CN" w:bidi="ar-SA"/>
                  </w:rPr>
                  <m:t>+</m:t>
                </m:r>
                <m:r>
                  <m:rPr>
                    <m:sty m:val="p"/>
                  </m:rPr>
                  <w:rPr>
                    <w:rFonts w:hint="eastAsia" w:hAnsi="Cambria Math" w:cs="Times New Roman"/>
                    <w:color w:val="0000FF"/>
                    <w:kern w:val="0"/>
                    <w:sz w:val="24"/>
                    <w:szCs w:val="21"/>
                    <w:vertAlign w:val="baseline"/>
                    <w:lang w:val="en-US" w:eastAsia="zh-CN" w:bidi="ar-SA"/>
                  </w:rPr>
                  <m:t>…</m:t>
                </m:r>
                <m:r>
                  <m:rPr>
                    <m:sty m:val="p"/>
                  </m:rPr>
                  <w:rPr>
                    <w:rFonts w:hint="default" w:ascii="Cambria Math" w:hAnsi="Cambria Math" w:cs="Times New Roman"/>
                    <w:color w:val="0000FF"/>
                    <w:kern w:val="0"/>
                    <w:sz w:val="24"/>
                    <w:szCs w:val="21"/>
                    <w:vertAlign w:val="baseline"/>
                    <w:lang w:val="en-US" w:eastAsia="zh-CN" w:bidi="ar-SA"/>
                  </w:rPr>
                  <m:t>+</m:t>
                </m:r>
                <m:f>
                  <m:fPr>
                    <m:ctrlPr>
                      <w:rPr>
                        <w:rFonts w:hint="default" w:ascii="Cambria Math" w:hAnsi="Cambria Math" w:cs="Times New Roman"/>
                        <w:b w:val="0"/>
                        <w:bCs w:val="0"/>
                        <w:color w:val="0000FF"/>
                        <w:kern w:val="0"/>
                        <w:sz w:val="24"/>
                        <w:szCs w:val="21"/>
                        <w:vertAlign w:val="baseline"/>
                        <w:lang w:val="en-US" w:eastAsia="zh-CN" w:bidi="ar-SA"/>
                      </w:rPr>
                    </m:ctrlPr>
                  </m:fPr>
                  <m:num>
                    <m:sSub>
                      <m:sSubPr>
                        <m:ctrlPr>
                          <w:rPr>
                            <w:rFonts w:hint="default" w:ascii="Cambria Math" w:hAnsi="Cambria Math" w:cs="Times New Roman"/>
                            <w:b w:val="0"/>
                            <w:bCs w:val="0"/>
                            <w:color w:val="0000FF"/>
                            <w:kern w:val="0"/>
                            <w:sz w:val="24"/>
                            <w:szCs w:val="21"/>
                            <w:vertAlign w:val="baseline"/>
                            <w:lang w:val="en-US" w:eastAsia="zh-CN" w:bidi="ar-SA"/>
                          </w:rPr>
                        </m:ctrlPr>
                      </m:sSubPr>
                      <m:e>
                        <m:r>
                          <m:rPr>
                            <m:sty m:val="p"/>
                          </m:rPr>
                          <w:rPr>
                            <w:rFonts w:hint="default" w:ascii="Cambria Math" w:hAnsi="Cambria Math" w:cs="Times New Roman"/>
                            <w:color w:val="0000FF"/>
                            <w:kern w:val="0"/>
                            <w:sz w:val="24"/>
                            <w:szCs w:val="21"/>
                            <w:vertAlign w:val="baseline"/>
                            <w:lang w:val="en-US" w:eastAsia="zh-CN" w:bidi="ar-SA"/>
                          </w:rPr>
                          <m:t>q</m:t>
                        </m:r>
                        <m:ctrlPr>
                          <w:rPr>
                            <w:rFonts w:hint="default" w:ascii="Cambria Math" w:hAnsi="Cambria Math" w:cs="Times New Roman"/>
                            <w:b w:val="0"/>
                            <w:bCs w:val="0"/>
                            <w:color w:val="0000FF"/>
                            <w:kern w:val="0"/>
                            <w:sz w:val="24"/>
                            <w:szCs w:val="21"/>
                            <w:vertAlign w:val="baseline"/>
                            <w:lang w:val="en-US" w:eastAsia="zh-CN" w:bidi="ar-SA"/>
                          </w:rPr>
                        </m:ctrlPr>
                      </m:e>
                      <m:sub>
                        <m:r>
                          <m:rPr>
                            <m:sty m:val="p"/>
                          </m:rPr>
                          <w:rPr>
                            <w:rFonts w:hint="default" w:ascii="Cambria Math" w:hAnsi="Cambria Math" w:cs="Times New Roman"/>
                            <w:color w:val="0000FF"/>
                            <w:kern w:val="0"/>
                            <w:sz w:val="24"/>
                            <w:szCs w:val="21"/>
                            <w:vertAlign w:val="baseline"/>
                            <w:lang w:val="en-US" w:eastAsia="zh-CN" w:bidi="ar-SA"/>
                          </w:rPr>
                          <m:t>n</m:t>
                        </m:r>
                        <m:ctrlPr>
                          <w:rPr>
                            <w:rFonts w:hint="default" w:ascii="Cambria Math" w:hAnsi="Cambria Math" w:cs="Times New Roman"/>
                            <w:b w:val="0"/>
                            <w:bCs w:val="0"/>
                            <w:color w:val="0000FF"/>
                            <w:kern w:val="0"/>
                            <w:sz w:val="24"/>
                            <w:szCs w:val="21"/>
                            <w:vertAlign w:val="baseline"/>
                            <w:lang w:val="en-US" w:eastAsia="zh-CN" w:bidi="ar-SA"/>
                          </w:rPr>
                        </m:ctrlPr>
                      </m:sub>
                    </m:sSub>
                    <m:ctrlPr>
                      <w:rPr>
                        <w:rFonts w:hint="default" w:ascii="Cambria Math" w:hAnsi="Cambria Math" w:cs="Times New Roman"/>
                        <w:b w:val="0"/>
                        <w:bCs w:val="0"/>
                        <w:color w:val="0000FF"/>
                        <w:kern w:val="0"/>
                        <w:sz w:val="24"/>
                        <w:szCs w:val="21"/>
                        <w:vertAlign w:val="baseline"/>
                        <w:lang w:val="en-US" w:eastAsia="zh-CN" w:bidi="ar-SA"/>
                      </w:rPr>
                    </m:ctrlPr>
                  </m:num>
                  <m:den>
                    <m:sSub>
                      <m:sSubPr>
                        <m:ctrlPr>
                          <w:rPr>
                            <w:rFonts w:hint="default" w:ascii="Cambria Math" w:hAnsi="Cambria Math" w:cs="Times New Roman"/>
                            <w:b w:val="0"/>
                            <w:bCs w:val="0"/>
                            <w:color w:val="0000FF"/>
                            <w:kern w:val="0"/>
                            <w:sz w:val="24"/>
                            <w:szCs w:val="21"/>
                            <w:vertAlign w:val="baseline"/>
                            <w:lang w:val="en-US" w:eastAsia="zh-CN" w:bidi="ar-SA"/>
                          </w:rPr>
                        </m:ctrlPr>
                      </m:sSubPr>
                      <m:e>
                        <m:r>
                          <m:rPr>
                            <m:sty m:val="p"/>
                          </m:rPr>
                          <w:rPr>
                            <w:rFonts w:hint="default" w:ascii="Cambria Math" w:hAnsi="Cambria Math" w:cs="Times New Roman"/>
                            <w:color w:val="0000FF"/>
                            <w:kern w:val="0"/>
                            <w:sz w:val="24"/>
                            <w:szCs w:val="21"/>
                            <w:vertAlign w:val="baseline"/>
                            <w:lang w:val="en-US" w:eastAsia="zh-CN" w:bidi="ar-SA"/>
                          </w:rPr>
                          <m:t>Q</m:t>
                        </m:r>
                        <m:ctrlPr>
                          <w:rPr>
                            <w:rFonts w:hint="default" w:ascii="Cambria Math" w:hAnsi="Cambria Math" w:cs="Times New Roman"/>
                            <w:b w:val="0"/>
                            <w:bCs w:val="0"/>
                            <w:color w:val="0000FF"/>
                            <w:kern w:val="0"/>
                            <w:sz w:val="24"/>
                            <w:szCs w:val="21"/>
                            <w:vertAlign w:val="baseline"/>
                            <w:lang w:val="en-US" w:eastAsia="zh-CN" w:bidi="ar-SA"/>
                          </w:rPr>
                        </m:ctrlPr>
                      </m:e>
                      <m:sub>
                        <m:r>
                          <m:rPr>
                            <m:sty m:val="p"/>
                          </m:rPr>
                          <w:rPr>
                            <w:rFonts w:hint="default" w:ascii="Cambria Math" w:hAnsi="Cambria Math" w:cs="Times New Roman"/>
                            <w:color w:val="0000FF"/>
                            <w:kern w:val="0"/>
                            <w:sz w:val="24"/>
                            <w:szCs w:val="21"/>
                            <w:vertAlign w:val="baseline"/>
                            <w:lang w:val="en-US" w:eastAsia="zh-CN" w:bidi="ar-SA"/>
                          </w:rPr>
                          <m:t>n</m:t>
                        </m:r>
                        <m:ctrlPr>
                          <w:rPr>
                            <w:rFonts w:hint="default" w:ascii="Cambria Math" w:hAnsi="Cambria Math" w:cs="Times New Roman"/>
                            <w:b w:val="0"/>
                            <w:bCs w:val="0"/>
                            <w:color w:val="0000FF"/>
                            <w:kern w:val="0"/>
                            <w:sz w:val="24"/>
                            <w:szCs w:val="21"/>
                            <w:vertAlign w:val="baseline"/>
                            <w:lang w:val="en-US" w:eastAsia="zh-CN" w:bidi="ar-SA"/>
                          </w:rPr>
                        </m:ctrlPr>
                      </m:sub>
                    </m:sSub>
                    <m:ctrlPr>
                      <w:rPr>
                        <w:rFonts w:hint="default" w:ascii="Cambria Math" w:hAnsi="Cambria Math" w:cs="Times New Roman"/>
                        <w:b w:val="0"/>
                        <w:bCs w:val="0"/>
                        <w:color w:val="0000FF"/>
                        <w:kern w:val="0"/>
                        <w:sz w:val="24"/>
                        <w:szCs w:val="21"/>
                        <w:vertAlign w:val="baseline"/>
                        <w:lang w:val="en-US" w:eastAsia="zh-CN" w:bidi="ar-SA"/>
                      </w:rPr>
                    </m:ctrlPr>
                  </m:den>
                </m:f>
              </m:oMath>
            </m:oMathPara>
          </w:p>
          <w:p w14:paraId="31E9725F">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hAnsi="Cambria Math" w:cs="Times New Roman"/>
                <w:b w:val="0"/>
                <w:bCs w:val="0"/>
                <w:i w:val="0"/>
                <w:color w:val="0000FF"/>
                <w:kern w:val="0"/>
                <w:sz w:val="24"/>
                <w:szCs w:val="21"/>
                <w:vertAlign w:val="baseline"/>
                <w:lang w:val="en-US" w:eastAsia="zh-CN" w:bidi="ar-SA"/>
              </w:rPr>
            </w:pPr>
            <w:r>
              <w:rPr>
                <w:rFonts w:hint="eastAsia" w:hAnsi="Cambria Math" w:cs="Times New Roman"/>
                <w:b w:val="0"/>
                <w:bCs w:val="0"/>
                <w:i w:val="0"/>
                <w:color w:val="0000FF"/>
                <w:kern w:val="0"/>
                <w:sz w:val="24"/>
                <w:szCs w:val="21"/>
                <w:vertAlign w:val="baseline"/>
                <w:lang w:val="en-US" w:eastAsia="zh-CN" w:bidi="ar-SA"/>
              </w:rPr>
              <w:t>式中，q</w:t>
            </w:r>
            <w:r>
              <w:rPr>
                <w:rFonts w:hint="eastAsia" w:hAnsi="Cambria Math" w:cs="Times New Roman"/>
                <w:b w:val="0"/>
                <w:bCs w:val="0"/>
                <w:i w:val="0"/>
                <w:color w:val="0000FF"/>
                <w:kern w:val="0"/>
                <w:sz w:val="24"/>
                <w:szCs w:val="21"/>
                <w:vertAlign w:val="subscript"/>
                <w:lang w:val="en-US" w:eastAsia="zh-CN" w:bidi="ar-SA"/>
              </w:rPr>
              <w:t>1</w:t>
            </w:r>
            <w:r>
              <w:rPr>
                <w:rFonts w:hint="eastAsia" w:hAnsi="Cambria Math" w:cs="Times New Roman"/>
                <w:b w:val="0"/>
                <w:bCs w:val="0"/>
                <w:i w:val="0"/>
                <w:color w:val="0000FF"/>
                <w:kern w:val="0"/>
                <w:sz w:val="24"/>
                <w:szCs w:val="21"/>
                <w:vertAlign w:val="baseline"/>
                <w:lang w:val="en-US" w:eastAsia="zh-CN" w:bidi="ar-SA"/>
              </w:rPr>
              <w:t>，q</w:t>
            </w:r>
            <w:r>
              <w:rPr>
                <w:rFonts w:hint="eastAsia" w:hAnsi="Cambria Math" w:cs="Times New Roman"/>
                <w:b w:val="0"/>
                <w:bCs w:val="0"/>
                <w:i w:val="0"/>
                <w:color w:val="0000FF"/>
                <w:kern w:val="0"/>
                <w:sz w:val="24"/>
                <w:szCs w:val="21"/>
                <w:vertAlign w:val="subscript"/>
                <w:lang w:val="en-US" w:eastAsia="zh-CN" w:bidi="ar-SA"/>
              </w:rPr>
              <w:t>2</w:t>
            </w:r>
            <w:r>
              <w:rPr>
                <w:rFonts w:hint="eastAsia" w:hAnsi="Cambria Math" w:cs="Times New Roman"/>
                <w:b w:val="0"/>
                <w:bCs w:val="0"/>
                <w:i w:val="0"/>
                <w:color w:val="0000FF"/>
                <w:kern w:val="0"/>
                <w:sz w:val="24"/>
                <w:szCs w:val="21"/>
                <w:vertAlign w:val="baseline"/>
                <w:lang w:val="en-US" w:eastAsia="zh-CN" w:bidi="ar-SA"/>
              </w:rPr>
              <w:t>，…，q</w:t>
            </w:r>
            <w:r>
              <w:rPr>
                <w:rFonts w:hint="eastAsia" w:hAnsi="Cambria Math" w:cs="Times New Roman"/>
                <w:b w:val="0"/>
                <w:bCs w:val="0"/>
                <w:i w:val="0"/>
                <w:color w:val="0000FF"/>
                <w:kern w:val="0"/>
                <w:sz w:val="24"/>
                <w:szCs w:val="21"/>
                <w:vertAlign w:val="subscript"/>
                <w:lang w:val="en-US" w:eastAsia="zh-CN" w:bidi="ar-SA"/>
              </w:rPr>
              <w:t>n</w:t>
            </w:r>
            <w:r>
              <w:rPr>
                <w:rFonts w:hint="default" w:ascii="Times New Roman" w:hAnsi="Times New Roman" w:cs="Times New Roman"/>
                <w:b w:val="0"/>
                <w:bCs w:val="0"/>
                <w:i w:val="0"/>
                <w:color w:val="0000FF"/>
                <w:kern w:val="0"/>
                <w:sz w:val="24"/>
                <w:szCs w:val="21"/>
                <w:vertAlign w:val="baseline"/>
                <w:lang w:val="en-US" w:eastAsia="zh-CN" w:bidi="ar-SA"/>
              </w:rPr>
              <w:t>——</w:t>
            </w:r>
            <w:r>
              <w:rPr>
                <w:rFonts w:hint="eastAsia" w:hAnsi="Cambria Math" w:cs="Times New Roman"/>
                <w:b w:val="0"/>
                <w:bCs w:val="0"/>
                <w:i w:val="0"/>
                <w:color w:val="0000FF"/>
                <w:kern w:val="0"/>
                <w:sz w:val="24"/>
                <w:szCs w:val="21"/>
                <w:vertAlign w:val="baseline"/>
                <w:lang w:val="en-US" w:eastAsia="zh-CN" w:bidi="ar-SA"/>
              </w:rPr>
              <w:t>每种危险物质的最大存在总量，t</w:t>
            </w:r>
          </w:p>
          <w:p w14:paraId="428D6B64">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200" w:firstLineChars="500"/>
              <w:jc w:val="both"/>
              <w:textAlignment w:val="auto"/>
              <w:rPr>
                <w:rFonts w:hint="eastAsia" w:ascii="Times New Roman" w:hAnsi="Times New Roman" w:cs="Times New Roman"/>
                <w:b w:val="0"/>
                <w:bCs w:val="0"/>
                <w:i w:val="0"/>
                <w:color w:val="0000FF"/>
                <w:kern w:val="0"/>
                <w:sz w:val="24"/>
                <w:szCs w:val="21"/>
                <w:vertAlign w:val="baseline"/>
                <w:lang w:val="en-US" w:eastAsia="zh-CN" w:bidi="ar-SA"/>
              </w:rPr>
            </w:pPr>
            <w:r>
              <w:rPr>
                <w:rFonts w:hint="eastAsia" w:hAnsi="Cambria Math" w:cs="Times New Roman"/>
                <w:b w:val="0"/>
                <w:bCs w:val="0"/>
                <w:i w:val="0"/>
                <w:color w:val="0000FF"/>
                <w:kern w:val="0"/>
                <w:sz w:val="24"/>
                <w:szCs w:val="21"/>
                <w:vertAlign w:val="baseline"/>
                <w:lang w:val="en-US" w:eastAsia="zh-CN" w:bidi="ar-SA"/>
              </w:rPr>
              <w:t>Q</w:t>
            </w:r>
            <w:r>
              <w:rPr>
                <w:rFonts w:hint="eastAsia" w:hAnsi="Cambria Math" w:cs="Times New Roman"/>
                <w:b w:val="0"/>
                <w:bCs w:val="0"/>
                <w:i w:val="0"/>
                <w:color w:val="0000FF"/>
                <w:kern w:val="0"/>
                <w:sz w:val="24"/>
                <w:szCs w:val="21"/>
                <w:vertAlign w:val="subscript"/>
                <w:lang w:val="en-US" w:eastAsia="zh-CN" w:bidi="ar-SA"/>
              </w:rPr>
              <w:t>1</w:t>
            </w:r>
            <w:r>
              <w:rPr>
                <w:rFonts w:hint="eastAsia" w:hAnsi="Cambria Math" w:cs="Times New Roman"/>
                <w:b w:val="0"/>
                <w:bCs w:val="0"/>
                <w:i w:val="0"/>
                <w:color w:val="0000FF"/>
                <w:kern w:val="0"/>
                <w:sz w:val="24"/>
                <w:szCs w:val="21"/>
                <w:vertAlign w:val="baseline"/>
                <w:lang w:val="en-US" w:eastAsia="zh-CN" w:bidi="ar-SA"/>
              </w:rPr>
              <w:t>，Q</w:t>
            </w:r>
            <w:r>
              <w:rPr>
                <w:rFonts w:hint="eastAsia" w:hAnsi="Cambria Math" w:cs="Times New Roman"/>
                <w:b w:val="0"/>
                <w:bCs w:val="0"/>
                <w:i w:val="0"/>
                <w:color w:val="0000FF"/>
                <w:kern w:val="0"/>
                <w:sz w:val="24"/>
                <w:szCs w:val="21"/>
                <w:vertAlign w:val="subscript"/>
                <w:lang w:val="en-US" w:eastAsia="zh-CN" w:bidi="ar-SA"/>
              </w:rPr>
              <w:t>2</w:t>
            </w:r>
            <w:r>
              <w:rPr>
                <w:rFonts w:hint="eastAsia" w:hAnsi="Cambria Math" w:cs="Times New Roman"/>
                <w:b w:val="0"/>
                <w:bCs w:val="0"/>
                <w:i w:val="0"/>
                <w:color w:val="0000FF"/>
                <w:kern w:val="0"/>
                <w:sz w:val="24"/>
                <w:szCs w:val="21"/>
                <w:vertAlign w:val="baseline"/>
                <w:lang w:val="en-US" w:eastAsia="zh-CN" w:bidi="ar-SA"/>
              </w:rPr>
              <w:t>，…，Q</w:t>
            </w:r>
            <w:r>
              <w:rPr>
                <w:rFonts w:hint="eastAsia" w:hAnsi="Cambria Math" w:cs="Times New Roman"/>
                <w:b w:val="0"/>
                <w:bCs w:val="0"/>
                <w:i w:val="0"/>
                <w:color w:val="0000FF"/>
                <w:kern w:val="0"/>
                <w:sz w:val="24"/>
                <w:szCs w:val="21"/>
                <w:vertAlign w:val="subscript"/>
                <w:lang w:val="en-US" w:eastAsia="zh-CN" w:bidi="ar-SA"/>
              </w:rPr>
              <w:t>n</w:t>
            </w:r>
            <w:r>
              <w:rPr>
                <w:rFonts w:hint="default" w:ascii="Times New Roman" w:hAnsi="Times New Roman" w:cs="Times New Roman"/>
                <w:b w:val="0"/>
                <w:bCs w:val="0"/>
                <w:i w:val="0"/>
                <w:color w:val="0000FF"/>
                <w:kern w:val="0"/>
                <w:sz w:val="24"/>
                <w:szCs w:val="21"/>
                <w:vertAlign w:val="baseline"/>
                <w:lang w:val="en-US" w:eastAsia="zh-CN" w:bidi="ar-SA"/>
              </w:rPr>
              <w:t>——</w:t>
            </w:r>
            <w:r>
              <w:rPr>
                <w:rFonts w:hint="eastAsia" w:ascii="Times New Roman" w:hAnsi="Times New Roman" w:cs="Times New Roman"/>
                <w:b w:val="0"/>
                <w:bCs w:val="0"/>
                <w:i w:val="0"/>
                <w:color w:val="0000FF"/>
                <w:kern w:val="0"/>
                <w:sz w:val="24"/>
                <w:szCs w:val="21"/>
                <w:vertAlign w:val="baseline"/>
                <w:lang w:val="en-US" w:eastAsia="zh-CN" w:bidi="ar-SA"/>
              </w:rPr>
              <w:t>每种危险物质的临界量，t</w:t>
            </w:r>
          </w:p>
          <w:p w14:paraId="02AE5AF7">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val="0"/>
                <w:i w:val="0"/>
                <w:color w:val="0000FF"/>
                <w:kern w:val="0"/>
                <w:sz w:val="24"/>
                <w:szCs w:val="21"/>
                <w:vertAlign w:val="baseline"/>
                <w:lang w:val="en-US" w:eastAsia="zh-CN" w:bidi="ar-SA"/>
              </w:rPr>
            </w:pPr>
            <w:r>
              <w:rPr>
                <w:rFonts w:hint="default" w:ascii="Times New Roman" w:hAnsi="Times New Roman" w:cs="Times New Roman"/>
                <w:b w:val="0"/>
                <w:bCs w:val="0"/>
                <w:i w:val="0"/>
                <w:color w:val="0000FF"/>
                <w:kern w:val="0"/>
                <w:sz w:val="24"/>
                <w:szCs w:val="21"/>
                <w:vertAlign w:val="baseline"/>
                <w:lang w:val="en-US" w:eastAsia="zh-CN" w:bidi="ar-SA"/>
              </w:rPr>
              <w:t>当Q＜1时，该项目环境风险潜势为Ⅰ；</w:t>
            </w:r>
          </w:p>
          <w:p w14:paraId="083C43F7">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i w:val="0"/>
                <w:color w:val="0000FF"/>
                <w:kern w:val="0"/>
                <w:sz w:val="24"/>
                <w:szCs w:val="21"/>
                <w:vertAlign w:val="baseline"/>
                <w:lang w:val="en-US" w:eastAsia="zh-CN" w:bidi="ar-SA"/>
              </w:rPr>
            </w:pPr>
            <w:r>
              <w:rPr>
                <w:rFonts w:hint="default" w:ascii="Times New Roman" w:hAnsi="Times New Roman" w:cs="Times New Roman"/>
                <w:b w:val="0"/>
                <w:bCs w:val="0"/>
                <w:i w:val="0"/>
                <w:color w:val="0000FF"/>
                <w:kern w:val="0"/>
                <w:sz w:val="24"/>
                <w:szCs w:val="21"/>
                <w:vertAlign w:val="baseline"/>
                <w:lang w:val="en-US" w:eastAsia="zh-CN" w:bidi="ar-SA"/>
              </w:rPr>
              <w:t>当Q≥1时，</w:t>
            </w:r>
            <w:r>
              <w:rPr>
                <w:rFonts w:hint="eastAsia" w:ascii="Times New Roman" w:hAnsi="Times New Roman" w:cs="Times New Roman"/>
                <w:b w:val="0"/>
                <w:bCs w:val="0"/>
                <w:i w:val="0"/>
                <w:color w:val="0000FF"/>
                <w:kern w:val="0"/>
                <w:sz w:val="24"/>
                <w:szCs w:val="21"/>
                <w:vertAlign w:val="baseline"/>
                <w:lang w:val="en-US" w:eastAsia="zh-CN" w:bidi="ar-SA"/>
              </w:rPr>
              <w:t>将Q值划分为：（1）1≤Q＜10；（2）10≤Q＜100；（3）Q≥100。</w:t>
            </w:r>
          </w:p>
          <w:p w14:paraId="363CB011">
            <w:pPr>
              <w:pStyle w:val="76"/>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baseline"/>
              <w:rPr>
                <w:rFonts w:hint="eastAsia" w:ascii="Times New Roman" w:hAnsi="Times New Roman" w:eastAsia="宋体" w:cs="Times New Roman"/>
                <w:color w:val="0000FF"/>
                <w:sz w:val="21"/>
                <w:szCs w:val="21"/>
                <w:highlight w:val="none"/>
                <w:lang w:val="zh-CN"/>
              </w:rPr>
            </w:pPr>
            <w:r>
              <w:rPr>
                <w:rFonts w:hint="eastAsia" w:ascii="Times New Roman" w:hAnsi="Times New Roman" w:eastAsia="宋体" w:cs="Times New Roman"/>
                <w:color w:val="0000FF"/>
                <w:sz w:val="21"/>
                <w:szCs w:val="21"/>
                <w:highlight w:val="none"/>
                <w:lang w:val="zh-CN"/>
              </w:rPr>
              <w:t>表</w:t>
            </w:r>
            <w:r>
              <w:rPr>
                <w:rFonts w:hint="eastAsia" w:ascii="Times New Roman" w:hAnsi="Times New Roman" w:eastAsia="宋体" w:cs="Times New Roman"/>
                <w:color w:val="0000FF"/>
                <w:sz w:val="21"/>
                <w:szCs w:val="21"/>
                <w:highlight w:val="none"/>
                <w:lang w:val="en-US" w:eastAsia="zh-CN"/>
              </w:rPr>
              <w:t>4-</w:t>
            </w:r>
            <w:r>
              <w:rPr>
                <w:rFonts w:hint="eastAsia" w:ascii="Times New Roman" w:cs="Times New Roman"/>
                <w:color w:val="0000FF"/>
                <w:sz w:val="21"/>
                <w:szCs w:val="21"/>
                <w:highlight w:val="none"/>
                <w:lang w:val="en-US" w:eastAsia="zh-CN"/>
              </w:rPr>
              <w:t>25</w:t>
            </w:r>
            <w:r>
              <w:rPr>
                <w:rFonts w:hint="eastAsia" w:ascii="Times New Roman" w:hAnsi="Times New Roman" w:eastAsia="宋体" w:cs="Times New Roman"/>
                <w:color w:val="0000FF"/>
                <w:sz w:val="21"/>
                <w:szCs w:val="21"/>
                <w:highlight w:val="none"/>
                <w:lang w:val="en-US" w:eastAsia="zh-CN"/>
              </w:rPr>
              <w:t xml:space="preserve"> </w:t>
            </w:r>
            <w:r>
              <w:rPr>
                <w:rFonts w:hint="eastAsia" w:ascii="Times New Roman" w:hAnsi="Times New Roman" w:eastAsia="宋体" w:cs="Times New Roman"/>
                <w:color w:val="0000FF"/>
                <w:sz w:val="21"/>
                <w:szCs w:val="21"/>
                <w:highlight w:val="none"/>
                <w:lang w:val="zh-CN"/>
              </w:rPr>
              <w:t>危险物质数量与临界量比值核算表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2"/>
              <w:gridCol w:w="1355"/>
              <w:gridCol w:w="3345"/>
              <w:gridCol w:w="1378"/>
              <w:gridCol w:w="986"/>
            </w:tblGrid>
            <w:tr w14:paraId="2CC84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0" w:type="pct"/>
                  <w:vAlign w:val="center"/>
                </w:tcPr>
                <w:p w14:paraId="49C1EAB3">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危险物质名称</w:t>
                  </w:r>
                </w:p>
              </w:tc>
              <w:tc>
                <w:tcPr>
                  <w:tcW w:w="761" w:type="pct"/>
                  <w:vAlign w:val="center"/>
                </w:tcPr>
                <w:p w14:paraId="077C39F4">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CAS号</w:t>
                  </w:r>
                </w:p>
              </w:tc>
              <w:tc>
                <w:tcPr>
                  <w:tcW w:w="1879" w:type="pct"/>
                  <w:vAlign w:val="center"/>
                </w:tcPr>
                <w:p w14:paraId="5741A211">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最大存在总量</w:t>
                  </w:r>
                  <w:r>
                    <w:rPr>
                      <w:rFonts w:hint="eastAsia" w:cs="Times New Roman"/>
                      <w:color w:val="0000FF"/>
                      <w:lang w:val="en-US" w:eastAsia="zh-CN"/>
                    </w:rPr>
                    <w:t>（折算量）</w:t>
                  </w:r>
                  <w:r>
                    <w:rPr>
                      <w:rFonts w:hint="eastAsia" w:ascii="Times New Roman" w:hAnsi="Times New Roman" w:eastAsia="宋体" w:cs="Times New Roman"/>
                      <w:color w:val="0000FF"/>
                      <w:lang w:val="en-US" w:eastAsia="zh-CN"/>
                    </w:rPr>
                    <w:t>qi</w:t>
                  </w:r>
                </w:p>
              </w:tc>
              <w:tc>
                <w:tcPr>
                  <w:tcW w:w="774" w:type="pct"/>
                  <w:vAlign w:val="center"/>
                </w:tcPr>
                <w:p w14:paraId="482FD6DC">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临界量Qi</w:t>
                  </w:r>
                </w:p>
              </w:tc>
              <w:tc>
                <w:tcPr>
                  <w:tcW w:w="554" w:type="pct"/>
                  <w:vAlign w:val="center"/>
                </w:tcPr>
                <w:p w14:paraId="4B03E077">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qi/Qi</w:t>
                  </w:r>
                </w:p>
              </w:tc>
            </w:tr>
            <w:tr w14:paraId="1E999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0" w:type="pct"/>
                  <w:vAlign w:val="center"/>
                </w:tcPr>
                <w:p w14:paraId="30AB653D">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氯化氢</w:t>
                  </w:r>
                </w:p>
              </w:tc>
              <w:tc>
                <w:tcPr>
                  <w:tcW w:w="761" w:type="pct"/>
                  <w:vAlign w:val="center"/>
                </w:tcPr>
                <w:p w14:paraId="025BE661">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7647-01-0</w:t>
                  </w:r>
                </w:p>
              </w:tc>
              <w:tc>
                <w:tcPr>
                  <w:tcW w:w="1879" w:type="pct"/>
                  <w:vAlign w:val="center"/>
                </w:tcPr>
                <w:p w14:paraId="26FF6EFF">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0（在线及时处理）</w:t>
                  </w:r>
                </w:p>
              </w:tc>
              <w:tc>
                <w:tcPr>
                  <w:tcW w:w="774" w:type="pct"/>
                  <w:vAlign w:val="center"/>
                </w:tcPr>
                <w:p w14:paraId="75A29EC8">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2.5</w:t>
                  </w:r>
                </w:p>
              </w:tc>
              <w:tc>
                <w:tcPr>
                  <w:tcW w:w="554" w:type="pct"/>
                  <w:vAlign w:val="center"/>
                </w:tcPr>
                <w:p w14:paraId="5DB90DD2">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0</w:t>
                  </w:r>
                </w:p>
              </w:tc>
            </w:tr>
            <w:tr w14:paraId="44F52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0" w:type="pct"/>
                  <w:vAlign w:val="center"/>
                </w:tcPr>
                <w:p w14:paraId="0C922776">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二氧化硫</w:t>
                  </w:r>
                </w:p>
              </w:tc>
              <w:tc>
                <w:tcPr>
                  <w:tcW w:w="761" w:type="pct"/>
                  <w:vAlign w:val="center"/>
                </w:tcPr>
                <w:p w14:paraId="5AE5323A">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7446-09-5</w:t>
                  </w:r>
                </w:p>
              </w:tc>
              <w:tc>
                <w:tcPr>
                  <w:tcW w:w="1879" w:type="pct"/>
                  <w:vAlign w:val="center"/>
                </w:tcPr>
                <w:p w14:paraId="391F909C">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0（在线及时处理）</w:t>
                  </w:r>
                </w:p>
              </w:tc>
              <w:tc>
                <w:tcPr>
                  <w:tcW w:w="774" w:type="pct"/>
                  <w:vAlign w:val="center"/>
                </w:tcPr>
                <w:p w14:paraId="28262755">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2.5</w:t>
                  </w:r>
                </w:p>
              </w:tc>
              <w:tc>
                <w:tcPr>
                  <w:tcW w:w="554" w:type="pct"/>
                  <w:vAlign w:val="center"/>
                </w:tcPr>
                <w:p w14:paraId="47BA459D">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0</w:t>
                  </w:r>
                </w:p>
              </w:tc>
            </w:tr>
            <w:tr w14:paraId="0970A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0" w:type="pct"/>
                  <w:vAlign w:val="center"/>
                </w:tcPr>
                <w:p w14:paraId="29701AE9">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汞（Hg）</w:t>
                  </w:r>
                </w:p>
              </w:tc>
              <w:tc>
                <w:tcPr>
                  <w:tcW w:w="761" w:type="pct"/>
                  <w:vAlign w:val="center"/>
                </w:tcPr>
                <w:p w14:paraId="256BFE55">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7439-97-6</w:t>
                  </w:r>
                </w:p>
              </w:tc>
              <w:tc>
                <w:tcPr>
                  <w:tcW w:w="1879" w:type="pct"/>
                  <w:vAlign w:val="center"/>
                </w:tcPr>
                <w:p w14:paraId="2E01F7A1">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0（在线及时处理）</w:t>
                  </w:r>
                </w:p>
              </w:tc>
              <w:tc>
                <w:tcPr>
                  <w:tcW w:w="774" w:type="pct"/>
                  <w:vAlign w:val="center"/>
                </w:tcPr>
                <w:p w14:paraId="51C11EEF">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0.5</w:t>
                  </w:r>
                </w:p>
              </w:tc>
              <w:tc>
                <w:tcPr>
                  <w:tcW w:w="554" w:type="pct"/>
                  <w:vAlign w:val="center"/>
                </w:tcPr>
                <w:p w14:paraId="2B4455E8">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0</w:t>
                  </w:r>
                </w:p>
              </w:tc>
            </w:tr>
            <w:tr w14:paraId="4A25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0" w:type="pct"/>
                  <w:vAlign w:val="center"/>
                </w:tcPr>
                <w:p w14:paraId="5E0D26D7">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砷（As）</w:t>
                  </w:r>
                </w:p>
              </w:tc>
              <w:tc>
                <w:tcPr>
                  <w:tcW w:w="761" w:type="pct"/>
                  <w:vAlign w:val="center"/>
                </w:tcPr>
                <w:p w14:paraId="748580C2">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7440-38-2</w:t>
                  </w:r>
                </w:p>
              </w:tc>
              <w:tc>
                <w:tcPr>
                  <w:tcW w:w="1879" w:type="pct"/>
                  <w:vAlign w:val="center"/>
                </w:tcPr>
                <w:p w14:paraId="7C02AFDB">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0（在线及时处理）</w:t>
                  </w:r>
                </w:p>
              </w:tc>
              <w:tc>
                <w:tcPr>
                  <w:tcW w:w="774" w:type="pct"/>
                  <w:vAlign w:val="center"/>
                </w:tcPr>
                <w:p w14:paraId="59E7FD39">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0.25</w:t>
                  </w:r>
                </w:p>
              </w:tc>
              <w:tc>
                <w:tcPr>
                  <w:tcW w:w="554" w:type="pct"/>
                  <w:vAlign w:val="center"/>
                </w:tcPr>
                <w:p w14:paraId="3CD3D971">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0</w:t>
                  </w:r>
                </w:p>
              </w:tc>
            </w:tr>
            <w:tr w14:paraId="7512B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0" w:type="pct"/>
                  <w:vAlign w:val="center"/>
                </w:tcPr>
                <w:p w14:paraId="67A3F67C">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项目Q值</w:t>
                  </w:r>
                </w:p>
              </w:tc>
              <w:tc>
                <w:tcPr>
                  <w:tcW w:w="761" w:type="pct"/>
                  <w:vAlign w:val="center"/>
                </w:tcPr>
                <w:p w14:paraId="49B909D9">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w:t>
                  </w:r>
                </w:p>
              </w:tc>
              <w:tc>
                <w:tcPr>
                  <w:tcW w:w="1879" w:type="pct"/>
                  <w:vAlign w:val="center"/>
                </w:tcPr>
                <w:p w14:paraId="0442C4B4">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w:t>
                  </w:r>
                </w:p>
              </w:tc>
              <w:tc>
                <w:tcPr>
                  <w:tcW w:w="774" w:type="pct"/>
                  <w:vAlign w:val="center"/>
                </w:tcPr>
                <w:p w14:paraId="42F5BA29">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w:t>
                  </w:r>
                </w:p>
              </w:tc>
              <w:tc>
                <w:tcPr>
                  <w:tcW w:w="554" w:type="pct"/>
                  <w:vAlign w:val="center"/>
                </w:tcPr>
                <w:p w14:paraId="52366ADD">
                  <w:pPr>
                    <w:tabs>
                      <w:tab w:val="left" w:pos="1215"/>
                    </w:tabs>
                    <w:adjustRightInd w:val="0"/>
                    <w:snapToGrid w:val="0"/>
                    <w:jc w:val="center"/>
                    <w:rPr>
                      <w:rFonts w:hint="default" w:ascii="Times New Roman" w:hAnsi="Times New Roman" w:eastAsia="宋体" w:cs="Times New Roman"/>
                      <w:color w:val="0000FF"/>
                      <w:lang w:val="en-US" w:eastAsia="zh-CN"/>
                    </w:rPr>
                  </w:pPr>
                  <w:r>
                    <w:rPr>
                      <w:rFonts w:hint="eastAsia" w:cs="Times New Roman"/>
                      <w:color w:val="0000FF"/>
                      <w:lang w:val="en-US" w:eastAsia="zh-CN"/>
                    </w:rPr>
                    <w:t>0</w:t>
                  </w:r>
                </w:p>
              </w:tc>
            </w:tr>
          </w:tbl>
          <w:p w14:paraId="5E14978A">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Cambria Math" w:eastAsia="宋体" w:cs="Times New Roman"/>
                <w:b w:val="0"/>
                <w:bCs w:val="0"/>
                <w:i w:val="0"/>
                <w:color w:val="0000FF"/>
                <w:kern w:val="0"/>
                <w:sz w:val="24"/>
                <w:szCs w:val="21"/>
                <w:vertAlign w:val="baseline"/>
                <w:lang w:val="en-US" w:eastAsia="zh-CN" w:bidi="ar-SA"/>
              </w:rPr>
            </w:pPr>
            <w:r>
              <w:rPr>
                <w:rFonts w:hint="eastAsia" w:ascii="Times New Roman" w:hAnsi="Cambria Math" w:eastAsia="宋体" w:cs="Times New Roman"/>
                <w:b w:val="0"/>
                <w:bCs w:val="0"/>
                <w:i w:val="0"/>
                <w:color w:val="0000FF"/>
                <w:kern w:val="0"/>
                <w:sz w:val="24"/>
                <w:szCs w:val="21"/>
                <w:vertAlign w:val="baseline"/>
                <w:lang w:val="en-US" w:eastAsia="zh-CN" w:bidi="ar-SA"/>
              </w:rPr>
              <w:t>故经上表计算本项目Q=0＜1，本项目有毒有害和易燃易爆危险物质存储量未超过临界量，因此本项目无需设置环境风险专项评价。根据《建设项目环境风险评价技术导则》（HJ 169-2018）附录C，该项目风险潜势为I。</w:t>
            </w:r>
          </w:p>
          <w:p w14:paraId="3DC02DE0">
            <w:pPr>
              <w:pStyle w:val="76"/>
              <w:keepNext w:val="0"/>
              <w:keepLines w:val="0"/>
              <w:pageBreakBefore w:val="0"/>
              <w:widowControl/>
              <w:kinsoku/>
              <w:wordWrap/>
              <w:overflowPunct/>
              <w:topLinePunct w:val="0"/>
              <w:autoSpaceDE/>
              <w:autoSpaceDN/>
              <w:bidi w:val="0"/>
              <w:adjustRightInd w:val="0"/>
              <w:snapToGrid/>
              <w:spacing w:line="240" w:lineRule="auto"/>
              <w:ind w:firstLine="0"/>
              <w:jc w:val="center"/>
              <w:textAlignment w:val="baseline"/>
              <w:rPr>
                <w:rFonts w:hint="eastAsia" w:ascii="Times New Roman" w:hAnsi="Times New Roman" w:eastAsia="宋体" w:cs="Times New Roman"/>
                <w:color w:val="0000FF"/>
                <w:sz w:val="21"/>
                <w:szCs w:val="21"/>
                <w:highlight w:val="none"/>
                <w:lang w:val="zh-CN"/>
              </w:rPr>
            </w:pPr>
            <w:r>
              <w:rPr>
                <w:rFonts w:hint="eastAsia" w:ascii="Times New Roman" w:hAnsi="Times New Roman" w:eastAsia="宋体" w:cs="Times New Roman"/>
                <w:color w:val="0000FF"/>
                <w:sz w:val="21"/>
                <w:szCs w:val="21"/>
                <w:highlight w:val="none"/>
                <w:lang w:val="zh-CN"/>
              </w:rPr>
              <w:t>表</w:t>
            </w:r>
            <w:r>
              <w:rPr>
                <w:rFonts w:hint="eastAsia" w:ascii="Times New Roman" w:hAnsi="Times New Roman" w:eastAsia="宋体" w:cs="Times New Roman"/>
                <w:color w:val="0000FF"/>
                <w:sz w:val="21"/>
                <w:szCs w:val="21"/>
                <w:highlight w:val="none"/>
                <w:lang w:val="en-US" w:eastAsia="zh-CN"/>
              </w:rPr>
              <w:t>4-</w:t>
            </w:r>
            <w:r>
              <w:rPr>
                <w:rFonts w:hint="eastAsia" w:ascii="Times New Roman" w:cs="Times New Roman"/>
                <w:color w:val="0000FF"/>
                <w:sz w:val="21"/>
                <w:szCs w:val="21"/>
                <w:highlight w:val="none"/>
                <w:lang w:val="en-US" w:eastAsia="zh-CN"/>
              </w:rPr>
              <w:t>26</w:t>
            </w:r>
            <w:r>
              <w:rPr>
                <w:rFonts w:hint="eastAsia" w:ascii="Times New Roman" w:hAnsi="Times New Roman" w:eastAsia="宋体" w:cs="Times New Roman"/>
                <w:color w:val="0000FF"/>
                <w:sz w:val="21"/>
                <w:szCs w:val="21"/>
                <w:highlight w:val="none"/>
                <w:lang w:val="en-US" w:eastAsia="zh-CN"/>
              </w:rPr>
              <w:t xml:space="preserve"> </w:t>
            </w:r>
            <w:r>
              <w:rPr>
                <w:rFonts w:hint="eastAsia" w:ascii="Times New Roman" w:hAnsi="Times New Roman" w:eastAsia="宋体" w:cs="Times New Roman"/>
                <w:color w:val="0000FF"/>
                <w:sz w:val="21"/>
                <w:szCs w:val="21"/>
                <w:highlight w:val="none"/>
                <w:lang w:val="zh-CN"/>
              </w:rPr>
              <w:t>风险评价工作等级划分</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6"/>
              <w:gridCol w:w="2041"/>
              <w:gridCol w:w="1577"/>
              <w:gridCol w:w="1609"/>
              <w:gridCol w:w="1724"/>
            </w:tblGrid>
            <w:tr w14:paraId="3853A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4" w:type="pct"/>
                  <w:vAlign w:val="center"/>
                </w:tcPr>
                <w:p w14:paraId="3381CDE1">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环境风险潜势</w:t>
                  </w:r>
                </w:p>
              </w:tc>
              <w:tc>
                <w:tcPr>
                  <w:tcW w:w="1147" w:type="pct"/>
                  <w:vAlign w:val="center"/>
                </w:tcPr>
                <w:p w14:paraId="37DF161C">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Ⅳ、Ⅳ+</w:t>
                  </w:r>
                </w:p>
              </w:tc>
              <w:tc>
                <w:tcPr>
                  <w:tcW w:w="886" w:type="pct"/>
                  <w:vAlign w:val="center"/>
                </w:tcPr>
                <w:p w14:paraId="5F884805">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Ⅲ</w:t>
                  </w:r>
                </w:p>
              </w:tc>
              <w:tc>
                <w:tcPr>
                  <w:tcW w:w="904" w:type="pct"/>
                  <w:vAlign w:val="center"/>
                </w:tcPr>
                <w:p w14:paraId="454BD85C">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Ⅱ</w:t>
                  </w:r>
                </w:p>
              </w:tc>
              <w:tc>
                <w:tcPr>
                  <w:tcW w:w="966" w:type="pct"/>
                  <w:vAlign w:val="center"/>
                </w:tcPr>
                <w:p w14:paraId="396C3483">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Ⅰ</w:t>
                  </w:r>
                </w:p>
              </w:tc>
            </w:tr>
            <w:tr w14:paraId="21970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4" w:type="pct"/>
                  <w:vAlign w:val="center"/>
                </w:tcPr>
                <w:p w14:paraId="6702F832">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评价工作等级</w:t>
                  </w:r>
                </w:p>
              </w:tc>
              <w:tc>
                <w:tcPr>
                  <w:tcW w:w="1147" w:type="pct"/>
                  <w:vAlign w:val="center"/>
                </w:tcPr>
                <w:p w14:paraId="7337181B">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一</w:t>
                  </w:r>
                </w:p>
              </w:tc>
              <w:tc>
                <w:tcPr>
                  <w:tcW w:w="886" w:type="pct"/>
                  <w:vAlign w:val="center"/>
                </w:tcPr>
                <w:p w14:paraId="72A0EFE9">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二</w:t>
                  </w:r>
                </w:p>
              </w:tc>
              <w:tc>
                <w:tcPr>
                  <w:tcW w:w="904" w:type="pct"/>
                  <w:vAlign w:val="center"/>
                </w:tcPr>
                <w:p w14:paraId="5167691D">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三</w:t>
                  </w:r>
                </w:p>
              </w:tc>
              <w:tc>
                <w:tcPr>
                  <w:tcW w:w="966" w:type="pct"/>
                  <w:vAlign w:val="center"/>
                </w:tcPr>
                <w:p w14:paraId="79BA614B">
                  <w:pPr>
                    <w:tabs>
                      <w:tab w:val="left" w:pos="1215"/>
                    </w:tabs>
                    <w:adjustRightInd w:val="0"/>
                    <w:snapToGrid w:val="0"/>
                    <w:jc w:val="center"/>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简单分析</w:t>
                  </w:r>
                </w:p>
              </w:tc>
            </w:tr>
            <w:tr w14:paraId="038B5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5"/>
                  <w:vAlign w:val="center"/>
                </w:tcPr>
                <w:p w14:paraId="16E30049">
                  <w:pPr>
                    <w:tabs>
                      <w:tab w:val="left" w:pos="1215"/>
                    </w:tabs>
                    <w:adjustRightInd w:val="0"/>
                    <w:snapToGrid w:val="0"/>
                    <w:jc w:val="both"/>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简单分析相对于详细评价工作而言，在描述物质、环境影响途径、环境危害后果、风险防范措施等方面给出定性的说明。</w:t>
                  </w:r>
                </w:p>
              </w:tc>
            </w:tr>
          </w:tbl>
          <w:p w14:paraId="574EF994">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Cambria Math" w:eastAsia="宋体" w:cs="Times New Roman"/>
                <w:b w:val="0"/>
                <w:bCs w:val="0"/>
                <w:i w:val="0"/>
                <w:color w:val="0000FF"/>
                <w:kern w:val="0"/>
                <w:sz w:val="24"/>
                <w:szCs w:val="21"/>
                <w:vertAlign w:val="baseline"/>
                <w:lang w:val="en-US" w:eastAsia="zh-CN" w:bidi="ar-SA"/>
              </w:rPr>
            </w:pPr>
            <w:r>
              <w:rPr>
                <w:rFonts w:hint="eastAsia" w:ascii="Times New Roman" w:hAnsi="Cambria Math" w:eastAsia="宋体" w:cs="Times New Roman"/>
                <w:b w:val="0"/>
                <w:bCs w:val="0"/>
                <w:i w:val="0"/>
                <w:color w:val="0000FF"/>
                <w:kern w:val="0"/>
                <w:sz w:val="24"/>
                <w:szCs w:val="21"/>
                <w:vertAlign w:val="baseline"/>
                <w:lang w:val="en-US" w:eastAsia="zh-CN" w:bidi="ar-SA"/>
              </w:rPr>
              <w:t>本项目环境风险潜势为Ⅰ级，可开展简单分析，在描述危险物质、环境影响途径、环境危害后果、风险防范措施等方面给出定性的说明。</w:t>
            </w:r>
          </w:p>
          <w:p w14:paraId="61C8141F">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FF"/>
                <w:kern w:val="0"/>
                <w:sz w:val="24"/>
                <w:szCs w:val="21"/>
                <w:lang w:val="en-US" w:eastAsia="zh-CN" w:bidi="ar-SA"/>
              </w:rPr>
            </w:pPr>
            <w:r>
              <w:rPr>
                <w:rFonts w:hint="eastAsia" w:ascii="Times New Roman" w:hAnsi="Times New Roman" w:eastAsia="宋体" w:cs="Times New Roman"/>
                <w:color w:val="0000FF"/>
                <w:kern w:val="0"/>
                <w:sz w:val="24"/>
                <w:szCs w:val="21"/>
                <w:lang w:val="en-US" w:eastAsia="zh-CN" w:bidi="ar-SA"/>
              </w:rPr>
              <w:t>4、环境风险防范措施</w:t>
            </w:r>
          </w:p>
          <w:p w14:paraId="15E9C5A2">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FF"/>
                <w:kern w:val="0"/>
                <w:sz w:val="24"/>
                <w:szCs w:val="21"/>
                <w:lang w:val="en-US" w:eastAsia="zh-CN" w:bidi="ar-SA"/>
              </w:rPr>
            </w:pPr>
            <w:r>
              <w:rPr>
                <w:rFonts w:hint="eastAsia" w:ascii="Times New Roman" w:hAnsi="Times New Roman" w:eastAsia="宋体" w:cs="Times New Roman"/>
                <w:color w:val="0000FF"/>
                <w:kern w:val="0"/>
                <w:sz w:val="24"/>
                <w:szCs w:val="21"/>
                <w:lang w:val="en-US" w:eastAsia="zh-CN" w:bidi="ar-SA"/>
              </w:rPr>
              <w:t>（1）总图布置防范措施</w:t>
            </w:r>
          </w:p>
          <w:p w14:paraId="1BEC21E2">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Cambria Math" w:eastAsia="宋体" w:cs="Times New Roman"/>
                <w:b w:val="0"/>
                <w:bCs w:val="0"/>
                <w:i w:val="0"/>
                <w:color w:val="0000FF"/>
                <w:kern w:val="0"/>
                <w:sz w:val="24"/>
                <w:szCs w:val="21"/>
                <w:vertAlign w:val="baseline"/>
                <w:lang w:val="en-US" w:eastAsia="zh-CN" w:bidi="ar-SA"/>
              </w:rPr>
            </w:pPr>
            <w:r>
              <w:rPr>
                <w:rFonts w:hint="eastAsia" w:ascii="Times New Roman" w:hAnsi="Cambria Math" w:eastAsia="宋体" w:cs="Times New Roman"/>
                <w:b w:val="0"/>
                <w:bCs w:val="0"/>
                <w:i w:val="0"/>
                <w:color w:val="0000FF"/>
                <w:kern w:val="0"/>
                <w:sz w:val="24"/>
                <w:szCs w:val="21"/>
                <w:vertAlign w:val="baseline"/>
                <w:lang w:val="en-US" w:eastAsia="zh-CN" w:bidi="ar-SA"/>
              </w:rPr>
              <w:t>本项目位于淮北众城水泥有限责任公司现有厂区内，生产区、仓库等距离厂界及厂界外的交通干道均有一定的距离，厂界内外有绿化带，均可以起到一定的安全防护和防火作用。</w:t>
            </w:r>
          </w:p>
          <w:p w14:paraId="4E69F023">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Cambria Math" w:eastAsia="宋体" w:cs="Times New Roman"/>
                <w:b w:val="0"/>
                <w:bCs w:val="0"/>
                <w:i w:val="0"/>
                <w:color w:val="0000FF"/>
                <w:kern w:val="0"/>
                <w:sz w:val="24"/>
                <w:szCs w:val="21"/>
                <w:vertAlign w:val="baseline"/>
                <w:lang w:val="en-US" w:eastAsia="zh-CN" w:bidi="ar-SA"/>
              </w:rPr>
            </w:pPr>
            <w:r>
              <w:rPr>
                <w:rFonts w:hint="eastAsia" w:ascii="Times New Roman" w:hAnsi="Cambria Math" w:eastAsia="宋体" w:cs="Times New Roman"/>
                <w:b w:val="0"/>
                <w:bCs w:val="0"/>
                <w:i w:val="0"/>
                <w:color w:val="0000FF"/>
                <w:kern w:val="0"/>
                <w:sz w:val="24"/>
                <w:szCs w:val="21"/>
                <w:vertAlign w:val="baseline"/>
                <w:lang w:val="en-US" w:eastAsia="zh-CN" w:bidi="ar-SA"/>
              </w:rPr>
              <w:t>本项目平面布置设计按《建筑防火通用规范》（GB 55037-2022）执行，厂内建筑设施间距以及与周边企业的安全间距均能达到《建筑防火通用规范》（GB 55037-2022）规定，符合安全要求。</w:t>
            </w:r>
          </w:p>
          <w:p w14:paraId="0DB2FC26">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Cambria Math" w:eastAsia="宋体" w:cs="Times New Roman"/>
                <w:b w:val="0"/>
                <w:bCs w:val="0"/>
                <w:i w:val="0"/>
                <w:color w:val="0000FF"/>
                <w:kern w:val="0"/>
                <w:sz w:val="24"/>
                <w:szCs w:val="21"/>
                <w:vertAlign w:val="baseline"/>
                <w:lang w:val="en-US" w:eastAsia="zh-CN" w:bidi="ar-SA"/>
              </w:rPr>
            </w:pPr>
            <w:r>
              <w:rPr>
                <w:rFonts w:hint="eastAsia" w:ascii="Times New Roman" w:hAnsi="Cambria Math" w:eastAsia="宋体" w:cs="Times New Roman"/>
                <w:b w:val="0"/>
                <w:bCs w:val="0"/>
                <w:i w:val="0"/>
                <w:color w:val="0000FF"/>
                <w:kern w:val="0"/>
                <w:sz w:val="24"/>
                <w:szCs w:val="21"/>
                <w:vertAlign w:val="baseline"/>
                <w:lang w:val="en-US" w:eastAsia="zh-CN" w:bidi="ar-SA"/>
              </w:rPr>
              <w:t xml:space="preserve">本项目与周边建筑物、道路等符合按功能合理分区要求。建构筑物的安全防火间距、耐火等级、防火分区面积、泄压、通风、安全疏散等达到国家规范、标准的要求。 </w:t>
            </w:r>
          </w:p>
          <w:p w14:paraId="489F6737">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Cambria Math" w:eastAsia="宋体" w:cs="Times New Roman"/>
                <w:b w:val="0"/>
                <w:bCs w:val="0"/>
                <w:i w:val="0"/>
                <w:color w:val="0000FF"/>
                <w:kern w:val="0"/>
                <w:sz w:val="24"/>
                <w:szCs w:val="21"/>
                <w:vertAlign w:val="baseline"/>
                <w:lang w:val="en-US" w:eastAsia="zh-CN" w:bidi="ar-SA"/>
              </w:rPr>
            </w:pPr>
            <w:r>
              <w:rPr>
                <w:rFonts w:hint="eastAsia" w:ascii="Times New Roman" w:hAnsi="Cambria Math" w:eastAsia="宋体" w:cs="Times New Roman"/>
                <w:b w:val="0"/>
                <w:bCs w:val="0"/>
                <w:i w:val="0"/>
                <w:color w:val="0000FF"/>
                <w:kern w:val="0"/>
                <w:sz w:val="24"/>
                <w:szCs w:val="21"/>
                <w:vertAlign w:val="baseline"/>
                <w:lang w:val="en-US" w:eastAsia="zh-CN" w:bidi="ar-SA"/>
              </w:rPr>
              <w:t>本项目厂区总平面布置需符合防范事故的要求，并设必要的应急救援设施及救援通道。总平面布置符合生产流程要求，与生产紧密联系的相关公用工程、物料仓储系统等，根据生产流程的要求进行布置，相互联系较为方便，物料输送顺畅，管线短捷。本项目道路平面布置为环形布置，有利于消防和交通运输。本项目建筑物采光通风条件均比较好，生产车间采用半敞开式建筑以及敞开式建筑，便于采光、通风，符合节能要求；装置内设施使用条形布置，大型设施进行集中布置，装置周边设有环形通道以及相应的绿化设施，整体布置协调美观。建设单位应在全厂最高点及较高建筑物上设置风向标，便于全厂职工在任何位置都能够看到当时风向情况。发生大气突发环境污染事故状态下，应根据风向标指示，向上风向集合，事故状态下人员疏散通道及紧急集合点。</w:t>
            </w:r>
          </w:p>
          <w:p w14:paraId="0DE3CDE9">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Cambria Math" w:eastAsia="宋体" w:cs="Times New Roman"/>
                <w:b w:val="0"/>
                <w:bCs w:val="0"/>
                <w:i w:val="0"/>
                <w:color w:val="0000FF"/>
                <w:kern w:val="0"/>
                <w:sz w:val="24"/>
                <w:szCs w:val="21"/>
                <w:vertAlign w:val="baseline"/>
                <w:lang w:val="en-US" w:eastAsia="zh-CN" w:bidi="ar-SA"/>
              </w:rPr>
            </w:pPr>
            <w:r>
              <w:rPr>
                <w:rFonts w:hint="eastAsia" w:ascii="Times New Roman" w:hAnsi="Cambria Math" w:eastAsia="宋体" w:cs="Times New Roman"/>
                <w:b w:val="0"/>
                <w:bCs w:val="0"/>
                <w:i w:val="0"/>
                <w:color w:val="0000FF"/>
                <w:kern w:val="0"/>
                <w:sz w:val="24"/>
                <w:szCs w:val="21"/>
                <w:vertAlign w:val="baseline"/>
                <w:lang w:val="en-US" w:eastAsia="zh-CN" w:bidi="ar-SA"/>
              </w:rPr>
              <w:t>（2）工艺控制措施</w:t>
            </w:r>
          </w:p>
          <w:p w14:paraId="58DDD843">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Cambria Math" w:eastAsia="宋体" w:cs="Times New Roman"/>
                <w:b w:val="0"/>
                <w:bCs w:val="0"/>
                <w:i w:val="0"/>
                <w:color w:val="0000FF"/>
                <w:kern w:val="0"/>
                <w:sz w:val="24"/>
                <w:szCs w:val="21"/>
                <w:vertAlign w:val="baseline"/>
                <w:lang w:val="en-US" w:eastAsia="zh-CN" w:bidi="ar-SA"/>
              </w:rPr>
            </w:pPr>
            <w:r>
              <w:rPr>
                <w:rFonts w:hint="eastAsia" w:ascii="Times New Roman" w:hAnsi="Cambria Math" w:eastAsia="宋体" w:cs="Times New Roman"/>
                <w:b w:val="0"/>
                <w:bCs w:val="0"/>
                <w:i w:val="0"/>
                <w:color w:val="0000FF"/>
                <w:kern w:val="0"/>
                <w:sz w:val="24"/>
                <w:szCs w:val="21"/>
                <w:vertAlign w:val="baseline"/>
                <w:lang w:val="en-US" w:eastAsia="zh-CN" w:bidi="ar-SA"/>
              </w:rPr>
              <w:t>建立完整的工艺规程和操作法，工艺规程中除了考虑正常操作外，还应考虑异常操作处理及紧急事故处理的安全措施和设施。设备的选型及其性能指标应符合工艺要求。应根据不同物料的特性和生产过程选择合适的设备材质，在充分考虑主体设备的安全可靠性的同时，不应忽视次要或辅助设备的质量和安全可靠性。应严格控制设备及其配件的制作、安装质量，确保安全可靠。对设备应进行定期检测，检查其受腐蚀情况，并及时予以更新。所有管道系统均按有关标准进行良好设计、制作及安装，管道连接采用焊接，尽可能减少使用接合法兰，以降低泄漏几率；如法兰连接使用垫片的材质应与输送介质的性质相适应，不使用易受到输送物溶解、腐蚀的材料。工艺输送泵均采用密封防泄露驱动泵以避免物料泄漏。物料输送管线要定期试压检漏。进入厂区人员穿戴好个人安全防护用品，如安全帽等，以防意外事故的发生。生产时，必须为高温岗位提供相应的劳动防护用品，并建立职工健康档案，定期对职工进行体检。</w:t>
            </w:r>
          </w:p>
          <w:p w14:paraId="23E5B7CE">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Cambria Math" w:eastAsia="宋体" w:cs="Times New Roman"/>
                <w:b w:val="0"/>
                <w:bCs w:val="0"/>
                <w:i w:val="0"/>
                <w:color w:val="0000FF"/>
                <w:kern w:val="0"/>
                <w:sz w:val="24"/>
                <w:szCs w:val="21"/>
                <w:vertAlign w:val="baseline"/>
                <w:lang w:val="en-US" w:eastAsia="zh-CN" w:bidi="ar-SA"/>
              </w:rPr>
            </w:pPr>
            <w:r>
              <w:rPr>
                <w:rFonts w:hint="eastAsia" w:ascii="Times New Roman" w:hAnsi="Cambria Math" w:eastAsia="宋体" w:cs="Times New Roman"/>
                <w:b w:val="0"/>
                <w:bCs w:val="0"/>
                <w:i w:val="0"/>
                <w:color w:val="0000FF"/>
                <w:kern w:val="0"/>
                <w:sz w:val="24"/>
                <w:szCs w:val="21"/>
                <w:vertAlign w:val="baseline"/>
                <w:lang w:val="en-US" w:eastAsia="zh-CN" w:bidi="ar-SA"/>
              </w:rPr>
              <w:t>（3）事故废水环境风险防范措施</w:t>
            </w:r>
          </w:p>
          <w:p w14:paraId="66034FB9">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Cambria Math" w:eastAsia="宋体" w:cs="Times New Roman"/>
                <w:b w:val="0"/>
                <w:bCs w:val="0"/>
                <w:i w:val="0"/>
                <w:color w:val="0000FF"/>
                <w:kern w:val="0"/>
                <w:sz w:val="24"/>
                <w:szCs w:val="21"/>
                <w:vertAlign w:val="baseline"/>
                <w:lang w:val="en-US" w:eastAsia="zh-CN" w:bidi="ar-SA"/>
              </w:rPr>
            </w:pPr>
            <w:r>
              <w:rPr>
                <w:rFonts w:hint="eastAsia" w:ascii="Times New Roman" w:hAnsi="Cambria Math" w:eastAsia="宋体" w:cs="Times New Roman"/>
                <w:b w:val="0"/>
                <w:bCs w:val="0"/>
                <w:i w:val="0"/>
                <w:color w:val="0000FF"/>
                <w:kern w:val="0"/>
                <w:sz w:val="24"/>
                <w:szCs w:val="21"/>
                <w:vertAlign w:val="baseline"/>
                <w:lang w:val="en-US" w:eastAsia="zh-CN" w:bidi="ar-SA"/>
              </w:rPr>
              <w:t>①事故应急体系</w:t>
            </w:r>
          </w:p>
          <w:p w14:paraId="102E4C13">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Cambria Math" w:eastAsia="宋体" w:cs="Times New Roman"/>
                <w:b w:val="0"/>
                <w:bCs w:val="0"/>
                <w:i w:val="0"/>
                <w:color w:val="0000FF"/>
                <w:kern w:val="0"/>
                <w:sz w:val="24"/>
                <w:szCs w:val="21"/>
                <w:vertAlign w:val="baseline"/>
                <w:lang w:val="en-US" w:eastAsia="zh-CN" w:bidi="ar-SA"/>
              </w:rPr>
            </w:pPr>
            <w:r>
              <w:rPr>
                <w:rFonts w:hint="eastAsia" w:ascii="Times New Roman" w:hAnsi="Cambria Math" w:eastAsia="宋体" w:cs="Times New Roman"/>
                <w:b w:val="0"/>
                <w:bCs w:val="0"/>
                <w:i w:val="0"/>
                <w:color w:val="0000FF"/>
                <w:kern w:val="0"/>
                <w:sz w:val="24"/>
                <w:szCs w:val="21"/>
                <w:vertAlign w:val="baseline"/>
                <w:lang w:val="en-US" w:eastAsia="zh-CN" w:bidi="ar-SA"/>
              </w:rPr>
              <w:t xml:space="preserve">建设单位应有明确的“单元-厂区”环境风险防控体系要求，其中“单元”指生产装置区、库区、装卸区等相对独立区域，均应设置截流措施，并且设置雨、污水分流及雨污水切换阀门并与事故应急池联通，防止事故水进入外环境。项目建成后，项目区域实施清污分流和雨污分流。雨水系统收集雨水，污水系统收集生产废水。事故状态下，消防尾水进入事故废水系统。采取以上措施后，由于消防尾水、事故废水排放而发生周围地表水污染事故的可能性极小。 </w:t>
            </w:r>
          </w:p>
          <w:p w14:paraId="73850A67">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Cambria Math" w:eastAsia="宋体" w:cs="Times New Roman"/>
                <w:b w:val="0"/>
                <w:bCs w:val="0"/>
                <w:i w:val="0"/>
                <w:color w:val="0000FF"/>
                <w:kern w:val="0"/>
                <w:sz w:val="24"/>
                <w:szCs w:val="21"/>
                <w:vertAlign w:val="baseline"/>
                <w:lang w:val="en-US" w:eastAsia="zh-CN" w:bidi="ar-SA"/>
              </w:rPr>
            </w:pPr>
            <w:r>
              <w:rPr>
                <w:rFonts w:hint="eastAsia" w:ascii="Times New Roman" w:hAnsi="Cambria Math" w:eastAsia="宋体" w:cs="Times New Roman"/>
                <w:b w:val="0"/>
                <w:bCs w:val="0"/>
                <w:i w:val="0"/>
                <w:color w:val="0000FF"/>
                <w:kern w:val="0"/>
                <w:sz w:val="24"/>
                <w:szCs w:val="21"/>
                <w:vertAlign w:val="baseline"/>
                <w:lang w:val="en-US" w:eastAsia="zh-CN" w:bidi="ar-SA"/>
              </w:rPr>
              <w:t>②事故应急池设置</w:t>
            </w:r>
          </w:p>
          <w:p w14:paraId="6079871B">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Cambria Math" w:eastAsia="宋体" w:cs="Times New Roman"/>
                <w:b w:val="0"/>
                <w:bCs w:val="0"/>
                <w:i w:val="0"/>
                <w:color w:val="0000FF"/>
                <w:kern w:val="0"/>
                <w:sz w:val="24"/>
                <w:szCs w:val="21"/>
                <w:vertAlign w:val="baseline"/>
                <w:lang w:val="en-US" w:eastAsia="zh-CN" w:bidi="ar-SA"/>
              </w:rPr>
            </w:pPr>
            <w:r>
              <w:rPr>
                <w:rFonts w:hint="eastAsia" w:ascii="Times New Roman" w:hAnsi="Cambria Math" w:eastAsia="宋体" w:cs="Times New Roman"/>
                <w:b w:val="0"/>
                <w:bCs w:val="0"/>
                <w:i w:val="0"/>
                <w:color w:val="0000FF"/>
                <w:kern w:val="0"/>
                <w:sz w:val="24"/>
                <w:szCs w:val="21"/>
                <w:vertAlign w:val="baseline"/>
                <w:lang w:val="en-US" w:eastAsia="zh-CN" w:bidi="ar-SA"/>
              </w:rPr>
              <w:t>根据《化工建设项目环境保护工程设计标准》（GB/T 50483-2019）和《事故状态下水体污染的预防与控制技术要求》（Q/SY 1190-2013）中的相关规定设置。事故池主要用于区内发生事故或火灾时，控制、收集和存放污染事故水（包括污染雨水）及污染消防水。污染事故水及污染消防水通过雨水的管道收集。</w:t>
            </w:r>
          </w:p>
          <w:p w14:paraId="5E4CEB14">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Cambria Math" w:eastAsia="宋体" w:cs="Times New Roman"/>
                <w:b w:val="0"/>
                <w:bCs w:val="0"/>
                <w:i w:val="0"/>
                <w:color w:val="0000FF"/>
                <w:kern w:val="0"/>
                <w:sz w:val="24"/>
                <w:szCs w:val="21"/>
                <w:vertAlign w:val="baseline"/>
                <w:lang w:val="en-US" w:eastAsia="zh-CN" w:bidi="ar-SA"/>
              </w:rPr>
            </w:pPr>
            <w:r>
              <w:rPr>
                <w:rFonts w:hint="eastAsia" w:ascii="Times New Roman" w:hAnsi="Cambria Math" w:eastAsia="宋体" w:cs="Times New Roman"/>
                <w:b w:val="0"/>
                <w:bCs w:val="0"/>
                <w:i w:val="0"/>
                <w:color w:val="0000FF"/>
                <w:kern w:val="0"/>
                <w:sz w:val="24"/>
                <w:szCs w:val="21"/>
                <w:vertAlign w:val="baseline"/>
                <w:lang w:val="en-US" w:eastAsia="zh-CN" w:bidi="ar-SA"/>
              </w:rPr>
              <w:t>（4）监控系统及应急监测管理</w:t>
            </w:r>
          </w:p>
          <w:p w14:paraId="61C1DF0F">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Cambria Math" w:eastAsia="宋体" w:cs="Times New Roman"/>
                <w:b w:val="0"/>
                <w:bCs w:val="0"/>
                <w:i w:val="0"/>
                <w:color w:val="0000FF"/>
                <w:kern w:val="0"/>
                <w:sz w:val="24"/>
                <w:szCs w:val="21"/>
                <w:vertAlign w:val="baseline"/>
                <w:lang w:val="en-US" w:eastAsia="zh-CN" w:bidi="ar-SA"/>
              </w:rPr>
            </w:pPr>
            <w:r>
              <w:rPr>
                <w:rFonts w:hint="eastAsia" w:ascii="Times New Roman" w:hAnsi="Cambria Math" w:eastAsia="宋体" w:cs="Times New Roman"/>
                <w:b w:val="0"/>
                <w:bCs w:val="0"/>
                <w:i w:val="0"/>
                <w:color w:val="0000FF"/>
                <w:kern w:val="0"/>
                <w:sz w:val="24"/>
                <w:szCs w:val="21"/>
                <w:vertAlign w:val="baseline"/>
                <w:lang w:val="en-US" w:eastAsia="zh-CN" w:bidi="ar-SA"/>
              </w:rPr>
              <w:t>针对水泥窑、仓库等主要风险源，应设立风险监控系统。建设单位应在危险工艺、重点贮槽（罐）区等区域按国家规定安装监控、自动报警以及相关的联锁装置。各装置设有紧急消防按钮和直通电话以火灾报警装置。建设单位应建立应急监测能力，如配备应急监测仪器、开展部分监测实验等等。如无相关应急监测能力，应委托第三方有资质应急监测单位开展应急监测工作。建设单位应配备应急物资，并设立应急物资管理办法，应急物资应包括消防物资（消防沙、铁锹等）、个人防护（防毒面具、防护服、空气呼吸器、耐酸碱防护装备等）、应急围堵物资（尼龙袋、黄砂等）、应急监测设备、医疗物资（急救箱、紧急冲洗设备等）、联络物资（防爆对讲机、救援绳、警戒线、防爆手电筒等）。应急物资应设置专人管理，并设立记录台账，并定期进行更新，保证应急物资在有效期内。</w:t>
            </w:r>
          </w:p>
          <w:p w14:paraId="4136D9F2">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Cambria Math" w:eastAsia="宋体" w:cs="Times New Roman"/>
                <w:b w:val="0"/>
                <w:bCs w:val="0"/>
                <w:i w:val="0"/>
                <w:color w:val="0000FF"/>
                <w:kern w:val="0"/>
                <w:sz w:val="24"/>
                <w:szCs w:val="21"/>
                <w:vertAlign w:val="baseline"/>
                <w:lang w:val="en-US" w:eastAsia="zh-CN" w:bidi="ar-SA"/>
              </w:rPr>
            </w:pPr>
            <w:r>
              <w:rPr>
                <w:rFonts w:hint="eastAsia" w:ascii="Times New Roman" w:hAnsi="Cambria Math" w:eastAsia="宋体" w:cs="Times New Roman"/>
                <w:b w:val="0"/>
                <w:bCs w:val="0"/>
                <w:i w:val="0"/>
                <w:color w:val="0000FF"/>
                <w:kern w:val="0"/>
                <w:sz w:val="24"/>
                <w:szCs w:val="21"/>
                <w:vertAlign w:val="baseline"/>
                <w:lang w:val="en-US" w:eastAsia="zh-CN" w:bidi="ar-SA"/>
              </w:rPr>
              <w:t>（5）水泥窑系统防范措施</w:t>
            </w:r>
          </w:p>
          <w:p w14:paraId="27890CDE">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Cambria Math" w:eastAsia="宋体" w:cs="Times New Roman"/>
                <w:b w:val="0"/>
                <w:bCs w:val="0"/>
                <w:i w:val="0"/>
                <w:color w:val="0000FF"/>
                <w:kern w:val="0"/>
                <w:sz w:val="24"/>
                <w:szCs w:val="21"/>
                <w:vertAlign w:val="baseline"/>
                <w:lang w:val="en-US" w:eastAsia="zh-CN" w:bidi="ar-SA"/>
              </w:rPr>
            </w:pPr>
            <w:r>
              <w:rPr>
                <w:rFonts w:hint="eastAsia" w:ascii="Times New Roman" w:hAnsi="Cambria Math" w:eastAsia="宋体" w:cs="Times New Roman"/>
                <w:b w:val="0"/>
                <w:bCs w:val="0"/>
                <w:i w:val="0"/>
                <w:color w:val="0000FF"/>
                <w:kern w:val="0"/>
                <w:sz w:val="24"/>
                <w:szCs w:val="21"/>
                <w:vertAlign w:val="baseline"/>
                <w:lang w:val="en-US" w:eastAsia="zh-CN" w:bidi="ar-SA"/>
              </w:rPr>
              <w:t>水泥窑如发生各种原因的设备故障，均会自动停炉。停窑时，控制系统内预设的停车程序将自动切断所有进料系统，确保污染物无法继续生成。针对停电，自动停窑时等待事故排查之后，再重新点火启动整个系统；针对停水，设备中有软水箱、水箱、备用水泵，可提供水泥窑继续运行2～3小时，并提供故障报警，提供排出故障；烟气净化系统出现故障时，停炉处理，等待故障解决后再焚烧处理。</w:t>
            </w:r>
          </w:p>
          <w:p w14:paraId="45006E9F">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Cambria Math" w:eastAsia="宋体" w:cs="Times New Roman"/>
                <w:b w:val="0"/>
                <w:bCs w:val="0"/>
                <w:i w:val="0"/>
                <w:color w:val="0000FF"/>
                <w:kern w:val="0"/>
                <w:sz w:val="24"/>
                <w:szCs w:val="21"/>
                <w:vertAlign w:val="baseline"/>
                <w:lang w:val="en-US" w:eastAsia="zh-CN" w:bidi="ar-SA"/>
              </w:rPr>
            </w:pPr>
            <w:r>
              <w:rPr>
                <w:rFonts w:hint="eastAsia" w:ascii="Times New Roman" w:hAnsi="Cambria Math" w:eastAsia="宋体" w:cs="Times New Roman"/>
                <w:b w:val="0"/>
                <w:bCs w:val="0"/>
                <w:i w:val="0"/>
                <w:color w:val="0000FF"/>
                <w:kern w:val="0"/>
                <w:sz w:val="24"/>
                <w:szCs w:val="21"/>
                <w:vertAlign w:val="baseline"/>
                <w:lang w:val="en-US" w:eastAsia="zh-CN" w:bidi="ar-SA"/>
              </w:rPr>
              <w:t xml:space="preserve">本项目水泥窑采多级报警：低级别报警是对水泥窑设备某一设备出现故障但还不会对人和设备造成损坏，不会出现严重的后果的报警，对于低级别报警的表现和处理方法：显示所报警设备的名称及大约的故障类形，启动声音报警器以提醒操作人员注意，并自动停掉与之相关的设备，以保护设备出现更大的故障。高级别报警是对水泥窑设备某一设备出现严重故障，可能会出现对人和设备造成损坏的报警。对于高级别报警的表现和处理方法：显示所报警设备的名称及可能的故障类形，启动声意报警器能提本操作人员注意，并自动停止整个系统，打开安全阀门，关闭进风阀门，以保护设备与人身安全。 </w:t>
            </w:r>
          </w:p>
          <w:p w14:paraId="2281303C">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Cambria Math" w:eastAsia="宋体" w:cs="Times New Roman"/>
                <w:b w:val="0"/>
                <w:bCs w:val="0"/>
                <w:i w:val="0"/>
                <w:color w:val="0000FF"/>
                <w:kern w:val="0"/>
                <w:sz w:val="24"/>
                <w:szCs w:val="21"/>
                <w:vertAlign w:val="baseline"/>
                <w:lang w:val="en-US" w:eastAsia="zh-CN" w:bidi="ar-SA"/>
              </w:rPr>
            </w:pPr>
            <w:r>
              <w:rPr>
                <w:rFonts w:hint="eastAsia" w:ascii="Times New Roman" w:hAnsi="Cambria Math" w:eastAsia="宋体" w:cs="Times New Roman"/>
                <w:b w:val="0"/>
                <w:bCs w:val="0"/>
                <w:i w:val="0"/>
                <w:color w:val="0000FF"/>
                <w:kern w:val="0"/>
                <w:sz w:val="24"/>
                <w:szCs w:val="21"/>
                <w:vertAlign w:val="baseline"/>
                <w:lang w:val="en-US" w:eastAsia="zh-CN" w:bidi="ar-SA"/>
              </w:rPr>
              <w:t xml:space="preserve">本项目水泥窑系统应急系统设置如下： </w:t>
            </w:r>
          </w:p>
          <w:p w14:paraId="243664F8">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Cambria Math" w:eastAsia="宋体" w:cs="Times New Roman"/>
                <w:b w:val="0"/>
                <w:bCs w:val="0"/>
                <w:i w:val="0"/>
                <w:color w:val="0000FF"/>
                <w:kern w:val="0"/>
                <w:sz w:val="24"/>
                <w:szCs w:val="21"/>
                <w:vertAlign w:val="baseline"/>
                <w:lang w:val="en-US" w:eastAsia="zh-CN" w:bidi="ar-SA"/>
              </w:rPr>
            </w:pPr>
            <w:r>
              <w:rPr>
                <w:rFonts w:hint="eastAsia" w:ascii="Times New Roman" w:hAnsi="Cambria Math" w:eastAsia="宋体" w:cs="Times New Roman"/>
                <w:b w:val="0"/>
                <w:bCs w:val="0"/>
                <w:i w:val="0"/>
                <w:color w:val="0000FF"/>
                <w:kern w:val="0"/>
                <w:sz w:val="24"/>
                <w:szCs w:val="21"/>
                <w:vertAlign w:val="baseline"/>
                <w:lang w:val="en-US" w:eastAsia="zh-CN" w:bidi="ar-SA"/>
              </w:rPr>
              <w:t>当系统遇到停水时：备用水箱内的水可供系统正常使用3小时以上。突然停电时的安全停止装置：当系统遇到停电时，自动停止整个系统，同时由设备自备电源打开安全阀门。异常燃烧时安全停止装置：当水泥窑内温度极速上升而超过设定的极限温度后，为了保证设备的安全，系统自动启动一级报警。</w:t>
            </w:r>
          </w:p>
          <w:p w14:paraId="61734C12">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Cambria Math" w:eastAsia="宋体" w:cs="Times New Roman"/>
                <w:b w:val="0"/>
                <w:bCs w:val="0"/>
                <w:i w:val="0"/>
                <w:color w:val="0000FF"/>
                <w:kern w:val="0"/>
                <w:sz w:val="24"/>
                <w:szCs w:val="21"/>
                <w:vertAlign w:val="baseline"/>
                <w:lang w:val="en-US" w:eastAsia="zh-CN" w:bidi="ar-SA"/>
              </w:rPr>
            </w:pPr>
            <w:r>
              <w:rPr>
                <w:rFonts w:hint="eastAsia" w:ascii="Times New Roman" w:hAnsi="Cambria Math" w:eastAsia="宋体" w:cs="Times New Roman"/>
                <w:b w:val="0"/>
                <w:bCs w:val="0"/>
                <w:i w:val="0"/>
                <w:color w:val="0000FF"/>
                <w:kern w:val="0"/>
                <w:sz w:val="24"/>
                <w:szCs w:val="21"/>
                <w:vertAlign w:val="baseline"/>
                <w:lang w:val="en-US" w:eastAsia="zh-CN" w:bidi="ar-SA"/>
              </w:rPr>
              <w:t>（6）环境风险应急预案</w:t>
            </w:r>
          </w:p>
          <w:p w14:paraId="466E09CC">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Cambria Math" w:eastAsia="宋体" w:cs="Times New Roman"/>
                <w:b w:val="0"/>
                <w:bCs w:val="0"/>
                <w:i w:val="0"/>
                <w:color w:val="0000FF"/>
                <w:kern w:val="0"/>
                <w:sz w:val="24"/>
                <w:szCs w:val="21"/>
                <w:vertAlign w:val="baseline"/>
                <w:lang w:val="en-US" w:eastAsia="zh-CN" w:bidi="ar-SA"/>
              </w:rPr>
            </w:pPr>
            <w:r>
              <w:rPr>
                <w:rFonts w:hint="eastAsia" w:ascii="Times New Roman" w:hAnsi="Cambria Math" w:eastAsia="宋体" w:cs="Times New Roman"/>
                <w:b w:val="0"/>
                <w:bCs w:val="0"/>
                <w:i w:val="0"/>
                <w:color w:val="0000FF"/>
                <w:kern w:val="0"/>
                <w:sz w:val="24"/>
                <w:szCs w:val="21"/>
                <w:vertAlign w:val="baseline"/>
                <w:lang w:val="en-US" w:eastAsia="zh-CN" w:bidi="ar-SA"/>
              </w:rPr>
              <w:t>应急预案是指根据预测危险源、危险目标可能发生事故的类别和危害程度而制定的事故应急救援方案。是在贯彻预防为主的前提下，对建设项目可能出现的事故，为及时控制危害源，抢救受害人员，指导居民防护和组织撤离，消除危害后果而组织的救援活动的预想方案，是针对危险源制定的一项应急反应计划。</w:t>
            </w:r>
          </w:p>
          <w:p w14:paraId="5B261773">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Cambria Math" w:eastAsia="宋体" w:cs="Times New Roman"/>
                <w:b w:val="0"/>
                <w:bCs w:val="0"/>
                <w:i w:val="0"/>
                <w:color w:val="0000FF"/>
                <w:kern w:val="0"/>
                <w:sz w:val="24"/>
                <w:szCs w:val="21"/>
                <w:vertAlign w:val="baseline"/>
                <w:lang w:val="en-US" w:eastAsia="zh-CN" w:bidi="ar-SA"/>
              </w:rPr>
            </w:pPr>
            <w:r>
              <w:rPr>
                <w:rFonts w:hint="eastAsia" w:ascii="Times New Roman" w:hAnsi="Cambria Math" w:eastAsia="宋体" w:cs="Times New Roman"/>
                <w:b w:val="0"/>
                <w:bCs w:val="0"/>
                <w:i w:val="0"/>
                <w:color w:val="0000FF"/>
                <w:kern w:val="0"/>
                <w:sz w:val="24"/>
                <w:szCs w:val="21"/>
                <w:vertAlign w:val="baseline"/>
                <w:lang w:val="en-US" w:eastAsia="zh-CN" w:bidi="ar-SA"/>
              </w:rPr>
              <w:t>项目在生产运营前，需根据有关规定，完成应急预案的编制工作，建设单位在生产过程中，应强化生产安全与环境风险管理的基础上，制定和不断完善事故应急预案。</w:t>
            </w:r>
          </w:p>
          <w:p w14:paraId="7722CBE9">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i w:val="0"/>
                <w:color w:val="auto"/>
                <w:kern w:val="0"/>
                <w:sz w:val="24"/>
                <w:szCs w:val="21"/>
                <w:vertAlign w:val="baseline"/>
                <w:lang w:val="en-US" w:eastAsia="zh-CN" w:bidi="ar-SA"/>
              </w:rPr>
            </w:pPr>
            <w:r>
              <w:rPr>
                <w:rFonts w:hint="eastAsia" w:ascii="Times New Roman" w:hAnsi="Times New Roman" w:eastAsia="宋体" w:cs="Times New Roman"/>
                <w:b/>
                <w:bCs/>
                <w:i w:val="0"/>
                <w:color w:val="auto"/>
                <w:kern w:val="0"/>
                <w:sz w:val="24"/>
                <w:szCs w:val="21"/>
                <w:vertAlign w:val="baseline"/>
                <w:lang w:val="en-US" w:eastAsia="zh-CN" w:bidi="ar-SA"/>
              </w:rPr>
              <w:t>八、</w:t>
            </w:r>
            <w:r>
              <w:rPr>
                <w:rFonts w:hint="eastAsia" w:cs="Times New Roman"/>
                <w:b/>
                <w:bCs/>
                <w:i w:val="0"/>
                <w:color w:val="auto"/>
                <w:kern w:val="0"/>
                <w:sz w:val="24"/>
                <w:szCs w:val="21"/>
                <w:vertAlign w:val="baseline"/>
                <w:lang w:val="en-US" w:eastAsia="zh-CN" w:bidi="ar-SA"/>
              </w:rPr>
              <w:t>环境管理</w:t>
            </w:r>
          </w:p>
          <w:p w14:paraId="22D3297E">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i w:val="0"/>
                <w:color w:val="auto"/>
                <w:kern w:val="0"/>
                <w:sz w:val="24"/>
                <w:szCs w:val="21"/>
                <w:vertAlign w:val="baseline"/>
                <w:lang w:val="en-US" w:eastAsia="zh-CN" w:bidi="ar-SA"/>
              </w:rPr>
            </w:pPr>
            <w:r>
              <w:rPr>
                <w:rFonts w:hint="eastAsia" w:cs="Times New Roman"/>
                <w:b/>
                <w:bCs/>
                <w:i w:val="0"/>
                <w:color w:val="auto"/>
                <w:kern w:val="0"/>
                <w:sz w:val="24"/>
                <w:szCs w:val="21"/>
                <w:vertAlign w:val="baseline"/>
                <w:lang w:val="en-US" w:eastAsia="zh-CN" w:bidi="ar-SA"/>
              </w:rPr>
              <w:t>1、运营期环境管理</w:t>
            </w:r>
          </w:p>
          <w:p w14:paraId="62679B01">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i w:val="0"/>
                <w:color w:val="auto"/>
                <w:kern w:val="0"/>
                <w:sz w:val="24"/>
                <w:szCs w:val="21"/>
                <w:vertAlign w:val="baseline"/>
                <w:lang w:val="en-US" w:eastAsia="zh-CN" w:bidi="ar-SA"/>
              </w:rPr>
            </w:pPr>
            <w:r>
              <w:rPr>
                <w:rFonts w:hint="eastAsia" w:cs="Times New Roman"/>
                <w:b w:val="0"/>
                <w:bCs w:val="0"/>
                <w:i w:val="0"/>
                <w:color w:val="auto"/>
                <w:kern w:val="0"/>
                <w:sz w:val="24"/>
                <w:szCs w:val="21"/>
                <w:vertAlign w:val="baseline"/>
                <w:lang w:val="en-US" w:eastAsia="zh-CN" w:bidi="ar-SA"/>
              </w:rPr>
              <w:t>（</w:t>
            </w:r>
            <w:r>
              <w:rPr>
                <w:rFonts w:hint="default" w:cs="Times New Roman"/>
                <w:b w:val="0"/>
                <w:bCs w:val="0"/>
                <w:i w:val="0"/>
                <w:color w:val="auto"/>
                <w:kern w:val="0"/>
                <w:sz w:val="24"/>
                <w:szCs w:val="21"/>
                <w:vertAlign w:val="baseline"/>
                <w:lang w:val="en-US" w:eastAsia="zh-CN" w:bidi="ar-SA"/>
              </w:rPr>
              <w:t>1</w:t>
            </w:r>
            <w:r>
              <w:rPr>
                <w:rFonts w:hint="eastAsia" w:cs="Times New Roman"/>
                <w:b w:val="0"/>
                <w:bCs w:val="0"/>
                <w:i w:val="0"/>
                <w:color w:val="auto"/>
                <w:kern w:val="0"/>
                <w:sz w:val="24"/>
                <w:szCs w:val="21"/>
                <w:vertAlign w:val="baseline"/>
                <w:lang w:val="en-US" w:eastAsia="zh-CN" w:bidi="ar-SA"/>
              </w:rPr>
              <w:t xml:space="preserve">）设置环境管理专职人员，专职人员应具备一定的环境管理水平和专业技术知识，熟悉国家的环保法律法规。 </w:t>
            </w:r>
          </w:p>
          <w:p w14:paraId="646EA3E4">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i w:val="0"/>
                <w:color w:val="auto"/>
                <w:kern w:val="0"/>
                <w:sz w:val="24"/>
                <w:szCs w:val="21"/>
                <w:vertAlign w:val="baseline"/>
                <w:lang w:val="en-US" w:eastAsia="zh-CN" w:bidi="ar-SA"/>
              </w:rPr>
            </w:pPr>
            <w:r>
              <w:rPr>
                <w:rFonts w:hint="eastAsia" w:cs="Times New Roman"/>
                <w:b w:val="0"/>
                <w:bCs w:val="0"/>
                <w:i w:val="0"/>
                <w:color w:val="auto"/>
                <w:kern w:val="0"/>
                <w:sz w:val="24"/>
                <w:szCs w:val="21"/>
                <w:vertAlign w:val="baseline"/>
                <w:lang w:val="en-US" w:eastAsia="zh-CN" w:bidi="ar-SA"/>
              </w:rPr>
              <w:t>（</w:t>
            </w:r>
            <w:r>
              <w:rPr>
                <w:rFonts w:hint="default" w:cs="Times New Roman"/>
                <w:b w:val="0"/>
                <w:bCs w:val="0"/>
                <w:i w:val="0"/>
                <w:color w:val="auto"/>
                <w:kern w:val="0"/>
                <w:sz w:val="24"/>
                <w:szCs w:val="21"/>
                <w:vertAlign w:val="baseline"/>
                <w:lang w:val="en-US" w:eastAsia="zh-CN" w:bidi="ar-SA"/>
              </w:rPr>
              <w:t>2</w:t>
            </w:r>
            <w:r>
              <w:rPr>
                <w:rFonts w:hint="eastAsia" w:cs="Times New Roman"/>
                <w:b w:val="0"/>
                <w:bCs w:val="0"/>
                <w:i w:val="0"/>
                <w:color w:val="auto"/>
                <w:kern w:val="0"/>
                <w:sz w:val="24"/>
                <w:szCs w:val="21"/>
                <w:vertAlign w:val="baseline"/>
                <w:lang w:val="en-US" w:eastAsia="zh-CN" w:bidi="ar-SA"/>
              </w:rPr>
              <w:t xml:space="preserve">）加强环保宣传，增强环境保护意识加强对全厂职工环保法律法规宣传，增强全厂职工的环保意识。 </w:t>
            </w:r>
          </w:p>
          <w:p w14:paraId="114EDEAA">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i w:val="0"/>
                <w:color w:val="auto"/>
                <w:kern w:val="0"/>
                <w:sz w:val="24"/>
                <w:szCs w:val="21"/>
                <w:vertAlign w:val="baseline"/>
                <w:lang w:val="en-US" w:eastAsia="zh-CN" w:bidi="ar-SA"/>
              </w:rPr>
            </w:pPr>
            <w:r>
              <w:rPr>
                <w:rFonts w:hint="eastAsia" w:cs="Times New Roman"/>
                <w:b w:val="0"/>
                <w:bCs w:val="0"/>
                <w:i w:val="0"/>
                <w:color w:val="auto"/>
                <w:kern w:val="0"/>
                <w:sz w:val="24"/>
                <w:szCs w:val="21"/>
                <w:vertAlign w:val="baseline"/>
                <w:lang w:val="en-US" w:eastAsia="zh-CN" w:bidi="ar-SA"/>
              </w:rPr>
              <w:t>（</w:t>
            </w:r>
            <w:r>
              <w:rPr>
                <w:rFonts w:hint="default" w:cs="Times New Roman"/>
                <w:b w:val="0"/>
                <w:bCs w:val="0"/>
                <w:i w:val="0"/>
                <w:color w:val="auto"/>
                <w:kern w:val="0"/>
                <w:sz w:val="24"/>
                <w:szCs w:val="21"/>
                <w:vertAlign w:val="baseline"/>
                <w:lang w:val="en-US" w:eastAsia="zh-CN" w:bidi="ar-SA"/>
              </w:rPr>
              <w:t>3</w:t>
            </w:r>
            <w:r>
              <w:rPr>
                <w:rFonts w:hint="eastAsia" w:cs="Times New Roman"/>
                <w:b w:val="0"/>
                <w:bCs w:val="0"/>
                <w:i w:val="0"/>
                <w:color w:val="auto"/>
                <w:kern w:val="0"/>
                <w:sz w:val="24"/>
                <w:szCs w:val="21"/>
                <w:vertAlign w:val="baseline"/>
                <w:lang w:val="en-US" w:eastAsia="zh-CN" w:bidi="ar-SA"/>
              </w:rPr>
              <w:t xml:space="preserve">）建立健全环保管理规章制度和监督机制 </w:t>
            </w:r>
          </w:p>
          <w:p w14:paraId="63E137D4">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i w:val="0"/>
                <w:color w:val="auto"/>
                <w:kern w:val="0"/>
                <w:sz w:val="24"/>
                <w:szCs w:val="21"/>
                <w:vertAlign w:val="baseline"/>
                <w:lang w:val="en-US" w:eastAsia="zh-CN" w:bidi="ar-SA"/>
              </w:rPr>
            </w:pPr>
            <w:r>
              <w:rPr>
                <w:rFonts w:hint="eastAsia" w:cs="Times New Roman"/>
                <w:b w:val="0"/>
                <w:bCs w:val="0"/>
                <w:i w:val="0"/>
                <w:color w:val="auto"/>
                <w:kern w:val="0"/>
                <w:sz w:val="24"/>
                <w:szCs w:val="21"/>
                <w:vertAlign w:val="baseline"/>
                <w:lang w:val="en-US" w:eastAsia="zh-CN" w:bidi="ar-SA"/>
              </w:rPr>
              <w:t xml:space="preserve">建立健全有约束力的、奖惩分明的环保管理规章制度，完善环保指标的监督和考核机制，要做到有规必行，违规必罚。 </w:t>
            </w:r>
          </w:p>
          <w:p w14:paraId="7B28FC77">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i w:val="0"/>
                <w:color w:val="auto"/>
                <w:kern w:val="0"/>
                <w:sz w:val="24"/>
                <w:szCs w:val="21"/>
                <w:vertAlign w:val="baseline"/>
                <w:lang w:val="en-US" w:eastAsia="zh-CN" w:bidi="ar-SA"/>
              </w:rPr>
            </w:pPr>
            <w:r>
              <w:rPr>
                <w:rFonts w:hint="eastAsia" w:cs="Times New Roman"/>
                <w:b w:val="0"/>
                <w:bCs w:val="0"/>
                <w:i w:val="0"/>
                <w:color w:val="auto"/>
                <w:kern w:val="0"/>
                <w:sz w:val="24"/>
                <w:szCs w:val="21"/>
                <w:vertAlign w:val="baseline"/>
                <w:lang w:val="en-US" w:eastAsia="zh-CN" w:bidi="ar-SA"/>
              </w:rPr>
              <w:t>（</w:t>
            </w:r>
            <w:r>
              <w:rPr>
                <w:rFonts w:hint="default" w:cs="Times New Roman"/>
                <w:b w:val="0"/>
                <w:bCs w:val="0"/>
                <w:i w:val="0"/>
                <w:color w:val="auto"/>
                <w:kern w:val="0"/>
                <w:sz w:val="24"/>
                <w:szCs w:val="21"/>
                <w:vertAlign w:val="baseline"/>
                <w:lang w:val="en-US" w:eastAsia="zh-CN" w:bidi="ar-SA"/>
              </w:rPr>
              <w:t>4</w:t>
            </w:r>
            <w:r>
              <w:rPr>
                <w:rFonts w:hint="eastAsia" w:cs="Times New Roman"/>
                <w:b w:val="0"/>
                <w:bCs w:val="0"/>
                <w:i w:val="0"/>
                <w:color w:val="auto"/>
                <w:kern w:val="0"/>
                <w:sz w:val="24"/>
                <w:szCs w:val="21"/>
                <w:vertAlign w:val="baseline"/>
                <w:lang w:val="en-US" w:eastAsia="zh-CN" w:bidi="ar-SA"/>
              </w:rPr>
              <w:t xml:space="preserve">）加强对环保设施的运行管理 </w:t>
            </w:r>
          </w:p>
          <w:p w14:paraId="5C845DDF">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i w:val="0"/>
                <w:color w:val="auto"/>
                <w:kern w:val="0"/>
                <w:sz w:val="24"/>
                <w:szCs w:val="21"/>
                <w:vertAlign w:val="baseline"/>
                <w:lang w:val="en-US" w:eastAsia="zh-CN" w:bidi="ar-SA"/>
              </w:rPr>
            </w:pPr>
            <w:r>
              <w:rPr>
                <w:rFonts w:hint="eastAsia" w:cs="Times New Roman"/>
                <w:b w:val="0"/>
                <w:bCs w:val="0"/>
                <w:i w:val="0"/>
                <w:color w:val="auto"/>
                <w:kern w:val="0"/>
                <w:sz w:val="24"/>
                <w:szCs w:val="21"/>
                <w:vertAlign w:val="baseline"/>
                <w:lang w:val="en-US" w:eastAsia="zh-CN" w:bidi="ar-SA"/>
              </w:rPr>
              <w:t>项目在生产过程中应定岗定职，培训上岗。要严格按操作规程操作，必须保证治理设施的正常运行，从而确保污染物浓度及总量达标排放。定期对污染治理设施检修和维护，以保证污染治理设施的正常运转。</w:t>
            </w:r>
          </w:p>
          <w:p w14:paraId="4ED80167">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cs="Times New Roman"/>
                <w:b/>
                <w:bCs/>
                <w:i w:val="0"/>
                <w:color w:val="auto"/>
                <w:kern w:val="0"/>
                <w:sz w:val="24"/>
                <w:szCs w:val="21"/>
                <w:vertAlign w:val="baseline"/>
                <w:lang w:val="en-US" w:eastAsia="zh-CN" w:bidi="ar-SA"/>
              </w:rPr>
            </w:pPr>
            <w:r>
              <w:rPr>
                <w:rFonts w:hint="default" w:ascii="Times New Roman" w:hAnsi="Times New Roman" w:eastAsia="宋体" w:cs="Times New Roman"/>
                <w:b/>
                <w:bCs/>
                <w:i w:val="0"/>
                <w:color w:val="auto"/>
                <w:kern w:val="0"/>
                <w:sz w:val="24"/>
                <w:szCs w:val="21"/>
                <w:vertAlign w:val="baseline"/>
                <w:lang w:val="en-US" w:eastAsia="zh-CN" w:bidi="ar-SA"/>
              </w:rPr>
              <w:t>2、</w:t>
            </w:r>
            <w:r>
              <w:rPr>
                <w:rFonts w:hint="default" w:cs="Times New Roman"/>
                <w:b/>
                <w:bCs/>
                <w:i w:val="0"/>
                <w:color w:val="auto"/>
                <w:kern w:val="0"/>
                <w:sz w:val="24"/>
                <w:szCs w:val="21"/>
                <w:vertAlign w:val="baseline"/>
                <w:lang w:val="en-US" w:eastAsia="zh-CN" w:bidi="ar-SA"/>
              </w:rPr>
              <w:t>环境管理台账</w:t>
            </w:r>
          </w:p>
          <w:p w14:paraId="1A2830CB">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b w:val="0"/>
                <w:bCs w:val="0"/>
                <w:i w:val="0"/>
                <w:color w:val="auto"/>
                <w:kern w:val="0"/>
                <w:sz w:val="24"/>
                <w:szCs w:val="21"/>
                <w:vertAlign w:val="baseline"/>
                <w:lang w:val="en-US" w:eastAsia="zh-CN" w:bidi="ar-SA"/>
              </w:rPr>
            </w:pPr>
            <w:r>
              <w:rPr>
                <w:rFonts w:hint="default" w:cs="Times New Roman"/>
                <w:b w:val="0"/>
                <w:bCs w:val="0"/>
                <w:i w:val="0"/>
                <w:color w:val="auto"/>
                <w:kern w:val="0"/>
                <w:sz w:val="24"/>
                <w:szCs w:val="21"/>
                <w:vertAlign w:val="baseline"/>
                <w:lang w:val="en-US" w:eastAsia="zh-CN" w:bidi="ar-SA"/>
              </w:rPr>
              <w:t>环境管理台账记录要求如下：</w:t>
            </w:r>
          </w:p>
          <w:p w14:paraId="6E579AE5">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b w:val="0"/>
                <w:bCs w:val="0"/>
                <w:i w:val="0"/>
                <w:color w:val="auto"/>
                <w:kern w:val="0"/>
                <w:sz w:val="24"/>
                <w:szCs w:val="21"/>
                <w:vertAlign w:val="baseline"/>
                <w:lang w:val="en-US" w:eastAsia="zh-CN" w:bidi="ar-SA"/>
              </w:rPr>
            </w:pPr>
            <w:r>
              <w:rPr>
                <w:rFonts w:hint="default" w:ascii="Times New Roman" w:hAnsi="Times New Roman" w:eastAsia="宋体" w:cs="Times New Roman"/>
                <w:b w:val="0"/>
                <w:bCs w:val="0"/>
                <w:i w:val="0"/>
                <w:color w:val="auto"/>
                <w:kern w:val="0"/>
                <w:sz w:val="24"/>
                <w:szCs w:val="21"/>
                <w:vertAlign w:val="baseline"/>
                <w:lang w:val="en-US" w:eastAsia="zh-CN" w:bidi="ar-SA"/>
              </w:rPr>
              <w:t>（1）</w:t>
            </w:r>
            <w:r>
              <w:rPr>
                <w:rFonts w:hint="default" w:cs="Times New Roman"/>
                <w:b w:val="0"/>
                <w:bCs w:val="0"/>
                <w:i w:val="0"/>
                <w:color w:val="auto"/>
                <w:kern w:val="0"/>
                <w:sz w:val="24"/>
                <w:szCs w:val="21"/>
                <w:vertAlign w:val="baseline"/>
                <w:lang w:val="en-US" w:eastAsia="zh-CN" w:bidi="ar-SA"/>
              </w:rPr>
              <w:t>一般原则：排污单位应建立环境管理台账记录制度，落实环境管理台账记录的责任单位和责任人，明确工作职责，并对环境管理台账的真实性、完整性和规范性负责。一般按日或按批次进行记录，异常情况应按次记录。</w:t>
            </w:r>
          </w:p>
          <w:p w14:paraId="32C78840">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b w:val="0"/>
                <w:bCs w:val="0"/>
                <w:i w:val="0"/>
                <w:color w:val="auto"/>
                <w:kern w:val="0"/>
                <w:sz w:val="24"/>
                <w:szCs w:val="21"/>
                <w:vertAlign w:val="baseline"/>
                <w:lang w:val="en-US" w:eastAsia="zh-CN" w:bidi="ar-SA"/>
              </w:rPr>
            </w:pPr>
            <w:r>
              <w:rPr>
                <w:rFonts w:hint="default" w:cs="Times New Roman"/>
                <w:b w:val="0"/>
                <w:bCs w:val="0"/>
                <w:i w:val="0"/>
                <w:color w:val="auto"/>
                <w:kern w:val="0"/>
                <w:sz w:val="24"/>
                <w:szCs w:val="21"/>
                <w:vertAlign w:val="baseline"/>
                <w:lang w:val="en-US" w:eastAsia="zh-CN" w:bidi="ar-SA"/>
              </w:rPr>
              <w:t>实施简化管理的排污单位，其环境管理台账内容可适当缩减，至少记录污染防治设施运行管理信息和监测记录信息，记录频次可适当降低。</w:t>
            </w:r>
          </w:p>
          <w:p w14:paraId="4F904A82">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b w:val="0"/>
                <w:bCs w:val="0"/>
                <w:i w:val="0"/>
                <w:color w:val="auto"/>
                <w:kern w:val="0"/>
                <w:sz w:val="24"/>
                <w:szCs w:val="21"/>
                <w:vertAlign w:val="baseline"/>
                <w:lang w:val="en-US" w:eastAsia="zh-CN" w:bidi="ar-SA"/>
              </w:rPr>
            </w:pPr>
            <w:r>
              <w:rPr>
                <w:rFonts w:hint="default" w:cs="Times New Roman"/>
                <w:b w:val="0"/>
                <w:bCs w:val="0"/>
                <w:i w:val="0"/>
                <w:color w:val="auto"/>
                <w:kern w:val="0"/>
                <w:sz w:val="24"/>
                <w:szCs w:val="21"/>
                <w:vertAlign w:val="baseline"/>
                <w:lang w:val="en-US" w:eastAsia="zh-CN" w:bidi="ar-SA"/>
              </w:rPr>
              <w:t>（2）记录形式：分为电子台账和纸质台账两种形式。</w:t>
            </w:r>
          </w:p>
          <w:p w14:paraId="1107A253">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b w:val="0"/>
                <w:bCs w:val="0"/>
                <w:i w:val="0"/>
                <w:color w:val="auto"/>
                <w:kern w:val="0"/>
                <w:sz w:val="24"/>
                <w:szCs w:val="21"/>
                <w:vertAlign w:val="baseline"/>
                <w:lang w:val="en-US" w:eastAsia="zh-CN" w:bidi="ar-SA"/>
              </w:rPr>
            </w:pPr>
            <w:r>
              <w:rPr>
                <w:rFonts w:hint="default" w:cs="Times New Roman"/>
                <w:b w:val="0"/>
                <w:bCs w:val="0"/>
                <w:i w:val="0"/>
                <w:color w:val="auto"/>
                <w:kern w:val="0"/>
                <w:sz w:val="24"/>
                <w:szCs w:val="21"/>
                <w:vertAlign w:val="baseline"/>
                <w:lang w:val="en-US" w:eastAsia="zh-CN" w:bidi="ar-SA"/>
              </w:rPr>
              <w:t>（3）记录内容：包括基本信息、生产设施运行管理信息、污染防治设施运行管理信息、监测记录信息及其他环境管理信息等，参照《排污单位换环境管理台账及排污许可证执行报告技术规范总则（试行）》附录 A。生产设施、污染防治设施、排放口编码应与排污许可证副本中载明的编码一致。</w:t>
            </w:r>
          </w:p>
          <w:p w14:paraId="4AA59ED9">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b w:val="0"/>
                <w:bCs w:val="0"/>
                <w:i w:val="0"/>
                <w:color w:val="auto"/>
                <w:kern w:val="0"/>
                <w:sz w:val="24"/>
                <w:szCs w:val="21"/>
                <w:vertAlign w:val="baseline"/>
                <w:lang w:val="en-US" w:eastAsia="zh-CN" w:bidi="ar-SA"/>
              </w:rPr>
            </w:pPr>
            <w:r>
              <w:rPr>
                <w:rFonts w:hint="default" w:cs="Times New Roman"/>
                <w:b w:val="0"/>
                <w:bCs w:val="0"/>
                <w:i w:val="0"/>
                <w:color w:val="auto"/>
                <w:kern w:val="0"/>
                <w:sz w:val="24"/>
                <w:szCs w:val="21"/>
                <w:vertAlign w:val="baseline"/>
                <w:lang w:val="en-US" w:eastAsia="zh-CN" w:bidi="ar-SA"/>
              </w:rPr>
              <w:t>（4）记录频次：按照相关规定对基本信息、生产设施运行管理信息、污染防治设施运行管理信息、监测记录信息、其他环境管理信息的记录频次。</w:t>
            </w:r>
          </w:p>
          <w:p w14:paraId="44A68D99">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b w:val="0"/>
                <w:bCs w:val="0"/>
                <w:i w:val="0"/>
                <w:color w:val="auto"/>
                <w:kern w:val="0"/>
                <w:sz w:val="24"/>
                <w:szCs w:val="21"/>
                <w:vertAlign w:val="baseline"/>
                <w:lang w:val="en-US" w:eastAsia="zh-CN" w:bidi="ar-SA"/>
              </w:rPr>
            </w:pPr>
            <w:r>
              <w:rPr>
                <w:rFonts w:hint="default" w:cs="Times New Roman"/>
                <w:b w:val="0"/>
                <w:bCs w:val="0"/>
                <w:i w:val="0"/>
                <w:color w:val="auto"/>
                <w:kern w:val="0"/>
                <w:sz w:val="24"/>
                <w:szCs w:val="21"/>
                <w:vertAlign w:val="baseline"/>
                <w:lang w:val="en-US" w:eastAsia="zh-CN" w:bidi="ar-SA"/>
              </w:rPr>
              <w:t>（5）记录存储及保存：</w:t>
            </w:r>
          </w:p>
          <w:p w14:paraId="134CFD6E">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b w:val="0"/>
                <w:bCs w:val="0"/>
                <w:i w:val="0"/>
                <w:color w:val="auto"/>
                <w:kern w:val="0"/>
                <w:sz w:val="24"/>
                <w:szCs w:val="21"/>
                <w:vertAlign w:val="baseline"/>
                <w:lang w:val="en-US" w:eastAsia="zh-CN" w:bidi="ar-SA"/>
              </w:rPr>
            </w:pPr>
            <w:r>
              <w:rPr>
                <w:rFonts w:hint="default" w:cs="Times New Roman"/>
                <w:b w:val="0"/>
                <w:bCs w:val="0"/>
                <w:i w:val="0"/>
                <w:color w:val="auto"/>
                <w:kern w:val="0"/>
                <w:sz w:val="24"/>
                <w:szCs w:val="21"/>
                <w:vertAlign w:val="baseline"/>
                <w:lang w:val="en-US" w:eastAsia="zh-CN" w:bidi="ar-SA"/>
              </w:rPr>
              <w:t>①纸质存储：应将纸质台账存放于保护袋、卷夹或保护盒等保存介质中；由专人签字、定点保存；应采取防光、防热、防潮、防细菌及防污染等措施；如有破损应及时修补，并留存备查；保存时间原则上不低于3年。</w:t>
            </w:r>
          </w:p>
          <w:p w14:paraId="01B7BF13">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b w:val="0"/>
                <w:bCs w:val="0"/>
                <w:i w:val="0"/>
                <w:color w:val="auto"/>
                <w:kern w:val="0"/>
                <w:sz w:val="24"/>
                <w:szCs w:val="21"/>
                <w:vertAlign w:val="baseline"/>
                <w:lang w:val="en-US" w:eastAsia="zh-CN" w:bidi="ar-SA"/>
              </w:rPr>
            </w:pPr>
            <w:r>
              <w:rPr>
                <w:rFonts w:hint="default" w:cs="Times New Roman"/>
                <w:b w:val="0"/>
                <w:bCs w:val="0"/>
                <w:i w:val="0"/>
                <w:color w:val="auto"/>
                <w:kern w:val="0"/>
                <w:sz w:val="24"/>
                <w:szCs w:val="21"/>
                <w:vertAlign w:val="baseline"/>
                <w:lang w:val="en-US" w:eastAsia="zh-CN" w:bidi="ar-SA"/>
              </w:rPr>
              <w:t>②电子化存储：应存放于电子存储介质中，并进行数据备份；可在排污许可管理信息平台填报并保存；由专人定期维护管理；保存时间原则上不低于3年。</w:t>
            </w:r>
          </w:p>
          <w:p w14:paraId="3DB1A992">
            <w:pPr>
              <w:pStyle w:val="9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eastAsia" w:cs="Times New Roman"/>
                <w:b/>
                <w:bCs/>
                <w:color w:val="auto"/>
                <w:kern w:val="2"/>
                <w:sz w:val="24"/>
                <w:szCs w:val="24"/>
                <w:vertAlign w:val="baseline"/>
                <w:lang w:val="en-US" w:eastAsia="zh-CN" w:bidi="ar-SA"/>
              </w:rPr>
            </w:pPr>
            <w:r>
              <w:rPr>
                <w:rFonts w:hint="eastAsia" w:cs="Times New Roman"/>
                <w:b/>
                <w:bCs/>
                <w:color w:val="auto"/>
                <w:kern w:val="2"/>
                <w:sz w:val="24"/>
                <w:szCs w:val="24"/>
                <w:vertAlign w:val="baseline"/>
                <w:lang w:val="en-US" w:eastAsia="zh-CN" w:bidi="ar-SA"/>
              </w:rPr>
              <w:t>九</w:t>
            </w:r>
            <w:r>
              <w:rPr>
                <w:rFonts w:hint="eastAsia" w:ascii="Times New Roman" w:hAnsi="Times New Roman" w:eastAsia="宋体" w:cs="Times New Roman"/>
                <w:b/>
                <w:bCs/>
                <w:color w:val="auto"/>
                <w:kern w:val="2"/>
                <w:sz w:val="24"/>
                <w:szCs w:val="24"/>
                <w:vertAlign w:val="baseline"/>
                <w:lang w:val="en-US" w:eastAsia="zh-CN" w:bidi="ar-SA"/>
              </w:rPr>
              <w:t>、</w:t>
            </w:r>
            <w:r>
              <w:rPr>
                <w:rFonts w:hint="eastAsia" w:cs="Times New Roman"/>
                <w:b/>
                <w:bCs/>
                <w:color w:val="auto"/>
                <w:kern w:val="2"/>
                <w:sz w:val="24"/>
                <w:szCs w:val="24"/>
                <w:vertAlign w:val="baseline"/>
                <w:lang w:val="en-US" w:eastAsia="zh-CN" w:bidi="ar-SA"/>
              </w:rPr>
              <w:t>环保投资</w:t>
            </w:r>
          </w:p>
          <w:p w14:paraId="24CCCE91">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eastAsia="宋体"/>
                <w:b/>
                <w:bCs/>
                <w:i w:val="0"/>
                <w:iCs w:val="0"/>
                <w:lang w:val="en-US" w:eastAsia="zh-CN"/>
              </w:rPr>
            </w:pPr>
            <w:r>
              <w:rPr>
                <w:rFonts w:hint="eastAsia" w:cs="Times New Roman"/>
                <w:b w:val="0"/>
                <w:bCs w:val="0"/>
                <w:color w:val="auto"/>
                <w:kern w:val="2"/>
                <w:sz w:val="24"/>
                <w:szCs w:val="24"/>
                <w:vertAlign w:val="baseline"/>
                <w:lang w:val="en-US" w:eastAsia="zh-CN" w:bidi="ar-SA"/>
              </w:rPr>
              <w:t>本项目总投资1300万元，其中环保投资约</w:t>
            </w:r>
            <w:r>
              <w:rPr>
                <w:rFonts w:hint="eastAsia"/>
                <w:color w:val="auto"/>
                <w:sz w:val="24"/>
                <w:szCs w:val="24"/>
                <w:lang w:val="en-US" w:eastAsia="zh-CN"/>
              </w:rPr>
              <w:t>13</w:t>
            </w:r>
            <w:r>
              <w:rPr>
                <w:color w:val="auto"/>
                <w:sz w:val="24"/>
                <w:szCs w:val="24"/>
              </w:rPr>
              <w:t>万元，占总投资的</w:t>
            </w:r>
            <w:r>
              <w:rPr>
                <w:rFonts w:hint="eastAsia"/>
                <w:color w:val="auto"/>
                <w:sz w:val="24"/>
                <w:szCs w:val="24"/>
                <w:lang w:val="en-US" w:eastAsia="zh-CN"/>
              </w:rPr>
              <w:t>1</w:t>
            </w:r>
            <w:r>
              <w:rPr>
                <w:color w:val="auto"/>
                <w:sz w:val="24"/>
                <w:szCs w:val="24"/>
              </w:rPr>
              <w:t>%</w:t>
            </w:r>
            <w:r>
              <w:rPr>
                <w:rFonts w:hint="eastAsia" w:cs="Times New Roman"/>
                <w:b w:val="0"/>
                <w:bCs w:val="0"/>
                <w:color w:val="auto"/>
                <w:kern w:val="2"/>
                <w:sz w:val="24"/>
                <w:szCs w:val="24"/>
                <w:vertAlign w:val="baseline"/>
                <w:lang w:val="en-US" w:eastAsia="zh-CN" w:bidi="ar-SA"/>
              </w:rPr>
              <w:t>。项目无废水产生，废气依托生产线现有处理设施使用，不新增环保设备；但项目自身为固废治理项目，属于环保项目，固废储存库、传输设施、生产线上加料系统、新增设备降噪设施等均属于环保投资。</w:t>
            </w:r>
            <w:r>
              <w:rPr>
                <w:rFonts w:hint="eastAsia"/>
                <w:sz w:val="24"/>
                <w:szCs w:val="24"/>
                <w:lang w:eastAsia="zh-CN"/>
              </w:rPr>
              <w:t>具体内容</w:t>
            </w:r>
            <w:r>
              <w:rPr>
                <w:sz w:val="24"/>
                <w:szCs w:val="24"/>
              </w:rPr>
              <w:t>如下表所示</w:t>
            </w:r>
            <w:r>
              <w:rPr>
                <w:rFonts w:hint="eastAsia"/>
                <w:sz w:val="24"/>
                <w:szCs w:val="24"/>
                <w:lang w:eastAsia="zh-CN"/>
              </w:rPr>
              <w:t>。</w:t>
            </w:r>
          </w:p>
          <w:p w14:paraId="6E40A178">
            <w:pPr>
              <w:autoSpaceDE w:val="0"/>
              <w:autoSpaceDN w:val="0"/>
              <w:adjustRightInd w:val="0"/>
              <w:jc w:val="center"/>
              <w:rPr>
                <w:rFonts w:hint="eastAsia" w:ascii="Times New Roman" w:hAnsi="Times New Roman" w:eastAsia="宋体" w:cs="Times New Roman"/>
                <w:b/>
                <w:color w:val="auto"/>
                <w:lang w:val="en-US" w:eastAsia="zh-CN"/>
              </w:rPr>
            </w:pPr>
            <w:r>
              <w:rPr>
                <w:rFonts w:hint="eastAsia" w:ascii="Times New Roman" w:hAnsi="Times New Roman" w:eastAsia="宋体" w:cs="Times New Roman"/>
                <w:b/>
                <w:color w:val="auto"/>
                <w:lang w:val="en-US" w:eastAsia="zh-CN"/>
              </w:rPr>
              <w:t>表4</w:t>
            </w:r>
            <w:r>
              <w:rPr>
                <w:rFonts w:hint="eastAsia" w:ascii="Times New Roman" w:hAnsi="Times New Roman" w:cs="Times New Roman"/>
                <w:b/>
                <w:color w:val="auto"/>
                <w:lang w:val="en-US" w:eastAsia="zh-CN"/>
              </w:rPr>
              <w:t>-</w:t>
            </w:r>
            <w:r>
              <w:rPr>
                <w:rFonts w:hint="eastAsia" w:cs="Times New Roman"/>
                <w:b/>
                <w:color w:val="auto"/>
                <w:lang w:val="en-US" w:eastAsia="zh-CN"/>
              </w:rPr>
              <w:t>27</w:t>
            </w:r>
            <w:r>
              <w:rPr>
                <w:rFonts w:hint="eastAsia" w:ascii="Times New Roman" w:hAnsi="Times New Roman" w:cs="Times New Roman"/>
                <w:b/>
                <w:color w:val="auto"/>
                <w:lang w:val="en-US" w:eastAsia="zh-CN"/>
              </w:rPr>
              <w:t xml:space="preserve"> </w:t>
            </w:r>
            <w:r>
              <w:rPr>
                <w:rFonts w:hint="eastAsia" w:ascii="Times New Roman" w:hAnsi="Times New Roman" w:eastAsia="宋体" w:cs="Times New Roman"/>
                <w:b/>
                <w:color w:val="auto"/>
                <w:lang w:val="en-US" w:eastAsia="zh-CN"/>
              </w:rPr>
              <w:t>项目环保设施投资一览表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1136"/>
              <w:gridCol w:w="5959"/>
              <w:gridCol w:w="1376"/>
            </w:tblGrid>
            <w:tr w14:paraId="228AF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66" w:type="dxa"/>
                  <w:gridSpan w:val="2"/>
                  <w:tcBorders>
                    <w:top w:val="single" w:color="auto" w:sz="4" w:space="0"/>
                    <w:left w:val="single" w:color="auto" w:sz="4" w:space="0"/>
                    <w:bottom w:val="single" w:color="auto" w:sz="4" w:space="0"/>
                    <w:right w:val="single" w:color="auto" w:sz="4" w:space="0"/>
                  </w:tcBorders>
                  <w:noWrap w:val="0"/>
                  <w:vAlign w:val="center"/>
                </w:tcPr>
                <w:p w14:paraId="30394E54">
                  <w:pPr>
                    <w:jc w:val="center"/>
                  </w:pPr>
                  <w:r>
                    <w:t>环保项目</w:t>
                  </w:r>
                </w:p>
              </w:tc>
              <w:tc>
                <w:tcPr>
                  <w:tcW w:w="5959" w:type="dxa"/>
                  <w:tcBorders>
                    <w:top w:val="single" w:color="auto" w:sz="4" w:space="0"/>
                    <w:left w:val="single" w:color="auto" w:sz="4" w:space="0"/>
                    <w:bottom w:val="single" w:color="auto" w:sz="4" w:space="0"/>
                    <w:right w:val="single" w:color="auto" w:sz="4" w:space="0"/>
                  </w:tcBorders>
                  <w:noWrap w:val="0"/>
                  <w:vAlign w:val="center"/>
                </w:tcPr>
                <w:p w14:paraId="35A0843F">
                  <w:pPr>
                    <w:jc w:val="center"/>
                  </w:pPr>
                  <w:r>
                    <w:t>措施内容</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54137899">
                  <w:pPr>
                    <w:jc w:val="center"/>
                  </w:pPr>
                  <w:r>
                    <w:rPr>
                      <w:rFonts w:hint="eastAsia"/>
                      <w:lang w:eastAsia="zh-CN"/>
                    </w:rPr>
                    <w:t>金额</w:t>
                  </w:r>
                  <w:r>
                    <w:t>（</w:t>
                  </w:r>
                  <w:r>
                    <w:rPr>
                      <w:rFonts w:hint="eastAsia"/>
                      <w:lang w:eastAsia="zh-CN"/>
                    </w:rPr>
                    <w:t>万</w:t>
                  </w:r>
                  <w:r>
                    <w:t>元）</w:t>
                  </w:r>
                </w:p>
              </w:tc>
            </w:tr>
            <w:tr w14:paraId="17498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dxa"/>
                  <w:vMerge w:val="restart"/>
                  <w:tcBorders>
                    <w:top w:val="single" w:color="auto" w:sz="4" w:space="0"/>
                    <w:left w:val="single" w:color="auto" w:sz="4" w:space="0"/>
                    <w:right w:val="single" w:color="auto" w:sz="4" w:space="0"/>
                  </w:tcBorders>
                  <w:noWrap w:val="0"/>
                  <w:vAlign w:val="center"/>
                </w:tcPr>
                <w:p w14:paraId="2E4B6D82">
                  <w:pPr>
                    <w:jc w:val="center"/>
                  </w:pPr>
                  <w:r>
                    <w:t>运营期</w:t>
                  </w:r>
                </w:p>
              </w:tc>
              <w:tc>
                <w:tcPr>
                  <w:tcW w:w="1136" w:type="dxa"/>
                  <w:tcBorders>
                    <w:top w:val="single" w:color="auto" w:sz="4" w:space="0"/>
                    <w:left w:val="single" w:color="auto" w:sz="4" w:space="0"/>
                    <w:bottom w:val="single" w:color="auto" w:sz="4" w:space="0"/>
                    <w:right w:val="single" w:color="auto" w:sz="4" w:space="0"/>
                  </w:tcBorders>
                  <w:noWrap w:val="0"/>
                  <w:vAlign w:val="center"/>
                </w:tcPr>
                <w:p w14:paraId="66194D06">
                  <w:pPr>
                    <w:jc w:val="center"/>
                    <w:rPr>
                      <w:rFonts w:hint="eastAsia" w:eastAsia="宋体"/>
                      <w:lang w:eastAsia="zh-CN"/>
                    </w:rPr>
                  </w:pPr>
                  <w:r>
                    <w:rPr>
                      <w:rFonts w:hint="eastAsia"/>
                      <w:lang w:eastAsia="zh-CN"/>
                    </w:rPr>
                    <w:t>废气治理</w:t>
                  </w:r>
                </w:p>
              </w:tc>
              <w:tc>
                <w:tcPr>
                  <w:tcW w:w="5959" w:type="dxa"/>
                  <w:tcBorders>
                    <w:top w:val="single" w:color="auto" w:sz="4" w:space="0"/>
                    <w:left w:val="single" w:color="auto" w:sz="4" w:space="0"/>
                    <w:bottom w:val="single" w:color="auto" w:sz="4" w:space="0"/>
                    <w:right w:val="single" w:color="auto" w:sz="4" w:space="0"/>
                  </w:tcBorders>
                  <w:noWrap w:val="0"/>
                  <w:vAlign w:val="center"/>
                </w:tcPr>
                <w:p w14:paraId="01DF5C01">
                  <w:pPr>
                    <w:jc w:val="center"/>
                  </w:pPr>
                  <w:r>
                    <w:rPr>
                      <w:rFonts w:hint="eastAsia" w:ascii="Times New Roman" w:hAnsi="Times New Roman" w:eastAsia="宋体" w:cs="Times New Roman"/>
                      <w:color w:val="000000"/>
                      <w:sz w:val="21"/>
                      <w:szCs w:val="21"/>
                      <w:highlight w:val="none"/>
                      <w:lang w:val="en-US" w:eastAsia="zh-CN"/>
                    </w:rPr>
                    <w:t>废气依托生产线现有处理设施使用</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6A4081F9">
                  <w:pPr>
                    <w:jc w:val="center"/>
                    <w:rPr>
                      <w:rFonts w:hint="default" w:eastAsia="宋体"/>
                      <w:lang w:val="en-US" w:eastAsia="zh-CN"/>
                    </w:rPr>
                  </w:pPr>
                  <w:r>
                    <w:rPr>
                      <w:rFonts w:hint="eastAsia"/>
                      <w:lang w:val="en-US" w:eastAsia="zh-CN"/>
                    </w:rPr>
                    <w:t>0</w:t>
                  </w:r>
                </w:p>
              </w:tc>
            </w:tr>
            <w:tr w14:paraId="1E6C1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dxa"/>
                  <w:vMerge w:val="continue"/>
                  <w:tcBorders>
                    <w:left w:val="single" w:color="auto" w:sz="4" w:space="0"/>
                    <w:right w:val="single" w:color="auto" w:sz="4" w:space="0"/>
                  </w:tcBorders>
                  <w:noWrap w:val="0"/>
                  <w:vAlign w:val="center"/>
                </w:tcPr>
                <w:p w14:paraId="66745B35">
                  <w:pPr>
                    <w:jc w:val="center"/>
                  </w:pPr>
                </w:p>
              </w:tc>
              <w:tc>
                <w:tcPr>
                  <w:tcW w:w="1136" w:type="dxa"/>
                  <w:tcBorders>
                    <w:top w:val="single" w:color="auto" w:sz="4" w:space="0"/>
                    <w:left w:val="single" w:color="auto" w:sz="4" w:space="0"/>
                    <w:bottom w:val="single" w:color="auto" w:sz="4" w:space="0"/>
                    <w:right w:val="single" w:color="auto" w:sz="4" w:space="0"/>
                  </w:tcBorders>
                  <w:noWrap w:val="0"/>
                  <w:vAlign w:val="center"/>
                </w:tcPr>
                <w:p w14:paraId="5E871B7F">
                  <w:pPr>
                    <w:jc w:val="center"/>
                  </w:pPr>
                  <w:r>
                    <w:t>噪声治理</w:t>
                  </w:r>
                </w:p>
              </w:tc>
              <w:tc>
                <w:tcPr>
                  <w:tcW w:w="5959" w:type="dxa"/>
                  <w:tcBorders>
                    <w:top w:val="single" w:color="auto" w:sz="4" w:space="0"/>
                    <w:left w:val="single" w:color="auto" w:sz="4" w:space="0"/>
                    <w:bottom w:val="single" w:color="auto" w:sz="4" w:space="0"/>
                    <w:right w:val="single" w:color="auto" w:sz="4" w:space="0"/>
                  </w:tcBorders>
                  <w:noWrap w:val="0"/>
                  <w:vAlign w:val="center"/>
                </w:tcPr>
                <w:p w14:paraId="43751999">
                  <w:pPr>
                    <w:jc w:val="center"/>
                  </w:pPr>
                  <w:r>
                    <w:t>选用低噪声设备，</w:t>
                  </w:r>
                  <w:r>
                    <w:rPr>
                      <w:rFonts w:hint="eastAsia" w:ascii="Times New Roman" w:hAnsi="Times New Roman" w:eastAsia="宋体" w:cs="Times New Roman"/>
                      <w:color w:val="auto"/>
                      <w:kern w:val="0"/>
                      <w:lang w:val="en-US" w:eastAsia="zh-CN"/>
                    </w:rPr>
                    <w:t>设置减震基础和减振机座组件设备，</w:t>
                  </w:r>
                  <w:r>
                    <w:rPr>
                      <w:rFonts w:hint="default" w:ascii="Times New Roman" w:hAnsi="Times New Roman" w:eastAsia="宋体" w:cs="Times New Roman"/>
                      <w:color w:val="auto"/>
                      <w:kern w:val="0"/>
                      <w:lang w:eastAsia="en-US"/>
                    </w:rPr>
                    <w:t>安装消音器</w:t>
                  </w:r>
                  <w:r>
                    <w:t>，结合厂房隔声、距离衰减等进行降噪</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1483DA4C">
                  <w:pPr>
                    <w:jc w:val="center"/>
                    <w:rPr>
                      <w:rFonts w:hint="default" w:eastAsia="宋体"/>
                      <w:lang w:val="en-US" w:eastAsia="zh-CN"/>
                    </w:rPr>
                  </w:pPr>
                  <w:r>
                    <w:rPr>
                      <w:rFonts w:hint="eastAsia"/>
                      <w:lang w:val="en-US" w:eastAsia="zh-CN"/>
                    </w:rPr>
                    <w:t>3</w:t>
                  </w:r>
                </w:p>
              </w:tc>
            </w:tr>
            <w:tr w14:paraId="571C0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dxa"/>
                  <w:vMerge w:val="continue"/>
                  <w:tcBorders>
                    <w:left w:val="single" w:color="auto" w:sz="4" w:space="0"/>
                    <w:right w:val="single" w:color="auto" w:sz="4" w:space="0"/>
                  </w:tcBorders>
                  <w:noWrap w:val="0"/>
                  <w:vAlign w:val="center"/>
                </w:tcPr>
                <w:p w14:paraId="5CC9273A">
                  <w:pPr>
                    <w:jc w:val="center"/>
                  </w:pPr>
                </w:p>
              </w:tc>
              <w:tc>
                <w:tcPr>
                  <w:tcW w:w="1136" w:type="dxa"/>
                  <w:tcBorders>
                    <w:top w:val="single" w:color="auto" w:sz="4" w:space="0"/>
                    <w:left w:val="single" w:color="auto" w:sz="4" w:space="0"/>
                    <w:bottom w:val="single" w:color="auto" w:sz="4" w:space="0"/>
                    <w:right w:val="single" w:color="auto" w:sz="4" w:space="0"/>
                  </w:tcBorders>
                  <w:noWrap w:val="0"/>
                  <w:vAlign w:val="center"/>
                </w:tcPr>
                <w:p w14:paraId="081D2129">
                  <w:pPr>
                    <w:jc w:val="center"/>
                  </w:pPr>
                  <w:r>
                    <w:t>固废治理</w:t>
                  </w:r>
                </w:p>
              </w:tc>
              <w:tc>
                <w:tcPr>
                  <w:tcW w:w="5959" w:type="dxa"/>
                  <w:tcBorders>
                    <w:top w:val="single" w:color="auto" w:sz="4" w:space="0"/>
                    <w:left w:val="single" w:color="auto" w:sz="4" w:space="0"/>
                    <w:right w:val="single" w:color="auto" w:sz="4" w:space="0"/>
                  </w:tcBorders>
                  <w:noWrap w:val="0"/>
                  <w:vAlign w:val="center"/>
                </w:tcPr>
                <w:p w14:paraId="6B18BDF0">
                  <w:pPr>
                    <w:jc w:val="center"/>
                    <w:rPr>
                      <w:rFonts w:hint="default" w:eastAsia="宋体"/>
                      <w:lang w:val="en-US" w:eastAsia="zh-CN"/>
                    </w:rPr>
                  </w:pPr>
                  <w:r>
                    <w:rPr>
                      <w:rFonts w:hint="eastAsia"/>
                      <w:lang w:val="en-US" w:eastAsia="zh-CN"/>
                    </w:rPr>
                    <w:t>新增替代燃料暂存系统、计量喂料系统，固废收集、包装袋等</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37469533">
                  <w:pPr>
                    <w:jc w:val="center"/>
                    <w:rPr>
                      <w:rFonts w:hint="default" w:eastAsia="宋体"/>
                      <w:lang w:val="en-US" w:eastAsia="zh-CN"/>
                    </w:rPr>
                  </w:pPr>
                  <w:r>
                    <w:rPr>
                      <w:rFonts w:hint="eastAsia"/>
                      <w:lang w:val="en-US" w:eastAsia="zh-CN"/>
                    </w:rPr>
                    <w:t>10</w:t>
                  </w:r>
                </w:p>
              </w:tc>
            </w:tr>
            <w:tr w14:paraId="4774A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dxa"/>
                  <w:vMerge w:val="continue"/>
                  <w:tcBorders>
                    <w:left w:val="single" w:color="auto" w:sz="4" w:space="0"/>
                    <w:right w:val="single" w:color="auto" w:sz="4" w:space="0"/>
                  </w:tcBorders>
                  <w:noWrap w:val="0"/>
                  <w:vAlign w:val="center"/>
                </w:tcPr>
                <w:p w14:paraId="05C98A60">
                  <w:pPr>
                    <w:jc w:val="center"/>
                  </w:pPr>
                </w:p>
              </w:tc>
              <w:tc>
                <w:tcPr>
                  <w:tcW w:w="1136" w:type="dxa"/>
                  <w:tcBorders>
                    <w:top w:val="single" w:color="auto" w:sz="4" w:space="0"/>
                    <w:left w:val="single" w:color="auto" w:sz="4" w:space="0"/>
                    <w:bottom w:val="single" w:color="auto" w:sz="4" w:space="0"/>
                    <w:right w:val="single" w:color="auto" w:sz="4" w:space="0"/>
                  </w:tcBorders>
                  <w:noWrap w:val="0"/>
                  <w:vAlign w:val="center"/>
                </w:tcPr>
                <w:p w14:paraId="05519275">
                  <w:pPr>
                    <w:jc w:val="center"/>
                    <w:rPr>
                      <w:rFonts w:hint="eastAsia" w:eastAsia="宋体"/>
                      <w:lang w:eastAsia="zh-CN"/>
                    </w:rPr>
                  </w:pPr>
                  <w:r>
                    <w:t>土壤及地下水</w:t>
                  </w:r>
                  <w:r>
                    <w:rPr>
                      <w:rFonts w:hint="eastAsia"/>
                      <w:lang w:eastAsia="zh-CN"/>
                    </w:rPr>
                    <w:t>治理</w:t>
                  </w:r>
                </w:p>
              </w:tc>
              <w:tc>
                <w:tcPr>
                  <w:tcW w:w="5959" w:type="dxa"/>
                  <w:tcBorders>
                    <w:top w:val="single" w:color="auto" w:sz="4" w:space="0"/>
                    <w:left w:val="single" w:color="auto" w:sz="4" w:space="0"/>
                    <w:right w:val="single" w:color="auto" w:sz="4" w:space="0"/>
                  </w:tcBorders>
                  <w:noWrap w:val="0"/>
                  <w:vAlign w:val="center"/>
                </w:tcPr>
                <w:p w14:paraId="08208E57">
                  <w:pPr>
                    <w:jc w:val="center"/>
                    <w:rPr>
                      <w:rFonts w:hint="eastAsia" w:eastAsia="宋体"/>
                      <w:lang w:eastAsia="zh-CN"/>
                    </w:rPr>
                  </w:pPr>
                  <w:r>
                    <w:rPr>
                      <w:rFonts w:hint="eastAsia"/>
                      <w:lang w:eastAsia="zh-CN"/>
                    </w:rPr>
                    <w:t>土壤及地下水污染防治依托现有</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66B70C27">
                  <w:pPr>
                    <w:jc w:val="center"/>
                    <w:rPr>
                      <w:rFonts w:hint="default" w:eastAsia="宋体"/>
                      <w:lang w:val="en-US" w:eastAsia="zh-CN"/>
                    </w:rPr>
                  </w:pPr>
                  <w:r>
                    <w:rPr>
                      <w:rFonts w:hint="eastAsia"/>
                      <w:lang w:val="en-US" w:eastAsia="zh-CN"/>
                    </w:rPr>
                    <w:t>0</w:t>
                  </w:r>
                </w:p>
              </w:tc>
            </w:tr>
            <w:tr w14:paraId="71D86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5" w:type="dxa"/>
                  <w:gridSpan w:val="3"/>
                  <w:tcBorders>
                    <w:top w:val="single" w:color="auto" w:sz="4" w:space="0"/>
                    <w:left w:val="single" w:color="auto" w:sz="4" w:space="0"/>
                    <w:bottom w:val="single" w:color="auto" w:sz="4" w:space="0"/>
                    <w:right w:val="single" w:color="auto" w:sz="4" w:space="0"/>
                  </w:tcBorders>
                  <w:noWrap w:val="0"/>
                  <w:vAlign w:val="center"/>
                </w:tcPr>
                <w:p w14:paraId="5BCBAF04">
                  <w:pPr>
                    <w:jc w:val="center"/>
                  </w:pPr>
                  <w:r>
                    <w:t>合计</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12A8F5A4">
                  <w:pPr>
                    <w:jc w:val="center"/>
                    <w:rPr>
                      <w:rFonts w:hint="default" w:eastAsia="宋体"/>
                      <w:lang w:val="en-US" w:eastAsia="zh-CN"/>
                    </w:rPr>
                  </w:pPr>
                  <w:r>
                    <w:rPr>
                      <w:rFonts w:hint="eastAsia"/>
                      <w:lang w:val="en-US" w:eastAsia="zh-CN"/>
                    </w:rPr>
                    <w:t>13</w:t>
                  </w:r>
                </w:p>
              </w:tc>
            </w:tr>
          </w:tbl>
          <w:p w14:paraId="283A73B9">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i w:val="0"/>
                <w:color w:val="auto"/>
                <w:kern w:val="0"/>
                <w:sz w:val="24"/>
                <w:szCs w:val="21"/>
                <w:vertAlign w:val="baseline"/>
                <w:lang w:val="en-US" w:eastAsia="zh-CN" w:bidi="ar-SA"/>
              </w:rPr>
            </w:pPr>
            <w:r>
              <w:rPr>
                <w:rFonts w:hint="eastAsia" w:cs="Times New Roman"/>
                <w:b/>
                <w:bCs/>
                <w:i w:val="0"/>
                <w:color w:val="auto"/>
                <w:kern w:val="0"/>
                <w:sz w:val="24"/>
                <w:szCs w:val="21"/>
                <w:vertAlign w:val="baseline"/>
                <w:lang w:val="en-US" w:eastAsia="zh-CN" w:bidi="ar-SA"/>
              </w:rPr>
              <w:t>十</w:t>
            </w:r>
            <w:r>
              <w:rPr>
                <w:rFonts w:hint="eastAsia" w:ascii="Times New Roman" w:hAnsi="Times New Roman" w:eastAsia="宋体" w:cs="Times New Roman"/>
                <w:b/>
                <w:bCs/>
                <w:i w:val="0"/>
                <w:color w:val="auto"/>
                <w:kern w:val="0"/>
                <w:sz w:val="24"/>
                <w:szCs w:val="21"/>
                <w:vertAlign w:val="baseline"/>
                <w:lang w:val="en-US" w:eastAsia="zh-CN" w:bidi="ar-SA"/>
              </w:rPr>
              <w:t>、</w:t>
            </w:r>
            <w:r>
              <w:rPr>
                <w:rFonts w:hint="eastAsia" w:cs="Times New Roman"/>
                <w:b/>
                <w:bCs/>
                <w:i w:val="0"/>
                <w:color w:val="auto"/>
                <w:kern w:val="0"/>
                <w:sz w:val="24"/>
                <w:szCs w:val="21"/>
                <w:vertAlign w:val="baseline"/>
                <w:lang w:val="en-US" w:eastAsia="zh-CN" w:bidi="ar-SA"/>
              </w:rPr>
              <w:t>建设项目环评与排污许可联动</w:t>
            </w:r>
          </w:p>
          <w:p w14:paraId="390999C4">
            <w:pPr>
              <w:autoSpaceDE w:val="0"/>
              <w:autoSpaceDN w:val="0"/>
              <w:adjustRightInd w:val="0"/>
              <w:spacing w:line="360" w:lineRule="auto"/>
              <w:ind w:firstLine="480" w:firstLineChars="200"/>
              <w:rPr>
                <w:rFonts w:hint="eastAsia" w:ascii="宋体" w:hAnsi="宋体" w:eastAsia="宋体" w:cs="宋体"/>
                <w:bCs/>
                <w:color w:val="000000"/>
                <w:kern w:val="0"/>
                <w:sz w:val="24"/>
              </w:rPr>
            </w:pPr>
            <w:r>
              <w:rPr>
                <w:rFonts w:hint="eastAsia"/>
                <w:bCs/>
                <w:color w:val="000000"/>
                <w:kern w:val="0"/>
                <w:sz w:val="24"/>
                <w:lang w:eastAsia="zh-CN"/>
              </w:rPr>
              <w:t>根据</w:t>
            </w:r>
            <w:r>
              <w:rPr>
                <w:bCs/>
                <w:color w:val="000000"/>
                <w:kern w:val="0"/>
                <w:sz w:val="24"/>
              </w:rPr>
              <w:t>《安徽省生态环境厅关于统筹做好固定污染源排污许可日常监督工作的通知》，属于现行《固定污染源排污许可分类管理目录》内重点管理和简化管理的行业，建设单位在组织编制建设项目环境影响报告书（表）时，可结合相关行业排污许可证申请与核发技术规范，在环评文件中一并明</w:t>
            </w:r>
            <w:r>
              <w:rPr>
                <w:rFonts w:hint="eastAsia" w:ascii="宋体" w:hAnsi="宋体" w:eastAsia="宋体" w:cs="宋体"/>
                <w:bCs/>
                <w:color w:val="000000"/>
                <w:kern w:val="0"/>
                <w:sz w:val="24"/>
              </w:rPr>
              <w:t>确“建设项目环境影响评价与排污许可联动内容”和《建设项目排污许可申请与填报信息表》，生态环境部门在环评文件受理和审批过程中同步审核。</w:t>
            </w:r>
          </w:p>
          <w:p w14:paraId="0C19B15A">
            <w:pPr>
              <w:snapToGrid w:val="0"/>
              <w:spacing w:line="360" w:lineRule="auto"/>
              <w:ind w:firstLine="480" w:firstLineChars="200"/>
              <w:rPr>
                <w:rFonts w:hint="default" w:ascii="Times New Roman" w:hAnsi="Times New Roman" w:cs="Times New Roman"/>
                <w:color w:val="auto"/>
                <w:sz w:val="24"/>
                <w:szCs w:val="32"/>
                <w:lang w:eastAsia="zh-CN"/>
              </w:rPr>
            </w:pPr>
            <w:r>
              <w:rPr>
                <w:rFonts w:hint="default" w:ascii="Times New Roman" w:hAnsi="Times New Roman" w:cs="Times New Roman"/>
                <w:color w:val="auto"/>
                <w:sz w:val="24"/>
                <w:szCs w:val="32"/>
              </w:rPr>
              <w:t>根据《固定污染源排污许可分类管理名录》</w:t>
            </w:r>
            <w:r>
              <w:rPr>
                <w:rFonts w:hint="eastAsia" w:cs="Times New Roman"/>
                <w:color w:val="auto"/>
                <w:sz w:val="24"/>
                <w:szCs w:val="32"/>
                <w:lang w:eastAsia="zh-CN"/>
              </w:rPr>
              <w:t>（</w:t>
            </w:r>
            <w:r>
              <w:rPr>
                <w:rFonts w:hint="eastAsia" w:cs="Times New Roman"/>
                <w:color w:val="auto"/>
                <w:sz w:val="24"/>
                <w:szCs w:val="32"/>
                <w:lang w:val="en-US" w:eastAsia="zh-CN"/>
              </w:rPr>
              <w:t>2019年版</w:t>
            </w:r>
            <w:r>
              <w:rPr>
                <w:rFonts w:hint="eastAsia" w:cs="Times New Roman"/>
                <w:color w:val="auto"/>
                <w:sz w:val="24"/>
                <w:szCs w:val="32"/>
                <w:lang w:eastAsia="zh-CN"/>
              </w:rPr>
              <w:t>）</w:t>
            </w:r>
            <w:r>
              <w:rPr>
                <w:rFonts w:hint="default" w:ascii="Times New Roman" w:hAnsi="Times New Roman" w:cs="Times New Roman"/>
                <w:color w:val="auto"/>
                <w:sz w:val="24"/>
                <w:szCs w:val="32"/>
              </w:rPr>
              <w:t>判定，本项目为固体废物治理，属于</w:t>
            </w:r>
            <w:r>
              <w:rPr>
                <w:rFonts w:hint="eastAsia" w:cs="Times New Roman"/>
                <w:color w:val="auto"/>
                <w:sz w:val="24"/>
                <w:szCs w:val="32"/>
                <w:lang w:eastAsia="zh-CN"/>
              </w:rPr>
              <w:t>“四十五、生态保护和环境治理业 77”中的“</w:t>
            </w:r>
            <w:r>
              <w:rPr>
                <w:rFonts w:hint="eastAsia" w:cs="Times New Roman"/>
                <w:color w:val="auto"/>
                <w:sz w:val="24"/>
                <w:szCs w:val="32"/>
                <w:lang w:val="en-US" w:eastAsia="zh-CN"/>
              </w:rPr>
              <w:t>103 环境治理业772</w:t>
            </w:r>
            <w:r>
              <w:rPr>
                <w:rFonts w:hint="eastAsia" w:cs="Times New Roman"/>
                <w:color w:val="auto"/>
                <w:sz w:val="24"/>
                <w:szCs w:val="32"/>
                <w:lang w:eastAsia="zh-CN"/>
              </w:rPr>
              <w:t>”中的“专业从事危险</w:t>
            </w:r>
            <w:r>
              <w:rPr>
                <w:rFonts w:hint="eastAsia" w:ascii="Times New Roman" w:hAnsi="Times New Roman" w:cs="Times New Roman"/>
                <w:color w:val="auto"/>
                <w:sz w:val="24"/>
                <w:szCs w:val="32"/>
                <w:lang w:eastAsia="zh-CN"/>
              </w:rPr>
              <w:t>废物贮存、利用、处理、处置（含焚烧发电）的，专业从事一般工业固体废物贮存、处置（含焚烧发电）的”</w:t>
            </w:r>
            <w:r>
              <w:rPr>
                <w:rFonts w:hint="default" w:ascii="Times New Roman" w:hAnsi="Times New Roman" w:cs="Times New Roman"/>
                <w:color w:val="auto"/>
                <w:sz w:val="24"/>
                <w:szCs w:val="32"/>
                <w:lang w:eastAsia="zh-CN"/>
              </w:rPr>
              <w:t>，为重点管理，建设项目</w:t>
            </w:r>
            <w:r>
              <w:rPr>
                <w:rFonts w:hint="eastAsia" w:ascii="Times New Roman" w:hAnsi="Times New Roman" w:cs="Times New Roman"/>
                <w:color w:val="auto"/>
                <w:sz w:val="24"/>
                <w:szCs w:val="32"/>
                <w:lang w:eastAsia="zh-CN"/>
              </w:rPr>
              <w:t>环</w:t>
            </w:r>
            <w:r>
              <w:rPr>
                <w:rFonts w:hint="default" w:ascii="Times New Roman" w:hAnsi="Times New Roman" w:cs="Times New Roman"/>
                <w:color w:val="auto"/>
                <w:sz w:val="24"/>
                <w:szCs w:val="32"/>
                <w:lang w:eastAsia="zh-CN"/>
              </w:rPr>
              <w:t>境影响评价与排污许可联动等相关内容</w:t>
            </w:r>
            <w:r>
              <w:rPr>
                <w:rFonts w:hint="eastAsia" w:ascii="Times New Roman" w:hAnsi="Times New Roman" w:cs="Times New Roman"/>
                <w:color w:val="auto"/>
                <w:sz w:val="24"/>
                <w:szCs w:val="32"/>
                <w:lang w:eastAsia="zh-CN"/>
              </w:rPr>
              <w:t>详</w:t>
            </w:r>
            <w:r>
              <w:rPr>
                <w:rFonts w:hint="default" w:ascii="Times New Roman" w:hAnsi="Times New Roman" w:cs="Times New Roman"/>
                <w:color w:val="auto"/>
                <w:sz w:val="24"/>
                <w:szCs w:val="32"/>
                <w:lang w:eastAsia="zh-CN"/>
              </w:rPr>
              <w:t>见</w:t>
            </w:r>
            <w:r>
              <w:rPr>
                <w:rFonts w:hint="eastAsia" w:ascii="Times New Roman" w:hAnsi="Times New Roman" w:cs="Times New Roman"/>
                <w:color w:val="auto"/>
                <w:sz w:val="24"/>
                <w:szCs w:val="32"/>
                <w:lang w:eastAsia="zh-CN"/>
              </w:rPr>
              <w:t>附件</w:t>
            </w:r>
            <w:r>
              <w:rPr>
                <w:rFonts w:hint="default" w:ascii="Times New Roman" w:hAnsi="Times New Roman" w:cs="Times New Roman"/>
                <w:color w:val="auto"/>
                <w:sz w:val="24"/>
                <w:szCs w:val="32"/>
                <w:lang w:eastAsia="zh-CN"/>
              </w:rPr>
              <w:t>。</w:t>
            </w:r>
          </w:p>
          <w:p w14:paraId="4BC390C9">
            <w:pPr>
              <w:autoSpaceDE w:val="0"/>
              <w:autoSpaceDN w:val="0"/>
              <w:adjustRightInd w:val="0"/>
              <w:jc w:val="center"/>
              <w:rPr>
                <w:rFonts w:hint="eastAsia" w:ascii="Times New Roman" w:hAnsi="Times New Roman" w:eastAsia="宋体" w:cs="Times New Roman"/>
                <w:b/>
                <w:color w:val="auto"/>
                <w:lang w:val="en-US" w:eastAsia="zh-CN"/>
              </w:rPr>
            </w:pPr>
            <w:r>
              <w:rPr>
                <w:rFonts w:hint="eastAsia" w:ascii="Times New Roman" w:hAnsi="Times New Roman" w:eastAsia="宋体" w:cs="Times New Roman"/>
                <w:b/>
                <w:color w:val="auto"/>
                <w:lang w:eastAsia="zh-CN"/>
              </w:rPr>
              <w:t>表</w:t>
            </w:r>
            <w:r>
              <w:rPr>
                <w:rFonts w:hint="eastAsia" w:cs="Times New Roman"/>
                <w:b/>
                <w:color w:val="auto"/>
                <w:lang w:val="en-US" w:eastAsia="zh-CN"/>
              </w:rPr>
              <w:t xml:space="preserve">4-28 </w:t>
            </w:r>
            <w:r>
              <w:rPr>
                <w:rFonts w:hint="eastAsia" w:ascii="Times New Roman" w:hAnsi="Times New Roman" w:eastAsia="宋体" w:cs="Times New Roman"/>
                <w:b/>
                <w:color w:val="auto"/>
                <w:lang w:val="en-US" w:eastAsia="zh-CN"/>
              </w:rPr>
              <w:t>建设项目固定污染源排污许可管理登记名录（摘录）</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1969"/>
              <w:gridCol w:w="3988"/>
              <w:gridCol w:w="1145"/>
              <w:gridCol w:w="1150"/>
            </w:tblGrid>
            <w:tr w14:paraId="260D4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365" w:type="pct"/>
                  <w:vAlign w:val="center"/>
                </w:tcPr>
                <w:p w14:paraId="568E8560">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序号</w:t>
                  </w:r>
                </w:p>
              </w:tc>
              <w:tc>
                <w:tcPr>
                  <w:tcW w:w="1106" w:type="pct"/>
                  <w:vAlign w:val="center"/>
                </w:tcPr>
                <w:p w14:paraId="055DB07C">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行业类别</w:t>
                  </w:r>
                </w:p>
              </w:tc>
              <w:tc>
                <w:tcPr>
                  <w:tcW w:w="2240" w:type="pct"/>
                  <w:vAlign w:val="center"/>
                </w:tcPr>
                <w:p w14:paraId="11E55886">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重点管理</w:t>
                  </w:r>
                </w:p>
              </w:tc>
              <w:tc>
                <w:tcPr>
                  <w:tcW w:w="643" w:type="pct"/>
                  <w:vAlign w:val="center"/>
                </w:tcPr>
                <w:p w14:paraId="69DAB056">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简化管理</w:t>
                  </w:r>
                </w:p>
              </w:tc>
              <w:tc>
                <w:tcPr>
                  <w:tcW w:w="644" w:type="pct"/>
                  <w:vAlign w:val="center"/>
                </w:tcPr>
                <w:p w14:paraId="42E19334">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登记管理</w:t>
                  </w:r>
                </w:p>
              </w:tc>
            </w:tr>
            <w:tr w14:paraId="7278C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5000" w:type="pct"/>
                  <w:gridSpan w:val="5"/>
                  <w:vAlign w:val="center"/>
                </w:tcPr>
                <w:p w14:paraId="1DB3F20C">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lang w:val="en-US" w:eastAsia="zh-CN"/>
                    </w:rPr>
                  </w:pPr>
                  <w:r>
                    <w:rPr>
                      <w:rFonts w:hint="eastAsia"/>
                    </w:rPr>
                    <w:t>四十五、生态保护和环境治理业 77</w:t>
                  </w:r>
                </w:p>
              </w:tc>
            </w:tr>
            <w:tr w14:paraId="5E2F4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5" w:type="pct"/>
                  <w:vAlign w:val="center"/>
                </w:tcPr>
                <w:p w14:paraId="116C4243">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103</w:t>
                  </w:r>
                </w:p>
              </w:tc>
              <w:tc>
                <w:tcPr>
                  <w:tcW w:w="1106" w:type="pct"/>
                  <w:vAlign w:val="center"/>
                </w:tcPr>
                <w:p w14:paraId="0089D233">
                  <w:pPr>
                    <w:keepNext w:val="0"/>
                    <w:keepLines w:val="0"/>
                    <w:pageBreakBefore w:val="0"/>
                    <w:widowControl w:val="0"/>
                    <w:kinsoku/>
                    <w:wordWrap/>
                    <w:overflowPunct/>
                    <w:topLinePunct w:val="0"/>
                    <w:autoSpaceDE/>
                    <w:autoSpaceDN/>
                    <w:bidi w:val="0"/>
                    <w:adjustRightInd/>
                    <w:snapToGrid/>
                    <w:spacing w:before="63" w:beforeLines="20" w:after="63" w:afterLines="2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环境治理业</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772</w:t>
                  </w:r>
                </w:p>
              </w:tc>
              <w:tc>
                <w:tcPr>
                  <w:tcW w:w="2240" w:type="pct"/>
                  <w:vAlign w:val="center"/>
                </w:tcPr>
                <w:p w14:paraId="3D33BE57">
                  <w:pPr>
                    <w:keepNext w:val="0"/>
                    <w:keepLines w:val="0"/>
                    <w:pageBreakBefore w:val="0"/>
                    <w:widowControl w:val="0"/>
                    <w:kinsoku/>
                    <w:wordWrap/>
                    <w:overflowPunct/>
                    <w:topLinePunct w:val="0"/>
                    <w:autoSpaceDE/>
                    <w:autoSpaceDN/>
                    <w:bidi w:val="0"/>
                    <w:adjustRightInd/>
                    <w:snapToGrid/>
                    <w:spacing w:before="63" w:beforeLines="20" w:after="63" w:afterLines="2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专业从事危险废物贮存、利用、处理、处置（含焚烧发电）的，专业从事一般工业固体废物贮存、处置（含焚烧发电）的</w:t>
                  </w:r>
                </w:p>
              </w:tc>
              <w:tc>
                <w:tcPr>
                  <w:tcW w:w="643" w:type="pct"/>
                  <w:vAlign w:val="center"/>
                </w:tcPr>
                <w:p w14:paraId="40EF00E7">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644" w:type="pct"/>
                  <w:vAlign w:val="center"/>
                </w:tcPr>
                <w:p w14:paraId="3669F9BD">
                  <w:pPr>
                    <w:keepNext w:val="0"/>
                    <w:keepLines w:val="0"/>
                    <w:pageBreakBefore w:val="0"/>
                    <w:widowControl w:val="0"/>
                    <w:kinsoku/>
                    <w:wordWrap/>
                    <w:overflowPunct/>
                    <w:topLinePunct w:val="0"/>
                    <w:autoSpaceDE/>
                    <w:autoSpaceDN/>
                    <w:bidi w:val="0"/>
                    <w:adjustRightInd/>
                    <w:snapToGrid/>
                    <w:spacing w:before="63" w:beforeLines="20" w:after="63" w:afterLines="20"/>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r>
          </w:tbl>
          <w:p w14:paraId="05BC0E32">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i w:val="0"/>
                <w:color w:val="0000FF"/>
                <w:kern w:val="0"/>
                <w:sz w:val="24"/>
                <w:szCs w:val="21"/>
                <w:vertAlign w:val="baseline"/>
                <w:lang w:val="en-US" w:eastAsia="zh-CN" w:bidi="ar-SA"/>
              </w:rPr>
            </w:pPr>
            <w:r>
              <w:rPr>
                <w:rFonts w:hint="eastAsia" w:ascii="Times New Roman" w:hAnsi="Times New Roman" w:eastAsia="宋体" w:cs="Times New Roman"/>
                <w:b/>
                <w:bCs/>
                <w:i w:val="0"/>
                <w:color w:val="0000FF"/>
                <w:kern w:val="0"/>
                <w:sz w:val="24"/>
                <w:szCs w:val="21"/>
                <w:vertAlign w:val="baseline"/>
                <w:lang w:val="en-US" w:eastAsia="zh-CN" w:bidi="ar-SA"/>
              </w:rPr>
              <w:t>十一、竣工环境保护验收内容</w:t>
            </w:r>
          </w:p>
          <w:p w14:paraId="6AD54349">
            <w:pPr>
              <w:pStyle w:val="1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i w:val="0"/>
                <w:color w:val="0000FF"/>
                <w:kern w:val="0"/>
                <w:sz w:val="24"/>
                <w:szCs w:val="21"/>
                <w:vertAlign w:val="baseline"/>
                <w:lang w:val="en-US" w:eastAsia="zh-CN" w:bidi="ar-SA"/>
              </w:rPr>
            </w:pPr>
            <w:r>
              <w:rPr>
                <w:rFonts w:hint="default" w:ascii="Times New Roman" w:hAnsi="Times New Roman" w:eastAsia="宋体" w:cs="Times New Roman"/>
                <w:b w:val="0"/>
                <w:bCs w:val="0"/>
                <w:i w:val="0"/>
                <w:color w:val="0000FF"/>
                <w:kern w:val="0"/>
                <w:sz w:val="24"/>
                <w:szCs w:val="21"/>
                <w:vertAlign w:val="baseline"/>
                <w:lang w:val="en-US" w:eastAsia="zh-CN" w:bidi="ar-SA"/>
              </w:rPr>
              <w:t>根据《中华人民共和国环境保护法》、《建设项目环境保护管理条例》</w:t>
            </w:r>
            <w:r>
              <w:rPr>
                <w:rFonts w:hint="eastAsia" w:ascii="Times New Roman" w:hAnsi="Times New Roman" w:eastAsia="宋体" w:cs="Times New Roman"/>
                <w:b w:val="0"/>
                <w:bCs w:val="0"/>
                <w:i w:val="0"/>
                <w:color w:val="0000FF"/>
                <w:kern w:val="0"/>
                <w:sz w:val="24"/>
                <w:szCs w:val="21"/>
                <w:vertAlign w:val="baseline"/>
                <w:lang w:val="en-US" w:eastAsia="zh-CN" w:bidi="ar-SA"/>
              </w:rPr>
              <w:t>以及</w:t>
            </w:r>
            <w:r>
              <w:rPr>
                <w:rFonts w:hint="default" w:ascii="Times New Roman" w:hAnsi="Times New Roman" w:eastAsia="宋体" w:cs="Times New Roman"/>
                <w:b w:val="0"/>
                <w:bCs w:val="0"/>
                <w:i w:val="0"/>
                <w:color w:val="0000FF"/>
                <w:kern w:val="0"/>
                <w:sz w:val="24"/>
                <w:szCs w:val="21"/>
                <w:vertAlign w:val="baseline"/>
                <w:lang w:val="en-US" w:eastAsia="zh-CN" w:bidi="ar-SA"/>
              </w:rPr>
              <w:t>《建设项目竣工环境保护验收暂行办法》，建设项目污染防治设施必须与主体工程同时设计、同时施工、同时投入运行，本项目为</w:t>
            </w:r>
            <w:r>
              <w:rPr>
                <w:rFonts w:hint="eastAsia" w:ascii="Times New Roman" w:hAnsi="Times New Roman" w:eastAsia="宋体" w:cs="Times New Roman"/>
                <w:b w:val="0"/>
                <w:bCs w:val="0"/>
                <w:i w:val="0"/>
                <w:color w:val="0000FF"/>
                <w:kern w:val="0"/>
                <w:sz w:val="24"/>
                <w:szCs w:val="21"/>
                <w:vertAlign w:val="baseline"/>
                <w:lang w:val="en-US" w:eastAsia="zh-CN" w:bidi="ar-SA"/>
              </w:rPr>
              <w:t>技改</w:t>
            </w:r>
            <w:r>
              <w:rPr>
                <w:rFonts w:hint="default" w:ascii="Times New Roman" w:hAnsi="Times New Roman" w:eastAsia="宋体" w:cs="Times New Roman"/>
                <w:b w:val="0"/>
                <w:bCs w:val="0"/>
                <w:i w:val="0"/>
                <w:color w:val="0000FF"/>
                <w:kern w:val="0"/>
                <w:sz w:val="24"/>
                <w:szCs w:val="21"/>
                <w:vertAlign w:val="baseline"/>
                <w:lang w:val="en-US" w:eastAsia="zh-CN" w:bidi="ar-SA"/>
              </w:rPr>
              <w:t>项目，建设单位应尽快落实本环评中提出的各项措施，并向公众公开项目建设信息。项目竣工后，开展自主竣工环境保护验收工作。</w:t>
            </w:r>
          </w:p>
          <w:p w14:paraId="20262C7C">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b/>
                <w:bCs/>
                <w:color w:val="0000FF"/>
                <w:kern w:val="0"/>
                <w:szCs w:val="24"/>
              </w:rPr>
            </w:pPr>
            <w:r>
              <w:rPr>
                <w:rFonts w:hint="eastAsia" w:ascii="Times New Roman" w:hAnsi="Times New Roman" w:cs="Times New Roman"/>
                <w:b/>
                <w:bCs/>
                <w:color w:val="0000FF"/>
                <w:kern w:val="0"/>
                <w:szCs w:val="24"/>
              </w:rPr>
              <w:t>表</w:t>
            </w:r>
            <w:r>
              <w:rPr>
                <w:rFonts w:hint="eastAsia" w:ascii="Times New Roman" w:hAnsi="Times New Roman" w:cs="Times New Roman"/>
                <w:b/>
                <w:bCs/>
                <w:color w:val="0000FF"/>
                <w:kern w:val="0"/>
                <w:szCs w:val="24"/>
                <w:lang w:val="en-US" w:eastAsia="zh-CN"/>
              </w:rPr>
              <w:t>4-</w:t>
            </w:r>
            <w:r>
              <w:rPr>
                <w:rFonts w:hint="eastAsia" w:cs="Times New Roman"/>
                <w:b/>
                <w:bCs/>
                <w:color w:val="0000FF"/>
                <w:kern w:val="0"/>
                <w:szCs w:val="24"/>
                <w:lang w:val="en-US" w:eastAsia="zh-CN"/>
              </w:rPr>
              <w:t>29</w:t>
            </w:r>
            <w:r>
              <w:rPr>
                <w:rFonts w:hint="eastAsia" w:ascii="Times New Roman" w:hAnsi="Times New Roman" w:cs="Times New Roman"/>
                <w:b/>
                <w:bCs/>
                <w:color w:val="0000FF"/>
                <w:kern w:val="0"/>
                <w:szCs w:val="24"/>
                <w:lang w:val="en-US" w:eastAsia="zh-CN"/>
              </w:rPr>
              <w:t xml:space="preserve"> </w:t>
            </w:r>
            <w:r>
              <w:rPr>
                <w:rFonts w:hint="eastAsia" w:ascii="Times New Roman" w:hAnsi="Times New Roman" w:cs="Times New Roman"/>
                <w:b/>
                <w:bCs/>
                <w:color w:val="0000FF"/>
                <w:kern w:val="0"/>
                <w:szCs w:val="24"/>
              </w:rPr>
              <w:t>拟建项目环境保护“三同时”竣工验收一览表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889"/>
              <w:gridCol w:w="1075"/>
              <w:gridCol w:w="2740"/>
              <w:gridCol w:w="2774"/>
              <w:gridCol w:w="766"/>
            </w:tblGrid>
            <w:tr w14:paraId="5EC2C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9" w:type="pct"/>
                  <w:noWrap w:val="0"/>
                  <w:vAlign w:val="center"/>
                </w:tcPr>
                <w:p w14:paraId="293EBEFA">
                  <w:pPr>
                    <w:pStyle w:val="3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FF"/>
                      <w:sz w:val="21"/>
                      <w:szCs w:val="21"/>
                      <w:highlight w:val="none"/>
                    </w:rPr>
                  </w:pPr>
                  <w:r>
                    <w:rPr>
                      <w:rFonts w:hint="default" w:ascii="Times New Roman" w:hAnsi="Times New Roman" w:cs="Times New Roman"/>
                      <w:b w:val="0"/>
                      <w:bCs w:val="0"/>
                      <w:color w:val="0000FF"/>
                      <w:sz w:val="21"/>
                      <w:szCs w:val="21"/>
                      <w:highlight w:val="none"/>
                    </w:rPr>
                    <w:t>污染类别</w:t>
                  </w:r>
                </w:p>
              </w:tc>
              <w:tc>
                <w:tcPr>
                  <w:tcW w:w="499" w:type="pct"/>
                  <w:noWrap w:val="0"/>
                  <w:vAlign w:val="center"/>
                </w:tcPr>
                <w:p w14:paraId="3E55B038">
                  <w:pPr>
                    <w:pStyle w:val="3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FF"/>
                      <w:sz w:val="21"/>
                      <w:szCs w:val="21"/>
                      <w:highlight w:val="none"/>
                    </w:rPr>
                  </w:pPr>
                  <w:r>
                    <w:rPr>
                      <w:rFonts w:hint="default" w:ascii="Times New Roman" w:hAnsi="Times New Roman" w:cs="Times New Roman"/>
                      <w:b w:val="0"/>
                      <w:bCs w:val="0"/>
                      <w:color w:val="0000FF"/>
                      <w:sz w:val="21"/>
                      <w:szCs w:val="21"/>
                      <w:highlight w:val="none"/>
                    </w:rPr>
                    <w:t>污染</w:t>
                  </w:r>
                  <w:r>
                    <w:rPr>
                      <w:rFonts w:hint="default" w:ascii="Times New Roman" w:hAnsi="Times New Roman" w:cs="Times New Roman"/>
                      <w:b w:val="0"/>
                      <w:bCs w:val="0"/>
                      <w:color w:val="0000FF"/>
                      <w:sz w:val="21"/>
                      <w:szCs w:val="21"/>
                      <w:highlight w:val="none"/>
                      <w:lang w:val="en-US" w:eastAsia="zh-CN"/>
                    </w:rPr>
                    <w:t>源</w:t>
                  </w:r>
                </w:p>
              </w:tc>
              <w:tc>
                <w:tcPr>
                  <w:tcW w:w="603" w:type="pct"/>
                  <w:noWrap w:val="0"/>
                  <w:vAlign w:val="center"/>
                </w:tcPr>
                <w:p w14:paraId="3B941E56">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FF"/>
                      <w:sz w:val="21"/>
                      <w:szCs w:val="21"/>
                      <w:highlight w:val="none"/>
                      <w:lang w:val="en-US" w:eastAsia="zh-CN"/>
                    </w:rPr>
                  </w:pPr>
                  <w:r>
                    <w:rPr>
                      <w:rFonts w:hint="default" w:ascii="Times New Roman" w:hAnsi="Times New Roman" w:cs="Times New Roman"/>
                      <w:b w:val="0"/>
                      <w:bCs w:val="0"/>
                      <w:color w:val="0000FF"/>
                      <w:sz w:val="21"/>
                      <w:szCs w:val="21"/>
                      <w:highlight w:val="none"/>
                      <w:lang w:val="en-US" w:eastAsia="zh-CN"/>
                    </w:rPr>
                    <w:t>污染物</w:t>
                  </w:r>
                </w:p>
              </w:tc>
              <w:tc>
                <w:tcPr>
                  <w:tcW w:w="1539" w:type="pct"/>
                  <w:noWrap w:val="0"/>
                  <w:vAlign w:val="center"/>
                </w:tcPr>
                <w:p w14:paraId="459BA480">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FF"/>
                      <w:sz w:val="21"/>
                      <w:szCs w:val="21"/>
                      <w:highlight w:val="none"/>
                      <w:lang w:val="en-US" w:eastAsia="zh-CN"/>
                    </w:rPr>
                  </w:pPr>
                  <w:r>
                    <w:rPr>
                      <w:rFonts w:hint="default" w:ascii="Times New Roman" w:hAnsi="Times New Roman" w:cs="Times New Roman"/>
                      <w:b w:val="0"/>
                      <w:bCs w:val="0"/>
                      <w:color w:val="0000FF"/>
                      <w:sz w:val="21"/>
                      <w:szCs w:val="21"/>
                      <w:highlight w:val="none"/>
                      <w:lang w:val="en-US" w:eastAsia="zh-CN"/>
                    </w:rPr>
                    <w:t>防治措施</w:t>
                  </w:r>
                </w:p>
              </w:tc>
              <w:tc>
                <w:tcPr>
                  <w:tcW w:w="1558" w:type="pct"/>
                  <w:noWrap w:val="0"/>
                  <w:vAlign w:val="center"/>
                </w:tcPr>
                <w:p w14:paraId="3BDC5124">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FF"/>
                      <w:sz w:val="21"/>
                      <w:szCs w:val="21"/>
                      <w:highlight w:val="none"/>
                      <w:lang w:val="en-US" w:eastAsia="zh-CN"/>
                    </w:rPr>
                  </w:pPr>
                  <w:r>
                    <w:rPr>
                      <w:rFonts w:hint="default" w:ascii="Times New Roman" w:hAnsi="Times New Roman" w:cs="Times New Roman"/>
                      <w:b w:val="0"/>
                      <w:bCs w:val="0"/>
                      <w:color w:val="0000FF"/>
                      <w:sz w:val="21"/>
                      <w:szCs w:val="21"/>
                      <w:highlight w:val="none"/>
                      <w:lang w:val="en-US" w:eastAsia="zh-CN"/>
                    </w:rPr>
                    <w:t>验收要求</w:t>
                  </w:r>
                </w:p>
              </w:tc>
              <w:tc>
                <w:tcPr>
                  <w:tcW w:w="430" w:type="pct"/>
                  <w:noWrap w:val="0"/>
                  <w:vAlign w:val="center"/>
                </w:tcPr>
                <w:p w14:paraId="62DE74B7">
                  <w:pPr>
                    <w:pStyle w:val="3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FF"/>
                      <w:sz w:val="21"/>
                      <w:szCs w:val="21"/>
                      <w:highlight w:val="none"/>
                      <w:lang w:val="en-US" w:eastAsia="zh-CN"/>
                    </w:rPr>
                  </w:pPr>
                  <w:r>
                    <w:rPr>
                      <w:rFonts w:hint="eastAsia" w:ascii="Times New Roman" w:hAnsi="Times New Roman" w:cs="Times New Roman"/>
                      <w:b w:val="0"/>
                      <w:bCs w:val="0"/>
                      <w:color w:val="0000FF"/>
                      <w:sz w:val="21"/>
                      <w:szCs w:val="21"/>
                      <w:highlight w:val="none"/>
                      <w:lang w:val="en-US" w:eastAsia="zh-CN"/>
                    </w:rPr>
                    <w:t>实施情况</w:t>
                  </w:r>
                </w:p>
              </w:tc>
            </w:tr>
            <w:tr w14:paraId="1AF3E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9" w:type="pct"/>
                  <w:noWrap w:val="0"/>
                  <w:vAlign w:val="center"/>
                </w:tcPr>
                <w:p w14:paraId="063B7C9F">
                  <w:pPr>
                    <w:pStyle w:val="3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FF"/>
                      <w:sz w:val="21"/>
                      <w:szCs w:val="21"/>
                      <w:highlight w:val="none"/>
                    </w:rPr>
                  </w:pPr>
                  <w:r>
                    <w:rPr>
                      <w:rFonts w:hint="default" w:ascii="Times New Roman" w:hAnsi="Times New Roman" w:cs="Times New Roman"/>
                      <w:b w:val="0"/>
                      <w:bCs w:val="0"/>
                      <w:color w:val="0000FF"/>
                      <w:sz w:val="21"/>
                      <w:szCs w:val="21"/>
                      <w:highlight w:val="none"/>
                    </w:rPr>
                    <w:t>废水</w:t>
                  </w:r>
                </w:p>
              </w:tc>
              <w:tc>
                <w:tcPr>
                  <w:tcW w:w="499" w:type="pct"/>
                  <w:noWrap w:val="0"/>
                  <w:vAlign w:val="center"/>
                </w:tcPr>
                <w:p w14:paraId="7AFEDD18">
                  <w:pPr>
                    <w:pStyle w:val="3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FF"/>
                      <w:sz w:val="21"/>
                      <w:szCs w:val="21"/>
                      <w:highlight w:val="none"/>
                    </w:rPr>
                  </w:pPr>
                  <w:r>
                    <w:rPr>
                      <w:rFonts w:hint="default" w:ascii="Times New Roman" w:hAnsi="Times New Roman" w:cs="Times New Roman"/>
                      <w:b w:val="0"/>
                      <w:bCs w:val="0"/>
                      <w:color w:val="0000FF"/>
                      <w:sz w:val="21"/>
                      <w:szCs w:val="21"/>
                      <w:highlight w:val="none"/>
                    </w:rPr>
                    <w:t>生活污水</w:t>
                  </w:r>
                </w:p>
              </w:tc>
              <w:tc>
                <w:tcPr>
                  <w:tcW w:w="603" w:type="pct"/>
                  <w:noWrap w:val="0"/>
                  <w:vAlign w:val="center"/>
                </w:tcPr>
                <w:p w14:paraId="6FB0DFCA">
                  <w:pPr>
                    <w:pStyle w:val="39"/>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0000FF"/>
                      <w:sz w:val="21"/>
                      <w:szCs w:val="21"/>
                      <w:lang w:eastAsia="zh-CN"/>
                    </w:rPr>
                  </w:pPr>
                  <w:r>
                    <w:rPr>
                      <w:rFonts w:hint="default" w:ascii="Times New Roman" w:hAnsi="Times New Roman" w:cs="Times New Roman"/>
                      <w:b w:val="0"/>
                      <w:bCs w:val="0"/>
                      <w:color w:val="0000FF"/>
                      <w:sz w:val="21"/>
                      <w:szCs w:val="21"/>
                    </w:rPr>
                    <w:t>COD</w:t>
                  </w:r>
                  <w:r>
                    <w:rPr>
                      <w:rFonts w:hint="eastAsia" w:ascii="Times New Roman" w:hAnsi="Times New Roman" w:cs="Times New Roman"/>
                      <w:b w:val="0"/>
                      <w:bCs w:val="0"/>
                      <w:color w:val="0000FF"/>
                      <w:sz w:val="21"/>
                      <w:szCs w:val="21"/>
                      <w:lang w:eastAsia="zh-CN"/>
                    </w:rPr>
                    <w:t>、</w:t>
                  </w:r>
                </w:p>
                <w:p w14:paraId="306867E8">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FF"/>
                      <w:sz w:val="21"/>
                      <w:szCs w:val="21"/>
                      <w:highlight w:val="none"/>
                      <w:lang w:val="en-US" w:eastAsia="zh-CN"/>
                    </w:rPr>
                  </w:pPr>
                  <w:r>
                    <w:rPr>
                      <w:rFonts w:hint="eastAsia" w:ascii="Times New Roman" w:hAnsi="Times New Roman" w:cs="Times New Roman"/>
                      <w:b w:val="0"/>
                      <w:bCs w:val="0"/>
                      <w:color w:val="0000FF"/>
                      <w:sz w:val="21"/>
                      <w:szCs w:val="21"/>
                      <w:lang w:val="en-US" w:eastAsia="zh-CN"/>
                    </w:rPr>
                    <w:t>BOD</w:t>
                  </w:r>
                  <w:r>
                    <w:rPr>
                      <w:rFonts w:hint="eastAsia" w:ascii="Times New Roman" w:hAnsi="Times New Roman" w:cs="Times New Roman"/>
                      <w:b w:val="0"/>
                      <w:bCs w:val="0"/>
                      <w:color w:val="0000FF"/>
                      <w:sz w:val="21"/>
                      <w:szCs w:val="21"/>
                      <w:vertAlign w:val="subscript"/>
                      <w:lang w:val="en-US" w:eastAsia="zh-CN"/>
                    </w:rPr>
                    <w:t>5</w:t>
                  </w:r>
                  <w:r>
                    <w:rPr>
                      <w:rFonts w:hint="eastAsia" w:ascii="Times New Roman" w:hAnsi="Times New Roman" w:cs="Times New Roman"/>
                      <w:b w:val="0"/>
                      <w:bCs w:val="0"/>
                      <w:color w:val="0000FF"/>
                      <w:sz w:val="21"/>
                      <w:szCs w:val="21"/>
                      <w:vertAlign w:val="baseline"/>
                      <w:lang w:val="en-US" w:eastAsia="zh-CN"/>
                    </w:rPr>
                    <w:t>、</w:t>
                  </w:r>
                </w:p>
                <w:p w14:paraId="67853A80">
                  <w:pPr>
                    <w:pStyle w:val="3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FF"/>
                      <w:sz w:val="21"/>
                      <w:szCs w:val="21"/>
                      <w:highlight w:val="none"/>
                    </w:rPr>
                  </w:pPr>
                  <w:r>
                    <w:rPr>
                      <w:rFonts w:hint="default" w:ascii="Times New Roman" w:hAnsi="Times New Roman" w:cs="Times New Roman"/>
                      <w:b w:val="0"/>
                      <w:bCs w:val="0"/>
                      <w:color w:val="0000FF"/>
                      <w:sz w:val="21"/>
                      <w:szCs w:val="21"/>
                    </w:rPr>
                    <w:t>NH</w:t>
                  </w:r>
                  <w:r>
                    <w:rPr>
                      <w:rFonts w:hint="default" w:ascii="Times New Roman" w:hAnsi="Times New Roman" w:cs="Times New Roman"/>
                      <w:b w:val="0"/>
                      <w:bCs w:val="0"/>
                      <w:color w:val="0000FF"/>
                      <w:sz w:val="21"/>
                      <w:szCs w:val="21"/>
                      <w:vertAlign w:val="subscript"/>
                    </w:rPr>
                    <w:t>3</w:t>
                  </w:r>
                  <w:r>
                    <w:rPr>
                      <w:rFonts w:hint="default" w:ascii="Times New Roman" w:hAnsi="Times New Roman" w:cs="Times New Roman"/>
                      <w:b w:val="0"/>
                      <w:bCs w:val="0"/>
                      <w:color w:val="0000FF"/>
                      <w:sz w:val="21"/>
                      <w:szCs w:val="21"/>
                    </w:rPr>
                    <w:t>-N</w:t>
                  </w:r>
                </w:p>
              </w:tc>
              <w:tc>
                <w:tcPr>
                  <w:tcW w:w="1539" w:type="pct"/>
                  <w:noWrap w:val="0"/>
                  <w:vAlign w:val="center"/>
                </w:tcPr>
                <w:p w14:paraId="72F5754C">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FF"/>
                      <w:sz w:val="21"/>
                      <w:szCs w:val="21"/>
                      <w:highlight w:val="none"/>
                      <w:lang w:val="en-US" w:eastAsia="zh-CN"/>
                    </w:rPr>
                  </w:pPr>
                  <w:r>
                    <w:rPr>
                      <w:rFonts w:hint="eastAsia" w:ascii="Times New Roman" w:hAnsi="Times New Roman" w:cs="Times New Roman"/>
                      <w:b w:val="0"/>
                      <w:bCs w:val="0"/>
                      <w:color w:val="0000FF"/>
                      <w:sz w:val="21"/>
                      <w:szCs w:val="21"/>
                      <w:highlight w:val="none"/>
                      <w:lang w:val="en-US" w:eastAsia="zh-CN"/>
                    </w:rPr>
                    <w:t>本次技改项目不涉及生产废水，不新增员工，不新增生活污水；现有废水包括循环冷却水、余热电站排水和生活污水。工艺冷却水、余热电站排水全部循环利用，不外排；生活污水经地埋式系列污水成套设备进行处理，其中10t/d用于绿化浇洒，其余30t/d排入龙湖开发区污水处理厂</w:t>
                  </w:r>
                </w:p>
              </w:tc>
              <w:tc>
                <w:tcPr>
                  <w:tcW w:w="1558" w:type="pct"/>
                  <w:noWrap w:val="0"/>
                  <w:vAlign w:val="center"/>
                </w:tcPr>
                <w:p w14:paraId="14996D84">
                  <w:pPr>
                    <w:pStyle w:val="39"/>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0000FF"/>
                      <w:sz w:val="21"/>
                      <w:szCs w:val="21"/>
                      <w:highlight w:val="none"/>
                      <w:lang w:eastAsia="zh-CN"/>
                    </w:rPr>
                  </w:pPr>
                  <w:r>
                    <w:rPr>
                      <w:rFonts w:hint="eastAsia" w:ascii="Times New Roman" w:hAnsi="Times New Roman" w:cs="Times New Roman"/>
                      <w:b w:val="0"/>
                      <w:bCs w:val="0"/>
                      <w:color w:val="0000FF"/>
                      <w:sz w:val="21"/>
                      <w:szCs w:val="21"/>
                      <w:highlight w:val="none"/>
                      <w:lang w:eastAsia="zh-CN"/>
                    </w:rPr>
                    <w:t>《污水综合排放标准》（</w:t>
                  </w:r>
                  <w:r>
                    <w:rPr>
                      <w:rFonts w:hint="eastAsia" w:ascii="Times New Roman" w:hAnsi="Times New Roman" w:cs="Times New Roman"/>
                      <w:b w:val="0"/>
                      <w:bCs w:val="0"/>
                      <w:color w:val="0000FF"/>
                      <w:sz w:val="21"/>
                      <w:szCs w:val="21"/>
                      <w:highlight w:val="none"/>
                      <w:lang w:val="en-US" w:eastAsia="zh-CN"/>
                    </w:rPr>
                    <w:t>GB8978-1996</w:t>
                  </w:r>
                  <w:r>
                    <w:rPr>
                      <w:rFonts w:hint="eastAsia" w:ascii="Times New Roman" w:hAnsi="Times New Roman" w:cs="Times New Roman"/>
                      <w:b w:val="0"/>
                      <w:bCs w:val="0"/>
                      <w:color w:val="0000FF"/>
                      <w:sz w:val="21"/>
                      <w:szCs w:val="21"/>
                      <w:highlight w:val="none"/>
                      <w:lang w:eastAsia="zh-CN"/>
                    </w:rPr>
                    <w:t>）</w:t>
                  </w:r>
                </w:p>
              </w:tc>
              <w:tc>
                <w:tcPr>
                  <w:tcW w:w="430" w:type="pct"/>
                  <w:vMerge w:val="restart"/>
                  <w:noWrap w:val="0"/>
                  <w:vAlign w:val="center"/>
                </w:tcPr>
                <w:p w14:paraId="20170A43">
                  <w:pPr>
                    <w:pStyle w:val="39"/>
                    <w:keepNext w:val="0"/>
                    <w:keepLines w:val="0"/>
                    <w:suppressLineNumbers w:val="0"/>
                    <w:spacing w:before="0" w:beforeAutospacing="0" w:after="0" w:afterAutospacing="0"/>
                    <w:ind w:left="0" w:right="0"/>
                    <w:jc w:val="both"/>
                    <w:rPr>
                      <w:rFonts w:hint="eastAsia" w:ascii="Times New Roman" w:hAnsi="Times New Roman" w:cs="Times New Roman"/>
                      <w:b w:val="0"/>
                      <w:bCs w:val="0"/>
                      <w:color w:val="0000FF"/>
                      <w:sz w:val="21"/>
                      <w:szCs w:val="21"/>
                      <w:highlight w:val="none"/>
                      <w:lang w:eastAsia="zh-CN"/>
                    </w:rPr>
                  </w:pPr>
                  <w:r>
                    <w:rPr>
                      <w:rFonts w:hint="eastAsia" w:ascii="Times New Roman" w:hAnsi="Times New Roman" w:cs="Times New Roman"/>
                      <w:b w:val="0"/>
                      <w:bCs w:val="0"/>
                      <w:color w:val="0000FF"/>
                      <w:sz w:val="21"/>
                      <w:szCs w:val="21"/>
                      <w:highlight w:val="none"/>
                      <w:lang w:val="en-US" w:eastAsia="zh-CN"/>
                    </w:rPr>
                    <w:t>与主体工程同时设计，同时施工，同时投产使用</w:t>
                  </w:r>
                </w:p>
              </w:tc>
            </w:tr>
            <w:tr w14:paraId="672E3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9" w:type="pct"/>
                  <w:vMerge w:val="restart"/>
                  <w:noWrap w:val="0"/>
                  <w:vAlign w:val="center"/>
                </w:tcPr>
                <w:p w14:paraId="7D1025AD">
                  <w:pPr>
                    <w:pStyle w:val="3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FF"/>
                      <w:sz w:val="21"/>
                      <w:szCs w:val="21"/>
                      <w:highlight w:val="none"/>
                    </w:rPr>
                  </w:pPr>
                  <w:r>
                    <w:rPr>
                      <w:rFonts w:hint="default" w:ascii="Times New Roman" w:hAnsi="Times New Roman" w:cs="Times New Roman"/>
                      <w:b w:val="0"/>
                      <w:bCs w:val="0"/>
                      <w:color w:val="0000FF"/>
                      <w:sz w:val="21"/>
                      <w:szCs w:val="21"/>
                      <w:highlight w:val="none"/>
                    </w:rPr>
                    <w:t>废气</w:t>
                  </w:r>
                </w:p>
              </w:tc>
              <w:tc>
                <w:tcPr>
                  <w:tcW w:w="499" w:type="pct"/>
                  <w:noWrap w:val="0"/>
                  <w:vAlign w:val="center"/>
                </w:tcPr>
                <w:p w14:paraId="0F327CB6">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b w:val="0"/>
                      <w:bCs w:val="0"/>
                      <w:color w:val="0000FF"/>
                      <w:sz w:val="21"/>
                      <w:szCs w:val="21"/>
                      <w:highlight w:val="none"/>
                      <w:lang w:val="en-US" w:eastAsia="zh-CN"/>
                    </w:rPr>
                  </w:pPr>
                  <w:r>
                    <w:rPr>
                      <w:rFonts w:hint="eastAsia" w:cs="Times New Roman"/>
                      <w:b w:val="0"/>
                      <w:bCs w:val="0"/>
                      <w:color w:val="0000FF"/>
                      <w:sz w:val="21"/>
                      <w:szCs w:val="21"/>
                      <w:highlight w:val="none"/>
                      <w:lang w:eastAsia="zh-CN"/>
                    </w:rPr>
                    <w:t>一线窑尾烟囱</w:t>
                  </w:r>
                  <w:r>
                    <w:rPr>
                      <w:rFonts w:hint="eastAsia" w:cs="Times New Roman"/>
                      <w:b w:val="0"/>
                      <w:bCs w:val="0"/>
                      <w:color w:val="0000FF"/>
                      <w:sz w:val="21"/>
                      <w:szCs w:val="21"/>
                      <w:highlight w:val="none"/>
                      <w:lang w:val="en-US" w:eastAsia="zh-CN"/>
                    </w:rPr>
                    <w:t>DA046</w:t>
                  </w:r>
                </w:p>
              </w:tc>
              <w:tc>
                <w:tcPr>
                  <w:tcW w:w="603" w:type="pct"/>
                  <w:noWrap w:val="0"/>
                  <w:vAlign w:val="center"/>
                </w:tcPr>
                <w:p w14:paraId="73986FEC">
                  <w:pPr>
                    <w:pStyle w:val="3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FF"/>
                      <w:sz w:val="21"/>
                      <w:szCs w:val="21"/>
                    </w:rPr>
                  </w:pPr>
                  <w:r>
                    <w:rPr>
                      <w:rFonts w:hint="default" w:ascii="Times New Roman" w:hAnsi="Times New Roman" w:cs="Times New Roman"/>
                      <w:b w:val="0"/>
                      <w:bCs w:val="0"/>
                      <w:color w:val="0000FF"/>
                      <w:sz w:val="21"/>
                      <w:szCs w:val="21"/>
                    </w:rPr>
                    <w:t>SO2、NOx、颗粒物、NH3、</w:t>
                  </w:r>
                </w:p>
                <w:p w14:paraId="75007E10">
                  <w:pPr>
                    <w:pStyle w:val="3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FF"/>
                      <w:sz w:val="21"/>
                      <w:szCs w:val="21"/>
                      <w:highlight w:val="none"/>
                    </w:rPr>
                  </w:pPr>
                  <w:r>
                    <w:rPr>
                      <w:rFonts w:hint="default" w:ascii="Times New Roman" w:hAnsi="Times New Roman" w:cs="Times New Roman"/>
                      <w:b w:val="0"/>
                      <w:bCs w:val="0"/>
                      <w:color w:val="0000FF"/>
                      <w:sz w:val="21"/>
                      <w:szCs w:val="21"/>
                    </w:rPr>
                    <w:t>HCl、HF、Hg、Cd、As、Pb、二噁英类</w:t>
                  </w:r>
                </w:p>
              </w:tc>
              <w:tc>
                <w:tcPr>
                  <w:tcW w:w="1539" w:type="pct"/>
                  <w:noWrap w:val="0"/>
                  <w:vAlign w:val="center"/>
                </w:tcPr>
                <w:p w14:paraId="5E991A12">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val="0"/>
                      <w:bCs w:val="0"/>
                      <w:color w:val="0000FF"/>
                      <w:sz w:val="21"/>
                      <w:szCs w:val="21"/>
                      <w:highlight w:val="none"/>
                    </w:rPr>
                  </w:pPr>
                  <w:r>
                    <w:rPr>
                      <w:rFonts w:hint="eastAsia" w:cs="Times New Roman"/>
                      <w:b w:val="0"/>
                      <w:bCs w:val="0"/>
                      <w:color w:val="0000FF"/>
                      <w:sz w:val="21"/>
                      <w:szCs w:val="21"/>
                      <w:lang w:val="en-US" w:eastAsia="zh-CN"/>
                    </w:rPr>
                    <w:t>水泥窑煅烧工艺+脱硫脱硝+除尘+95m排气筒</w:t>
                  </w:r>
                </w:p>
              </w:tc>
              <w:tc>
                <w:tcPr>
                  <w:tcW w:w="1558" w:type="pct"/>
                  <w:noWrap w:val="0"/>
                  <w:vAlign w:val="center"/>
                </w:tcPr>
                <w:p w14:paraId="4C61FE71">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FF"/>
                      <w:sz w:val="21"/>
                      <w:szCs w:val="21"/>
                      <w:highlight w:val="none"/>
                      <w:lang w:val="en-US" w:eastAsia="zh-CN"/>
                    </w:rPr>
                  </w:pPr>
                  <w:r>
                    <w:rPr>
                      <w:rFonts w:hint="eastAsia" w:ascii="Times New Roman" w:hAnsi="Times New Roman" w:cs="Times New Roman"/>
                      <w:b w:val="0"/>
                      <w:bCs w:val="0"/>
                      <w:color w:val="0000FF"/>
                      <w:sz w:val="21"/>
                      <w:szCs w:val="21"/>
                      <w:highlight w:val="none"/>
                      <w:lang w:val="en-US" w:eastAsia="zh-CN"/>
                    </w:rPr>
                    <w:t>安徽省地方标准《水泥工业大气污染排放标准》（DB34/3576-2020）、《水泥窑协同处置固体废物污染控制标准》（GB30485-2013）</w:t>
                  </w:r>
                </w:p>
              </w:tc>
              <w:tc>
                <w:tcPr>
                  <w:tcW w:w="430" w:type="pct"/>
                  <w:vMerge w:val="continue"/>
                  <w:noWrap w:val="0"/>
                  <w:vAlign w:val="center"/>
                </w:tcPr>
                <w:p w14:paraId="5867DF6B">
                  <w:pPr>
                    <w:pStyle w:val="39"/>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0000FF"/>
                      <w:sz w:val="21"/>
                      <w:szCs w:val="21"/>
                      <w:highlight w:val="none"/>
                      <w:lang w:val="en-US" w:eastAsia="zh-CN"/>
                    </w:rPr>
                  </w:pPr>
                </w:p>
              </w:tc>
            </w:tr>
            <w:tr w14:paraId="6090E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9" w:type="pct"/>
                  <w:vMerge w:val="continue"/>
                  <w:noWrap w:val="0"/>
                  <w:vAlign w:val="center"/>
                </w:tcPr>
                <w:p w14:paraId="73B69C7E">
                  <w:pPr>
                    <w:pStyle w:val="3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FF"/>
                      <w:sz w:val="21"/>
                      <w:szCs w:val="21"/>
                      <w:highlight w:val="none"/>
                    </w:rPr>
                  </w:pPr>
                </w:p>
              </w:tc>
              <w:tc>
                <w:tcPr>
                  <w:tcW w:w="499" w:type="pct"/>
                  <w:noWrap w:val="0"/>
                  <w:vAlign w:val="center"/>
                </w:tcPr>
                <w:p w14:paraId="0590FE6D">
                  <w:pPr>
                    <w:keepNext w:val="0"/>
                    <w:keepLines w:val="0"/>
                    <w:suppressLineNumbers w:val="0"/>
                    <w:spacing w:before="0" w:beforeAutospacing="0" w:after="0" w:afterAutospacing="0" w:line="240" w:lineRule="atLeast"/>
                    <w:ind w:left="0" w:right="0"/>
                    <w:jc w:val="center"/>
                    <w:rPr>
                      <w:rFonts w:hint="default" w:cs="Times New Roman"/>
                      <w:b w:val="0"/>
                      <w:bCs w:val="0"/>
                      <w:color w:val="0000FF"/>
                      <w:sz w:val="21"/>
                      <w:szCs w:val="21"/>
                      <w:highlight w:val="none"/>
                      <w:lang w:val="en-US" w:eastAsia="zh-CN"/>
                    </w:rPr>
                  </w:pPr>
                  <w:r>
                    <w:rPr>
                      <w:rFonts w:hint="eastAsia" w:cs="Times New Roman"/>
                      <w:b w:val="0"/>
                      <w:bCs w:val="0"/>
                      <w:color w:val="0000FF"/>
                      <w:sz w:val="21"/>
                      <w:szCs w:val="21"/>
                      <w:highlight w:val="none"/>
                      <w:lang w:eastAsia="zh-CN"/>
                    </w:rPr>
                    <w:t>厂区</w:t>
                  </w:r>
                  <w:r>
                    <w:rPr>
                      <w:rFonts w:hint="eastAsia" w:cs="Times New Roman"/>
                      <w:b w:val="0"/>
                      <w:bCs w:val="0"/>
                      <w:color w:val="0000FF"/>
                      <w:sz w:val="21"/>
                      <w:szCs w:val="21"/>
                      <w:highlight w:val="none"/>
                      <w:lang w:val="en-US" w:eastAsia="zh-CN"/>
                    </w:rPr>
                    <w:t>/厂界无组织</w:t>
                  </w:r>
                </w:p>
              </w:tc>
              <w:tc>
                <w:tcPr>
                  <w:tcW w:w="603" w:type="pct"/>
                  <w:noWrap w:val="0"/>
                  <w:vAlign w:val="center"/>
                </w:tcPr>
                <w:p w14:paraId="04487B0D">
                  <w:pPr>
                    <w:pStyle w:val="39"/>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0000FF"/>
                      <w:sz w:val="21"/>
                      <w:szCs w:val="21"/>
                      <w:lang w:eastAsia="zh-CN"/>
                    </w:rPr>
                  </w:pPr>
                  <w:r>
                    <w:rPr>
                      <w:rFonts w:hint="eastAsia" w:ascii="Times New Roman" w:hAnsi="Times New Roman" w:cs="Times New Roman"/>
                      <w:b w:val="0"/>
                      <w:bCs w:val="0"/>
                      <w:color w:val="0000FF"/>
                      <w:sz w:val="21"/>
                      <w:szCs w:val="21"/>
                      <w:lang w:eastAsia="zh-CN"/>
                    </w:rPr>
                    <w:t>颗粒物、氨</w:t>
                  </w:r>
                </w:p>
              </w:tc>
              <w:tc>
                <w:tcPr>
                  <w:tcW w:w="1539" w:type="pct"/>
                  <w:noWrap w:val="0"/>
                  <w:vAlign w:val="center"/>
                </w:tcPr>
                <w:p w14:paraId="02C2F120">
                  <w:pPr>
                    <w:keepNext w:val="0"/>
                    <w:keepLines w:val="0"/>
                    <w:suppressLineNumbers w:val="0"/>
                    <w:spacing w:before="0" w:beforeAutospacing="0" w:after="0" w:afterAutospacing="0" w:line="240" w:lineRule="atLeast"/>
                    <w:ind w:left="0" w:right="0"/>
                    <w:jc w:val="center"/>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无组织，自由扩散</w:t>
                  </w:r>
                </w:p>
              </w:tc>
              <w:tc>
                <w:tcPr>
                  <w:tcW w:w="1558" w:type="pct"/>
                  <w:noWrap w:val="0"/>
                  <w:vAlign w:val="center"/>
                </w:tcPr>
                <w:p w14:paraId="5950CE8A">
                  <w:pPr>
                    <w:pStyle w:val="39"/>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0000FF"/>
                      <w:sz w:val="21"/>
                      <w:szCs w:val="21"/>
                      <w:highlight w:val="none"/>
                      <w:lang w:val="en-US" w:eastAsia="zh-CN"/>
                    </w:rPr>
                  </w:pPr>
                  <w:r>
                    <w:rPr>
                      <w:rFonts w:hint="eastAsia" w:ascii="Times New Roman" w:hAnsi="Times New Roman" w:cs="Times New Roman"/>
                      <w:b w:val="0"/>
                      <w:bCs w:val="0"/>
                      <w:color w:val="0000FF"/>
                      <w:sz w:val="21"/>
                      <w:szCs w:val="21"/>
                      <w:highlight w:val="none"/>
                      <w:lang w:val="en-US" w:eastAsia="zh-CN"/>
                    </w:rPr>
                    <w:t>安徽省地方标准《水泥工业大气污染排放标准》（DB34/3576-2020）</w:t>
                  </w:r>
                </w:p>
              </w:tc>
              <w:tc>
                <w:tcPr>
                  <w:tcW w:w="430" w:type="pct"/>
                  <w:vMerge w:val="continue"/>
                  <w:noWrap w:val="0"/>
                  <w:vAlign w:val="center"/>
                </w:tcPr>
                <w:p w14:paraId="2AE8364C">
                  <w:pPr>
                    <w:pStyle w:val="39"/>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0000FF"/>
                      <w:sz w:val="21"/>
                      <w:szCs w:val="21"/>
                      <w:highlight w:val="none"/>
                      <w:lang w:val="en-US" w:eastAsia="zh-CN"/>
                    </w:rPr>
                  </w:pPr>
                </w:p>
              </w:tc>
            </w:tr>
            <w:tr w14:paraId="06D2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9" w:type="pct"/>
                  <w:noWrap w:val="0"/>
                  <w:vAlign w:val="center"/>
                </w:tcPr>
                <w:p w14:paraId="23708EE9">
                  <w:pPr>
                    <w:pStyle w:val="3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FF"/>
                      <w:sz w:val="21"/>
                      <w:szCs w:val="21"/>
                      <w:highlight w:val="none"/>
                    </w:rPr>
                  </w:pPr>
                  <w:r>
                    <w:rPr>
                      <w:rFonts w:hint="default" w:ascii="Times New Roman" w:hAnsi="Times New Roman" w:cs="Times New Roman"/>
                      <w:b w:val="0"/>
                      <w:bCs w:val="0"/>
                      <w:color w:val="0000FF"/>
                      <w:sz w:val="21"/>
                      <w:szCs w:val="21"/>
                      <w:highlight w:val="none"/>
                    </w:rPr>
                    <w:t>噪声</w:t>
                  </w:r>
                </w:p>
              </w:tc>
              <w:tc>
                <w:tcPr>
                  <w:tcW w:w="499" w:type="pct"/>
                  <w:noWrap w:val="0"/>
                  <w:vAlign w:val="center"/>
                </w:tcPr>
                <w:p w14:paraId="3DA73EBF">
                  <w:pPr>
                    <w:pStyle w:val="39"/>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0000FF"/>
                      <w:sz w:val="21"/>
                      <w:szCs w:val="21"/>
                      <w:highlight w:val="none"/>
                      <w:lang w:eastAsia="zh-CN"/>
                    </w:rPr>
                  </w:pPr>
                  <w:r>
                    <w:rPr>
                      <w:rFonts w:hint="eastAsia" w:ascii="Times New Roman" w:hAnsi="Times New Roman" w:cs="Times New Roman"/>
                      <w:b w:val="0"/>
                      <w:bCs w:val="0"/>
                      <w:color w:val="0000FF"/>
                      <w:sz w:val="21"/>
                      <w:szCs w:val="21"/>
                      <w:highlight w:val="none"/>
                      <w:lang w:eastAsia="zh-CN"/>
                    </w:rPr>
                    <w:t>生产设备运行</w:t>
                  </w:r>
                </w:p>
              </w:tc>
              <w:tc>
                <w:tcPr>
                  <w:tcW w:w="603" w:type="pct"/>
                  <w:noWrap w:val="0"/>
                  <w:vAlign w:val="center"/>
                </w:tcPr>
                <w:p w14:paraId="34DD9C48">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FF"/>
                      <w:sz w:val="21"/>
                      <w:szCs w:val="21"/>
                      <w:highlight w:val="none"/>
                      <w:lang w:val="en-US" w:eastAsia="zh-CN"/>
                    </w:rPr>
                  </w:pPr>
                  <w:r>
                    <w:rPr>
                      <w:rFonts w:hint="eastAsia" w:ascii="Times New Roman" w:hAnsi="Times New Roman" w:cs="Times New Roman"/>
                      <w:b w:val="0"/>
                      <w:bCs w:val="0"/>
                      <w:color w:val="0000FF"/>
                      <w:sz w:val="21"/>
                      <w:szCs w:val="21"/>
                      <w:highlight w:val="none"/>
                      <w:lang w:val="en-US" w:eastAsia="zh-CN"/>
                    </w:rPr>
                    <w:t>等效连续A声级</w:t>
                  </w:r>
                </w:p>
              </w:tc>
              <w:tc>
                <w:tcPr>
                  <w:tcW w:w="1539" w:type="pct"/>
                  <w:noWrap w:val="0"/>
                  <w:vAlign w:val="center"/>
                </w:tcPr>
                <w:p w14:paraId="756F6240">
                  <w:pPr>
                    <w:pStyle w:val="3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FF"/>
                      <w:sz w:val="21"/>
                      <w:szCs w:val="21"/>
                      <w:highlight w:val="none"/>
                    </w:rPr>
                  </w:pPr>
                  <w:r>
                    <w:rPr>
                      <w:rFonts w:hint="default" w:ascii="Times New Roman" w:hAnsi="Times New Roman" w:cs="Times New Roman"/>
                      <w:b w:val="0"/>
                      <w:bCs w:val="0"/>
                      <w:color w:val="0000FF"/>
                      <w:sz w:val="21"/>
                      <w:szCs w:val="21"/>
                      <w:highlight w:val="none"/>
                    </w:rPr>
                    <w:t>选用低噪声设备、基础减震、合理布局、定期检修</w:t>
                  </w:r>
                </w:p>
              </w:tc>
              <w:tc>
                <w:tcPr>
                  <w:tcW w:w="1558" w:type="pct"/>
                  <w:noWrap w:val="0"/>
                  <w:vAlign w:val="center"/>
                </w:tcPr>
                <w:p w14:paraId="7DBA693A">
                  <w:pPr>
                    <w:pStyle w:val="3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FF"/>
                      <w:sz w:val="21"/>
                      <w:szCs w:val="21"/>
                      <w:highlight w:val="none"/>
                    </w:rPr>
                  </w:pPr>
                  <w:r>
                    <w:rPr>
                      <w:rFonts w:hint="default" w:ascii="Times New Roman" w:hAnsi="Times New Roman" w:cs="Times New Roman"/>
                      <w:b w:val="0"/>
                      <w:bCs w:val="0"/>
                      <w:color w:val="0000FF"/>
                      <w:sz w:val="21"/>
                      <w:szCs w:val="21"/>
                      <w:highlight w:val="none"/>
                    </w:rPr>
                    <w:t>《工业企业厂界环境噪声排放标准》（GB12348-2008）3类</w:t>
                  </w:r>
                </w:p>
              </w:tc>
              <w:tc>
                <w:tcPr>
                  <w:tcW w:w="430" w:type="pct"/>
                  <w:vMerge w:val="continue"/>
                  <w:noWrap w:val="0"/>
                  <w:vAlign w:val="center"/>
                </w:tcPr>
                <w:p w14:paraId="0D9E8EFC">
                  <w:pPr>
                    <w:pStyle w:val="3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FF"/>
                      <w:sz w:val="21"/>
                      <w:szCs w:val="21"/>
                      <w:highlight w:val="none"/>
                    </w:rPr>
                  </w:pPr>
                </w:p>
              </w:tc>
            </w:tr>
            <w:tr w14:paraId="0AFF2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9" w:type="pct"/>
                  <w:vMerge w:val="restart"/>
                  <w:noWrap w:val="0"/>
                  <w:vAlign w:val="center"/>
                </w:tcPr>
                <w:p w14:paraId="4665E705">
                  <w:pPr>
                    <w:pStyle w:val="3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FF"/>
                      <w:sz w:val="21"/>
                      <w:szCs w:val="21"/>
                      <w:highlight w:val="none"/>
                    </w:rPr>
                  </w:pPr>
                  <w:r>
                    <w:rPr>
                      <w:rFonts w:hint="default" w:ascii="Times New Roman" w:hAnsi="Times New Roman" w:cs="Times New Roman"/>
                      <w:b w:val="0"/>
                      <w:bCs w:val="0"/>
                      <w:color w:val="0000FF"/>
                      <w:sz w:val="21"/>
                      <w:szCs w:val="21"/>
                      <w:highlight w:val="none"/>
                    </w:rPr>
                    <w:t>固废</w:t>
                  </w:r>
                </w:p>
              </w:tc>
              <w:tc>
                <w:tcPr>
                  <w:tcW w:w="1103" w:type="pct"/>
                  <w:gridSpan w:val="2"/>
                  <w:noWrap w:val="0"/>
                  <w:vAlign w:val="center"/>
                </w:tcPr>
                <w:p w14:paraId="1BEB7303">
                  <w:pPr>
                    <w:pStyle w:val="3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FF"/>
                      <w:sz w:val="21"/>
                      <w:szCs w:val="21"/>
                    </w:rPr>
                  </w:pPr>
                  <w:r>
                    <w:rPr>
                      <w:rFonts w:hint="eastAsia" w:ascii="Times New Roman" w:hAnsi="Times New Roman" w:cs="Times New Roman"/>
                      <w:b w:val="0"/>
                      <w:bCs w:val="0"/>
                      <w:color w:val="0000FF"/>
                      <w:sz w:val="21"/>
                      <w:szCs w:val="21"/>
                      <w:highlight w:val="none"/>
                      <w:lang w:val="en-US" w:eastAsia="zh-CN"/>
                    </w:rPr>
                    <w:t>废包装袋</w:t>
                  </w:r>
                </w:p>
              </w:tc>
              <w:tc>
                <w:tcPr>
                  <w:tcW w:w="1539" w:type="pct"/>
                  <w:noWrap w:val="0"/>
                  <w:vAlign w:val="center"/>
                </w:tcPr>
                <w:p w14:paraId="24AB9A5B">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FF"/>
                      <w:sz w:val="21"/>
                      <w:szCs w:val="21"/>
                      <w:highlight w:val="none"/>
                      <w:lang w:val="en-US" w:eastAsia="zh-CN"/>
                    </w:rPr>
                  </w:pPr>
                  <w:r>
                    <w:rPr>
                      <w:rFonts w:hint="eastAsia" w:ascii="Times New Roman" w:cs="Times New Roman"/>
                      <w:b w:val="0"/>
                      <w:bCs w:val="0"/>
                      <w:color w:val="0000FF"/>
                      <w:sz w:val="21"/>
                      <w:szCs w:val="21"/>
                      <w:lang w:val="en-US" w:eastAsia="zh-CN"/>
                    </w:rPr>
                    <w:t>废容器或包装物主要为捆绑废纺的布条，或包装用的袋子，根据《水泥窑协同处置危险废物环境保护技术规范》（HJ 662-2013）说明，可清洗后重复使用；对于污染严重不便清洗的包装物进入水泥窑进行处置，不外排。</w:t>
                  </w:r>
                </w:p>
              </w:tc>
              <w:tc>
                <w:tcPr>
                  <w:tcW w:w="1558" w:type="pct"/>
                  <w:noWrap w:val="0"/>
                  <w:vAlign w:val="center"/>
                </w:tcPr>
                <w:p w14:paraId="37144760">
                  <w:pPr>
                    <w:pStyle w:val="39"/>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0000FF"/>
                      <w:sz w:val="21"/>
                      <w:szCs w:val="21"/>
                      <w:highlight w:val="none"/>
                      <w:lang w:eastAsia="zh-CN"/>
                    </w:rPr>
                  </w:pPr>
                  <w:r>
                    <w:rPr>
                      <w:rFonts w:hint="eastAsia" w:ascii="Times New Roman" w:hAnsi="Times New Roman" w:cs="Times New Roman"/>
                      <w:b w:val="0"/>
                      <w:bCs w:val="0"/>
                      <w:color w:val="0000FF"/>
                      <w:sz w:val="21"/>
                      <w:szCs w:val="21"/>
                      <w:highlight w:val="none"/>
                      <w:lang w:eastAsia="zh-CN"/>
                    </w:rPr>
                    <w:t>不外排</w:t>
                  </w:r>
                </w:p>
              </w:tc>
              <w:tc>
                <w:tcPr>
                  <w:tcW w:w="430" w:type="pct"/>
                  <w:vMerge w:val="continue"/>
                  <w:noWrap w:val="0"/>
                  <w:vAlign w:val="center"/>
                </w:tcPr>
                <w:p w14:paraId="58AB24A0">
                  <w:pPr>
                    <w:pStyle w:val="39"/>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0000FF"/>
                      <w:sz w:val="21"/>
                      <w:szCs w:val="21"/>
                      <w:highlight w:val="none"/>
                      <w:lang w:eastAsia="zh-CN"/>
                    </w:rPr>
                  </w:pPr>
                </w:p>
              </w:tc>
            </w:tr>
            <w:tr w14:paraId="26B10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9" w:type="pct"/>
                  <w:vMerge w:val="continue"/>
                  <w:noWrap w:val="0"/>
                  <w:vAlign w:val="center"/>
                </w:tcPr>
                <w:p w14:paraId="6C6C4826">
                  <w:pPr>
                    <w:pStyle w:val="3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FF"/>
                      <w:sz w:val="21"/>
                      <w:szCs w:val="21"/>
                      <w:highlight w:val="none"/>
                    </w:rPr>
                  </w:pPr>
                </w:p>
              </w:tc>
              <w:tc>
                <w:tcPr>
                  <w:tcW w:w="1103" w:type="pct"/>
                  <w:gridSpan w:val="2"/>
                  <w:noWrap w:val="0"/>
                  <w:vAlign w:val="center"/>
                </w:tcPr>
                <w:p w14:paraId="108853FE">
                  <w:pPr>
                    <w:pStyle w:val="3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FF"/>
                      <w:sz w:val="21"/>
                      <w:szCs w:val="21"/>
                      <w:highlight w:val="none"/>
                    </w:rPr>
                  </w:pPr>
                  <w:r>
                    <w:rPr>
                      <w:rFonts w:hint="eastAsia" w:ascii="Times New Roman" w:hAnsi="Times New Roman" w:cs="Times New Roman"/>
                      <w:b w:val="0"/>
                      <w:bCs w:val="0"/>
                      <w:color w:val="0000FF"/>
                      <w:sz w:val="21"/>
                      <w:szCs w:val="21"/>
                      <w:highlight w:val="none"/>
                      <w:lang w:eastAsia="zh-CN"/>
                    </w:rPr>
                    <w:t>除尘器收集粉尘</w:t>
                  </w:r>
                </w:p>
              </w:tc>
              <w:tc>
                <w:tcPr>
                  <w:tcW w:w="1539" w:type="pct"/>
                  <w:noWrap w:val="0"/>
                  <w:vAlign w:val="center"/>
                </w:tcPr>
                <w:p w14:paraId="54D8AB4F">
                  <w:pPr>
                    <w:pStyle w:val="3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FF"/>
                      <w:sz w:val="21"/>
                      <w:szCs w:val="21"/>
                      <w:highlight w:val="none"/>
                    </w:rPr>
                  </w:pPr>
                  <w:r>
                    <w:rPr>
                      <w:rFonts w:hint="eastAsia" w:ascii="Times New Roman" w:cs="Times New Roman"/>
                      <w:b w:val="0"/>
                      <w:bCs w:val="0"/>
                      <w:color w:val="0000FF"/>
                      <w:sz w:val="21"/>
                      <w:szCs w:val="21"/>
                      <w:lang w:val="en-US" w:eastAsia="zh-CN"/>
                    </w:rPr>
                    <w:t>本项目产生的窑灰依托现有水泥生产线窑灰返窑系统。项目建成后，由于产尘量不变，窑尾布袋除尘器收集的窑灰量为39164t/a，收集后均返回生料磨中，不外排。</w:t>
                  </w:r>
                </w:p>
              </w:tc>
              <w:tc>
                <w:tcPr>
                  <w:tcW w:w="1558" w:type="pct"/>
                  <w:noWrap w:val="0"/>
                  <w:vAlign w:val="center"/>
                </w:tcPr>
                <w:p w14:paraId="5B98A879">
                  <w:pPr>
                    <w:pStyle w:val="39"/>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0000FF"/>
                      <w:sz w:val="21"/>
                      <w:szCs w:val="21"/>
                      <w:highlight w:val="none"/>
                      <w:lang w:eastAsia="zh-CN"/>
                    </w:rPr>
                  </w:pPr>
                  <w:r>
                    <w:rPr>
                      <w:rFonts w:hint="eastAsia" w:ascii="Times New Roman" w:hAnsi="Times New Roman" w:cs="Times New Roman"/>
                      <w:b w:val="0"/>
                      <w:bCs w:val="0"/>
                      <w:color w:val="0000FF"/>
                      <w:sz w:val="21"/>
                      <w:szCs w:val="21"/>
                      <w:highlight w:val="none"/>
                      <w:lang w:eastAsia="zh-CN"/>
                    </w:rPr>
                    <w:t>不外排</w:t>
                  </w:r>
                </w:p>
              </w:tc>
              <w:tc>
                <w:tcPr>
                  <w:tcW w:w="430" w:type="pct"/>
                  <w:vMerge w:val="continue"/>
                  <w:noWrap w:val="0"/>
                  <w:vAlign w:val="center"/>
                </w:tcPr>
                <w:p w14:paraId="7F9941FC">
                  <w:pPr>
                    <w:pStyle w:val="39"/>
                    <w:keepNext w:val="0"/>
                    <w:keepLines w:val="0"/>
                    <w:suppressLineNumbers w:val="0"/>
                    <w:spacing w:before="0" w:beforeAutospacing="0" w:after="0" w:afterAutospacing="0"/>
                    <w:ind w:left="0" w:right="0"/>
                    <w:jc w:val="center"/>
                    <w:rPr>
                      <w:rFonts w:hint="eastAsia" w:ascii="Times New Roman" w:hAnsi="Times New Roman" w:cs="Times New Roman"/>
                      <w:b w:val="0"/>
                      <w:bCs w:val="0"/>
                      <w:color w:val="0000FF"/>
                      <w:sz w:val="21"/>
                      <w:szCs w:val="21"/>
                      <w:highlight w:val="none"/>
                      <w:lang w:eastAsia="zh-CN"/>
                    </w:rPr>
                  </w:pPr>
                </w:p>
              </w:tc>
            </w:tr>
            <w:tr w14:paraId="3348C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9" w:type="pct"/>
                  <w:noWrap w:val="0"/>
                  <w:vAlign w:val="center"/>
                </w:tcPr>
                <w:p w14:paraId="52F5CC01">
                  <w:pPr>
                    <w:pStyle w:val="3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FF"/>
                      <w:sz w:val="21"/>
                      <w:szCs w:val="21"/>
                      <w:highlight w:val="none"/>
                    </w:rPr>
                  </w:pPr>
                  <w:r>
                    <w:rPr>
                      <w:rFonts w:hint="eastAsia" w:ascii="Times New Roman" w:hAnsi="Times New Roman" w:cs="Times New Roman"/>
                      <w:b w:val="0"/>
                      <w:bCs w:val="0"/>
                      <w:color w:val="0000FF"/>
                      <w:sz w:val="21"/>
                      <w:szCs w:val="21"/>
                      <w:highlight w:val="none"/>
                      <w:lang w:eastAsia="zh-CN"/>
                    </w:rPr>
                    <w:t>土壤、</w:t>
                  </w:r>
                  <w:r>
                    <w:rPr>
                      <w:rFonts w:hint="default" w:ascii="Times New Roman" w:hAnsi="Times New Roman" w:cs="Times New Roman"/>
                      <w:b w:val="0"/>
                      <w:bCs w:val="0"/>
                      <w:color w:val="0000FF"/>
                      <w:sz w:val="21"/>
                      <w:szCs w:val="21"/>
                      <w:highlight w:val="none"/>
                    </w:rPr>
                    <w:t>地下水</w:t>
                  </w:r>
                </w:p>
              </w:tc>
              <w:tc>
                <w:tcPr>
                  <w:tcW w:w="1103" w:type="pct"/>
                  <w:gridSpan w:val="2"/>
                  <w:noWrap w:val="0"/>
                  <w:vAlign w:val="center"/>
                </w:tcPr>
                <w:p w14:paraId="48725446">
                  <w:pPr>
                    <w:pStyle w:val="39"/>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0000FF"/>
                      <w:sz w:val="21"/>
                      <w:szCs w:val="21"/>
                      <w:highlight w:val="none"/>
                      <w:lang w:val="en-US" w:eastAsia="zh-CN"/>
                    </w:rPr>
                  </w:pPr>
                  <w:r>
                    <w:rPr>
                      <w:rFonts w:hint="eastAsia" w:ascii="Times New Roman" w:hAnsi="Times New Roman" w:cs="Times New Roman"/>
                      <w:b w:val="0"/>
                      <w:bCs w:val="0"/>
                      <w:color w:val="0000FF"/>
                      <w:sz w:val="21"/>
                      <w:szCs w:val="21"/>
                      <w:highlight w:val="none"/>
                      <w:lang w:val="en-US" w:eastAsia="zh-CN"/>
                    </w:rPr>
                    <w:t>原煤堆棚、替代燃料暂存间、危废库、一般固废暂存间等</w:t>
                  </w:r>
                </w:p>
              </w:tc>
              <w:tc>
                <w:tcPr>
                  <w:tcW w:w="1539" w:type="pct"/>
                  <w:noWrap w:val="0"/>
                  <w:vAlign w:val="center"/>
                </w:tcPr>
                <w:p w14:paraId="71E6B666">
                  <w:pPr>
                    <w:pStyle w:val="3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FF"/>
                      <w:sz w:val="21"/>
                      <w:szCs w:val="21"/>
                      <w:highlight w:val="none"/>
                    </w:rPr>
                  </w:pPr>
                  <w:r>
                    <w:rPr>
                      <w:rFonts w:hint="default" w:ascii="Times New Roman" w:hAnsi="Times New Roman" w:cs="Times New Roman"/>
                      <w:b w:val="0"/>
                      <w:bCs w:val="0"/>
                      <w:color w:val="0000FF"/>
                      <w:sz w:val="21"/>
                      <w:szCs w:val="21"/>
                      <w:highlight w:val="none"/>
                    </w:rPr>
                    <w:t>重点防渗区污染物防渗技术要求：等效黏土防渗层Mb≧6m，K≦1*10</w:t>
                  </w:r>
                  <w:r>
                    <w:rPr>
                      <w:rFonts w:hint="default" w:ascii="Times New Roman" w:hAnsi="Times New Roman" w:cs="Times New Roman"/>
                      <w:b w:val="0"/>
                      <w:bCs w:val="0"/>
                      <w:color w:val="0000FF"/>
                      <w:sz w:val="21"/>
                      <w:szCs w:val="21"/>
                      <w:highlight w:val="none"/>
                      <w:vertAlign w:val="superscript"/>
                    </w:rPr>
                    <w:t>-7</w:t>
                  </w:r>
                  <w:r>
                    <w:rPr>
                      <w:rFonts w:hint="default" w:ascii="Times New Roman" w:hAnsi="Times New Roman" w:cs="Times New Roman"/>
                      <w:b w:val="0"/>
                      <w:bCs w:val="0"/>
                      <w:color w:val="0000FF"/>
                      <w:sz w:val="21"/>
                      <w:szCs w:val="21"/>
                      <w:highlight w:val="none"/>
                    </w:rPr>
                    <w:t>cm/s，或参照《危险废物填埋污染控制标准》（</w:t>
                  </w:r>
                  <w:r>
                    <w:rPr>
                      <w:rFonts w:hint="eastAsia" w:ascii="Times New Roman" w:hAnsi="Times New Roman" w:cs="Times New Roman"/>
                      <w:b w:val="0"/>
                      <w:bCs w:val="0"/>
                      <w:color w:val="0000FF"/>
                      <w:sz w:val="21"/>
                      <w:szCs w:val="21"/>
                      <w:highlight w:val="none"/>
                      <w:lang w:eastAsia="zh-CN"/>
                    </w:rPr>
                    <w:t>GB 18598-2019</w:t>
                  </w:r>
                  <w:r>
                    <w:rPr>
                      <w:rFonts w:hint="default" w:ascii="Times New Roman" w:hAnsi="Times New Roman" w:cs="Times New Roman"/>
                      <w:b w:val="0"/>
                      <w:bCs w:val="0"/>
                      <w:color w:val="0000FF"/>
                      <w:sz w:val="21"/>
                      <w:szCs w:val="21"/>
                      <w:highlight w:val="none"/>
                    </w:rPr>
                    <w:t>）执行；一般防渗区污染物防渗技术要求：等效黏土防渗层Mb≧1.5m，K≦1*10</w:t>
                  </w:r>
                  <w:r>
                    <w:rPr>
                      <w:rFonts w:hint="default" w:ascii="Times New Roman" w:hAnsi="Times New Roman" w:cs="Times New Roman"/>
                      <w:b w:val="0"/>
                      <w:bCs w:val="0"/>
                      <w:color w:val="0000FF"/>
                      <w:sz w:val="21"/>
                      <w:szCs w:val="21"/>
                      <w:highlight w:val="none"/>
                      <w:vertAlign w:val="superscript"/>
                    </w:rPr>
                    <w:t>-7</w:t>
                  </w:r>
                  <w:r>
                    <w:rPr>
                      <w:rFonts w:hint="default" w:ascii="Times New Roman" w:hAnsi="Times New Roman" w:cs="Times New Roman"/>
                      <w:b w:val="0"/>
                      <w:bCs w:val="0"/>
                      <w:color w:val="0000FF"/>
                      <w:sz w:val="21"/>
                      <w:szCs w:val="21"/>
                      <w:highlight w:val="none"/>
                    </w:rPr>
                    <w:t>cm/s，或参照《危险废物填埋污染控制标准》（</w:t>
                  </w:r>
                  <w:r>
                    <w:rPr>
                      <w:rFonts w:hint="eastAsia" w:ascii="Times New Roman" w:hAnsi="Times New Roman" w:cs="Times New Roman"/>
                      <w:b w:val="0"/>
                      <w:bCs w:val="0"/>
                      <w:color w:val="0000FF"/>
                      <w:sz w:val="21"/>
                      <w:szCs w:val="21"/>
                      <w:highlight w:val="none"/>
                      <w:lang w:eastAsia="zh-CN"/>
                    </w:rPr>
                    <w:t>GB 18598-2019</w:t>
                  </w:r>
                  <w:r>
                    <w:rPr>
                      <w:rFonts w:hint="default" w:ascii="Times New Roman" w:hAnsi="Times New Roman" w:cs="Times New Roman"/>
                      <w:b w:val="0"/>
                      <w:bCs w:val="0"/>
                      <w:color w:val="0000FF"/>
                      <w:sz w:val="21"/>
                      <w:szCs w:val="21"/>
                      <w:highlight w:val="none"/>
                    </w:rPr>
                    <w:t>）执行</w:t>
                  </w:r>
                </w:p>
              </w:tc>
              <w:tc>
                <w:tcPr>
                  <w:tcW w:w="1558" w:type="pct"/>
                  <w:noWrap w:val="0"/>
                  <w:vAlign w:val="center"/>
                </w:tcPr>
                <w:p w14:paraId="656D433F">
                  <w:pPr>
                    <w:pStyle w:val="3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FF"/>
                      <w:sz w:val="21"/>
                      <w:szCs w:val="21"/>
                      <w:highlight w:val="none"/>
                    </w:rPr>
                  </w:pPr>
                  <w:r>
                    <w:rPr>
                      <w:rFonts w:hint="default" w:ascii="Times New Roman" w:hAnsi="Times New Roman" w:cs="Times New Roman"/>
                      <w:b w:val="0"/>
                      <w:bCs w:val="0"/>
                      <w:color w:val="0000FF"/>
                      <w:sz w:val="21"/>
                      <w:szCs w:val="21"/>
                      <w:highlight w:val="none"/>
                    </w:rPr>
                    <w:t>满足《环境影响评价技术导则</w:t>
                  </w:r>
                  <w:r>
                    <w:rPr>
                      <w:rFonts w:hint="eastAsia" w:ascii="Times New Roman" w:hAnsi="Times New Roman" w:cs="Times New Roman"/>
                      <w:b w:val="0"/>
                      <w:bCs w:val="0"/>
                      <w:color w:val="0000FF"/>
                      <w:sz w:val="21"/>
                      <w:szCs w:val="21"/>
                      <w:highlight w:val="none"/>
                      <w:lang w:val="en-US" w:eastAsia="zh-CN"/>
                    </w:rPr>
                    <w:t xml:space="preserve"> </w:t>
                  </w:r>
                  <w:r>
                    <w:rPr>
                      <w:rFonts w:hint="default" w:ascii="Times New Roman" w:hAnsi="Times New Roman" w:cs="Times New Roman"/>
                      <w:b w:val="0"/>
                      <w:bCs w:val="0"/>
                      <w:color w:val="0000FF"/>
                      <w:sz w:val="21"/>
                      <w:szCs w:val="21"/>
                      <w:highlight w:val="none"/>
                    </w:rPr>
                    <w:t>地下水环境》（HJ610-2016）相关要求</w:t>
                  </w:r>
                </w:p>
              </w:tc>
              <w:tc>
                <w:tcPr>
                  <w:tcW w:w="430" w:type="pct"/>
                  <w:vMerge w:val="continue"/>
                  <w:noWrap w:val="0"/>
                  <w:vAlign w:val="center"/>
                </w:tcPr>
                <w:p w14:paraId="249CB2AC">
                  <w:pPr>
                    <w:pStyle w:val="39"/>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FF"/>
                      <w:sz w:val="21"/>
                      <w:szCs w:val="21"/>
                      <w:highlight w:val="none"/>
                    </w:rPr>
                  </w:pPr>
                </w:p>
              </w:tc>
            </w:tr>
            <w:tr w14:paraId="0A032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2" w:type="pct"/>
                  <w:gridSpan w:val="3"/>
                  <w:noWrap w:val="0"/>
                  <w:vAlign w:val="center"/>
                </w:tcPr>
                <w:p w14:paraId="563A3C40">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FF"/>
                      <w:sz w:val="21"/>
                      <w:szCs w:val="21"/>
                      <w:highlight w:val="none"/>
                      <w:lang w:val="en-US" w:eastAsia="zh-CN"/>
                    </w:rPr>
                  </w:pPr>
                  <w:r>
                    <w:rPr>
                      <w:rFonts w:hint="default" w:ascii="Times New Roman" w:hAnsi="Times New Roman" w:eastAsia="宋体" w:cs="Times New Roman"/>
                      <w:b w:val="0"/>
                      <w:bCs w:val="0"/>
                      <w:color w:val="0000FF"/>
                      <w:sz w:val="21"/>
                      <w:szCs w:val="21"/>
                      <w:highlight w:val="none"/>
                    </w:rPr>
                    <w:t>清污分流、排污口规范化设置</w:t>
                  </w:r>
                </w:p>
              </w:tc>
              <w:tc>
                <w:tcPr>
                  <w:tcW w:w="1539" w:type="pct"/>
                  <w:noWrap w:val="0"/>
                  <w:vAlign w:val="center"/>
                </w:tcPr>
                <w:p w14:paraId="53121CC0">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FF"/>
                      <w:sz w:val="21"/>
                      <w:szCs w:val="21"/>
                      <w:highlight w:val="none"/>
                      <w:lang w:val="en-US"/>
                    </w:rPr>
                  </w:pPr>
                  <w:r>
                    <w:rPr>
                      <w:rFonts w:hint="default" w:ascii="Times New Roman" w:hAnsi="Times New Roman" w:eastAsia="宋体" w:cs="Times New Roman"/>
                      <w:b w:val="0"/>
                      <w:bCs w:val="0"/>
                      <w:color w:val="0000FF"/>
                      <w:sz w:val="21"/>
                      <w:szCs w:val="21"/>
                      <w:highlight w:val="none"/>
                    </w:rPr>
                    <w:t>雨污分流管网铺设</w:t>
                  </w:r>
                </w:p>
              </w:tc>
              <w:tc>
                <w:tcPr>
                  <w:tcW w:w="1558" w:type="pct"/>
                  <w:noWrap w:val="0"/>
                  <w:vAlign w:val="center"/>
                </w:tcPr>
                <w:p w14:paraId="5851AC8B">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FF"/>
                      <w:sz w:val="21"/>
                      <w:szCs w:val="21"/>
                      <w:highlight w:val="none"/>
                      <w:lang w:val="en-US" w:eastAsia="zh-CN"/>
                    </w:rPr>
                  </w:pPr>
                  <w:r>
                    <w:rPr>
                      <w:rFonts w:hint="eastAsia" w:ascii="Times New Roman" w:hAnsi="Times New Roman" w:eastAsia="宋体" w:cs="Times New Roman"/>
                      <w:b w:val="0"/>
                      <w:bCs w:val="0"/>
                      <w:color w:val="0000FF"/>
                      <w:sz w:val="21"/>
                      <w:szCs w:val="21"/>
                      <w:highlight w:val="none"/>
                      <w:lang w:val="en-US" w:eastAsia="zh-CN"/>
                    </w:rPr>
                    <w:t>符合环保要求</w:t>
                  </w:r>
                </w:p>
              </w:tc>
              <w:tc>
                <w:tcPr>
                  <w:tcW w:w="430" w:type="pct"/>
                  <w:vMerge w:val="continue"/>
                  <w:noWrap w:val="0"/>
                  <w:vAlign w:val="center"/>
                </w:tcPr>
                <w:p w14:paraId="0646FA27">
                  <w:pPr>
                    <w:pStyle w:val="39"/>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0000FF"/>
                      <w:sz w:val="21"/>
                      <w:szCs w:val="21"/>
                      <w:highlight w:val="none"/>
                      <w:lang w:val="en-US" w:eastAsia="zh-CN"/>
                    </w:rPr>
                  </w:pPr>
                </w:p>
              </w:tc>
            </w:tr>
            <w:tr w14:paraId="46A2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2" w:type="pct"/>
                  <w:gridSpan w:val="3"/>
                  <w:noWrap w:val="0"/>
                  <w:vAlign w:val="center"/>
                </w:tcPr>
                <w:p w14:paraId="59FAA925">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FF"/>
                      <w:sz w:val="21"/>
                      <w:szCs w:val="21"/>
                      <w:highlight w:val="none"/>
                      <w:lang w:val="en-US" w:eastAsia="zh-CN"/>
                    </w:rPr>
                  </w:pPr>
                  <w:r>
                    <w:rPr>
                      <w:rFonts w:hint="default" w:ascii="Times New Roman" w:hAnsi="Times New Roman" w:eastAsia="宋体" w:cs="Times New Roman"/>
                      <w:b w:val="0"/>
                      <w:bCs w:val="0"/>
                      <w:color w:val="0000FF"/>
                      <w:sz w:val="21"/>
                      <w:szCs w:val="21"/>
                      <w:highlight w:val="none"/>
                      <w:lang w:val="en-US" w:eastAsia="zh-CN"/>
                    </w:rPr>
                    <w:t>总量控制</w:t>
                  </w:r>
                </w:p>
              </w:tc>
              <w:tc>
                <w:tcPr>
                  <w:tcW w:w="3097" w:type="pct"/>
                  <w:gridSpan w:val="2"/>
                  <w:noWrap w:val="0"/>
                  <w:vAlign w:val="center"/>
                </w:tcPr>
                <w:p w14:paraId="58A09161">
                  <w:pPr>
                    <w:pStyle w:val="39"/>
                    <w:keepNext w:val="0"/>
                    <w:keepLines w:val="0"/>
                    <w:suppressLineNumbers w:val="0"/>
                    <w:spacing w:before="0" w:beforeAutospacing="0" w:after="0" w:afterAutospacing="0"/>
                    <w:ind w:left="0" w:right="0"/>
                    <w:jc w:val="both"/>
                    <w:rPr>
                      <w:rFonts w:hint="default" w:ascii="Times New Roman" w:hAnsi="Times New Roman" w:eastAsia="宋体" w:cs="Times New Roman"/>
                      <w:b w:val="0"/>
                      <w:bCs w:val="0"/>
                      <w:color w:val="0000FF"/>
                      <w:sz w:val="21"/>
                      <w:szCs w:val="21"/>
                      <w:highlight w:val="none"/>
                      <w:lang w:val="en-US" w:eastAsia="zh-CN"/>
                    </w:rPr>
                  </w:pPr>
                  <w:r>
                    <w:rPr>
                      <w:rFonts w:hint="default" w:ascii="Times New Roman" w:hAnsi="Times New Roman" w:eastAsia="宋体" w:cs="Times New Roman"/>
                      <w:b w:val="0"/>
                      <w:bCs w:val="0"/>
                      <w:color w:val="0000FF"/>
                      <w:sz w:val="21"/>
                      <w:szCs w:val="21"/>
                      <w:highlight w:val="none"/>
                      <w:lang w:val="en-US" w:eastAsia="zh-CN"/>
                    </w:rPr>
                    <w:t>废水：本项目无废水排放，无需申请总量；</w:t>
                  </w:r>
                </w:p>
                <w:p w14:paraId="45BFAA37">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FF"/>
                      <w:sz w:val="21"/>
                      <w:szCs w:val="21"/>
                      <w:highlight w:val="none"/>
                      <w:lang w:val="en-US" w:eastAsia="zh-CN"/>
                    </w:rPr>
                  </w:pPr>
                  <w:r>
                    <w:rPr>
                      <w:rFonts w:hint="default" w:ascii="Times New Roman" w:hAnsi="Times New Roman" w:eastAsia="宋体" w:cs="Times New Roman"/>
                      <w:b w:val="0"/>
                      <w:bCs w:val="0"/>
                      <w:color w:val="0000FF"/>
                      <w:sz w:val="21"/>
                      <w:szCs w:val="21"/>
                      <w:highlight w:val="none"/>
                      <w:lang w:val="en-US" w:eastAsia="zh-CN"/>
                    </w:rPr>
                    <w:t>废气：本次项目建成后全厂颗粒物、二氧化硫、氮氧化物污染物排放总量均未超过排污许可证总量，总量达标。</w:t>
                  </w:r>
                </w:p>
              </w:tc>
              <w:tc>
                <w:tcPr>
                  <w:tcW w:w="430" w:type="pct"/>
                  <w:vMerge w:val="continue"/>
                  <w:noWrap w:val="0"/>
                  <w:vAlign w:val="center"/>
                </w:tcPr>
                <w:p w14:paraId="6E474894">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FF"/>
                      <w:sz w:val="21"/>
                      <w:szCs w:val="21"/>
                      <w:highlight w:val="none"/>
                      <w:lang w:val="en-US" w:eastAsia="zh-CN"/>
                    </w:rPr>
                  </w:pPr>
                </w:p>
              </w:tc>
            </w:tr>
          </w:tbl>
          <w:p w14:paraId="2EF9315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p>
        </w:tc>
      </w:tr>
    </w:tbl>
    <w:p w14:paraId="37BD54BC">
      <w:pPr>
        <w:tabs>
          <w:tab w:val="left" w:pos="1415"/>
        </w:tabs>
        <w:bidi w:val="0"/>
        <w:jc w:val="left"/>
        <w:rPr>
          <w:rFonts w:hint="eastAsia"/>
          <w:lang w:eastAsia="zh-CN"/>
        </w:rPr>
        <w:sectPr>
          <w:pgSz w:w="11907" w:h="16840"/>
          <w:pgMar w:top="1644"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B85B858">
      <w:pPr>
        <w:pStyle w:val="24"/>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五、</w:t>
      </w:r>
      <w:bookmarkStart w:id="163" w:name="_Hlk54167917"/>
      <w:r>
        <w:rPr>
          <w:rFonts w:hint="default" w:ascii="Times New Roman" w:hAnsi="Times New Roman" w:eastAsia="黑体" w:cs="Times New Roman"/>
          <w:snapToGrid w:val="0"/>
          <w:color w:val="auto"/>
          <w:sz w:val="30"/>
          <w:szCs w:val="30"/>
        </w:rPr>
        <w:t>环境保护措施监督检查清单</w:t>
      </w:r>
      <w:bookmarkEnd w:id="163"/>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84"/>
        <w:gridCol w:w="1815"/>
        <w:gridCol w:w="1440"/>
        <w:gridCol w:w="2445"/>
        <w:gridCol w:w="2376"/>
      </w:tblGrid>
      <w:tr w14:paraId="7A018C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4" w:type="dxa"/>
            <w:tcBorders>
              <w:top w:val="single" w:color="auto" w:sz="8" w:space="0"/>
              <w:tl2br w:val="single" w:color="auto" w:sz="4" w:space="0"/>
            </w:tcBorders>
          </w:tcPr>
          <w:p w14:paraId="60BDBAF6">
            <w:pPr>
              <w:adjustRightInd w:val="0"/>
              <w:snapToGrid w:val="0"/>
              <w:ind w:firstLine="210" w:firstLineChars="100"/>
              <w:jc w:val="righ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内容</w:t>
            </w:r>
          </w:p>
          <w:p w14:paraId="1A9D0D6A">
            <w:pPr>
              <w:adjustRightInd w:val="0"/>
              <w:snapToGrid w:val="0"/>
              <w:ind w:firstLine="210" w:firstLineChars="100"/>
              <w:rPr>
                <w:rFonts w:hint="default" w:ascii="Times New Roman" w:hAnsi="Times New Roman" w:cs="Times New Roman"/>
                <w:color w:val="auto"/>
                <w:sz w:val="21"/>
                <w:szCs w:val="21"/>
              </w:rPr>
            </w:pPr>
          </w:p>
          <w:p w14:paraId="635101EC">
            <w:pPr>
              <w:adjustRightInd w:val="0"/>
              <w:snapToGrid w:val="0"/>
              <w:rPr>
                <w:rFonts w:hint="default" w:ascii="Times New Roman" w:hAnsi="Times New Roman" w:cs="Times New Roman"/>
                <w:color w:val="auto"/>
                <w:sz w:val="21"/>
                <w:szCs w:val="21"/>
              </w:rPr>
            </w:pPr>
          </w:p>
          <w:p w14:paraId="78081D47">
            <w:pPr>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要素</w:t>
            </w:r>
          </w:p>
        </w:tc>
        <w:tc>
          <w:tcPr>
            <w:tcW w:w="1815" w:type="dxa"/>
            <w:tcBorders>
              <w:top w:val="single" w:color="auto" w:sz="8" w:space="0"/>
            </w:tcBorders>
            <w:vAlign w:val="center"/>
          </w:tcPr>
          <w:p w14:paraId="5A68D19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w:t>
            </w:r>
            <w:r>
              <w:rPr>
                <w:rFonts w:hint="eastAsia" w:cs="Times New Roman"/>
                <w:color w:val="auto"/>
                <w:sz w:val="21"/>
                <w:szCs w:val="21"/>
                <w:lang w:eastAsia="zh-CN"/>
              </w:rPr>
              <w:t>（</w:t>
            </w:r>
            <w:r>
              <w:rPr>
                <w:rFonts w:hint="default" w:ascii="Times New Roman" w:hAnsi="Times New Roman" w:cs="Times New Roman"/>
                <w:color w:val="auto"/>
                <w:sz w:val="21"/>
                <w:szCs w:val="21"/>
              </w:rPr>
              <w:t>编号、名称</w:t>
            </w:r>
            <w:r>
              <w:rPr>
                <w:rFonts w:hint="eastAsia" w:cs="Times New Roman"/>
                <w:color w:val="auto"/>
                <w:sz w:val="21"/>
                <w:szCs w:val="21"/>
                <w:lang w:eastAsia="zh-CN"/>
              </w:rPr>
              <w:t>）</w:t>
            </w:r>
            <w:r>
              <w:rPr>
                <w:rFonts w:hint="default" w:ascii="Times New Roman" w:hAnsi="Times New Roman" w:cs="Times New Roman"/>
                <w:color w:val="auto"/>
                <w:sz w:val="21"/>
                <w:szCs w:val="21"/>
              </w:rPr>
              <w:t>/污染源</w:t>
            </w:r>
          </w:p>
        </w:tc>
        <w:tc>
          <w:tcPr>
            <w:tcW w:w="1440" w:type="dxa"/>
            <w:tcBorders>
              <w:top w:val="single" w:color="auto" w:sz="8" w:space="0"/>
            </w:tcBorders>
            <w:vAlign w:val="center"/>
          </w:tcPr>
          <w:p w14:paraId="69E67FD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污染物项目</w:t>
            </w:r>
          </w:p>
        </w:tc>
        <w:tc>
          <w:tcPr>
            <w:tcW w:w="2445" w:type="dxa"/>
            <w:tcBorders>
              <w:top w:val="single" w:color="auto" w:sz="8" w:space="0"/>
            </w:tcBorders>
            <w:vAlign w:val="center"/>
          </w:tcPr>
          <w:p w14:paraId="50E78E9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环境保护措施</w:t>
            </w:r>
          </w:p>
        </w:tc>
        <w:tc>
          <w:tcPr>
            <w:tcW w:w="2376" w:type="dxa"/>
            <w:tcBorders>
              <w:top w:val="single" w:color="auto" w:sz="8" w:space="0"/>
            </w:tcBorders>
            <w:vAlign w:val="center"/>
          </w:tcPr>
          <w:p w14:paraId="034597B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执行标准</w:t>
            </w:r>
          </w:p>
        </w:tc>
      </w:tr>
      <w:tr w14:paraId="515361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6" w:hRule="atLeast"/>
          <w:jc w:val="center"/>
        </w:trPr>
        <w:tc>
          <w:tcPr>
            <w:tcW w:w="984" w:type="dxa"/>
            <w:vMerge w:val="restart"/>
            <w:vAlign w:val="center"/>
          </w:tcPr>
          <w:p w14:paraId="4C8516F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w:t>
            </w:r>
          </w:p>
          <w:p w14:paraId="350E96E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w:t>
            </w:r>
          </w:p>
        </w:tc>
        <w:tc>
          <w:tcPr>
            <w:tcW w:w="1815" w:type="dxa"/>
            <w:vAlign w:val="center"/>
          </w:tcPr>
          <w:p w14:paraId="42E7DA9E">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一线窑尾烟囱DA046</w:t>
            </w:r>
          </w:p>
        </w:tc>
        <w:tc>
          <w:tcPr>
            <w:tcW w:w="1440" w:type="dxa"/>
            <w:vAlign w:val="center"/>
          </w:tcPr>
          <w:p w14:paraId="620396B1">
            <w:pPr>
              <w:adjustRightInd w:val="0"/>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SO</w:t>
            </w:r>
            <w:r>
              <w:rPr>
                <w:rFonts w:hint="eastAsia" w:cs="Times New Roman"/>
                <w:color w:val="auto"/>
                <w:sz w:val="21"/>
                <w:szCs w:val="21"/>
                <w:vertAlign w:val="subscript"/>
                <w:lang w:val="en-US" w:eastAsia="zh-CN"/>
              </w:rPr>
              <w:t>2</w:t>
            </w:r>
            <w:r>
              <w:rPr>
                <w:rFonts w:hint="eastAsia" w:cs="Times New Roman"/>
                <w:color w:val="auto"/>
                <w:sz w:val="21"/>
                <w:szCs w:val="21"/>
                <w:lang w:eastAsia="zh-CN"/>
              </w:rPr>
              <w:t>、</w:t>
            </w:r>
            <w:r>
              <w:rPr>
                <w:rFonts w:hint="eastAsia" w:cs="Times New Roman"/>
                <w:color w:val="auto"/>
                <w:sz w:val="21"/>
                <w:szCs w:val="21"/>
                <w:lang w:val="en-US" w:eastAsia="zh-CN"/>
              </w:rPr>
              <w:t>NOx</w:t>
            </w:r>
            <w:r>
              <w:rPr>
                <w:rFonts w:hint="eastAsia" w:cs="Times New Roman"/>
                <w:color w:val="auto"/>
                <w:sz w:val="21"/>
                <w:szCs w:val="21"/>
                <w:lang w:eastAsia="zh-CN"/>
              </w:rPr>
              <w:t>、颗粒物、</w:t>
            </w:r>
            <w:r>
              <w:rPr>
                <w:rFonts w:hint="eastAsia" w:cs="Times New Roman"/>
                <w:color w:val="auto"/>
                <w:sz w:val="21"/>
                <w:szCs w:val="21"/>
                <w:lang w:val="en-US" w:eastAsia="zh-CN"/>
              </w:rPr>
              <w:t>NH</w:t>
            </w:r>
            <w:r>
              <w:rPr>
                <w:rFonts w:hint="eastAsia" w:cs="Times New Roman"/>
                <w:color w:val="auto"/>
                <w:sz w:val="21"/>
                <w:szCs w:val="21"/>
                <w:vertAlign w:val="subscript"/>
                <w:lang w:val="en-US" w:eastAsia="zh-CN"/>
              </w:rPr>
              <w:t>3</w:t>
            </w:r>
            <w:r>
              <w:rPr>
                <w:rFonts w:hint="eastAsia" w:cs="Times New Roman"/>
                <w:color w:val="auto"/>
                <w:sz w:val="21"/>
                <w:szCs w:val="21"/>
                <w:vertAlign w:val="baseline"/>
                <w:lang w:val="en-US" w:eastAsia="zh-CN"/>
              </w:rPr>
              <w:t>、</w:t>
            </w:r>
          </w:p>
          <w:p w14:paraId="6C5145AA">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HCl、HF、Hg、Cd、As、Pb、二噁英类</w:t>
            </w:r>
          </w:p>
        </w:tc>
        <w:tc>
          <w:tcPr>
            <w:tcW w:w="2445" w:type="dxa"/>
            <w:vAlign w:val="center"/>
          </w:tcPr>
          <w:p w14:paraId="700C9EE6">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0000FF"/>
                <w:sz w:val="21"/>
                <w:szCs w:val="21"/>
                <w:lang w:eastAsia="zh-CN"/>
              </w:rPr>
              <w:t>“低氮燃烧+SNCR+高效袋式除尘器除尘（覆膜滤料袋式除尘器）脱销窑磨一体化”后经现有95m高排气筒（DA046）排放</w:t>
            </w:r>
          </w:p>
        </w:tc>
        <w:tc>
          <w:tcPr>
            <w:tcW w:w="2376" w:type="dxa"/>
            <w:vAlign w:val="center"/>
          </w:tcPr>
          <w:p w14:paraId="686D92A2">
            <w:pPr>
              <w:jc w:val="center"/>
              <w:rPr>
                <w:rFonts w:hint="default" w:cs="Times New Roman"/>
                <w:color w:val="auto"/>
                <w:sz w:val="21"/>
                <w:szCs w:val="21"/>
                <w:lang w:val="en-US" w:eastAsia="zh-CN"/>
              </w:rPr>
            </w:pPr>
            <w:r>
              <w:rPr>
                <w:rFonts w:hint="eastAsia" w:cs="Times New Roman"/>
                <w:color w:val="auto"/>
                <w:sz w:val="21"/>
                <w:szCs w:val="21"/>
                <w:lang w:eastAsia="zh-CN"/>
              </w:rPr>
              <w:t>安徽省地方标准《水泥工业大气污染排放标准》（DB34/ 3576-2020）、</w:t>
            </w:r>
            <w:r>
              <w:rPr>
                <w:rFonts w:hint="default" w:cs="Times New Roman"/>
                <w:color w:val="auto"/>
                <w:sz w:val="21"/>
                <w:szCs w:val="21"/>
                <w:lang w:val="en-US" w:eastAsia="zh-CN"/>
              </w:rPr>
              <w:t>《水泥窑协同处置固体废物污染控制标准》（GB</w:t>
            </w:r>
            <w:r>
              <w:rPr>
                <w:rFonts w:hint="eastAsia" w:cs="Times New Roman"/>
                <w:color w:val="auto"/>
                <w:sz w:val="21"/>
                <w:szCs w:val="21"/>
                <w:lang w:val="en-US" w:eastAsia="zh-CN"/>
              </w:rPr>
              <w:t xml:space="preserve"> </w:t>
            </w:r>
            <w:r>
              <w:rPr>
                <w:rFonts w:hint="default" w:cs="Times New Roman"/>
                <w:color w:val="auto"/>
                <w:sz w:val="21"/>
                <w:szCs w:val="21"/>
                <w:lang w:val="en-US" w:eastAsia="zh-CN"/>
              </w:rPr>
              <w:t>30485-2013）</w:t>
            </w:r>
          </w:p>
        </w:tc>
      </w:tr>
      <w:tr w14:paraId="6A9E25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4" w:type="dxa"/>
            <w:vMerge w:val="continue"/>
            <w:vAlign w:val="center"/>
          </w:tcPr>
          <w:p w14:paraId="5D4C4F87">
            <w:pPr>
              <w:jc w:val="center"/>
              <w:rPr>
                <w:rFonts w:hint="default" w:ascii="Times New Roman" w:hAnsi="Times New Roman" w:cs="Times New Roman"/>
                <w:color w:val="auto"/>
                <w:sz w:val="21"/>
                <w:szCs w:val="21"/>
              </w:rPr>
            </w:pPr>
          </w:p>
        </w:tc>
        <w:tc>
          <w:tcPr>
            <w:tcW w:w="1815" w:type="dxa"/>
            <w:vAlign w:val="center"/>
          </w:tcPr>
          <w:p w14:paraId="5F009E04">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厂区/厂界无组织</w:t>
            </w:r>
          </w:p>
        </w:tc>
        <w:tc>
          <w:tcPr>
            <w:tcW w:w="1440" w:type="dxa"/>
            <w:vAlign w:val="center"/>
          </w:tcPr>
          <w:p w14:paraId="41D665B2">
            <w:pPr>
              <w:adjustRightInd w:val="0"/>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颗粒物、氨</w:t>
            </w:r>
          </w:p>
        </w:tc>
        <w:tc>
          <w:tcPr>
            <w:tcW w:w="2445" w:type="dxa"/>
            <w:vAlign w:val="center"/>
          </w:tcPr>
          <w:p w14:paraId="6F6A92F6">
            <w:pPr>
              <w:adjustRightInd w:val="0"/>
              <w:snapToGrid w:val="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无组织，自由扩散</w:t>
            </w:r>
          </w:p>
        </w:tc>
        <w:tc>
          <w:tcPr>
            <w:tcW w:w="2376" w:type="dxa"/>
            <w:vAlign w:val="center"/>
          </w:tcPr>
          <w:p w14:paraId="2F961DD9">
            <w:pPr>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安徽省地方标准《水泥工业大气污染排放标准》（DB34/ 3576-2020）</w:t>
            </w:r>
          </w:p>
        </w:tc>
      </w:tr>
      <w:tr w14:paraId="58F407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4" w:type="dxa"/>
            <w:vAlign w:val="center"/>
          </w:tcPr>
          <w:p w14:paraId="54B09F9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地表水环境</w:t>
            </w:r>
          </w:p>
        </w:tc>
        <w:tc>
          <w:tcPr>
            <w:tcW w:w="1815" w:type="dxa"/>
            <w:vAlign w:val="center"/>
          </w:tcPr>
          <w:p w14:paraId="1D15847F">
            <w:pPr>
              <w:pStyle w:val="39"/>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生活污水</w:t>
            </w:r>
          </w:p>
        </w:tc>
        <w:tc>
          <w:tcPr>
            <w:tcW w:w="1440" w:type="dxa"/>
            <w:vAlign w:val="center"/>
          </w:tcPr>
          <w:p w14:paraId="182F442B">
            <w:pPr>
              <w:jc w:val="center"/>
              <w:rPr>
                <w:rFonts w:hint="default" w:ascii="Times New Roman" w:hAnsi="Times New Roman" w:cs="Times New Roman"/>
                <w:color w:val="auto"/>
                <w:spacing w:val="2"/>
                <w:sz w:val="21"/>
                <w:szCs w:val="21"/>
              </w:rPr>
            </w:pPr>
            <w:r>
              <w:rPr>
                <w:rFonts w:hint="default" w:ascii="Times New Roman" w:hAnsi="Times New Roman" w:cs="Times New Roman"/>
                <w:color w:val="auto"/>
                <w:spacing w:val="2"/>
                <w:sz w:val="21"/>
                <w:szCs w:val="21"/>
              </w:rPr>
              <w:t>COD</w:t>
            </w:r>
          </w:p>
          <w:p w14:paraId="70CC693D">
            <w:pPr>
              <w:jc w:val="center"/>
              <w:rPr>
                <w:rFonts w:hint="eastAsia" w:ascii="Times New Roman" w:hAnsi="Times New Roman" w:eastAsia="宋体" w:cs="Times New Roman"/>
                <w:color w:val="auto"/>
                <w:spacing w:val="2"/>
                <w:kern w:val="2"/>
                <w:sz w:val="21"/>
                <w:szCs w:val="21"/>
                <w:lang w:val="en-US" w:eastAsia="zh-CN" w:bidi="ar-SA"/>
              </w:rPr>
            </w:pPr>
            <w:r>
              <w:rPr>
                <w:rFonts w:hint="default" w:ascii="Times New Roman" w:hAnsi="Times New Roman" w:cs="Times New Roman"/>
                <w:color w:val="auto"/>
                <w:spacing w:val="2"/>
                <w:sz w:val="21"/>
                <w:szCs w:val="21"/>
              </w:rPr>
              <w:t>BOD</w:t>
            </w:r>
            <w:r>
              <w:rPr>
                <w:rFonts w:hint="default" w:ascii="Times New Roman" w:hAnsi="Times New Roman" w:cs="Times New Roman"/>
                <w:color w:val="auto"/>
                <w:spacing w:val="2"/>
                <w:sz w:val="21"/>
                <w:szCs w:val="21"/>
                <w:vertAlign w:val="subscript"/>
              </w:rPr>
              <w:t>5</w:t>
            </w:r>
            <w:r>
              <w:rPr>
                <w:rFonts w:hint="default" w:ascii="Times New Roman" w:hAnsi="Times New Roman" w:cs="Times New Roman"/>
                <w:color w:val="auto"/>
                <w:spacing w:val="2"/>
                <w:sz w:val="21"/>
                <w:szCs w:val="21"/>
              </w:rPr>
              <w:t>、氨氮</w:t>
            </w:r>
            <w:r>
              <w:rPr>
                <w:rFonts w:hint="eastAsia" w:cs="Times New Roman"/>
                <w:color w:val="auto"/>
                <w:spacing w:val="2"/>
                <w:sz w:val="21"/>
                <w:szCs w:val="21"/>
                <w:lang w:eastAsia="zh-CN"/>
              </w:rPr>
              <w:t>等</w:t>
            </w:r>
          </w:p>
        </w:tc>
        <w:tc>
          <w:tcPr>
            <w:tcW w:w="2445" w:type="dxa"/>
            <w:vAlign w:val="center"/>
          </w:tcPr>
          <w:p w14:paraId="123F7CB0">
            <w:pPr>
              <w:pStyle w:val="39"/>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0000FF"/>
                <w:sz w:val="21"/>
                <w:szCs w:val="21"/>
                <w:lang w:val="en-US" w:eastAsia="zh-CN"/>
              </w:rPr>
              <w:t>本次技改项目不涉及生产废水，不新增员工，不新增生活污水；现有废水包括循环冷却水、余热电站排水和生活污水。工艺冷却水、余热电站排水全部循环利用，不外排；</w:t>
            </w:r>
            <w:r>
              <w:rPr>
                <w:rFonts w:hint="eastAsia" w:ascii="Times New Roman" w:hAnsi="Times New Roman" w:cs="Times New Roman"/>
                <w:color w:val="auto"/>
                <w:sz w:val="21"/>
                <w:szCs w:val="21"/>
                <w:lang w:val="en-US" w:eastAsia="zh-CN"/>
              </w:rPr>
              <w:t>生活污水经地埋式系列污水成套设备进行处理，其中10t/d用于绿化浇洒，其余30t/d排入龙湖开发区污水处理厂</w:t>
            </w:r>
          </w:p>
        </w:tc>
        <w:tc>
          <w:tcPr>
            <w:tcW w:w="2376" w:type="dxa"/>
            <w:vAlign w:val="center"/>
          </w:tcPr>
          <w:p w14:paraId="3F9E9E1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《污水综合排放标准》（GB</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rPr>
              <w:t>8978-1996）表4中一级标准</w:t>
            </w:r>
          </w:p>
        </w:tc>
      </w:tr>
      <w:tr w14:paraId="112CB2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4" w:type="dxa"/>
            <w:vAlign w:val="center"/>
          </w:tcPr>
          <w:p w14:paraId="43D75AB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1815" w:type="dxa"/>
            <w:vAlign w:val="center"/>
          </w:tcPr>
          <w:p w14:paraId="7F8662E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生产设备</w:t>
            </w:r>
          </w:p>
        </w:tc>
        <w:tc>
          <w:tcPr>
            <w:tcW w:w="1440" w:type="dxa"/>
            <w:vAlign w:val="center"/>
          </w:tcPr>
          <w:p w14:paraId="73BC025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等效连续A声级</w:t>
            </w:r>
          </w:p>
        </w:tc>
        <w:tc>
          <w:tcPr>
            <w:tcW w:w="2445" w:type="dxa"/>
            <w:vAlign w:val="center"/>
          </w:tcPr>
          <w:p w14:paraId="34FF778A">
            <w:pPr>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选用低噪声设备、基础减震、合理布局、定期检修</w:t>
            </w:r>
          </w:p>
        </w:tc>
        <w:tc>
          <w:tcPr>
            <w:tcW w:w="2376" w:type="dxa"/>
            <w:vAlign w:val="center"/>
          </w:tcPr>
          <w:p w14:paraId="5CB12DD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《工业企业厂界环境噪声排放标准》</w:t>
            </w:r>
            <w:r>
              <w:rPr>
                <w:rFonts w:hint="eastAsia" w:cs="Times New Roman"/>
                <w:color w:val="auto"/>
                <w:sz w:val="21"/>
                <w:szCs w:val="21"/>
                <w:lang w:eastAsia="zh-CN"/>
              </w:rPr>
              <w:t>（</w:t>
            </w:r>
            <w:r>
              <w:rPr>
                <w:rFonts w:hint="default" w:ascii="Times New Roman" w:hAnsi="Times New Roman" w:cs="Times New Roman"/>
                <w:color w:val="auto"/>
                <w:sz w:val="21"/>
                <w:szCs w:val="21"/>
              </w:rPr>
              <w:t>GB</w:t>
            </w:r>
            <w:r>
              <w:rPr>
                <w:rFonts w:hint="eastAsia" w:cs="Times New Roman"/>
                <w:color w:val="auto"/>
                <w:sz w:val="21"/>
                <w:szCs w:val="21"/>
                <w:lang w:val="en-US" w:eastAsia="zh-CN"/>
              </w:rPr>
              <w:t xml:space="preserve"> </w:t>
            </w:r>
            <w:r>
              <w:rPr>
                <w:rFonts w:hint="default" w:ascii="Times New Roman" w:hAnsi="Times New Roman" w:cs="Times New Roman"/>
                <w:color w:val="auto"/>
                <w:sz w:val="21"/>
                <w:szCs w:val="21"/>
              </w:rPr>
              <w:t>12348-2008</w:t>
            </w:r>
            <w:r>
              <w:rPr>
                <w:rFonts w:hint="eastAsia" w:cs="Times New Roman"/>
                <w:color w:val="auto"/>
                <w:sz w:val="21"/>
                <w:szCs w:val="21"/>
                <w:lang w:eastAsia="zh-CN"/>
              </w:rPr>
              <w:t>）</w:t>
            </w:r>
            <w:r>
              <w:rPr>
                <w:rFonts w:hint="default" w:ascii="Times New Roman" w:hAnsi="Times New Roman" w:cs="Times New Roman"/>
                <w:color w:val="auto"/>
                <w:sz w:val="21"/>
                <w:szCs w:val="21"/>
              </w:rPr>
              <w:t>3类标准</w:t>
            </w:r>
          </w:p>
        </w:tc>
      </w:tr>
      <w:tr w14:paraId="2D8F41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4" w:type="dxa"/>
            <w:vAlign w:val="center"/>
          </w:tcPr>
          <w:p w14:paraId="5047835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w:t>
            </w:r>
          </w:p>
          <w:p w14:paraId="09D7AF5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废物</w:t>
            </w:r>
          </w:p>
        </w:tc>
        <w:tc>
          <w:tcPr>
            <w:tcW w:w="8076" w:type="dxa"/>
            <w:gridSpan w:val="4"/>
            <w:vAlign w:val="center"/>
          </w:tcPr>
          <w:p w14:paraId="263D82B2">
            <w:pPr>
              <w:jc w:val="both"/>
              <w:rPr>
                <w:rFonts w:hint="default" w:cs="Times New Roman"/>
                <w:color w:val="auto"/>
                <w:sz w:val="21"/>
                <w:szCs w:val="21"/>
                <w:lang w:eastAsia="zh-CN"/>
              </w:rPr>
            </w:pPr>
            <w:r>
              <w:rPr>
                <w:rFonts w:hint="eastAsia" w:cs="Times New Roman"/>
                <w:color w:val="auto"/>
                <w:sz w:val="21"/>
                <w:szCs w:val="21"/>
                <w:lang w:eastAsia="zh-CN"/>
              </w:rPr>
              <w:t>项目产生的固体废物包括废包装袋、除尘器收集的粉尘。其中废包装袋与废纺一起进入水泥窑进行处置；除尘器收集的粉尘，收集后均回用于生产，不外排。</w:t>
            </w:r>
          </w:p>
        </w:tc>
      </w:tr>
      <w:tr w14:paraId="506F9E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3" w:hRule="atLeast"/>
          <w:jc w:val="center"/>
        </w:trPr>
        <w:tc>
          <w:tcPr>
            <w:tcW w:w="984" w:type="dxa"/>
            <w:vAlign w:val="center"/>
          </w:tcPr>
          <w:p w14:paraId="59ED8917">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土壤及地下水污染防治措施</w:t>
            </w:r>
          </w:p>
        </w:tc>
        <w:tc>
          <w:tcPr>
            <w:tcW w:w="8076" w:type="dxa"/>
            <w:gridSpan w:val="4"/>
            <w:vAlign w:val="center"/>
          </w:tcPr>
          <w:p w14:paraId="6F550227">
            <w:pPr>
              <w:adjustRightInd w:val="0"/>
              <w:snapToGrid w:val="0"/>
              <w:jc w:val="both"/>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项目原料必须全部按照要求储存在车间原料暂存区内，不露天堆置，且原料暂存区已采取防渗措施。因此，原料暂存过程中不会污染周边土壤、地下水环境</w:t>
            </w:r>
          </w:p>
        </w:tc>
      </w:tr>
      <w:tr w14:paraId="2AF53B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4" w:type="dxa"/>
            <w:vAlign w:val="center"/>
          </w:tcPr>
          <w:p w14:paraId="60D4D1D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生态保护措施</w:t>
            </w:r>
          </w:p>
        </w:tc>
        <w:tc>
          <w:tcPr>
            <w:tcW w:w="8076" w:type="dxa"/>
            <w:gridSpan w:val="4"/>
            <w:vAlign w:val="center"/>
          </w:tcPr>
          <w:p w14:paraId="1CE2B9E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不涉及</w:t>
            </w:r>
          </w:p>
        </w:tc>
      </w:tr>
      <w:tr w14:paraId="717221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984" w:type="dxa"/>
            <w:vAlign w:val="center"/>
          </w:tcPr>
          <w:p w14:paraId="400091D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环境风险防范措施</w:t>
            </w:r>
          </w:p>
        </w:tc>
        <w:tc>
          <w:tcPr>
            <w:tcW w:w="8076" w:type="dxa"/>
            <w:gridSpan w:val="4"/>
            <w:vAlign w:val="center"/>
          </w:tcPr>
          <w:p w14:paraId="2898E6EC">
            <w:pPr>
              <w:pStyle w:val="66"/>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在运行中尽量安全操作，建立定期维护的人员编制和相关制度</w:t>
            </w:r>
            <w:r>
              <w:rPr>
                <w:rFonts w:hint="eastAsia" w:ascii="Times New Roman" w:cs="Times New Roman"/>
                <w:color w:val="auto"/>
                <w:sz w:val="21"/>
                <w:szCs w:val="21"/>
                <w:lang w:eastAsia="zh-CN"/>
              </w:rPr>
              <w:t>，</w:t>
            </w:r>
            <w:r>
              <w:rPr>
                <w:rFonts w:hint="default" w:ascii="Times New Roman" w:hAnsi="Times New Roman" w:cs="Times New Roman"/>
                <w:color w:val="auto"/>
                <w:sz w:val="21"/>
                <w:szCs w:val="21"/>
              </w:rPr>
              <w:t>制定严格的规范操作规程，以保证除尘设备的正常运转。烟气安装在线监测系统，并实现与环保系统联网，企业应对在线监测数据进行日常的统计与分析，建立运行档案，及时发现设备故障，一旦确定设备故障，应立即组织停炉检修，减少事故排放对环境的影响，对烟气在线监测系统的故障也应当及时进行修理。本项目取得批复后，公司应在现有突发环境事件应急预案的基础上进行修编，把本项目环境风险内容纳入公司突发环境事件应急预案内。</w:t>
            </w:r>
          </w:p>
        </w:tc>
      </w:tr>
      <w:tr w14:paraId="4EF240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5" w:hRule="atLeast"/>
          <w:jc w:val="center"/>
        </w:trPr>
        <w:tc>
          <w:tcPr>
            <w:tcW w:w="984" w:type="dxa"/>
            <w:tcBorders>
              <w:bottom w:val="single" w:color="auto" w:sz="8" w:space="0"/>
            </w:tcBorders>
            <w:vAlign w:val="center"/>
          </w:tcPr>
          <w:p w14:paraId="63DA5AC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其他环境管理要求</w:t>
            </w:r>
          </w:p>
        </w:tc>
        <w:tc>
          <w:tcPr>
            <w:tcW w:w="8076" w:type="dxa"/>
            <w:gridSpan w:val="4"/>
            <w:tcBorders>
              <w:bottom w:val="single" w:color="auto" w:sz="8" w:space="0"/>
            </w:tcBorders>
            <w:vAlign w:val="center"/>
          </w:tcPr>
          <w:p w14:paraId="2386838C">
            <w:pPr>
              <w:keepNext/>
              <w:keepLines/>
              <w:tabs>
                <w:tab w:val="left" w:pos="0"/>
              </w:tabs>
              <w:spacing w:line="360" w:lineRule="exact"/>
              <w:ind w:left="40"/>
              <w:jc w:val="both"/>
              <w:outlineLvl w:val="4"/>
              <w:rPr>
                <w:rFonts w:ascii="Times New Roman" w:hAnsi="Times New Roman" w:cs="Times New Roman"/>
                <w:b/>
                <w:bCs/>
                <w:color w:val="auto"/>
                <w:sz w:val="21"/>
                <w:szCs w:val="21"/>
              </w:rPr>
            </w:pPr>
            <w:r>
              <w:rPr>
                <w:rFonts w:ascii="Times New Roman" w:hAnsi="Times New Roman" w:cs="Times New Roman"/>
                <w:b/>
                <w:bCs/>
                <w:color w:val="auto"/>
                <w:sz w:val="21"/>
                <w:szCs w:val="21"/>
              </w:rPr>
              <w:t>1、成立环境管理机构，工作职责包括：</w:t>
            </w:r>
          </w:p>
          <w:p w14:paraId="77252BD7">
            <w:pPr>
              <w:widowControl/>
              <w:numPr>
                <w:ilvl w:val="0"/>
                <w:numId w:val="2"/>
              </w:numPr>
              <w:snapToGrid w:val="0"/>
              <w:spacing w:line="360" w:lineRule="exact"/>
              <w:ind w:firstLine="420" w:firstLineChars="200"/>
              <w:jc w:val="both"/>
              <w:rPr>
                <w:rFonts w:ascii="Times New Roman" w:hAnsi="Times New Roman" w:cs="Times New Roman"/>
                <w:color w:val="auto"/>
                <w:kern w:val="0"/>
                <w:sz w:val="21"/>
                <w:szCs w:val="21"/>
              </w:rPr>
            </w:pPr>
            <w:r>
              <w:rPr>
                <w:rFonts w:ascii="Times New Roman" w:hAnsi="Times New Roman" w:cs="Times New Roman"/>
                <w:color w:val="auto"/>
                <w:kern w:val="0"/>
                <w:sz w:val="21"/>
                <w:szCs w:val="21"/>
              </w:rPr>
              <w:t>贯彻执行环境保护政策、法规及环境保护标准，制定本项目的环境管理办法；</w:t>
            </w:r>
          </w:p>
          <w:p w14:paraId="262A5948">
            <w:pPr>
              <w:widowControl/>
              <w:numPr>
                <w:ilvl w:val="0"/>
                <w:numId w:val="2"/>
              </w:numPr>
              <w:snapToGrid w:val="0"/>
              <w:spacing w:line="360" w:lineRule="exact"/>
              <w:ind w:firstLine="420" w:firstLineChars="200"/>
              <w:jc w:val="both"/>
              <w:rPr>
                <w:rFonts w:ascii="Times New Roman" w:hAnsi="Times New Roman" w:cs="Times New Roman"/>
                <w:color w:val="auto"/>
                <w:kern w:val="0"/>
                <w:sz w:val="21"/>
                <w:szCs w:val="21"/>
              </w:rPr>
            </w:pPr>
            <w:r>
              <w:rPr>
                <w:rFonts w:ascii="Times New Roman" w:hAnsi="Times New Roman" w:cs="Times New Roman"/>
                <w:color w:val="auto"/>
                <w:kern w:val="0"/>
                <w:sz w:val="21"/>
                <w:szCs w:val="21"/>
              </w:rPr>
              <w:t>建立健全企业的环境管理制度，并实施检查和监督工作；</w:t>
            </w:r>
          </w:p>
          <w:p w14:paraId="2465384E">
            <w:pPr>
              <w:widowControl/>
              <w:numPr>
                <w:ilvl w:val="0"/>
                <w:numId w:val="2"/>
              </w:numPr>
              <w:snapToGrid w:val="0"/>
              <w:spacing w:line="360" w:lineRule="exact"/>
              <w:ind w:firstLine="420" w:firstLineChars="200"/>
              <w:jc w:val="both"/>
              <w:rPr>
                <w:rFonts w:ascii="Times New Roman" w:hAnsi="Times New Roman" w:cs="Times New Roman"/>
                <w:color w:val="auto"/>
                <w:kern w:val="0"/>
                <w:sz w:val="21"/>
                <w:szCs w:val="21"/>
              </w:rPr>
            </w:pPr>
            <w:r>
              <w:rPr>
                <w:rFonts w:ascii="Times New Roman" w:hAnsi="Times New Roman" w:cs="Times New Roman"/>
                <w:color w:val="auto"/>
                <w:kern w:val="0"/>
                <w:sz w:val="21"/>
                <w:szCs w:val="21"/>
              </w:rPr>
              <w:t>编制并组织实施环境保护规划和计划，完成环境保护责任目标；</w:t>
            </w:r>
          </w:p>
          <w:p w14:paraId="3DD2E248">
            <w:pPr>
              <w:widowControl/>
              <w:numPr>
                <w:ilvl w:val="0"/>
                <w:numId w:val="2"/>
              </w:numPr>
              <w:snapToGrid w:val="0"/>
              <w:spacing w:line="360" w:lineRule="exact"/>
              <w:ind w:firstLine="420" w:firstLineChars="200"/>
              <w:jc w:val="both"/>
              <w:rPr>
                <w:rFonts w:ascii="Times New Roman" w:hAnsi="Times New Roman" w:cs="Times New Roman"/>
                <w:color w:val="auto"/>
                <w:kern w:val="0"/>
                <w:sz w:val="21"/>
                <w:szCs w:val="21"/>
              </w:rPr>
            </w:pPr>
            <w:r>
              <w:rPr>
                <w:rFonts w:ascii="Times New Roman" w:hAnsi="Times New Roman" w:cs="Times New Roman"/>
                <w:color w:val="auto"/>
                <w:kern w:val="0"/>
                <w:sz w:val="21"/>
                <w:szCs w:val="21"/>
              </w:rPr>
              <w:t>领导并组织企业环境监测工作；</w:t>
            </w:r>
          </w:p>
          <w:p w14:paraId="78F8EF2A">
            <w:pPr>
              <w:widowControl/>
              <w:numPr>
                <w:ilvl w:val="0"/>
                <w:numId w:val="2"/>
              </w:numPr>
              <w:snapToGrid w:val="0"/>
              <w:spacing w:line="360" w:lineRule="exact"/>
              <w:ind w:firstLine="420" w:firstLineChars="200"/>
              <w:jc w:val="both"/>
              <w:rPr>
                <w:rFonts w:ascii="Times New Roman" w:hAnsi="Times New Roman" w:cs="Times New Roman"/>
                <w:color w:val="auto"/>
                <w:kern w:val="0"/>
                <w:sz w:val="21"/>
                <w:szCs w:val="21"/>
              </w:rPr>
            </w:pPr>
            <w:r>
              <w:rPr>
                <w:rFonts w:ascii="Times New Roman" w:hAnsi="Times New Roman" w:cs="Times New Roman"/>
                <w:color w:val="auto"/>
                <w:kern w:val="0"/>
                <w:sz w:val="21"/>
                <w:szCs w:val="21"/>
              </w:rPr>
              <w:t>监督检查本项目各个环保设施的运行和环境管理措施的实施，并提出改善环境的建议和对策；</w:t>
            </w:r>
          </w:p>
          <w:p w14:paraId="23DB6F95">
            <w:pPr>
              <w:widowControl/>
              <w:numPr>
                <w:ilvl w:val="0"/>
                <w:numId w:val="2"/>
              </w:numPr>
              <w:snapToGrid w:val="0"/>
              <w:spacing w:line="360" w:lineRule="exact"/>
              <w:ind w:firstLine="420" w:firstLineChars="200"/>
              <w:jc w:val="both"/>
              <w:rPr>
                <w:rFonts w:ascii="Times New Roman" w:hAnsi="Times New Roman" w:cs="Times New Roman"/>
                <w:color w:val="auto"/>
                <w:kern w:val="0"/>
                <w:sz w:val="21"/>
                <w:szCs w:val="21"/>
              </w:rPr>
            </w:pPr>
            <w:r>
              <w:rPr>
                <w:rFonts w:ascii="Times New Roman" w:hAnsi="Times New Roman" w:cs="Times New Roman"/>
                <w:color w:val="auto"/>
                <w:kern w:val="0"/>
                <w:sz w:val="21"/>
                <w:szCs w:val="21"/>
              </w:rPr>
              <w:t>负责本项目职工的环保教育工作，以提高职工的环保意识；</w:t>
            </w:r>
          </w:p>
          <w:p w14:paraId="707E0886">
            <w:pPr>
              <w:widowControl/>
              <w:numPr>
                <w:ilvl w:val="0"/>
                <w:numId w:val="2"/>
              </w:numPr>
              <w:snapToGrid w:val="0"/>
              <w:spacing w:line="360" w:lineRule="exact"/>
              <w:ind w:firstLine="420" w:firstLineChars="200"/>
              <w:jc w:val="both"/>
              <w:rPr>
                <w:rFonts w:ascii="Times New Roman" w:hAnsi="Times New Roman" w:cs="Times New Roman"/>
                <w:color w:val="auto"/>
                <w:kern w:val="0"/>
                <w:sz w:val="21"/>
                <w:szCs w:val="21"/>
              </w:rPr>
            </w:pPr>
            <w:r>
              <w:rPr>
                <w:rFonts w:ascii="Times New Roman" w:hAnsi="Times New Roman" w:cs="Times New Roman"/>
                <w:color w:val="auto"/>
                <w:kern w:val="0"/>
                <w:sz w:val="21"/>
                <w:szCs w:val="21"/>
              </w:rPr>
              <w:t>接受省、市各级环保部门的检查、监督，按要求上报各项环保报表，并定期向上级主管部门汇报本项目的环保工作情况；</w:t>
            </w:r>
          </w:p>
          <w:p w14:paraId="015DA7E7">
            <w:pPr>
              <w:widowControl/>
              <w:numPr>
                <w:ilvl w:val="0"/>
                <w:numId w:val="2"/>
              </w:numPr>
              <w:snapToGrid w:val="0"/>
              <w:spacing w:line="360" w:lineRule="exact"/>
              <w:ind w:firstLine="420" w:firstLineChars="200"/>
              <w:jc w:val="both"/>
              <w:rPr>
                <w:rFonts w:ascii="Times New Roman" w:hAnsi="Times New Roman" w:cs="Times New Roman"/>
                <w:color w:val="auto"/>
                <w:kern w:val="0"/>
                <w:sz w:val="21"/>
                <w:szCs w:val="21"/>
              </w:rPr>
            </w:pPr>
            <w:r>
              <w:rPr>
                <w:rFonts w:ascii="Times New Roman" w:hAnsi="Times New Roman" w:cs="Times New Roman"/>
                <w:color w:val="auto"/>
                <w:kern w:val="0"/>
                <w:sz w:val="21"/>
                <w:szCs w:val="21"/>
              </w:rPr>
              <w:t>与上级环保部门核算排污费及收缴工作，负责对基层单位排污费收缴以及排污费的管理和使用；</w:t>
            </w:r>
          </w:p>
          <w:p w14:paraId="37E25314">
            <w:pPr>
              <w:widowControl/>
              <w:numPr>
                <w:ilvl w:val="0"/>
                <w:numId w:val="2"/>
              </w:numPr>
              <w:snapToGrid w:val="0"/>
              <w:spacing w:line="360" w:lineRule="exact"/>
              <w:ind w:firstLine="420" w:firstLineChars="200"/>
              <w:jc w:val="both"/>
              <w:rPr>
                <w:rFonts w:ascii="Times New Roman" w:hAnsi="Times New Roman" w:cs="Times New Roman"/>
                <w:color w:val="auto"/>
                <w:kern w:val="0"/>
                <w:sz w:val="21"/>
                <w:szCs w:val="21"/>
              </w:rPr>
            </w:pPr>
            <w:r>
              <w:rPr>
                <w:rFonts w:ascii="Times New Roman" w:hAnsi="Times New Roman" w:cs="Times New Roman"/>
                <w:color w:val="auto"/>
                <w:kern w:val="0"/>
                <w:sz w:val="21"/>
                <w:szCs w:val="21"/>
              </w:rPr>
              <w:t>组织调查污染事故及污染纠纷案件，并提出具体处理意见；</w:t>
            </w:r>
          </w:p>
          <w:p w14:paraId="4CB1B807">
            <w:pPr>
              <w:widowControl/>
              <w:numPr>
                <w:ilvl w:val="0"/>
                <w:numId w:val="2"/>
              </w:numPr>
              <w:snapToGrid w:val="0"/>
              <w:spacing w:line="360" w:lineRule="exact"/>
              <w:ind w:firstLine="420" w:firstLineChars="200"/>
              <w:jc w:val="both"/>
              <w:rPr>
                <w:rFonts w:ascii="Times New Roman" w:hAnsi="Times New Roman" w:cs="Times New Roman"/>
                <w:color w:val="auto"/>
                <w:kern w:val="0"/>
                <w:sz w:val="21"/>
                <w:szCs w:val="21"/>
              </w:rPr>
            </w:pPr>
            <w:r>
              <w:rPr>
                <w:rFonts w:ascii="Times New Roman" w:hAnsi="Times New Roman" w:cs="Times New Roman"/>
                <w:color w:val="auto"/>
                <w:kern w:val="0"/>
                <w:sz w:val="21"/>
                <w:szCs w:val="21"/>
              </w:rPr>
              <w:t>负责对集团企业环保设施的运行情况进行监督、检查与考核；</w:t>
            </w:r>
          </w:p>
          <w:p w14:paraId="65219C12">
            <w:pPr>
              <w:widowControl/>
              <w:numPr>
                <w:ilvl w:val="0"/>
                <w:numId w:val="2"/>
              </w:numPr>
              <w:snapToGrid w:val="0"/>
              <w:spacing w:line="360" w:lineRule="exact"/>
              <w:ind w:firstLine="420" w:firstLineChars="200"/>
              <w:jc w:val="both"/>
              <w:rPr>
                <w:rFonts w:ascii="Times New Roman" w:hAnsi="Times New Roman" w:cs="Times New Roman"/>
                <w:color w:val="auto"/>
                <w:kern w:val="0"/>
                <w:sz w:val="21"/>
                <w:szCs w:val="21"/>
              </w:rPr>
            </w:pPr>
            <w:r>
              <w:rPr>
                <w:rFonts w:ascii="Times New Roman" w:hAnsi="Times New Roman" w:cs="Times New Roman"/>
                <w:color w:val="auto"/>
                <w:kern w:val="0"/>
                <w:sz w:val="21"/>
                <w:szCs w:val="21"/>
              </w:rPr>
              <w:t>负责所有污染源的日常管理，掌握污染源排放情况，</w:t>
            </w:r>
            <w:r>
              <w:rPr>
                <w:rFonts w:hint="eastAsia" w:ascii="宋体" w:hAnsi="宋体" w:eastAsia="宋体" w:cs="宋体"/>
                <w:color w:val="auto"/>
                <w:kern w:val="0"/>
                <w:sz w:val="21"/>
                <w:szCs w:val="21"/>
              </w:rPr>
              <w:t>有效控制“三废”排</w:t>
            </w:r>
            <w:r>
              <w:rPr>
                <w:rFonts w:ascii="Times New Roman" w:hAnsi="Times New Roman" w:cs="Times New Roman"/>
                <w:color w:val="auto"/>
                <w:kern w:val="0"/>
                <w:sz w:val="21"/>
                <w:szCs w:val="21"/>
              </w:rPr>
              <w:t>放量；</w:t>
            </w:r>
          </w:p>
          <w:p w14:paraId="37C781E1">
            <w:pPr>
              <w:widowControl/>
              <w:numPr>
                <w:ilvl w:val="0"/>
                <w:numId w:val="2"/>
              </w:numPr>
              <w:snapToGrid w:val="0"/>
              <w:spacing w:line="360" w:lineRule="exact"/>
              <w:ind w:firstLine="420" w:firstLineChars="200"/>
              <w:jc w:val="both"/>
              <w:rPr>
                <w:rFonts w:ascii="Times New Roman" w:hAnsi="Times New Roman" w:cs="Times New Roman"/>
                <w:color w:val="auto"/>
                <w:kern w:val="0"/>
                <w:sz w:val="21"/>
                <w:szCs w:val="21"/>
              </w:rPr>
            </w:pPr>
            <w:r>
              <w:rPr>
                <w:rFonts w:ascii="Times New Roman" w:hAnsi="Times New Roman" w:cs="Times New Roman"/>
                <w:color w:val="auto"/>
                <w:kern w:val="0"/>
                <w:sz w:val="21"/>
                <w:szCs w:val="21"/>
              </w:rPr>
              <w:t>负责企业环境统计工作，并根据统计数据对环境质量进行定时定量分析；负责企业的</w:t>
            </w:r>
            <w:r>
              <w:rPr>
                <w:rFonts w:hint="eastAsia" w:cs="Times New Roman"/>
                <w:color w:val="auto"/>
                <w:kern w:val="0"/>
                <w:sz w:val="21"/>
                <w:szCs w:val="21"/>
                <w:lang w:eastAsia="zh-CN"/>
              </w:rPr>
              <w:t>“</w:t>
            </w:r>
            <w:r>
              <w:rPr>
                <w:rFonts w:ascii="Times New Roman" w:hAnsi="Times New Roman" w:cs="Times New Roman"/>
                <w:color w:val="auto"/>
                <w:kern w:val="0"/>
                <w:sz w:val="21"/>
                <w:szCs w:val="21"/>
              </w:rPr>
              <w:t>三废</w:t>
            </w:r>
            <w:r>
              <w:rPr>
                <w:rFonts w:hint="eastAsia" w:cs="Times New Roman"/>
                <w:color w:val="auto"/>
                <w:kern w:val="0"/>
                <w:sz w:val="21"/>
                <w:szCs w:val="21"/>
                <w:lang w:eastAsia="zh-CN"/>
              </w:rPr>
              <w:t>”</w:t>
            </w:r>
            <w:r>
              <w:rPr>
                <w:rFonts w:ascii="Times New Roman" w:hAnsi="Times New Roman" w:cs="Times New Roman"/>
                <w:color w:val="auto"/>
                <w:kern w:val="0"/>
                <w:sz w:val="21"/>
                <w:szCs w:val="21"/>
              </w:rPr>
              <w:t>治理及日常管理与环保技术开发利用。</w:t>
            </w:r>
          </w:p>
          <w:p w14:paraId="483183FB">
            <w:pPr>
              <w:keepNext/>
              <w:keepLines/>
              <w:tabs>
                <w:tab w:val="left" w:pos="0"/>
              </w:tabs>
              <w:spacing w:line="360" w:lineRule="exact"/>
              <w:ind w:left="40"/>
              <w:jc w:val="both"/>
              <w:outlineLvl w:val="4"/>
              <w:rPr>
                <w:rFonts w:ascii="Times New Roman" w:hAnsi="Times New Roman" w:cs="Times New Roman"/>
                <w:b/>
                <w:bCs/>
                <w:color w:val="auto"/>
                <w:sz w:val="21"/>
                <w:szCs w:val="21"/>
              </w:rPr>
            </w:pPr>
            <w:r>
              <w:rPr>
                <w:rFonts w:ascii="Times New Roman" w:hAnsi="Times New Roman" w:cs="Times New Roman"/>
                <w:b/>
                <w:bCs/>
                <w:color w:val="auto"/>
                <w:sz w:val="21"/>
                <w:szCs w:val="21"/>
              </w:rPr>
              <w:t>2、制定环境管理制度，主要制度包括：</w:t>
            </w:r>
          </w:p>
          <w:p w14:paraId="4F3C7355">
            <w:pPr>
              <w:pStyle w:val="124"/>
              <w:numPr>
                <w:ilvl w:val="0"/>
                <w:numId w:val="3"/>
              </w:numPr>
              <w:spacing w:line="360" w:lineRule="exact"/>
              <w:ind w:firstLine="420"/>
              <w:jc w:val="both"/>
              <w:rPr>
                <w:color w:val="auto"/>
                <w:sz w:val="21"/>
                <w:szCs w:val="21"/>
              </w:rPr>
            </w:pPr>
            <w:r>
              <w:rPr>
                <w:color w:val="auto"/>
                <w:sz w:val="21"/>
                <w:szCs w:val="21"/>
              </w:rPr>
              <w:t>环境保护职责管理条例</w:t>
            </w:r>
            <w:r>
              <w:rPr>
                <w:rFonts w:hint="eastAsia"/>
                <w:color w:val="auto"/>
                <w:sz w:val="21"/>
                <w:szCs w:val="21"/>
              </w:rPr>
              <w:t>；</w:t>
            </w:r>
          </w:p>
          <w:p w14:paraId="25B05596">
            <w:pPr>
              <w:pStyle w:val="124"/>
              <w:numPr>
                <w:ilvl w:val="0"/>
                <w:numId w:val="3"/>
              </w:numPr>
              <w:spacing w:line="360" w:lineRule="exact"/>
              <w:ind w:firstLine="420"/>
              <w:jc w:val="both"/>
              <w:rPr>
                <w:color w:val="auto"/>
                <w:sz w:val="21"/>
                <w:szCs w:val="21"/>
              </w:rPr>
            </w:pPr>
            <w:r>
              <w:rPr>
                <w:color w:val="auto"/>
                <w:sz w:val="21"/>
                <w:szCs w:val="21"/>
              </w:rPr>
              <w:t>处理装置日常运行管理制度</w:t>
            </w:r>
            <w:r>
              <w:rPr>
                <w:rFonts w:hint="eastAsia"/>
                <w:color w:val="auto"/>
                <w:sz w:val="21"/>
                <w:szCs w:val="21"/>
              </w:rPr>
              <w:t>；</w:t>
            </w:r>
          </w:p>
          <w:p w14:paraId="57AD1248">
            <w:pPr>
              <w:pStyle w:val="124"/>
              <w:numPr>
                <w:ilvl w:val="0"/>
                <w:numId w:val="3"/>
              </w:numPr>
              <w:spacing w:line="360" w:lineRule="exact"/>
              <w:ind w:firstLine="420"/>
              <w:jc w:val="both"/>
              <w:rPr>
                <w:color w:val="auto"/>
                <w:sz w:val="21"/>
                <w:szCs w:val="21"/>
              </w:rPr>
            </w:pPr>
            <w:r>
              <w:rPr>
                <w:color w:val="auto"/>
                <w:sz w:val="21"/>
                <w:szCs w:val="21"/>
              </w:rPr>
              <w:t>污染物管理制度</w:t>
            </w:r>
            <w:r>
              <w:rPr>
                <w:rFonts w:hint="eastAsia"/>
                <w:color w:val="auto"/>
                <w:sz w:val="21"/>
                <w:szCs w:val="21"/>
              </w:rPr>
              <w:t>；</w:t>
            </w:r>
          </w:p>
          <w:p w14:paraId="0A4FAB11">
            <w:pPr>
              <w:pStyle w:val="124"/>
              <w:numPr>
                <w:ilvl w:val="0"/>
                <w:numId w:val="3"/>
              </w:numPr>
              <w:spacing w:line="360" w:lineRule="exact"/>
              <w:ind w:firstLine="420"/>
              <w:jc w:val="both"/>
              <w:rPr>
                <w:color w:val="auto"/>
                <w:sz w:val="21"/>
                <w:szCs w:val="21"/>
              </w:rPr>
            </w:pPr>
            <w:r>
              <w:rPr>
                <w:color w:val="auto"/>
                <w:sz w:val="21"/>
                <w:szCs w:val="21"/>
              </w:rPr>
              <w:t>建立台账制度</w:t>
            </w:r>
            <w:r>
              <w:rPr>
                <w:rFonts w:hint="eastAsia"/>
                <w:color w:val="auto"/>
                <w:sz w:val="21"/>
                <w:szCs w:val="21"/>
              </w:rPr>
              <w:t>；</w:t>
            </w:r>
          </w:p>
          <w:p w14:paraId="0CCBC95C">
            <w:pPr>
              <w:pStyle w:val="124"/>
              <w:numPr>
                <w:ilvl w:val="0"/>
                <w:numId w:val="3"/>
              </w:numPr>
              <w:spacing w:line="360" w:lineRule="exact"/>
              <w:ind w:firstLine="420"/>
              <w:jc w:val="both"/>
              <w:rPr>
                <w:color w:val="auto"/>
                <w:sz w:val="21"/>
                <w:szCs w:val="21"/>
              </w:rPr>
            </w:pPr>
            <w:r>
              <w:rPr>
                <w:color w:val="auto"/>
                <w:sz w:val="21"/>
                <w:szCs w:val="21"/>
              </w:rPr>
              <w:t>排污许可制度</w:t>
            </w:r>
            <w:r>
              <w:rPr>
                <w:rFonts w:hint="eastAsia"/>
                <w:color w:val="auto"/>
                <w:sz w:val="21"/>
                <w:szCs w:val="21"/>
              </w:rPr>
              <w:t>；</w:t>
            </w:r>
          </w:p>
          <w:p w14:paraId="39A1BAA5">
            <w:pPr>
              <w:spacing w:line="360" w:lineRule="exact"/>
              <w:ind w:firstLine="420"/>
              <w:jc w:val="both"/>
              <w:rPr>
                <w:rFonts w:ascii="Times New Roman" w:hAnsi="Times New Roman" w:cs="Times New Roman"/>
                <w:color w:val="auto"/>
                <w:sz w:val="21"/>
                <w:szCs w:val="21"/>
              </w:rPr>
            </w:pPr>
            <w:r>
              <w:rPr>
                <w:rFonts w:ascii="Times New Roman" w:hAnsi="Times New Roman" w:cs="Times New Roman"/>
                <w:color w:val="auto"/>
                <w:sz w:val="21"/>
                <w:szCs w:val="21"/>
              </w:rPr>
              <w:t>发生实际排污行为之前依据《固定污染源排污许可分类管理名录（2019年版）》申领排污许可</w:t>
            </w:r>
            <w:r>
              <w:rPr>
                <w:rFonts w:hint="eastAsia" w:ascii="Times New Roman" w:hAnsi="Times New Roman" w:cs="Times New Roman"/>
                <w:color w:val="auto"/>
                <w:sz w:val="21"/>
                <w:szCs w:val="21"/>
              </w:rPr>
              <w:t>；</w:t>
            </w:r>
          </w:p>
          <w:p w14:paraId="2E79AEFE">
            <w:pPr>
              <w:pStyle w:val="124"/>
              <w:numPr>
                <w:ilvl w:val="0"/>
                <w:numId w:val="3"/>
              </w:numPr>
              <w:spacing w:line="360" w:lineRule="exact"/>
              <w:ind w:firstLine="420"/>
              <w:jc w:val="both"/>
              <w:rPr>
                <w:color w:val="auto"/>
                <w:sz w:val="21"/>
                <w:szCs w:val="21"/>
              </w:rPr>
            </w:pPr>
            <w:r>
              <w:rPr>
                <w:color w:val="auto"/>
                <w:sz w:val="21"/>
                <w:szCs w:val="21"/>
              </w:rPr>
              <w:t>排污情况报告制度</w:t>
            </w:r>
            <w:r>
              <w:rPr>
                <w:rFonts w:hint="eastAsia"/>
                <w:color w:val="auto"/>
                <w:sz w:val="21"/>
                <w:szCs w:val="21"/>
              </w:rPr>
              <w:t>；</w:t>
            </w:r>
          </w:p>
          <w:p w14:paraId="3A0B0F6E">
            <w:pPr>
              <w:pStyle w:val="124"/>
              <w:numPr>
                <w:ilvl w:val="0"/>
                <w:numId w:val="3"/>
              </w:numPr>
              <w:spacing w:line="360" w:lineRule="exact"/>
              <w:ind w:firstLine="420"/>
              <w:jc w:val="both"/>
              <w:rPr>
                <w:color w:val="auto"/>
                <w:sz w:val="21"/>
                <w:szCs w:val="21"/>
              </w:rPr>
            </w:pPr>
            <w:r>
              <w:rPr>
                <w:color w:val="auto"/>
                <w:sz w:val="21"/>
                <w:szCs w:val="21"/>
              </w:rPr>
              <w:t>污染事故处理制度</w:t>
            </w:r>
            <w:r>
              <w:rPr>
                <w:rFonts w:hint="eastAsia"/>
                <w:color w:val="auto"/>
                <w:sz w:val="21"/>
                <w:szCs w:val="21"/>
              </w:rPr>
              <w:t>；</w:t>
            </w:r>
          </w:p>
          <w:p w14:paraId="4D25DC59">
            <w:pPr>
              <w:pStyle w:val="124"/>
              <w:numPr>
                <w:ilvl w:val="0"/>
                <w:numId w:val="3"/>
              </w:numPr>
              <w:spacing w:line="360" w:lineRule="exact"/>
              <w:ind w:firstLine="420"/>
              <w:jc w:val="both"/>
              <w:rPr>
                <w:color w:val="auto"/>
                <w:sz w:val="21"/>
                <w:szCs w:val="21"/>
              </w:rPr>
            </w:pPr>
            <w:r>
              <w:rPr>
                <w:color w:val="auto"/>
                <w:sz w:val="21"/>
                <w:szCs w:val="21"/>
              </w:rPr>
              <w:t>信息公开制度（如实向社会公开其主要污染物的名称、排放方式、排放浓度和总量、超标排放情况，以及防治污染设施的建设和运行情况，接受社会监督）</w:t>
            </w:r>
            <w:r>
              <w:rPr>
                <w:rFonts w:hint="eastAsia"/>
                <w:color w:val="auto"/>
                <w:sz w:val="21"/>
                <w:szCs w:val="21"/>
              </w:rPr>
              <w:t>；</w:t>
            </w:r>
          </w:p>
          <w:p w14:paraId="71B2679D">
            <w:pPr>
              <w:pStyle w:val="124"/>
              <w:numPr>
                <w:ilvl w:val="0"/>
                <w:numId w:val="3"/>
              </w:numPr>
              <w:spacing w:line="360" w:lineRule="exact"/>
              <w:ind w:firstLine="420"/>
              <w:jc w:val="both"/>
              <w:rPr>
                <w:color w:val="auto"/>
                <w:sz w:val="21"/>
                <w:szCs w:val="21"/>
              </w:rPr>
            </w:pPr>
            <w:r>
              <w:rPr>
                <w:color w:val="auto"/>
                <w:sz w:val="21"/>
                <w:szCs w:val="21"/>
              </w:rPr>
              <w:t>环保教育制度</w:t>
            </w:r>
            <w:r>
              <w:rPr>
                <w:rFonts w:hint="eastAsia"/>
                <w:color w:val="auto"/>
                <w:sz w:val="21"/>
                <w:szCs w:val="21"/>
              </w:rPr>
              <w:t>；</w:t>
            </w:r>
          </w:p>
          <w:p w14:paraId="05D8E862">
            <w:pPr>
              <w:pStyle w:val="124"/>
              <w:numPr>
                <w:ilvl w:val="0"/>
                <w:numId w:val="3"/>
              </w:numPr>
              <w:spacing w:line="360" w:lineRule="exact"/>
              <w:ind w:firstLine="420"/>
              <w:jc w:val="both"/>
              <w:rPr>
                <w:color w:val="auto"/>
                <w:sz w:val="21"/>
                <w:szCs w:val="21"/>
              </w:rPr>
            </w:pPr>
            <w:r>
              <w:rPr>
                <w:color w:val="auto"/>
                <w:sz w:val="21"/>
                <w:szCs w:val="21"/>
              </w:rPr>
              <w:t>各项环境保护设施和措施的建设、运行及维护费用保障计划</w:t>
            </w:r>
            <w:r>
              <w:rPr>
                <w:rFonts w:hint="eastAsia"/>
                <w:color w:val="auto"/>
                <w:sz w:val="21"/>
                <w:szCs w:val="21"/>
              </w:rPr>
              <w:t>。</w:t>
            </w:r>
          </w:p>
          <w:p w14:paraId="5DA4A500">
            <w:pPr>
              <w:keepNext/>
              <w:keepLines/>
              <w:tabs>
                <w:tab w:val="left" w:pos="0"/>
              </w:tabs>
              <w:spacing w:line="360" w:lineRule="exact"/>
              <w:ind w:left="40"/>
              <w:jc w:val="both"/>
              <w:outlineLvl w:val="4"/>
              <w:rPr>
                <w:rFonts w:ascii="Times New Roman" w:hAnsi="Times New Roman" w:cs="Times New Roman"/>
                <w:b/>
                <w:bCs/>
                <w:color w:val="auto"/>
                <w:sz w:val="21"/>
                <w:szCs w:val="21"/>
              </w:rPr>
            </w:pPr>
            <w:r>
              <w:rPr>
                <w:rFonts w:ascii="Times New Roman" w:hAnsi="Times New Roman" w:cs="Times New Roman"/>
                <w:b/>
                <w:bCs/>
                <w:color w:val="auto"/>
                <w:sz w:val="21"/>
                <w:szCs w:val="21"/>
              </w:rPr>
              <w:t>3、开展自行监测</w:t>
            </w:r>
          </w:p>
          <w:p w14:paraId="5854CDB1">
            <w:pPr>
              <w:pStyle w:val="124"/>
              <w:spacing w:line="360" w:lineRule="exact"/>
              <w:ind w:firstLine="420"/>
              <w:jc w:val="both"/>
              <w:rPr>
                <w:color w:val="auto"/>
                <w:sz w:val="21"/>
                <w:szCs w:val="21"/>
              </w:rPr>
            </w:pPr>
            <w:r>
              <w:rPr>
                <w:color w:val="auto"/>
                <w:sz w:val="21"/>
                <w:szCs w:val="21"/>
              </w:rPr>
              <w:t>企业结合</w:t>
            </w:r>
            <w:r>
              <w:rPr>
                <w:rFonts w:hint="eastAsia"/>
                <w:color w:val="auto"/>
                <w:sz w:val="21"/>
                <w:szCs w:val="21"/>
                <w:lang w:eastAsia="zh-CN"/>
              </w:rPr>
              <w:t>“四</w:t>
            </w:r>
            <w:r>
              <w:rPr>
                <w:color w:val="auto"/>
                <w:sz w:val="21"/>
                <w:szCs w:val="21"/>
              </w:rPr>
              <w:t>、主要环境影响和保护措施</w:t>
            </w:r>
            <w:r>
              <w:rPr>
                <w:rFonts w:hint="eastAsia"/>
                <w:color w:val="auto"/>
                <w:sz w:val="21"/>
                <w:szCs w:val="21"/>
                <w:lang w:eastAsia="zh-CN"/>
              </w:rPr>
              <w:t>”</w:t>
            </w:r>
            <w:r>
              <w:rPr>
                <w:color w:val="auto"/>
                <w:sz w:val="21"/>
                <w:szCs w:val="21"/>
              </w:rPr>
              <w:t>章节中各要素的自行监测方案开展相应监测工作。</w:t>
            </w:r>
          </w:p>
          <w:p w14:paraId="5DE41BB5">
            <w:pPr>
              <w:keepNext/>
              <w:keepLines/>
              <w:tabs>
                <w:tab w:val="left" w:pos="0"/>
              </w:tabs>
              <w:spacing w:line="360" w:lineRule="exact"/>
              <w:ind w:left="40"/>
              <w:jc w:val="both"/>
              <w:outlineLvl w:val="4"/>
              <w:rPr>
                <w:rFonts w:ascii="Times New Roman" w:hAnsi="Times New Roman" w:cs="Times New Roman"/>
                <w:b/>
                <w:bCs/>
                <w:color w:val="auto"/>
                <w:sz w:val="21"/>
                <w:szCs w:val="21"/>
              </w:rPr>
            </w:pPr>
            <w:r>
              <w:rPr>
                <w:rFonts w:ascii="Times New Roman" w:hAnsi="Times New Roman" w:cs="Times New Roman"/>
                <w:b/>
                <w:bCs/>
                <w:color w:val="auto"/>
                <w:sz w:val="21"/>
                <w:szCs w:val="21"/>
              </w:rPr>
              <w:t>4、排污口规范化设置</w:t>
            </w:r>
          </w:p>
          <w:p w14:paraId="069FFC04">
            <w:pPr>
              <w:pStyle w:val="124"/>
              <w:spacing w:line="360" w:lineRule="exact"/>
              <w:ind w:firstLine="420"/>
              <w:jc w:val="both"/>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根据国家标准《环境保护图形标志—排放口（源）》和国家环保总局《排污口规范化整治要求（试行）》的技术要求，企业所有排放口，包括水、气、声、固体废物，必须按照</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便于计量监测、便于日常现场监督检查</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的原则和规范化要求，设置与之相适应的环境保护图形标志牌。</w:t>
            </w:r>
          </w:p>
          <w:p w14:paraId="5ED7CA1A">
            <w:pPr>
              <w:pStyle w:val="124"/>
              <w:spacing w:line="360" w:lineRule="exact"/>
              <w:ind w:firstLine="420"/>
              <w:jc w:val="both"/>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污染物排放口（源）和固体废物贮存、处置场，必须实行规范化整治，按照国家标准《环境保护图形标志》</w:t>
            </w:r>
            <w:r>
              <w:rPr>
                <w:rFonts w:hint="eastAsia" w:ascii="Times New Roman" w:hAnsi="Times New Roman" w:eastAsia="宋体" w:cs="Times New Roman"/>
                <w:color w:val="auto"/>
                <w:sz w:val="21"/>
                <w:szCs w:val="21"/>
              </w:rPr>
              <w:t>和《危险废物识别标志设置技术规范》（HJ</w:t>
            </w: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1276-2022）</w:t>
            </w:r>
            <w:r>
              <w:rPr>
                <w:rFonts w:ascii="Times New Roman" w:hAnsi="Times New Roman" w:eastAsia="宋体" w:cs="Times New Roman"/>
                <w:color w:val="auto"/>
                <w:sz w:val="21"/>
                <w:szCs w:val="21"/>
              </w:rPr>
              <w:t>的规定，设置与之相适应的环境保护图形标志牌。一般污染物排污口（源），设置提示式标志牌，有毒、有害污染物的排污口设置警告式标志牌。</w:t>
            </w:r>
          </w:p>
          <w:p w14:paraId="764C49D8">
            <w:pPr>
              <w:pStyle w:val="124"/>
              <w:spacing w:line="360" w:lineRule="exact"/>
              <w:ind w:firstLine="420"/>
              <w:jc w:val="both"/>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标志牌应设置在排污口（采样点）附近且醒目处，高度为标志牌上缘离地面2m。排污口附近1m范围内有建筑物的，设平面式标志牌，无建筑物的设立式标志牌。</w:t>
            </w:r>
          </w:p>
          <w:p w14:paraId="299A80CB">
            <w:pPr>
              <w:pStyle w:val="124"/>
              <w:spacing w:line="360" w:lineRule="exact"/>
              <w:ind w:firstLine="420"/>
              <w:jc w:val="both"/>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规范化排污口的有关设置（如图形标志牌、计量装置、在线监控装置等）属环保设施，建设单位必须负责日常的维护保养，任何单位和个人不得擅自拆除，如果需要变更的必须报当地环保部门同意并办理变更手续。</w:t>
            </w:r>
          </w:p>
          <w:p w14:paraId="77B21830">
            <w:pPr>
              <w:pStyle w:val="124"/>
              <w:spacing w:line="360" w:lineRule="exact"/>
              <w:ind w:firstLine="420"/>
              <w:jc w:val="both"/>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项目需要设置的标识标牌有：废气排放口、一般固废暂存场所；此外，各废气治理设施应挂牌标识名称及操作规程</w:t>
            </w:r>
            <w:r>
              <w:rPr>
                <w:rFonts w:hint="eastAsia" w:ascii="Times New Roman" w:hAnsi="Times New Roman" w:eastAsia="宋体" w:cs="Times New Roman"/>
                <w:color w:val="auto"/>
                <w:sz w:val="21"/>
                <w:szCs w:val="21"/>
                <w:lang w:eastAsia="zh-CN"/>
              </w:rPr>
              <w:t>。</w:t>
            </w:r>
          </w:p>
          <w:p w14:paraId="73A34ECE">
            <w:pPr>
              <w:keepNext/>
              <w:keepLines/>
              <w:pageBreakBefore w:val="0"/>
              <w:widowControl w:val="0"/>
              <w:tabs>
                <w:tab w:val="left" w:pos="0"/>
                <w:tab w:val="left" w:pos="180"/>
                <w:tab w:val="left" w:pos="1418"/>
                <w:tab w:val="left" w:pos="2976"/>
              </w:tabs>
              <w:kinsoku/>
              <w:wordWrap/>
              <w:overflowPunct/>
              <w:topLinePunct w:val="0"/>
              <w:autoSpaceDE/>
              <w:autoSpaceDN/>
              <w:bidi w:val="0"/>
              <w:adjustRightInd/>
              <w:snapToGrid/>
              <w:ind w:left="0"/>
              <w:jc w:val="center"/>
              <w:textAlignment w:val="auto"/>
              <w:outlineLvl w:val="7"/>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 xml:space="preserve">1 </w:t>
            </w:r>
            <w:r>
              <w:rPr>
                <w:rFonts w:hint="default" w:ascii="Times New Roman" w:hAnsi="Times New Roman" w:eastAsia="宋体" w:cs="Times New Roman"/>
                <w:b/>
                <w:bCs/>
                <w:color w:val="auto"/>
                <w:sz w:val="21"/>
                <w:szCs w:val="21"/>
                <w:lang w:val="en-US" w:eastAsia="zh-CN"/>
              </w:rPr>
              <w:t>排放口图形标志</w:t>
            </w:r>
          </w:p>
          <w:tbl>
            <w:tblPr>
              <w:tblStyle w:val="28"/>
              <w:tblW w:w="49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0"/>
              <w:gridCol w:w="2676"/>
              <w:gridCol w:w="2569"/>
            </w:tblGrid>
            <w:tr w14:paraId="681C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1" w:type="pct"/>
                  <w:tcBorders>
                    <w:top w:val="single" w:color="auto" w:sz="4" w:space="0"/>
                    <w:left w:val="single" w:color="auto" w:sz="4" w:space="0"/>
                    <w:bottom w:val="single" w:color="auto" w:sz="4" w:space="0"/>
                    <w:right w:val="single" w:color="auto" w:sz="4" w:space="0"/>
                  </w:tcBorders>
                  <w:noWrap w:val="0"/>
                  <w:vAlign w:val="center"/>
                </w:tcPr>
                <w:p w14:paraId="4D28C6A7">
                  <w:pPr>
                    <w:pStyle w:val="39"/>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drawing>
                      <wp:inline distT="0" distB="0" distL="114300" distR="114300">
                        <wp:extent cx="1440180" cy="1080135"/>
                        <wp:effectExtent l="0" t="0" r="7620" b="5715"/>
                        <wp:docPr id="18" name="图片 1"/>
                        <wp:cNvGraphicFramePr/>
                        <a:graphic xmlns:a="http://schemas.openxmlformats.org/drawingml/2006/main">
                          <a:graphicData uri="http://schemas.openxmlformats.org/drawingml/2006/picture">
                            <pic:pic xmlns:pic="http://schemas.openxmlformats.org/drawingml/2006/picture">
                              <pic:nvPicPr>
                                <pic:cNvPr id="18" name="图片 1"/>
                                <pic:cNvPicPr/>
                              </pic:nvPicPr>
                              <pic:blipFill>
                                <a:blip r:embed="rId40">
                                  <a:clrChange>
                                    <a:clrFrom>
                                      <a:srgbClr val="C0EBD0"/>
                                    </a:clrFrom>
                                    <a:clrTo>
                                      <a:srgbClr val="C0EBD0">
                                        <a:alpha val="0"/>
                                      </a:srgbClr>
                                    </a:clrTo>
                                  </a:clrChange>
                                </a:blip>
                                <a:stretch>
                                  <a:fillRect/>
                                </a:stretch>
                              </pic:blipFill>
                              <pic:spPr>
                                <a:xfrm>
                                  <a:off x="0" y="0"/>
                                  <a:ext cx="1440180" cy="1080135"/>
                                </a:xfrm>
                                <a:prstGeom prst="rect">
                                  <a:avLst/>
                                </a:prstGeom>
                                <a:noFill/>
                                <a:ln>
                                  <a:noFill/>
                                </a:ln>
                              </pic:spPr>
                            </pic:pic>
                          </a:graphicData>
                        </a:graphic>
                      </wp:inline>
                    </w:drawing>
                  </w:r>
                </w:p>
              </w:tc>
              <w:tc>
                <w:tcPr>
                  <w:tcW w:w="1718" w:type="pct"/>
                  <w:tcBorders>
                    <w:top w:val="single" w:color="auto" w:sz="4" w:space="0"/>
                    <w:left w:val="single" w:color="auto" w:sz="4" w:space="0"/>
                    <w:bottom w:val="single" w:color="auto" w:sz="4" w:space="0"/>
                    <w:right w:val="single" w:color="auto" w:sz="4" w:space="0"/>
                  </w:tcBorders>
                  <w:noWrap w:val="0"/>
                  <w:vAlign w:val="center"/>
                </w:tcPr>
                <w:p w14:paraId="4ABE4D19">
                  <w:pPr>
                    <w:pStyle w:val="39"/>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drawing>
                      <wp:inline distT="0" distB="0" distL="114300" distR="114300">
                        <wp:extent cx="1440180" cy="1078230"/>
                        <wp:effectExtent l="0" t="0" r="7620" b="762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41"/>
                                <a:stretch>
                                  <a:fillRect/>
                                </a:stretch>
                              </pic:blipFill>
                              <pic:spPr>
                                <a:xfrm>
                                  <a:off x="0" y="0"/>
                                  <a:ext cx="1440180" cy="1078230"/>
                                </a:xfrm>
                                <a:prstGeom prst="rect">
                                  <a:avLst/>
                                </a:prstGeom>
                                <a:noFill/>
                                <a:ln>
                                  <a:noFill/>
                                </a:ln>
                              </pic:spPr>
                            </pic:pic>
                          </a:graphicData>
                        </a:graphic>
                      </wp:inline>
                    </w:drawing>
                  </w:r>
                </w:p>
              </w:tc>
              <w:tc>
                <w:tcPr>
                  <w:tcW w:w="1649" w:type="pct"/>
                  <w:tcBorders>
                    <w:top w:val="single" w:color="auto" w:sz="4" w:space="0"/>
                    <w:left w:val="single" w:color="auto" w:sz="4" w:space="0"/>
                    <w:bottom w:val="single" w:color="auto" w:sz="4" w:space="0"/>
                    <w:right w:val="single" w:color="auto" w:sz="4" w:space="0"/>
                  </w:tcBorders>
                  <w:noWrap w:val="0"/>
                  <w:vAlign w:val="center"/>
                </w:tcPr>
                <w:p w14:paraId="5F3FE249">
                  <w:pPr>
                    <w:pStyle w:val="39"/>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drawing>
                      <wp:inline distT="0" distB="0" distL="114300" distR="114300">
                        <wp:extent cx="1440180" cy="1080135"/>
                        <wp:effectExtent l="0" t="0" r="7620" b="5715"/>
                        <wp:docPr id="20" name="图片 3"/>
                        <wp:cNvGraphicFramePr/>
                        <a:graphic xmlns:a="http://schemas.openxmlformats.org/drawingml/2006/main">
                          <a:graphicData uri="http://schemas.openxmlformats.org/drawingml/2006/picture">
                            <pic:pic xmlns:pic="http://schemas.openxmlformats.org/drawingml/2006/picture">
                              <pic:nvPicPr>
                                <pic:cNvPr id="20" name="图片 3"/>
                                <pic:cNvPicPr/>
                              </pic:nvPicPr>
                              <pic:blipFill>
                                <a:blip r:embed="rId42"/>
                                <a:stretch>
                                  <a:fillRect/>
                                </a:stretch>
                              </pic:blipFill>
                              <pic:spPr>
                                <a:xfrm>
                                  <a:off x="0" y="0"/>
                                  <a:ext cx="1440180" cy="1080135"/>
                                </a:xfrm>
                                <a:prstGeom prst="rect">
                                  <a:avLst/>
                                </a:prstGeom>
                                <a:noFill/>
                                <a:ln>
                                  <a:noFill/>
                                </a:ln>
                              </pic:spPr>
                            </pic:pic>
                          </a:graphicData>
                        </a:graphic>
                      </wp:inline>
                    </w:drawing>
                  </w:r>
                </w:p>
              </w:tc>
            </w:tr>
            <w:tr w14:paraId="7D24F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1" w:type="pct"/>
                  <w:tcBorders>
                    <w:top w:val="single" w:color="auto" w:sz="4" w:space="0"/>
                    <w:left w:val="single" w:color="auto" w:sz="4" w:space="0"/>
                    <w:bottom w:val="single" w:color="auto" w:sz="4" w:space="0"/>
                    <w:right w:val="single" w:color="auto" w:sz="4" w:space="0"/>
                  </w:tcBorders>
                  <w:noWrap w:val="0"/>
                  <w:vAlign w:val="center"/>
                </w:tcPr>
                <w:p w14:paraId="1CF6272D">
                  <w:pPr>
                    <w:pStyle w:val="39"/>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雨水排放口</w:t>
                  </w:r>
                </w:p>
              </w:tc>
              <w:tc>
                <w:tcPr>
                  <w:tcW w:w="1718" w:type="pct"/>
                  <w:tcBorders>
                    <w:top w:val="single" w:color="auto" w:sz="4" w:space="0"/>
                    <w:left w:val="single" w:color="auto" w:sz="4" w:space="0"/>
                    <w:bottom w:val="single" w:color="auto" w:sz="4" w:space="0"/>
                    <w:right w:val="single" w:color="auto" w:sz="4" w:space="0"/>
                  </w:tcBorders>
                  <w:noWrap w:val="0"/>
                  <w:vAlign w:val="center"/>
                </w:tcPr>
                <w:p w14:paraId="1DE8975A">
                  <w:pPr>
                    <w:pStyle w:val="39"/>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污水排放口</w:t>
                  </w:r>
                </w:p>
              </w:tc>
              <w:tc>
                <w:tcPr>
                  <w:tcW w:w="1649" w:type="pct"/>
                  <w:tcBorders>
                    <w:top w:val="single" w:color="auto" w:sz="4" w:space="0"/>
                    <w:left w:val="single" w:color="auto" w:sz="4" w:space="0"/>
                    <w:bottom w:val="single" w:color="auto" w:sz="4" w:space="0"/>
                    <w:right w:val="single" w:color="auto" w:sz="4" w:space="0"/>
                  </w:tcBorders>
                  <w:noWrap w:val="0"/>
                  <w:vAlign w:val="center"/>
                </w:tcPr>
                <w:p w14:paraId="4BE1EA99">
                  <w:pPr>
                    <w:pStyle w:val="39"/>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废气排放口</w:t>
                  </w:r>
                </w:p>
              </w:tc>
            </w:tr>
            <w:tr w14:paraId="397CC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1" w:type="pct"/>
                  <w:tcBorders>
                    <w:top w:val="single" w:color="auto" w:sz="4" w:space="0"/>
                    <w:left w:val="single" w:color="auto" w:sz="4" w:space="0"/>
                    <w:bottom w:val="single" w:color="auto" w:sz="4" w:space="0"/>
                    <w:right w:val="single" w:color="auto" w:sz="4" w:space="0"/>
                  </w:tcBorders>
                  <w:noWrap w:val="0"/>
                  <w:vAlign w:val="center"/>
                </w:tcPr>
                <w:p w14:paraId="452409F1">
                  <w:pPr>
                    <w:pStyle w:val="39"/>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drawing>
                      <wp:inline distT="0" distB="0" distL="114300" distR="114300">
                        <wp:extent cx="1440180" cy="1080135"/>
                        <wp:effectExtent l="0" t="0" r="7620" b="5715"/>
                        <wp:docPr id="12" name="图片 4"/>
                        <wp:cNvGraphicFramePr/>
                        <a:graphic xmlns:a="http://schemas.openxmlformats.org/drawingml/2006/main">
                          <a:graphicData uri="http://schemas.openxmlformats.org/drawingml/2006/picture">
                            <pic:pic xmlns:pic="http://schemas.openxmlformats.org/drawingml/2006/picture">
                              <pic:nvPicPr>
                                <pic:cNvPr id="12" name="图片 4"/>
                                <pic:cNvPicPr/>
                              </pic:nvPicPr>
                              <pic:blipFill>
                                <a:blip r:embed="rId43"/>
                                <a:stretch>
                                  <a:fillRect/>
                                </a:stretch>
                              </pic:blipFill>
                              <pic:spPr>
                                <a:xfrm>
                                  <a:off x="0" y="0"/>
                                  <a:ext cx="1440180" cy="1080135"/>
                                </a:xfrm>
                                <a:prstGeom prst="rect">
                                  <a:avLst/>
                                </a:prstGeom>
                                <a:noFill/>
                                <a:ln>
                                  <a:noFill/>
                                </a:ln>
                              </pic:spPr>
                            </pic:pic>
                          </a:graphicData>
                        </a:graphic>
                      </wp:inline>
                    </w:drawing>
                  </w:r>
                </w:p>
              </w:tc>
              <w:tc>
                <w:tcPr>
                  <w:tcW w:w="1718" w:type="pct"/>
                  <w:tcBorders>
                    <w:top w:val="single" w:color="auto" w:sz="4" w:space="0"/>
                    <w:left w:val="single" w:color="auto" w:sz="4" w:space="0"/>
                    <w:bottom w:val="single" w:color="auto" w:sz="4" w:space="0"/>
                    <w:right w:val="single" w:color="auto" w:sz="4" w:space="0"/>
                  </w:tcBorders>
                  <w:noWrap w:val="0"/>
                  <w:vAlign w:val="center"/>
                </w:tcPr>
                <w:p w14:paraId="7820CBD3">
                  <w:pPr>
                    <w:pStyle w:val="39"/>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drawing>
                      <wp:inline distT="0" distB="0" distL="114300" distR="114300">
                        <wp:extent cx="1227455" cy="1080135"/>
                        <wp:effectExtent l="0" t="0" r="10795" b="571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44">
                                  <a:clrChange>
                                    <a:clrFrom>
                                      <a:srgbClr val="FCF9E6"/>
                                    </a:clrFrom>
                                    <a:clrTo>
                                      <a:srgbClr val="FCF9E6">
                                        <a:alpha val="0"/>
                                      </a:srgbClr>
                                    </a:clrTo>
                                  </a:clrChange>
                                </a:blip>
                                <a:stretch>
                                  <a:fillRect/>
                                </a:stretch>
                              </pic:blipFill>
                              <pic:spPr>
                                <a:xfrm>
                                  <a:off x="0" y="0"/>
                                  <a:ext cx="1227455" cy="1080135"/>
                                </a:xfrm>
                                <a:prstGeom prst="rect">
                                  <a:avLst/>
                                </a:prstGeom>
                                <a:noFill/>
                                <a:ln>
                                  <a:noFill/>
                                </a:ln>
                              </pic:spPr>
                            </pic:pic>
                          </a:graphicData>
                        </a:graphic>
                      </wp:inline>
                    </w:drawing>
                  </w:r>
                </w:p>
              </w:tc>
              <w:tc>
                <w:tcPr>
                  <w:tcW w:w="1649" w:type="pct"/>
                  <w:tcBorders>
                    <w:top w:val="single" w:color="auto" w:sz="4" w:space="0"/>
                    <w:left w:val="single" w:color="auto" w:sz="4" w:space="0"/>
                    <w:bottom w:val="single" w:color="auto" w:sz="4" w:space="0"/>
                    <w:right w:val="single" w:color="auto" w:sz="4" w:space="0"/>
                  </w:tcBorders>
                  <w:noWrap w:val="0"/>
                  <w:vAlign w:val="center"/>
                </w:tcPr>
                <w:p w14:paraId="3D84A2C5">
                  <w:pPr>
                    <w:pStyle w:val="39"/>
                    <w:jc w:val="center"/>
                    <w:rPr>
                      <w:rFonts w:hint="default" w:ascii="Calibri" w:hAnsi="Calibri" w:eastAsia="宋体" w:cs="Calibri"/>
                      <w:color w:val="auto"/>
                      <w:kern w:val="2"/>
                      <w:sz w:val="21"/>
                      <w:szCs w:val="21"/>
                      <w:lang w:val="en-US" w:eastAsia="zh-CN" w:bidi="ar-SA"/>
                    </w:rPr>
                  </w:pPr>
                  <w:r>
                    <w:rPr>
                      <w:color w:val="auto"/>
                    </w:rPr>
                    <w:drawing>
                      <wp:inline distT="0" distB="0" distL="114300" distR="114300">
                        <wp:extent cx="1440180" cy="1080135"/>
                        <wp:effectExtent l="0" t="0" r="7620" b="5715"/>
                        <wp:docPr id="16" name="图片 6"/>
                        <wp:cNvGraphicFramePr/>
                        <a:graphic xmlns:a="http://schemas.openxmlformats.org/drawingml/2006/main">
                          <a:graphicData uri="http://schemas.openxmlformats.org/drawingml/2006/picture">
                            <pic:pic xmlns:pic="http://schemas.openxmlformats.org/drawingml/2006/picture">
                              <pic:nvPicPr>
                                <pic:cNvPr id="16" name="图片 6"/>
                                <pic:cNvPicPr/>
                              </pic:nvPicPr>
                              <pic:blipFill>
                                <a:blip r:embed="rId45"/>
                                <a:stretch>
                                  <a:fillRect/>
                                </a:stretch>
                              </pic:blipFill>
                              <pic:spPr>
                                <a:xfrm>
                                  <a:off x="0" y="0"/>
                                  <a:ext cx="1440180" cy="1080135"/>
                                </a:xfrm>
                                <a:prstGeom prst="rect">
                                  <a:avLst/>
                                </a:prstGeom>
                                <a:noFill/>
                                <a:ln>
                                  <a:noFill/>
                                </a:ln>
                              </pic:spPr>
                            </pic:pic>
                          </a:graphicData>
                        </a:graphic>
                      </wp:inline>
                    </w:drawing>
                  </w:r>
                </w:p>
              </w:tc>
            </w:tr>
            <w:tr w14:paraId="45C4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1" w:type="pct"/>
                  <w:tcBorders>
                    <w:top w:val="single" w:color="auto" w:sz="4" w:space="0"/>
                    <w:left w:val="single" w:color="auto" w:sz="4" w:space="0"/>
                    <w:bottom w:val="single" w:color="auto" w:sz="4" w:space="0"/>
                    <w:right w:val="single" w:color="auto" w:sz="4" w:space="0"/>
                  </w:tcBorders>
                  <w:noWrap w:val="0"/>
                  <w:vAlign w:val="center"/>
                </w:tcPr>
                <w:p w14:paraId="1CC8B4FA">
                  <w:pPr>
                    <w:pStyle w:val="39"/>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噪声排放源</w:t>
                  </w:r>
                </w:p>
              </w:tc>
              <w:tc>
                <w:tcPr>
                  <w:tcW w:w="1718" w:type="pct"/>
                  <w:tcBorders>
                    <w:top w:val="single" w:color="auto" w:sz="4" w:space="0"/>
                    <w:left w:val="single" w:color="auto" w:sz="4" w:space="0"/>
                    <w:bottom w:val="single" w:color="auto" w:sz="4" w:space="0"/>
                    <w:right w:val="single" w:color="auto" w:sz="4" w:space="0"/>
                  </w:tcBorders>
                  <w:noWrap w:val="0"/>
                  <w:vAlign w:val="center"/>
                </w:tcPr>
                <w:p w14:paraId="29DD2B60">
                  <w:pPr>
                    <w:pStyle w:val="39"/>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w:t>
                  </w:r>
                </w:p>
              </w:tc>
              <w:tc>
                <w:tcPr>
                  <w:tcW w:w="1649" w:type="pct"/>
                  <w:tcBorders>
                    <w:top w:val="single" w:color="auto" w:sz="4" w:space="0"/>
                    <w:left w:val="single" w:color="auto" w:sz="4" w:space="0"/>
                    <w:bottom w:val="single" w:color="auto" w:sz="4" w:space="0"/>
                    <w:right w:val="single" w:color="auto" w:sz="4" w:space="0"/>
                  </w:tcBorders>
                  <w:noWrap w:val="0"/>
                  <w:vAlign w:val="center"/>
                </w:tcPr>
                <w:p w14:paraId="41C33374">
                  <w:pPr>
                    <w:pStyle w:val="39"/>
                    <w:jc w:val="center"/>
                    <w:rPr>
                      <w:color w:val="auto"/>
                    </w:rPr>
                  </w:pPr>
                  <w:r>
                    <w:rPr>
                      <w:color w:val="auto"/>
                      <w:sz w:val="21"/>
                      <w:szCs w:val="21"/>
                    </w:rPr>
                    <w:t>一般工业固体废物</w:t>
                  </w:r>
                </w:p>
              </w:tc>
            </w:tr>
          </w:tbl>
          <w:p w14:paraId="7DB0A956">
            <w:pPr>
              <w:pStyle w:val="124"/>
              <w:spacing w:line="360" w:lineRule="exact"/>
              <w:ind w:firstLine="420"/>
              <w:jc w:val="both"/>
              <w:rPr>
                <w:rFonts w:hint="eastAsia" w:ascii="Times New Roman" w:hAnsi="Times New Roman" w:eastAsia="宋体" w:cs="Times New Roman"/>
                <w:color w:val="auto"/>
                <w:sz w:val="21"/>
                <w:szCs w:val="21"/>
                <w:lang w:eastAsia="zh-CN"/>
              </w:rPr>
            </w:pPr>
          </w:p>
        </w:tc>
      </w:tr>
    </w:tbl>
    <w:p w14:paraId="0B606F36">
      <w:pPr>
        <w:pStyle w:val="24"/>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r>
        <w:rPr>
          <w:rFonts w:hint="default" w:ascii="Times New Roman" w:hAnsi="Times New Roman" w:eastAsia="黑体" w:cs="Times New Roman"/>
          <w:snapToGrid w:val="0"/>
          <w:color w:val="auto"/>
          <w:sz w:val="30"/>
          <w:szCs w:val="30"/>
        </w:rPr>
        <w:t>六、结论</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F2676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Borders>
              <w:top w:val="single" w:color="auto" w:sz="8" w:space="0"/>
              <w:bottom w:val="single" w:color="auto" w:sz="8" w:space="0"/>
            </w:tcBorders>
          </w:tcPr>
          <w:p w14:paraId="594D8D60">
            <w:pPr>
              <w:pStyle w:val="123"/>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s="Times New Roman"/>
                <w:color w:val="auto"/>
                <w:kern w:val="2"/>
                <w:lang w:eastAsia="zh-CN"/>
              </w:rPr>
            </w:pPr>
            <w:r>
              <w:rPr>
                <w:rFonts w:hint="eastAsia" w:cs="Times New Roman"/>
                <w:color w:val="auto"/>
                <w:kern w:val="2"/>
                <w:lang w:eastAsia="zh-CN"/>
              </w:rPr>
              <w:t>综上所述，项目符合国家及地方产业政策，符合“三线一单”生态环境准入清单的要求，符合相关法律法规及环境政策，选址合理。根据计算，本项目外排废气浓度均能够达到相应标准要求；本项目无废水产生；本项目废气总量控制指标未超过公司现有排污许可证许可总量。符合达标排放标准、总量控制的原则；项目运营过程中对所在区域的环境质量影响较小，不改变所在区域的环境功能，对周边环境影响小。</w:t>
            </w:r>
          </w:p>
          <w:p w14:paraId="3EFF52B9">
            <w:pPr>
              <w:pStyle w:val="123"/>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s="Times New Roman"/>
                <w:color w:val="auto"/>
                <w:kern w:val="2"/>
                <w:lang w:eastAsia="zh-CN"/>
              </w:rPr>
            </w:pPr>
            <w:r>
              <w:rPr>
                <w:rFonts w:hint="eastAsia" w:cs="Times New Roman"/>
                <w:color w:val="auto"/>
                <w:kern w:val="2"/>
                <w:lang w:eastAsia="zh-CN"/>
              </w:rPr>
              <w:t>建设单位需在今后的运营过程中严格按照本环境影响报告表中提出的对策措施进行管理经营，严格执行“三同时”制度，加强企业的环境管理，确保污染物达标排放。从环境保护角度，在采取本项目环评提出的措施后，本项目的建设可行。</w:t>
            </w:r>
          </w:p>
        </w:tc>
      </w:tr>
    </w:tbl>
    <w:p w14:paraId="70FC07F2">
      <w:pPr>
        <w:rPr>
          <w:rFonts w:hint="default" w:ascii="Times New Roman" w:hAnsi="Times New Roman"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70228C41">
      <w:pPr>
        <w:pStyle w:val="24"/>
        <w:adjustRightInd w:val="0"/>
        <w:snapToGrid w:val="0"/>
        <w:spacing w:before="0" w:beforeAutospacing="0" w:after="0" w:afterAutospacing="0"/>
        <w:outlineLvl w:val="9"/>
        <w:rPr>
          <w:rFonts w:ascii="Times New Roman" w:hAnsi="Times New Roman" w:eastAsia="黑体"/>
          <w:snapToGrid w:val="0"/>
          <w:color w:val="auto"/>
          <w:sz w:val="32"/>
          <w:szCs w:val="32"/>
        </w:rPr>
      </w:pPr>
      <w:r>
        <w:rPr>
          <w:rFonts w:ascii="Times New Roman" w:hAnsi="Times New Roman" w:eastAsia="黑体"/>
          <w:snapToGrid w:val="0"/>
          <w:color w:val="auto"/>
          <w:sz w:val="32"/>
          <w:szCs w:val="32"/>
        </w:rPr>
        <w:t>附表</w:t>
      </w:r>
    </w:p>
    <w:p w14:paraId="2821AF65">
      <w:pPr>
        <w:pStyle w:val="24"/>
        <w:adjustRightInd w:val="0"/>
        <w:snapToGrid w:val="0"/>
        <w:spacing w:before="0" w:beforeAutospacing="0" w:after="0" w:afterAutospacing="0"/>
        <w:jc w:val="center"/>
        <w:outlineLvl w:val="0"/>
        <w:rPr>
          <w:rFonts w:ascii="Times New Roman" w:hAnsi="Times New Roman" w:eastAsia="方正小标宋_GBK"/>
          <w:snapToGrid w:val="0"/>
          <w:color w:val="auto"/>
          <w:sz w:val="38"/>
          <w:szCs w:val="38"/>
        </w:rPr>
      </w:pPr>
      <w:r>
        <w:rPr>
          <w:rFonts w:ascii="Times New Roman" w:hAnsi="Times New Roman" w:eastAsia="方正小标宋_GBK"/>
          <w:snapToGrid w:val="0"/>
          <w:color w:val="auto"/>
          <w:sz w:val="38"/>
          <w:szCs w:val="38"/>
        </w:rPr>
        <w:t>建设项目污染物排放量汇总表</w:t>
      </w:r>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71"/>
        <w:gridCol w:w="1066"/>
        <w:gridCol w:w="1892"/>
        <w:gridCol w:w="1231"/>
        <w:gridCol w:w="1820"/>
        <w:gridCol w:w="1758"/>
        <w:gridCol w:w="1658"/>
        <w:gridCol w:w="2160"/>
        <w:gridCol w:w="1236"/>
      </w:tblGrid>
      <w:tr w14:paraId="3AE171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53" w:type="pct"/>
            <w:tcBorders>
              <w:tl2br w:val="single" w:color="auto" w:sz="8" w:space="0"/>
            </w:tcBorders>
            <w:noWrap w:val="0"/>
            <w:tcMar>
              <w:left w:w="28" w:type="dxa"/>
              <w:right w:w="28" w:type="dxa"/>
            </w:tcMar>
            <w:vAlign w:val="center"/>
          </w:tcPr>
          <w:p w14:paraId="3D40BD0F">
            <w:pPr>
              <w:pStyle w:val="66"/>
              <w:spacing w:beforeLines="0" w:afterLines="0" w:line="240" w:lineRule="auto"/>
              <w:jc w:val="right"/>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项目</w:t>
            </w:r>
          </w:p>
          <w:p w14:paraId="2EE01797">
            <w:pPr>
              <w:pStyle w:val="66"/>
              <w:spacing w:beforeLines="0" w:afterLines="0" w:line="240" w:lineRule="auto"/>
              <w:jc w:val="left"/>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分类</w:t>
            </w:r>
          </w:p>
        </w:tc>
        <w:tc>
          <w:tcPr>
            <w:tcW w:w="399" w:type="pct"/>
            <w:tcBorders>
              <w:tl2br w:val="nil"/>
              <w:tr2bl w:val="nil"/>
            </w:tcBorders>
            <w:noWrap w:val="0"/>
            <w:tcMar>
              <w:left w:w="28" w:type="dxa"/>
              <w:right w:w="28" w:type="dxa"/>
            </w:tcMar>
            <w:vAlign w:val="center"/>
          </w:tcPr>
          <w:p w14:paraId="105D12F5">
            <w:pPr>
              <w:pStyle w:val="66"/>
              <w:spacing w:beforeLines="0" w:afterLines="0" w:line="240" w:lineRule="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污染物名称</w:t>
            </w:r>
          </w:p>
        </w:tc>
        <w:tc>
          <w:tcPr>
            <w:tcW w:w="705" w:type="pct"/>
            <w:tcBorders>
              <w:tl2br w:val="nil"/>
              <w:tr2bl w:val="nil"/>
            </w:tcBorders>
            <w:noWrap w:val="0"/>
            <w:tcMar>
              <w:left w:w="28" w:type="dxa"/>
              <w:right w:w="28" w:type="dxa"/>
            </w:tcMar>
            <w:vAlign w:val="center"/>
          </w:tcPr>
          <w:p w14:paraId="33F13377">
            <w:pPr>
              <w:pStyle w:val="66"/>
              <w:spacing w:beforeLines="0" w:afterLines="0" w:line="240" w:lineRule="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现有工程排放量（固体废物产生量）</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kern w:val="2"/>
                <w:szCs w:val="21"/>
              </w:rPr>
              <w:t>①</w:t>
            </w:r>
            <w:r>
              <w:rPr>
                <w:rFonts w:hint="default" w:ascii="Times New Roman" w:hAnsi="Times New Roman" w:eastAsia="宋体" w:cs="Times New Roman"/>
                <w:snapToGrid w:val="0"/>
                <w:color w:val="auto"/>
                <w:spacing w:val="-6"/>
                <w:kern w:val="21"/>
                <w:szCs w:val="21"/>
              </w:rPr>
              <w:fldChar w:fldCharType="end"/>
            </w:r>
          </w:p>
        </w:tc>
        <w:tc>
          <w:tcPr>
            <w:tcW w:w="460" w:type="pct"/>
            <w:tcBorders>
              <w:tl2br w:val="nil"/>
              <w:tr2bl w:val="nil"/>
            </w:tcBorders>
            <w:noWrap w:val="0"/>
            <w:tcMar>
              <w:left w:w="28" w:type="dxa"/>
              <w:right w:w="28" w:type="dxa"/>
            </w:tcMar>
            <w:vAlign w:val="center"/>
          </w:tcPr>
          <w:p w14:paraId="642A38ED">
            <w:pPr>
              <w:pStyle w:val="66"/>
              <w:spacing w:beforeLines="0" w:afterLines="0" w:line="240" w:lineRule="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现有工程许可排放量</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2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snapToGrid w:val="0"/>
                <w:color w:val="auto"/>
                <w:spacing w:val="-6"/>
                <w:kern w:val="21"/>
                <w:szCs w:val="21"/>
              </w:rPr>
              <w:t>②</w:t>
            </w:r>
            <w:r>
              <w:rPr>
                <w:rFonts w:hint="default" w:ascii="Times New Roman" w:hAnsi="Times New Roman" w:eastAsia="宋体" w:cs="Times New Roman"/>
                <w:snapToGrid w:val="0"/>
                <w:color w:val="auto"/>
                <w:spacing w:val="-6"/>
                <w:kern w:val="21"/>
                <w:szCs w:val="21"/>
              </w:rPr>
              <w:fldChar w:fldCharType="end"/>
            </w:r>
          </w:p>
        </w:tc>
        <w:tc>
          <w:tcPr>
            <w:tcW w:w="678" w:type="pct"/>
            <w:tcBorders>
              <w:tl2br w:val="nil"/>
              <w:tr2bl w:val="nil"/>
            </w:tcBorders>
            <w:noWrap w:val="0"/>
            <w:tcMar>
              <w:left w:w="28" w:type="dxa"/>
              <w:right w:w="28" w:type="dxa"/>
            </w:tcMar>
            <w:vAlign w:val="center"/>
          </w:tcPr>
          <w:p w14:paraId="70BCC942">
            <w:pPr>
              <w:pStyle w:val="66"/>
              <w:spacing w:beforeLines="0" w:afterLines="0" w:line="240" w:lineRule="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在建工程排放量（固体废物产生量）</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3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kern w:val="2"/>
                <w:szCs w:val="21"/>
              </w:rPr>
              <w:t>③</w:t>
            </w:r>
            <w:r>
              <w:rPr>
                <w:rFonts w:hint="default" w:ascii="Times New Roman" w:hAnsi="Times New Roman" w:eastAsia="宋体" w:cs="Times New Roman"/>
                <w:snapToGrid w:val="0"/>
                <w:color w:val="auto"/>
                <w:spacing w:val="-6"/>
                <w:kern w:val="21"/>
                <w:szCs w:val="21"/>
              </w:rPr>
              <w:fldChar w:fldCharType="end"/>
            </w:r>
          </w:p>
        </w:tc>
        <w:tc>
          <w:tcPr>
            <w:tcW w:w="655" w:type="pct"/>
            <w:tcBorders>
              <w:tl2br w:val="nil"/>
              <w:tr2bl w:val="nil"/>
            </w:tcBorders>
            <w:noWrap w:val="0"/>
            <w:tcMar>
              <w:left w:w="28" w:type="dxa"/>
              <w:right w:w="28" w:type="dxa"/>
            </w:tcMar>
            <w:vAlign w:val="center"/>
          </w:tcPr>
          <w:p w14:paraId="4F7A9A98">
            <w:pPr>
              <w:pStyle w:val="66"/>
              <w:spacing w:beforeLines="0" w:afterLines="0" w:line="240" w:lineRule="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本项目排放量（固体废物产生量）</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4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kern w:val="2"/>
                <w:szCs w:val="21"/>
              </w:rPr>
              <w:t>④</w:t>
            </w:r>
            <w:r>
              <w:rPr>
                <w:rFonts w:hint="default" w:ascii="Times New Roman" w:hAnsi="Times New Roman" w:eastAsia="宋体" w:cs="Times New Roman"/>
                <w:snapToGrid w:val="0"/>
                <w:color w:val="auto"/>
                <w:spacing w:val="-6"/>
                <w:kern w:val="21"/>
                <w:szCs w:val="21"/>
              </w:rPr>
              <w:fldChar w:fldCharType="end"/>
            </w:r>
          </w:p>
        </w:tc>
        <w:tc>
          <w:tcPr>
            <w:tcW w:w="618" w:type="pct"/>
            <w:tcBorders>
              <w:tl2br w:val="nil"/>
              <w:tr2bl w:val="nil"/>
            </w:tcBorders>
            <w:noWrap w:val="0"/>
            <w:tcMar>
              <w:left w:w="28" w:type="dxa"/>
              <w:right w:w="28" w:type="dxa"/>
            </w:tcMar>
            <w:vAlign w:val="center"/>
          </w:tcPr>
          <w:p w14:paraId="22B015A9">
            <w:pPr>
              <w:pStyle w:val="66"/>
              <w:spacing w:beforeLines="0" w:afterLines="0" w:line="240" w:lineRule="auto"/>
              <w:rPr>
                <w:rFonts w:hint="default" w:ascii="Times New Roman" w:hAnsi="Times New Roman" w:eastAsia="宋体" w:cs="Times New Roman"/>
                <w:snapToGrid w:val="0"/>
                <w:color w:val="auto"/>
                <w:spacing w:val="-16"/>
                <w:kern w:val="21"/>
                <w:szCs w:val="21"/>
              </w:rPr>
            </w:pPr>
            <w:r>
              <w:rPr>
                <w:rFonts w:hint="default" w:ascii="Times New Roman" w:hAnsi="Times New Roman" w:eastAsia="宋体" w:cs="Times New Roman"/>
                <w:snapToGrid w:val="0"/>
                <w:color w:val="auto"/>
                <w:spacing w:val="-16"/>
                <w:kern w:val="21"/>
                <w:szCs w:val="21"/>
              </w:rPr>
              <w:t>以新带老削减量（新建项目不填）</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5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kern w:val="2"/>
                <w:szCs w:val="21"/>
              </w:rPr>
              <w:t>⑤</w:t>
            </w:r>
            <w:r>
              <w:rPr>
                <w:rFonts w:hint="default" w:ascii="Times New Roman" w:hAnsi="Times New Roman" w:eastAsia="宋体" w:cs="Times New Roman"/>
                <w:snapToGrid w:val="0"/>
                <w:color w:val="auto"/>
                <w:spacing w:val="-16"/>
                <w:kern w:val="21"/>
                <w:szCs w:val="21"/>
              </w:rPr>
              <w:fldChar w:fldCharType="end"/>
            </w:r>
          </w:p>
        </w:tc>
        <w:tc>
          <w:tcPr>
            <w:tcW w:w="804" w:type="pct"/>
            <w:tcBorders>
              <w:tl2br w:val="nil"/>
              <w:tr2bl w:val="nil"/>
            </w:tcBorders>
            <w:noWrap w:val="0"/>
            <w:tcMar>
              <w:left w:w="28" w:type="dxa"/>
              <w:right w:w="28" w:type="dxa"/>
            </w:tcMar>
            <w:vAlign w:val="center"/>
          </w:tcPr>
          <w:p w14:paraId="72FF4486">
            <w:pPr>
              <w:pStyle w:val="66"/>
              <w:spacing w:beforeLines="0" w:afterLines="0" w:line="240" w:lineRule="auto"/>
              <w:rPr>
                <w:rFonts w:hint="default" w:ascii="Times New Roman" w:hAnsi="Times New Roman" w:eastAsia="宋体" w:cs="Times New Roman"/>
                <w:snapToGrid w:val="0"/>
                <w:color w:val="auto"/>
                <w:spacing w:val="-16"/>
                <w:kern w:val="21"/>
                <w:szCs w:val="21"/>
              </w:rPr>
            </w:pPr>
            <w:r>
              <w:rPr>
                <w:rFonts w:hint="default" w:ascii="Times New Roman" w:hAnsi="Times New Roman" w:eastAsia="宋体" w:cs="Times New Roman"/>
                <w:snapToGrid w:val="0"/>
                <w:color w:val="auto"/>
                <w:spacing w:val="-16"/>
                <w:kern w:val="21"/>
                <w:szCs w:val="21"/>
              </w:rPr>
              <w:t>本项目建成后全厂排放量（固体废物产生量）</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kern w:val="2"/>
                <w:szCs w:val="21"/>
              </w:rPr>
              <w:t>⑥</w:t>
            </w:r>
            <w:r>
              <w:rPr>
                <w:rFonts w:hint="default" w:ascii="Times New Roman" w:hAnsi="Times New Roman" w:eastAsia="宋体" w:cs="Times New Roman"/>
                <w:snapToGrid w:val="0"/>
                <w:color w:val="auto"/>
                <w:spacing w:val="-16"/>
                <w:kern w:val="21"/>
                <w:szCs w:val="21"/>
              </w:rPr>
              <w:fldChar w:fldCharType="end"/>
            </w:r>
          </w:p>
        </w:tc>
        <w:tc>
          <w:tcPr>
            <w:tcW w:w="424" w:type="pct"/>
            <w:tcBorders>
              <w:tl2br w:val="nil"/>
              <w:tr2bl w:val="nil"/>
            </w:tcBorders>
            <w:noWrap w:val="0"/>
            <w:tcMar>
              <w:left w:w="28" w:type="dxa"/>
              <w:right w:w="28" w:type="dxa"/>
            </w:tcMar>
            <w:vAlign w:val="center"/>
          </w:tcPr>
          <w:p w14:paraId="222B20EC">
            <w:pPr>
              <w:pStyle w:val="66"/>
              <w:spacing w:beforeLines="0" w:afterLines="0" w:line="240" w:lineRule="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变化量</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7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kern w:val="2"/>
                <w:szCs w:val="21"/>
              </w:rPr>
              <w:t>⑦</w:t>
            </w:r>
            <w:r>
              <w:rPr>
                <w:rFonts w:hint="default" w:ascii="Times New Roman" w:hAnsi="Times New Roman" w:eastAsia="宋体" w:cs="Times New Roman"/>
                <w:snapToGrid w:val="0"/>
                <w:color w:val="auto"/>
                <w:spacing w:val="-6"/>
                <w:kern w:val="21"/>
                <w:szCs w:val="21"/>
              </w:rPr>
              <w:fldChar w:fldCharType="end"/>
            </w:r>
          </w:p>
        </w:tc>
      </w:tr>
      <w:tr w14:paraId="752A47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53" w:type="pct"/>
            <w:vMerge w:val="restart"/>
            <w:tcBorders>
              <w:tl2br w:val="nil"/>
              <w:tr2bl w:val="nil"/>
            </w:tcBorders>
            <w:noWrap w:val="0"/>
            <w:vAlign w:val="center"/>
          </w:tcPr>
          <w:p w14:paraId="25207AC5">
            <w:pPr>
              <w:pStyle w:val="66"/>
              <w:spacing w:beforeLines="0" w:afterLines="0" w:line="240" w:lineRule="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废气</w:t>
            </w:r>
          </w:p>
        </w:tc>
        <w:tc>
          <w:tcPr>
            <w:tcW w:w="399" w:type="pct"/>
            <w:tcBorders>
              <w:tl2br w:val="nil"/>
              <w:tr2bl w:val="nil"/>
            </w:tcBorders>
            <w:noWrap w:val="0"/>
            <w:vAlign w:val="center"/>
          </w:tcPr>
          <w:p w14:paraId="47AB55BF">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rPr>
            </w:pPr>
            <w:r>
              <w:rPr>
                <w:rFonts w:hint="eastAsia" w:ascii="Times New Roman" w:hAnsi="Times New Roman" w:cs="Times New Roman"/>
                <w:color w:val="auto"/>
                <w:sz w:val="21"/>
                <w:szCs w:val="21"/>
                <w:lang w:val="en-US" w:eastAsia="zh-CN"/>
              </w:rPr>
              <w:t>SO</w:t>
            </w:r>
            <w:r>
              <w:rPr>
                <w:rFonts w:hint="eastAsia" w:ascii="Times New Roman" w:hAnsi="Times New Roman" w:cs="Times New Roman"/>
                <w:color w:val="auto"/>
                <w:sz w:val="21"/>
                <w:szCs w:val="21"/>
                <w:vertAlign w:val="subscript"/>
                <w:lang w:val="en-US" w:eastAsia="zh-CN"/>
              </w:rPr>
              <w:t>2</w:t>
            </w:r>
          </w:p>
        </w:tc>
        <w:tc>
          <w:tcPr>
            <w:tcW w:w="705" w:type="pct"/>
            <w:tcBorders>
              <w:tl2br w:val="nil"/>
              <w:tr2bl w:val="nil"/>
            </w:tcBorders>
            <w:noWrap w:val="0"/>
            <w:vAlign w:val="center"/>
          </w:tcPr>
          <w:p w14:paraId="4D496355">
            <w:pPr>
              <w:pStyle w:val="66"/>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57.2</w:t>
            </w:r>
          </w:p>
        </w:tc>
        <w:tc>
          <w:tcPr>
            <w:tcW w:w="460" w:type="pct"/>
            <w:tcBorders>
              <w:tl2br w:val="nil"/>
              <w:tr2bl w:val="nil"/>
            </w:tcBorders>
            <w:noWrap w:val="0"/>
            <w:vAlign w:val="center"/>
          </w:tcPr>
          <w:p w14:paraId="4DF2007B">
            <w:pPr>
              <w:pStyle w:val="66"/>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162.11</w:t>
            </w:r>
          </w:p>
        </w:tc>
        <w:tc>
          <w:tcPr>
            <w:tcW w:w="678" w:type="pct"/>
            <w:tcBorders>
              <w:tl2br w:val="nil"/>
              <w:tr2bl w:val="nil"/>
            </w:tcBorders>
            <w:noWrap w:val="0"/>
            <w:vAlign w:val="center"/>
          </w:tcPr>
          <w:p w14:paraId="2E9D418E">
            <w:pPr>
              <w:pStyle w:val="66"/>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655" w:type="pct"/>
            <w:tcBorders>
              <w:tl2br w:val="nil"/>
              <w:tr2bl w:val="nil"/>
            </w:tcBorders>
            <w:noWrap w:val="0"/>
            <w:vAlign w:val="center"/>
          </w:tcPr>
          <w:p w14:paraId="7FE00A03">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46.288</w:t>
            </w:r>
          </w:p>
        </w:tc>
        <w:tc>
          <w:tcPr>
            <w:tcW w:w="618" w:type="pct"/>
            <w:tcBorders>
              <w:tl2br w:val="nil"/>
              <w:tr2bl w:val="nil"/>
            </w:tcBorders>
            <w:noWrap w:val="0"/>
            <w:vAlign w:val="center"/>
          </w:tcPr>
          <w:p w14:paraId="27939A5E">
            <w:pPr>
              <w:pStyle w:val="66"/>
              <w:spacing w:beforeLines="0" w:afterLines="0" w:line="240" w:lineRule="auto"/>
              <w:rPr>
                <w:rFonts w:hint="default" w:ascii="Times New Roman" w:hAnsi="Times New Roman" w:eastAsia="宋体" w:cs="Times New Roman"/>
                <w:color w:val="auto"/>
                <w:lang w:val="en-US"/>
              </w:rPr>
            </w:pPr>
            <w:r>
              <w:rPr>
                <w:rFonts w:hint="eastAsia" w:ascii="Times New Roman" w:cs="Times New Roman"/>
                <w:snapToGrid w:val="0"/>
                <w:color w:val="auto"/>
                <w:kern w:val="21"/>
                <w:szCs w:val="21"/>
                <w:lang w:val="en-US" w:eastAsia="zh-CN"/>
              </w:rPr>
              <w:t>8.622</w:t>
            </w:r>
          </w:p>
        </w:tc>
        <w:tc>
          <w:tcPr>
            <w:tcW w:w="804" w:type="pct"/>
            <w:tcBorders>
              <w:tl2br w:val="nil"/>
              <w:tr2bl w:val="nil"/>
            </w:tcBorders>
            <w:noWrap w:val="0"/>
            <w:vAlign w:val="center"/>
          </w:tcPr>
          <w:p w14:paraId="2AAF6ECB">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46.288</w:t>
            </w:r>
          </w:p>
        </w:tc>
        <w:tc>
          <w:tcPr>
            <w:tcW w:w="424" w:type="pct"/>
            <w:tcBorders>
              <w:tl2br w:val="nil"/>
              <w:tr2bl w:val="nil"/>
            </w:tcBorders>
            <w:noWrap w:val="0"/>
            <w:vAlign w:val="center"/>
          </w:tcPr>
          <w:p w14:paraId="1CA02F06">
            <w:pPr>
              <w:tabs>
                <w:tab w:val="left" w:pos="1215"/>
              </w:tabs>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-8.622</w:t>
            </w:r>
          </w:p>
        </w:tc>
      </w:tr>
      <w:tr w14:paraId="2CC8E9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53" w:type="pct"/>
            <w:vMerge w:val="continue"/>
            <w:tcBorders>
              <w:tl2br w:val="nil"/>
              <w:tr2bl w:val="nil"/>
            </w:tcBorders>
            <w:noWrap w:val="0"/>
            <w:vAlign w:val="center"/>
          </w:tcPr>
          <w:p w14:paraId="3786E437">
            <w:pPr>
              <w:pStyle w:val="66"/>
              <w:spacing w:beforeLines="0" w:afterLines="0" w:line="240" w:lineRule="auto"/>
              <w:rPr>
                <w:rFonts w:hint="default" w:ascii="Times New Roman" w:hAnsi="Times New Roman" w:eastAsia="宋体" w:cs="Times New Roman"/>
                <w:snapToGrid w:val="0"/>
                <w:color w:val="auto"/>
                <w:kern w:val="21"/>
                <w:szCs w:val="21"/>
              </w:rPr>
            </w:pPr>
          </w:p>
        </w:tc>
        <w:tc>
          <w:tcPr>
            <w:tcW w:w="399" w:type="pct"/>
            <w:tcBorders>
              <w:tl2br w:val="nil"/>
              <w:tr2bl w:val="nil"/>
            </w:tcBorders>
            <w:noWrap w:val="0"/>
            <w:vAlign w:val="center"/>
          </w:tcPr>
          <w:p w14:paraId="666F1A3D">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rPr>
            </w:pPr>
            <w:r>
              <w:rPr>
                <w:rFonts w:hint="eastAsia" w:ascii="Times New Roman" w:hAnsi="Times New Roman" w:cs="Times New Roman"/>
                <w:color w:val="auto"/>
                <w:sz w:val="21"/>
                <w:szCs w:val="21"/>
                <w:lang w:val="en-US" w:eastAsia="zh-CN"/>
              </w:rPr>
              <w:t>颗粒物</w:t>
            </w:r>
          </w:p>
        </w:tc>
        <w:tc>
          <w:tcPr>
            <w:tcW w:w="705" w:type="pct"/>
            <w:tcBorders>
              <w:tl2br w:val="nil"/>
              <w:tr2bl w:val="nil"/>
            </w:tcBorders>
            <w:noWrap w:val="0"/>
            <w:vAlign w:val="center"/>
          </w:tcPr>
          <w:p w14:paraId="3F1E8974">
            <w:pPr>
              <w:pStyle w:val="66"/>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30.99</w:t>
            </w:r>
          </w:p>
        </w:tc>
        <w:tc>
          <w:tcPr>
            <w:tcW w:w="460" w:type="pct"/>
            <w:tcBorders>
              <w:tl2br w:val="nil"/>
              <w:tr2bl w:val="nil"/>
            </w:tcBorders>
            <w:noWrap w:val="0"/>
            <w:vAlign w:val="center"/>
          </w:tcPr>
          <w:p w14:paraId="3CC79C29">
            <w:pPr>
              <w:pStyle w:val="66"/>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171.9</w:t>
            </w:r>
          </w:p>
        </w:tc>
        <w:tc>
          <w:tcPr>
            <w:tcW w:w="678" w:type="pct"/>
            <w:tcBorders>
              <w:tl2br w:val="nil"/>
              <w:tr2bl w:val="nil"/>
            </w:tcBorders>
            <w:noWrap w:val="0"/>
            <w:vAlign w:val="center"/>
          </w:tcPr>
          <w:p w14:paraId="31F25ACF">
            <w:pPr>
              <w:pStyle w:val="66"/>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655" w:type="pct"/>
            <w:tcBorders>
              <w:tl2br w:val="nil"/>
              <w:tr2bl w:val="nil"/>
            </w:tcBorders>
            <w:noWrap w:val="0"/>
            <w:vAlign w:val="center"/>
          </w:tcPr>
          <w:p w14:paraId="2DA3A4DC">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0</w:t>
            </w:r>
          </w:p>
        </w:tc>
        <w:tc>
          <w:tcPr>
            <w:tcW w:w="618" w:type="pct"/>
            <w:tcBorders>
              <w:tl2br w:val="nil"/>
              <w:tr2bl w:val="nil"/>
            </w:tcBorders>
            <w:noWrap w:val="0"/>
            <w:vAlign w:val="center"/>
          </w:tcPr>
          <w:p w14:paraId="0D97CB5F">
            <w:pPr>
              <w:pStyle w:val="66"/>
              <w:spacing w:beforeLines="0" w:afterLines="0" w:line="240" w:lineRule="auto"/>
              <w:rPr>
                <w:rFonts w:hint="default" w:ascii="Times New Roman" w:hAnsi="Times New Roman" w:eastAsia="宋体" w:cs="Times New Roman"/>
                <w:color w:val="auto"/>
              </w:rPr>
            </w:pPr>
            <w:r>
              <w:rPr>
                <w:rFonts w:hint="eastAsia" w:ascii="Times New Roman" w:cs="Times New Roman"/>
                <w:snapToGrid w:val="0"/>
                <w:color w:val="auto"/>
                <w:kern w:val="21"/>
                <w:szCs w:val="21"/>
                <w:lang w:val="en-US" w:eastAsia="zh-CN"/>
              </w:rPr>
              <w:t>0</w:t>
            </w:r>
          </w:p>
        </w:tc>
        <w:tc>
          <w:tcPr>
            <w:tcW w:w="804" w:type="pct"/>
            <w:tcBorders>
              <w:tl2br w:val="nil"/>
              <w:tr2bl w:val="nil"/>
            </w:tcBorders>
            <w:noWrap w:val="0"/>
            <w:vAlign w:val="center"/>
          </w:tcPr>
          <w:p w14:paraId="45B8C0B2">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30.99</w:t>
            </w:r>
          </w:p>
        </w:tc>
        <w:tc>
          <w:tcPr>
            <w:tcW w:w="424" w:type="pct"/>
            <w:tcBorders>
              <w:tl2br w:val="nil"/>
              <w:tr2bl w:val="nil"/>
            </w:tcBorders>
            <w:noWrap w:val="0"/>
            <w:vAlign w:val="center"/>
          </w:tcPr>
          <w:p w14:paraId="1BB4A272">
            <w:pPr>
              <w:tabs>
                <w:tab w:val="left" w:pos="1215"/>
              </w:tabs>
              <w:adjustRightInd w:val="0"/>
              <w:snapToGrid w:val="0"/>
              <w:jc w:val="center"/>
              <w:rPr>
                <w:rFonts w:hint="default" w:ascii="Times New Roman" w:hAnsi="Times New Roman" w:eastAsia="宋体" w:cs="Times New Roman"/>
                <w:color w:val="auto"/>
              </w:rPr>
            </w:pPr>
            <w:r>
              <w:rPr>
                <w:rFonts w:hint="eastAsia" w:cs="Times New Roman"/>
                <w:color w:val="auto"/>
                <w:lang w:val="en-US" w:eastAsia="zh-CN"/>
              </w:rPr>
              <w:t>0</w:t>
            </w:r>
          </w:p>
        </w:tc>
      </w:tr>
      <w:tr w14:paraId="2DDDAF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53" w:type="pct"/>
            <w:vMerge w:val="continue"/>
            <w:tcBorders>
              <w:tl2br w:val="nil"/>
              <w:tr2bl w:val="nil"/>
            </w:tcBorders>
            <w:noWrap w:val="0"/>
            <w:vAlign w:val="center"/>
          </w:tcPr>
          <w:p w14:paraId="62C1CCE8">
            <w:pPr>
              <w:pStyle w:val="66"/>
              <w:spacing w:beforeLines="0" w:afterLines="0" w:line="240" w:lineRule="auto"/>
              <w:rPr>
                <w:rFonts w:hint="default" w:ascii="Times New Roman" w:hAnsi="Times New Roman" w:eastAsia="宋体" w:cs="Times New Roman"/>
                <w:snapToGrid w:val="0"/>
                <w:color w:val="auto"/>
                <w:kern w:val="21"/>
                <w:szCs w:val="21"/>
              </w:rPr>
            </w:pPr>
          </w:p>
        </w:tc>
        <w:tc>
          <w:tcPr>
            <w:tcW w:w="399" w:type="pct"/>
            <w:tcBorders>
              <w:tl2br w:val="nil"/>
              <w:tr2bl w:val="nil"/>
            </w:tcBorders>
            <w:noWrap w:val="0"/>
            <w:vAlign w:val="center"/>
          </w:tcPr>
          <w:p w14:paraId="037E56DE">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rPr>
            </w:pPr>
            <w:r>
              <w:rPr>
                <w:rFonts w:hint="eastAsia" w:ascii="Times New Roman" w:hAnsi="Times New Roman" w:cs="Times New Roman"/>
                <w:color w:val="auto"/>
                <w:sz w:val="21"/>
                <w:szCs w:val="21"/>
                <w:lang w:val="en-US" w:eastAsia="zh-CN"/>
              </w:rPr>
              <w:t>NO</w:t>
            </w:r>
            <w:r>
              <w:rPr>
                <w:rFonts w:hint="eastAsia" w:ascii="Times New Roman" w:hAnsi="Times New Roman" w:cs="Times New Roman"/>
                <w:color w:val="auto"/>
                <w:sz w:val="21"/>
                <w:szCs w:val="21"/>
                <w:vertAlign w:val="baseline"/>
                <w:lang w:val="en-US" w:eastAsia="zh-CN"/>
              </w:rPr>
              <w:t>x</w:t>
            </w:r>
          </w:p>
        </w:tc>
        <w:tc>
          <w:tcPr>
            <w:tcW w:w="705" w:type="pct"/>
            <w:tcBorders>
              <w:tl2br w:val="nil"/>
              <w:tr2bl w:val="nil"/>
            </w:tcBorders>
            <w:noWrap w:val="0"/>
            <w:vAlign w:val="center"/>
          </w:tcPr>
          <w:p w14:paraId="54288C59">
            <w:pPr>
              <w:pStyle w:val="66"/>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415.72</w:t>
            </w:r>
          </w:p>
        </w:tc>
        <w:tc>
          <w:tcPr>
            <w:tcW w:w="460" w:type="pct"/>
            <w:tcBorders>
              <w:tl2br w:val="nil"/>
              <w:tr2bl w:val="nil"/>
            </w:tcBorders>
            <w:noWrap w:val="0"/>
            <w:vAlign w:val="center"/>
          </w:tcPr>
          <w:p w14:paraId="59CC5732">
            <w:pPr>
              <w:pStyle w:val="66"/>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756.25</w:t>
            </w:r>
          </w:p>
        </w:tc>
        <w:tc>
          <w:tcPr>
            <w:tcW w:w="678" w:type="pct"/>
            <w:tcBorders>
              <w:tl2br w:val="nil"/>
              <w:tr2bl w:val="nil"/>
            </w:tcBorders>
            <w:noWrap w:val="0"/>
            <w:vAlign w:val="center"/>
          </w:tcPr>
          <w:p w14:paraId="43946F42">
            <w:pPr>
              <w:pStyle w:val="66"/>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655" w:type="pct"/>
            <w:tcBorders>
              <w:tl2br w:val="nil"/>
              <w:tr2bl w:val="nil"/>
            </w:tcBorders>
            <w:noWrap w:val="0"/>
            <w:vAlign w:val="center"/>
          </w:tcPr>
          <w:p w14:paraId="13FEFE36">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0</w:t>
            </w:r>
          </w:p>
        </w:tc>
        <w:tc>
          <w:tcPr>
            <w:tcW w:w="618" w:type="pct"/>
            <w:tcBorders>
              <w:tl2br w:val="nil"/>
              <w:tr2bl w:val="nil"/>
            </w:tcBorders>
            <w:noWrap w:val="0"/>
            <w:vAlign w:val="center"/>
          </w:tcPr>
          <w:p w14:paraId="0E487CA9">
            <w:pPr>
              <w:pStyle w:val="66"/>
              <w:spacing w:beforeLines="0" w:afterLines="0" w:line="240" w:lineRule="auto"/>
              <w:rPr>
                <w:rFonts w:hint="default" w:ascii="Times New Roman" w:hAnsi="Times New Roman" w:eastAsia="宋体" w:cs="Times New Roman"/>
                <w:color w:val="auto"/>
              </w:rPr>
            </w:pPr>
            <w:r>
              <w:rPr>
                <w:rFonts w:hint="eastAsia" w:ascii="Times New Roman" w:cs="Times New Roman"/>
                <w:snapToGrid w:val="0"/>
                <w:color w:val="auto"/>
                <w:kern w:val="21"/>
                <w:szCs w:val="21"/>
                <w:lang w:val="en-US" w:eastAsia="zh-CN"/>
              </w:rPr>
              <w:t>0</w:t>
            </w:r>
          </w:p>
        </w:tc>
        <w:tc>
          <w:tcPr>
            <w:tcW w:w="804" w:type="pct"/>
            <w:tcBorders>
              <w:tl2br w:val="nil"/>
              <w:tr2bl w:val="nil"/>
            </w:tcBorders>
            <w:noWrap w:val="0"/>
            <w:vAlign w:val="center"/>
          </w:tcPr>
          <w:p w14:paraId="23E263BA">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415.72</w:t>
            </w:r>
          </w:p>
        </w:tc>
        <w:tc>
          <w:tcPr>
            <w:tcW w:w="424" w:type="pct"/>
            <w:tcBorders>
              <w:tl2br w:val="nil"/>
              <w:tr2bl w:val="nil"/>
            </w:tcBorders>
            <w:noWrap w:val="0"/>
            <w:vAlign w:val="center"/>
          </w:tcPr>
          <w:p w14:paraId="12573C15">
            <w:pPr>
              <w:tabs>
                <w:tab w:val="left" w:pos="1215"/>
              </w:tabs>
              <w:adjustRightInd w:val="0"/>
              <w:snapToGrid w:val="0"/>
              <w:jc w:val="center"/>
              <w:rPr>
                <w:rFonts w:hint="default" w:ascii="Times New Roman" w:hAnsi="Times New Roman" w:eastAsia="宋体" w:cs="Times New Roman"/>
                <w:color w:val="auto"/>
              </w:rPr>
            </w:pPr>
            <w:r>
              <w:rPr>
                <w:rFonts w:hint="eastAsia" w:cs="Times New Roman"/>
                <w:color w:val="auto"/>
                <w:lang w:val="en-US" w:eastAsia="zh-CN"/>
              </w:rPr>
              <w:t>0</w:t>
            </w:r>
          </w:p>
        </w:tc>
      </w:tr>
      <w:tr w14:paraId="353A17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53" w:type="pct"/>
            <w:vMerge w:val="continue"/>
            <w:tcBorders>
              <w:tl2br w:val="nil"/>
              <w:tr2bl w:val="nil"/>
            </w:tcBorders>
            <w:noWrap w:val="0"/>
            <w:vAlign w:val="center"/>
          </w:tcPr>
          <w:p w14:paraId="68517794">
            <w:pPr>
              <w:pStyle w:val="66"/>
              <w:spacing w:beforeLines="0" w:afterLines="0" w:line="240" w:lineRule="auto"/>
              <w:rPr>
                <w:rFonts w:hint="default" w:ascii="Times New Roman" w:hAnsi="Times New Roman" w:eastAsia="宋体" w:cs="Times New Roman"/>
                <w:snapToGrid w:val="0"/>
                <w:color w:val="auto"/>
                <w:kern w:val="21"/>
                <w:szCs w:val="21"/>
              </w:rPr>
            </w:pPr>
          </w:p>
        </w:tc>
        <w:tc>
          <w:tcPr>
            <w:tcW w:w="399" w:type="pct"/>
            <w:tcBorders>
              <w:tl2br w:val="nil"/>
              <w:tr2bl w:val="nil"/>
            </w:tcBorders>
            <w:noWrap w:val="0"/>
            <w:vAlign w:val="center"/>
          </w:tcPr>
          <w:p w14:paraId="02EFA25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rPr>
            </w:pPr>
            <w:r>
              <w:rPr>
                <w:rFonts w:hint="eastAsia" w:ascii="Times New Roman" w:hAnsi="Times New Roman" w:cs="Times New Roman"/>
                <w:color w:val="auto"/>
                <w:sz w:val="21"/>
                <w:szCs w:val="21"/>
                <w:lang w:val="en-US" w:eastAsia="zh-CN"/>
              </w:rPr>
              <w:t>氨</w:t>
            </w:r>
          </w:p>
        </w:tc>
        <w:tc>
          <w:tcPr>
            <w:tcW w:w="705" w:type="pct"/>
            <w:tcBorders>
              <w:tl2br w:val="nil"/>
              <w:tr2bl w:val="nil"/>
            </w:tcBorders>
            <w:noWrap w:val="0"/>
            <w:vAlign w:val="center"/>
          </w:tcPr>
          <w:p w14:paraId="66C8F1DB">
            <w:pPr>
              <w:pStyle w:val="66"/>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2.942</w:t>
            </w:r>
          </w:p>
        </w:tc>
        <w:tc>
          <w:tcPr>
            <w:tcW w:w="460" w:type="pct"/>
            <w:tcBorders>
              <w:tl2br w:val="nil"/>
              <w:tr2bl w:val="nil"/>
            </w:tcBorders>
            <w:noWrap w:val="0"/>
            <w:vAlign w:val="center"/>
          </w:tcPr>
          <w:p w14:paraId="5156E0C6">
            <w:pPr>
              <w:pStyle w:val="66"/>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678" w:type="pct"/>
            <w:tcBorders>
              <w:tl2br w:val="nil"/>
              <w:tr2bl w:val="nil"/>
            </w:tcBorders>
            <w:noWrap w:val="0"/>
            <w:vAlign w:val="center"/>
          </w:tcPr>
          <w:p w14:paraId="5DCC2A89">
            <w:pPr>
              <w:pStyle w:val="66"/>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655" w:type="pct"/>
            <w:tcBorders>
              <w:tl2br w:val="nil"/>
              <w:tr2bl w:val="nil"/>
            </w:tcBorders>
            <w:noWrap w:val="0"/>
            <w:vAlign w:val="center"/>
          </w:tcPr>
          <w:p w14:paraId="5A2CC036">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2.942</w:t>
            </w:r>
          </w:p>
        </w:tc>
        <w:tc>
          <w:tcPr>
            <w:tcW w:w="618" w:type="pct"/>
            <w:tcBorders>
              <w:tl2br w:val="nil"/>
              <w:tr2bl w:val="nil"/>
            </w:tcBorders>
            <w:noWrap w:val="0"/>
            <w:vAlign w:val="center"/>
          </w:tcPr>
          <w:p w14:paraId="68A115EA">
            <w:pPr>
              <w:pStyle w:val="66"/>
              <w:spacing w:beforeLines="0" w:afterLines="0" w:line="240" w:lineRule="auto"/>
              <w:rPr>
                <w:rFonts w:hint="default" w:ascii="Times New Roman" w:hAnsi="Times New Roman" w:eastAsia="宋体" w:cs="Times New Roman"/>
                <w:color w:val="auto"/>
              </w:rPr>
            </w:pPr>
            <w:r>
              <w:rPr>
                <w:rFonts w:hint="eastAsia" w:ascii="Times New Roman" w:cs="Times New Roman"/>
                <w:snapToGrid w:val="0"/>
                <w:color w:val="auto"/>
                <w:kern w:val="21"/>
                <w:szCs w:val="21"/>
                <w:lang w:val="en-US" w:eastAsia="zh-CN"/>
              </w:rPr>
              <w:t>0</w:t>
            </w:r>
          </w:p>
        </w:tc>
        <w:tc>
          <w:tcPr>
            <w:tcW w:w="804" w:type="pct"/>
            <w:tcBorders>
              <w:tl2br w:val="nil"/>
              <w:tr2bl w:val="nil"/>
            </w:tcBorders>
            <w:noWrap w:val="0"/>
            <w:vAlign w:val="center"/>
          </w:tcPr>
          <w:p w14:paraId="4B2663C2">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2.942</w:t>
            </w:r>
          </w:p>
        </w:tc>
        <w:tc>
          <w:tcPr>
            <w:tcW w:w="424" w:type="pct"/>
            <w:tcBorders>
              <w:tl2br w:val="nil"/>
              <w:tr2bl w:val="nil"/>
            </w:tcBorders>
            <w:noWrap w:val="0"/>
            <w:vAlign w:val="center"/>
          </w:tcPr>
          <w:p w14:paraId="2D1CC5DD">
            <w:pPr>
              <w:tabs>
                <w:tab w:val="left" w:pos="1215"/>
              </w:tabs>
              <w:adjustRightInd w:val="0"/>
              <w:snapToGrid w:val="0"/>
              <w:jc w:val="center"/>
              <w:rPr>
                <w:rFonts w:hint="default" w:ascii="Times New Roman" w:hAnsi="Times New Roman" w:eastAsia="宋体" w:cs="Times New Roman"/>
                <w:color w:val="auto"/>
              </w:rPr>
            </w:pPr>
            <w:r>
              <w:rPr>
                <w:rFonts w:hint="eastAsia" w:cs="Times New Roman"/>
                <w:color w:val="auto"/>
                <w:lang w:val="en-US" w:eastAsia="zh-CN"/>
              </w:rPr>
              <w:t>0</w:t>
            </w:r>
          </w:p>
        </w:tc>
      </w:tr>
      <w:tr w14:paraId="3E582B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53" w:type="pct"/>
            <w:vMerge w:val="continue"/>
            <w:tcBorders>
              <w:tl2br w:val="nil"/>
              <w:tr2bl w:val="nil"/>
            </w:tcBorders>
            <w:noWrap w:val="0"/>
            <w:vAlign w:val="center"/>
          </w:tcPr>
          <w:p w14:paraId="4BDCCF4B">
            <w:pPr>
              <w:pStyle w:val="66"/>
              <w:spacing w:beforeLines="0" w:afterLines="0" w:line="240" w:lineRule="auto"/>
              <w:rPr>
                <w:rFonts w:hint="default" w:ascii="Times New Roman" w:hAnsi="Times New Roman" w:eastAsia="宋体" w:cs="Times New Roman"/>
                <w:snapToGrid w:val="0"/>
                <w:color w:val="auto"/>
                <w:kern w:val="21"/>
                <w:szCs w:val="21"/>
              </w:rPr>
            </w:pPr>
          </w:p>
        </w:tc>
        <w:tc>
          <w:tcPr>
            <w:tcW w:w="399" w:type="pct"/>
            <w:tcBorders>
              <w:tl2br w:val="nil"/>
              <w:tr2bl w:val="nil"/>
            </w:tcBorders>
            <w:noWrap w:val="0"/>
            <w:vAlign w:val="center"/>
          </w:tcPr>
          <w:p w14:paraId="103B4881">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rPr>
            </w:pPr>
            <w:r>
              <w:rPr>
                <w:rFonts w:hint="eastAsia" w:ascii="Times New Roman" w:hAnsi="Times New Roman" w:cs="Times New Roman"/>
                <w:color w:val="auto"/>
                <w:sz w:val="21"/>
                <w:szCs w:val="21"/>
                <w:lang w:val="en-US" w:eastAsia="zh-CN"/>
              </w:rPr>
              <w:t>HCl</w:t>
            </w:r>
          </w:p>
        </w:tc>
        <w:tc>
          <w:tcPr>
            <w:tcW w:w="705" w:type="pct"/>
            <w:tcBorders>
              <w:tl2br w:val="nil"/>
              <w:tr2bl w:val="nil"/>
            </w:tcBorders>
            <w:noWrap w:val="0"/>
            <w:vAlign w:val="center"/>
          </w:tcPr>
          <w:p w14:paraId="473D2E5E">
            <w:pPr>
              <w:pStyle w:val="66"/>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w:t>
            </w:r>
          </w:p>
        </w:tc>
        <w:tc>
          <w:tcPr>
            <w:tcW w:w="460" w:type="pct"/>
            <w:tcBorders>
              <w:tl2br w:val="nil"/>
              <w:tr2bl w:val="nil"/>
            </w:tcBorders>
            <w:noWrap w:val="0"/>
            <w:vAlign w:val="center"/>
          </w:tcPr>
          <w:p w14:paraId="1C275ABF">
            <w:pPr>
              <w:pStyle w:val="66"/>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678" w:type="pct"/>
            <w:tcBorders>
              <w:tl2br w:val="nil"/>
              <w:tr2bl w:val="nil"/>
            </w:tcBorders>
            <w:noWrap w:val="0"/>
            <w:vAlign w:val="center"/>
          </w:tcPr>
          <w:p w14:paraId="327BFB45">
            <w:pPr>
              <w:pStyle w:val="66"/>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655" w:type="pct"/>
            <w:tcBorders>
              <w:tl2br w:val="nil"/>
              <w:tr2bl w:val="nil"/>
            </w:tcBorders>
            <w:noWrap w:val="0"/>
            <w:vAlign w:val="center"/>
          </w:tcPr>
          <w:p w14:paraId="722AE33A">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35.877</w:t>
            </w:r>
          </w:p>
        </w:tc>
        <w:tc>
          <w:tcPr>
            <w:tcW w:w="618" w:type="pct"/>
            <w:tcBorders>
              <w:tl2br w:val="nil"/>
              <w:tr2bl w:val="nil"/>
            </w:tcBorders>
            <w:noWrap w:val="0"/>
            <w:vAlign w:val="center"/>
          </w:tcPr>
          <w:p w14:paraId="3E8D5F1F">
            <w:pPr>
              <w:pStyle w:val="66"/>
              <w:spacing w:beforeLines="0" w:afterLines="0" w:line="240" w:lineRule="auto"/>
              <w:rPr>
                <w:rFonts w:hint="default" w:ascii="Times New Roman" w:hAnsi="Times New Roman" w:eastAsia="宋体" w:cs="Times New Roman"/>
                <w:color w:val="auto"/>
              </w:rPr>
            </w:pPr>
            <w:r>
              <w:rPr>
                <w:rFonts w:hint="eastAsia" w:ascii="Times New Roman" w:cs="Times New Roman"/>
                <w:snapToGrid w:val="0"/>
                <w:color w:val="auto"/>
                <w:kern w:val="21"/>
                <w:szCs w:val="21"/>
                <w:lang w:val="en-US" w:eastAsia="zh-CN"/>
              </w:rPr>
              <w:t>0</w:t>
            </w:r>
          </w:p>
        </w:tc>
        <w:tc>
          <w:tcPr>
            <w:tcW w:w="804" w:type="pct"/>
            <w:tcBorders>
              <w:tl2br w:val="nil"/>
              <w:tr2bl w:val="nil"/>
            </w:tcBorders>
            <w:noWrap w:val="0"/>
            <w:vAlign w:val="center"/>
          </w:tcPr>
          <w:p w14:paraId="6FC5F506">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35.877</w:t>
            </w:r>
          </w:p>
        </w:tc>
        <w:tc>
          <w:tcPr>
            <w:tcW w:w="424" w:type="pct"/>
            <w:tcBorders>
              <w:tl2br w:val="nil"/>
              <w:tr2bl w:val="nil"/>
            </w:tcBorders>
            <w:noWrap w:val="0"/>
            <w:vAlign w:val="center"/>
          </w:tcPr>
          <w:p w14:paraId="016F903B">
            <w:pPr>
              <w:tabs>
                <w:tab w:val="left" w:pos="1215"/>
              </w:tabs>
              <w:adjustRightInd w:val="0"/>
              <w:snapToGrid w:val="0"/>
              <w:jc w:val="center"/>
              <w:rPr>
                <w:rFonts w:hint="default" w:ascii="Times New Roman" w:hAnsi="Times New Roman" w:eastAsia="宋体" w:cs="Times New Roman"/>
                <w:color w:val="auto"/>
              </w:rPr>
            </w:pPr>
            <w:r>
              <w:rPr>
                <w:rFonts w:hint="eastAsia" w:cs="Times New Roman"/>
                <w:color w:val="auto"/>
                <w:lang w:val="en-US" w:eastAsia="zh-CN"/>
              </w:rPr>
              <w:t>+35.877</w:t>
            </w:r>
          </w:p>
        </w:tc>
      </w:tr>
      <w:tr w14:paraId="2842C6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53" w:type="pct"/>
            <w:vMerge w:val="continue"/>
            <w:tcBorders>
              <w:tl2br w:val="nil"/>
              <w:tr2bl w:val="nil"/>
            </w:tcBorders>
            <w:noWrap w:val="0"/>
            <w:vAlign w:val="center"/>
          </w:tcPr>
          <w:p w14:paraId="722BCF40">
            <w:pPr>
              <w:pStyle w:val="66"/>
              <w:spacing w:beforeLines="0" w:afterLines="0" w:line="240" w:lineRule="auto"/>
              <w:rPr>
                <w:rFonts w:hint="default" w:ascii="Times New Roman" w:hAnsi="Times New Roman" w:eastAsia="宋体" w:cs="Times New Roman"/>
                <w:snapToGrid w:val="0"/>
                <w:color w:val="auto"/>
                <w:kern w:val="21"/>
                <w:szCs w:val="21"/>
              </w:rPr>
            </w:pPr>
          </w:p>
        </w:tc>
        <w:tc>
          <w:tcPr>
            <w:tcW w:w="399" w:type="pct"/>
            <w:tcBorders>
              <w:tl2br w:val="nil"/>
              <w:tr2bl w:val="nil"/>
            </w:tcBorders>
            <w:noWrap w:val="0"/>
            <w:vAlign w:val="center"/>
          </w:tcPr>
          <w:p w14:paraId="68DFDA7E">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rPr>
            </w:pPr>
            <w:r>
              <w:rPr>
                <w:rFonts w:hint="eastAsia" w:ascii="Times New Roman" w:hAnsi="Times New Roman" w:cs="Times New Roman"/>
                <w:color w:val="auto"/>
                <w:sz w:val="21"/>
                <w:szCs w:val="21"/>
                <w:lang w:val="en-US" w:eastAsia="zh-CN"/>
              </w:rPr>
              <w:t>HF</w:t>
            </w:r>
          </w:p>
        </w:tc>
        <w:tc>
          <w:tcPr>
            <w:tcW w:w="705" w:type="pct"/>
            <w:tcBorders>
              <w:tl2br w:val="nil"/>
              <w:tr2bl w:val="nil"/>
            </w:tcBorders>
            <w:noWrap w:val="0"/>
            <w:vAlign w:val="center"/>
          </w:tcPr>
          <w:p w14:paraId="00D4585C">
            <w:pPr>
              <w:pStyle w:val="66"/>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3.3476</w:t>
            </w:r>
          </w:p>
        </w:tc>
        <w:tc>
          <w:tcPr>
            <w:tcW w:w="460" w:type="pct"/>
            <w:tcBorders>
              <w:tl2br w:val="nil"/>
              <w:tr2bl w:val="nil"/>
            </w:tcBorders>
            <w:noWrap w:val="0"/>
            <w:vAlign w:val="center"/>
          </w:tcPr>
          <w:p w14:paraId="5BE1953B">
            <w:pPr>
              <w:pStyle w:val="66"/>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678" w:type="pct"/>
            <w:tcBorders>
              <w:tl2br w:val="nil"/>
              <w:tr2bl w:val="nil"/>
            </w:tcBorders>
            <w:noWrap w:val="0"/>
            <w:vAlign w:val="center"/>
          </w:tcPr>
          <w:p w14:paraId="2BE82762">
            <w:pPr>
              <w:pStyle w:val="66"/>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655" w:type="pct"/>
            <w:tcBorders>
              <w:tl2br w:val="nil"/>
              <w:tr2bl w:val="nil"/>
            </w:tcBorders>
            <w:noWrap w:val="0"/>
            <w:vAlign w:val="center"/>
          </w:tcPr>
          <w:p w14:paraId="39B281C0">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3.345</w:t>
            </w:r>
          </w:p>
        </w:tc>
        <w:tc>
          <w:tcPr>
            <w:tcW w:w="618" w:type="pct"/>
            <w:tcBorders>
              <w:tl2br w:val="nil"/>
              <w:tr2bl w:val="nil"/>
            </w:tcBorders>
            <w:noWrap w:val="0"/>
            <w:vAlign w:val="center"/>
          </w:tcPr>
          <w:p w14:paraId="3AF802E3">
            <w:pPr>
              <w:pStyle w:val="66"/>
              <w:spacing w:beforeLines="0" w:afterLines="0" w:line="240" w:lineRule="auto"/>
              <w:rPr>
                <w:rFonts w:hint="default" w:ascii="Times New Roman" w:hAnsi="Times New Roman" w:eastAsia="宋体" w:cs="Times New Roman"/>
                <w:color w:val="auto"/>
                <w:lang w:val="en-US"/>
              </w:rPr>
            </w:pPr>
            <w:r>
              <w:rPr>
                <w:rFonts w:hint="eastAsia" w:ascii="Times New Roman" w:cs="Times New Roman"/>
                <w:snapToGrid w:val="0"/>
                <w:color w:val="auto"/>
                <w:kern w:val="21"/>
                <w:szCs w:val="21"/>
                <w:lang w:val="en-US" w:eastAsia="zh-CN"/>
              </w:rPr>
              <w:t>0.3196</w:t>
            </w:r>
          </w:p>
        </w:tc>
        <w:tc>
          <w:tcPr>
            <w:tcW w:w="804" w:type="pct"/>
            <w:tcBorders>
              <w:tl2br w:val="nil"/>
              <w:tr2bl w:val="nil"/>
            </w:tcBorders>
            <w:noWrap w:val="0"/>
            <w:vAlign w:val="center"/>
          </w:tcPr>
          <w:p w14:paraId="2569E4DF">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3.345</w:t>
            </w:r>
          </w:p>
        </w:tc>
        <w:tc>
          <w:tcPr>
            <w:tcW w:w="424" w:type="pct"/>
            <w:tcBorders>
              <w:tl2br w:val="nil"/>
              <w:tr2bl w:val="nil"/>
            </w:tcBorders>
            <w:noWrap w:val="0"/>
            <w:vAlign w:val="center"/>
          </w:tcPr>
          <w:p w14:paraId="3F6DEC86">
            <w:pPr>
              <w:tabs>
                <w:tab w:val="left" w:pos="1215"/>
              </w:tabs>
              <w:adjustRightInd w:val="0"/>
              <w:snapToGrid w:val="0"/>
              <w:jc w:val="center"/>
              <w:rPr>
                <w:rFonts w:hint="default" w:ascii="Times New Roman" w:hAnsi="Times New Roman" w:eastAsia="宋体" w:cs="Times New Roman"/>
                <w:color w:val="auto"/>
              </w:rPr>
            </w:pPr>
            <w:r>
              <w:rPr>
                <w:rFonts w:hint="eastAsia" w:cs="Times New Roman"/>
                <w:color w:val="auto"/>
                <w:lang w:val="en-US" w:eastAsia="zh-CN"/>
              </w:rPr>
              <w:t>-0.3196</w:t>
            </w:r>
          </w:p>
        </w:tc>
      </w:tr>
      <w:tr w14:paraId="5E4BFB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53" w:type="pct"/>
            <w:vMerge w:val="continue"/>
            <w:tcBorders>
              <w:tl2br w:val="nil"/>
              <w:tr2bl w:val="nil"/>
            </w:tcBorders>
            <w:noWrap w:val="0"/>
            <w:vAlign w:val="center"/>
          </w:tcPr>
          <w:p w14:paraId="02FEBE30">
            <w:pPr>
              <w:pStyle w:val="66"/>
              <w:spacing w:beforeLines="0" w:afterLines="0" w:line="240" w:lineRule="auto"/>
              <w:rPr>
                <w:rFonts w:hint="default" w:ascii="Times New Roman" w:hAnsi="Times New Roman" w:eastAsia="宋体" w:cs="Times New Roman"/>
                <w:snapToGrid w:val="0"/>
                <w:color w:val="auto"/>
                <w:kern w:val="21"/>
                <w:szCs w:val="21"/>
              </w:rPr>
            </w:pPr>
          </w:p>
        </w:tc>
        <w:tc>
          <w:tcPr>
            <w:tcW w:w="399" w:type="pct"/>
            <w:tcBorders>
              <w:tl2br w:val="nil"/>
              <w:tr2bl w:val="nil"/>
            </w:tcBorders>
            <w:noWrap w:val="0"/>
            <w:vAlign w:val="center"/>
          </w:tcPr>
          <w:p w14:paraId="393BB06A">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rPr>
            </w:pPr>
            <w:r>
              <w:rPr>
                <w:rFonts w:hint="eastAsia" w:ascii="Times New Roman" w:hAnsi="Times New Roman" w:cs="Times New Roman"/>
                <w:color w:val="auto"/>
                <w:sz w:val="21"/>
                <w:szCs w:val="21"/>
                <w:lang w:val="en-US" w:eastAsia="zh-CN"/>
              </w:rPr>
              <w:t>Hg</w:t>
            </w:r>
          </w:p>
        </w:tc>
        <w:tc>
          <w:tcPr>
            <w:tcW w:w="705" w:type="pct"/>
            <w:tcBorders>
              <w:tl2br w:val="nil"/>
              <w:tr2bl w:val="nil"/>
            </w:tcBorders>
            <w:noWrap w:val="0"/>
            <w:vAlign w:val="center"/>
          </w:tcPr>
          <w:p w14:paraId="1233E7D5">
            <w:pPr>
              <w:pStyle w:val="66"/>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0.0001</w:t>
            </w:r>
          </w:p>
        </w:tc>
        <w:tc>
          <w:tcPr>
            <w:tcW w:w="460" w:type="pct"/>
            <w:tcBorders>
              <w:tl2br w:val="nil"/>
              <w:tr2bl w:val="nil"/>
            </w:tcBorders>
            <w:noWrap w:val="0"/>
            <w:vAlign w:val="center"/>
          </w:tcPr>
          <w:p w14:paraId="3B6A4F09">
            <w:pPr>
              <w:pStyle w:val="66"/>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678" w:type="pct"/>
            <w:tcBorders>
              <w:tl2br w:val="nil"/>
              <w:tr2bl w:val="nil"/>
            </w:tcBorders>
            <w:noWrap w:val="0"/>
            <w:vAlign w:val="center"/>
          </w:tcPr>
          <w:p w14:paraId="3E041F30">
            <w:pPr>
              <w:pStyle w:val="66"/>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655" w:type="pct"/>
            <w:tcBorders>
              <w:tl2br w:val="nil"/>
              <w:tr2bl w:val="nil"/>
            </w:tcBorders>
            <w:noWrap w:val="0"/>
            <w:vAlign w:val="center"/>
          </w:tcPr>
          <w:p w14:paraId="13E2D4AC">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0.00303</w:t>
            </w:r>
          </w:p>
        </w:tc>
        <w:tc>
          <w:tcPr>
            <w:tcW w:w="618" w:type="pct"/>
            <w:tcBorders>
              <w:tl2br w:val="nil"/>
              <w:tr2bl w:val="nil"/>
            </w:tcBorders>
            <w:noWrap w:val="0"/>
            <w:vAlign w:val="center"/>
          </w:tcPr>
          <w:p w14:paraId="532CBEBB">
            <w:pPr>
              <w:pStyle w:val="66"/>
              <w:spacing w:beforeLines="0" w:afterLines="0" w:line="240" w:lineRule="auto"/>
              <w:rPr>
                <w:rFonts w:hint="default" w:ascii="Times New Roman" w:hAnsi="Times New Roman" w:eastAsia="宋体" w:cs="Times New Roman"/>
                <w:color w:val="auto"/>
              </w:rPr>
            </w:pPr>
            <w:r>
              <w:rPr>
                <w:rFonts w:hint="eastAsia" w:ascii="Times New Roman" w:cs="Times New Roman"/>
                <w:snapToGrid w:val="0"/>
                <w:color w:val="auto"/>
                <w:kern w:val="21"/>
                <w:szCs w:val="21"/>
                <w:lang w:val="en-US" w:eastAsia="zh-CN"/>
              </w:rPr>
              <w:t>0</w:t>
            </w:r>
          </w:p>
        </w:tc>
        <w:tc>
          <w:tcPr>
            <w:tcW w:w="804" w:type="pct"/>
            <w:tcBorders>
              <w:tl2br w:val="nil"/>
              <w:tr2bl w:val="nil"/>
            </w:tcBorders>
            <w:noWrap w:val="0"/>
            <w:vAlign w:val="center"/>
          </w:tcPr>
          <w:p w14:paraId="342170F1">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0.00303</w:t>
            </w:r>
          </w:p>
        </w:tc>
        <w:tc>
          <w:tcPr>
            <w:tcW w:w="424" w:type="pct"/>
            <w:tcBorders>
              <w:tl2br w:val="nil"/>
              <w:tr2bl w:val="nil"/>
            </w:tcBorders>
            <w:noWrap w:val="0"/>
            <w:vAlign w:val="center"/>
          </w:tcPr>
          <w:p w14:paraId="4618676B">
            <w:pPr>
              <w:tabs>
                <w:tab w:val="left" w:pos="1215"/>
              </w:tabs>
              <w:adjustRightInd w:val="0"/>
              <w:snapToGrid w:val="0"/>
              <w:jc w:val="center"/>
              <w:rPr>
                <w:rFonts w:hint="default" w:ascii="Times New Roman" w:hAnsi="Times New Roman" w:eastAsia="宋体" w:cs="Times New Roman"/>
                <w:color w:val="auto"/>
              </w:rPr>
            </w:pPr>
            <w:r>
              <w:rPr>
                <w:rFonts w:hint="eastAsia" w:cs="Times New Roman"/>
                <w:color w:val="auto"/>
                <w:lang w:val="en-US" w:eastAsia="zh-CN"/>
              </w:rPr>
              <w:t>+0.00429</w:t>
            </w:r>
          </w:p>
        </w:tc>
      </w:tr>
      <w:tr w14:paraId="68C5FC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53" w:type="pct"/>
            <w:vMerge w:val="continue"/>
            <w:tcBorders>
              <w:tl2br w:val="nil"/>
              <w:tr2bl w:val="nil"/>
            </w:tcBorders>
            <w:noWrap w:val="0"/>
            <w:vAlign w:val="center"/>
          </w:tcPr>
          <w:p w14:paraId="15A06673">
            <w:pPr>
              <w:pStyle w:val="66"/>
              <w:spacing w:beforeLines="0" w:afterLines="0" w:line="240" w:lineRule="auto"/>
              <w:rPr>
                <w:rFonts w:hint="default" w:ascii="Times New Roman" w:hAnsi="Times New Roman" w:eastAsia="宋体" w:cs="Times New Roman"/>
                <w:snapToGrid w:val="0"/>
                <w:color w:val="auto"/>
                <w:kern w:val="21"/>
                <w:szCs w:val="21"/>
              </w:rPr>
            </w:pPr>
          </w:p>
        </w:tc>
        <w:tc>
          <w:tcPr>
            <w:tcW w:w="399" w:type="pct"/>
            <w:tcBorders>
              <w:tl2br w:val="nil"/>
              <w:tr2bl w:val="nil"/>
            </w:tcBorders>
            <w:noWrap w:val="0"/>
            <w:vAlign w:val="center"/>
          </w:tcPr>
          <w:p w14:paraId="3E27DECB">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rPr>
            </w:pPr>
            <w:r>
              <w:rPr>
                <w:rFonts w:hint="eastAsia" w:ascii="Times New Roman" w:hAnsi="Times New Roman" w:cs="Times New Roman"/>
                <w:color w:val="auto"/>
                <w:sz w:val="21"/>
                <w:szCs w:val="21"/>
                <w:lang w:val="en-US" w:eastAsia="zh-CN"/>
              </w:rPr>
              <w:t>Cd</w:t>
            </w:r>
          </w:p>
        </w:tc>
        <w:tc>
          <w:tcPr>
            <w:tcW w:w="705" w:type="pct"/>
            <w:tcBorders>
              <w:tl2br w:val="nil"/>
              <w:tr2bl w:val="nil"/>
            </w:tcBorders>
            <w:noWrap w:val="0"/>
            <w:vAlign w:val="center"/>
          </w:tcPr>
          <w:p w14:paraId="62BC0643">
            <w:pPr>
              <w:pStyle w:val="66"/>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w:t>
            </w:r>
          </w:p>
        </w:tc>
        <w:tc>
          <w:tcPr>
            <w:tcW w:w="460" w:type="pct"/>
            <w:tcBorders>
              <w:tl2br w:val="nil"/>
              <w:tr2bl w:val="nil"/>
            </w:tcBorders>
            <w:noWrap w:val="0"/>
            <w:vAlign w:val="center"/>
          </w:tcPr>
          <w:p w14:paraId="31227C6A">
            <w:pPr>
              <w:pStyle w:val="66"/>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678" w:type="pct"/>
            <w:tcBorders>
              <w:tl2br w:val="nil"/>
              <w:tr2bl w:val="nil"/>
            </w:tcBorders>
            <w:noWrap w:val="0"/>
            <w:vAlign w:val="center"/>
          </w:tcPr>
          <w:p w14:paraId="567941A8">
            <w:pPr>
              <w:pStyle w:val="66"/>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655" w:type="pct"/>
            <w:tcBorders>
              <w:tl2br w:val="nil"/>
              <w:tr2bl w:val="nil"/>
            </w:tcBorders>
            <w:noWrap w:val="0"/>
            <w:vAlign w:val="center"/>
          </w:tcPr>
          <w:p w14:paraId="149544F8">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0.00126</w:t>
            </w:r>
          </w:p>
        </w:tc>
        <w:tc>
          <w:tcPr>
            <w:tcW w:w="618" w:type="pct"/>
            <w:tcBorders>
              <w:tl2br w:val="nil"/>
              <w:tr2bl w:val="nil"/>
            </w:tcBorders>
            <w:noWrap w:val="0"/>
            <w:vAlign w:val="center"/>
          </w:tcPr>
          <w:p w14:paraId="28CA74E5">
            <w:pPr>
              <w:pStyle w:val="66"/>
              <w:spacing w:beforeLines="0" w:afterLines="0" w:line="240" w:lineRule="auto"/>
              <w:rPr>
                <w:rFonts w:hint="default" w:ascii="Times New Roman" w:hAnsi="Times New Roman" w:eastAsia="宋体" w:cs="Times New Roman"/>
                <w:color w:val="auto"/>
              </w:rPr>
            </w:pPr>
            <w:r>
              <w:rPr>
                <w:rFonts w:hint="eastAsia" w:ascii="Times New Roman" w:cs="Times New Roman"/>
                <w:snapToGrid w:val="0"/>
                <w:color w:val="auto"/>
                <w:kern w:val="21"/>
                <w:szCs w:val="21"/>
                <w:lang w:val="en-US" w:eastAsia="zh-CN"/>
              </w:rPr>
              <w:t>0</w:t>
            </w:r>
          </w:p>
        </w:tc>
        <w:tc>
          <w:tcPr>
            <w:tcW w:w="804" w:type="pct"/>
            <w:tcBorders>
              <w:tl2br w:val="nil"/>
              <w:tr2bl w:val="nil"/>
            </w:tcBorders>
            <w:noWrap w:val="0"/>
            <w:vAlign w:val="center"/>
          </w:tcPr>
          <w:p w14:paraId="48C6B2F0">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0.00126</w:t>
            </w:r>
          </w:p>
        </w:tc>
        <w:tc>
          <w:tcPr>
            <w:tcW w:w="424" w:type="pct"/>
            <w:tcBorders>
              <w:tl2br w:val="nil"/>
              <w:tr2bl w:val="nil"/>
            </w:tcBorders>
            <w:noWrap w:val="0"/>
            <w:vAlign w:val="center"/>
          </w:tcPr>
          <w:p w14:paraId="2995A870">
            <w:pPr>
              <w:tabs>
                <w:tab w:val="left" w:pos="1215"/>
              </w:tabs>
              <w:adjustRightInd w:val="0"/>
              <w:snapToGrid w:val="0"/>
              <w:jc w:val="center"/>
              <w:rPr>
                <w:rFonts w:hint="default" w:ascii="Times New Roman" w:hAnsi="Times New Roman" w:eastAsia="宋体" w:cs="Times New Roman"/>
                <w:color w:val="auto"/>
              </w:rPr>
            </w:pPr>
            <w:r>
              <w:rPr>
                <w:rFonts w:hint="eastAsia" w:cs="Times New Roman"/>
                <w:color w:val="auto"/>
                <w:lang w:val="en-US" w:eastAsia="zh-CN"/>
              </w:rPr>
              <w:t>+0.00126</w:t>
            </w:r>
          </w:p>
        </w:tc>
      </w:tr>
      <w:tr w14:paraId="236EEE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53" w:type="pct"/>
            <w:vMerge w:val="continue"/>
            <w:tcBorders>
              <w:tl2br w:val="nil"/>
              <w:tr2bl w:val="nil"/>
            </w:tcBorders>
            <w:noWrap w:val="0"/>
            <w:vAlign w:val="center"/>
          </w:tcPr>
          <w:p w14:paraId="3B727897">
            <w:pPr>
              <w:pStyle w:val="66"/>
              <w:spacing w:beforeLines="0" w:afterLines="0" w:line="240" w:lineRule="auto"/>
              <w:rPr>
                <w:rFonts w:hint="default" w:ascii="Times New Roman" w:hAnsi="Times New Roman" w:eastAsia="宋体" w:cs="Times New Roman"/>
                <w:snapToGrid w:val="0"/>
                <w:color w:val="auto"/>
                <w:kern w:val="21"/>
                <w:szCs w:val="21"/>
              </w:rPr>
            </w:pPr>
          </w:p>
        </w:tc>
        <w:tc>
          <w:tcPr>
            <w:tcW w:w="399" w:type="pct"/>
            <w:tcBorders>
              <w:tl2br w:val="nil"/>
              <w:tr2bl w:val="nil"/>
            </w:tcBorders>
            <w:noWrap w:val="0"/>
            <w:vAlign w:val="center"/>
          </w:tcPr>
          <w:p w14:paraId="52B81D73">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rPr>
            </w:pPr>
            <w:r>
              <w:rPr>
                <w:rFonts w:hint="eastAsia" w:cs="Times New Roman"/>
                <w:color w:val="auto"/>
                <w:sz w:val="21"/>
                <w:szCs w:val="21"/>
                <w:lang w:val="en-US" w:eastAsia="zh-CN"/>
              </w:rPr>
              <w:t>As</w:t>
            </w:r>
          </w:p>
        </w:tc>
        <w:tc>
          <w:tcPr>
            <w:tcW w:w="705" w:type="pct"/>
            <w:tcBorders>
              <w:tl2br w:val="nil"/>
              <w:tr2bl w:val="nil"/>
            </w:tcBorders>
            <w:noWrap w:val="0"/>
            <w:vAlign w:val="center"/>
          </w:tcPr>
          <w:p w14:paraId="57A990C2">
            <w:pPr>
              <w:pStyle w:val="66"/>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w:t>
            </w:r>
          </w:p>
        </w:tc>
        <w:tc>
          <w:tcPr>
            <w:tcW w:w="460" w:type="pct"/>
            <w:tcBorders>
              <w:tl2br w:val="nil"/>
              <w:tr2bl w:val="nil"/>
            </w:tcBorders>
            <w:noWrap w:val="0"/>
            <w:vAlign w:val="center"/>
          </w:tcPr>
          <w:p w14:paraId="66D8AF5C">
            <w:pPr>
              <w:pStyle w:val="66"/>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678" w:type="pct"/>
            <w:tcBorders>
              <w:tl2br w:val="nil"/>
              <w:tr2bl w:val="nil"/>
            </w:tcBorders>
            <w:noWrap w:val="0"/>
            <w:vAlign w:val="center"/>
          </w:tcPr>
          <w:p w14:paraId="32C43955">
            <w:pPr>
              <w:pStyle w:val="66"/>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655" w:type="pct"/>
            <w:tcBorders>
              <w:tl2br w:val="nil"/>
              <w:tr2bl w:val="nil"/>
            </w:tcBorders>
            <w:noWrap w:val="0"/>
            <w:vAlign w:val="center"/>
          </w:tcPr>
          <w:p w14:paraId="337115E7">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0.002408</w:t>
            </w:r>
          </w:p>
        </w:tc>
        <w:tc>
          <w:tcPr>
            <w:tcW w:w="618" w:type="pct"/>
            <w:tcBorders>
              <w:tl2br w:val="nil"/>
              <w:tr2bl w:val="nil"/>
            </w:tcBorders>
            <w:noWrap w:val="0"/>
            <w:vAlign w:val="center"/>
          </w:tcPr>
          <w:p w14:paraId="6EE37D53">
            <w:pPr>
              <w:pStyle w:val="66"/>
              <w:spacing w:beforeLines="0" w:afterLines="0" w:line="240" w:lineRule="auto"/>
              <w:rPr>
                <w:rFonts w:hint="default" w:ascii="Times New Roman" w:hAnsi="Times New Roman" w:eastAsia="宋体" w:cs="Times New Roman"/>
                <w:color w:val="auto"/>
              </w:rPr>
            </w:pPr>
            <w:r>
              <w:rPr>
                <w:rFonts w:hint="eastAsia" w:ascii="Times New Roman" w:cs="Times New Roman"/>
                <w:snapToGrid w:val="0"/>
                <w:color w:val="auto"/>
                <w:kern w:val="21"/>
                <w:szCs w:val="21"/>
                <w:lang w:val="en-US" w:eastAsia="zh-CN"/>
              </w:rPr>
              <w:t>0</w:t>
            </w:r>
          </w:p>
        </w:tc>
        <w:tc>
          <w:tcPr>
            <w:tcW w:w="804" w:type="pct"/>
            <w:tcBorders>
              <w:tl2br w:val="nil"/>
              <w:tr2bl w:val="nil"/>
            </w:tcBorders>
            <w:noWrap w:val="0"/>
            <w:vAlign w:val="center"/>
          </w:tcPr>
          <w:p w14:paraId="375586D3">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0.002408</w:t>
            </w:r>
          </w:p>
        </w:tc>
        <w:tc>
          <w:tcPr>
            <w:tcW w:w="424" w:type="pct"/>
            <w:tcBorders>
              <w:tl2br w:val="nil"/>
              <w:tr2bl w:val="nil"/>
            </w:tcBorders>
            <w:noWrap w:val="0"/>
            <w:vAlign w:val="center"/>
          </w:tcPr>
          <w:p w14:paraId="734D42CF">
            <w:pPr>
              <w:tabs>
                <w:tab w:val="left" w:pos="1215"/>
              </w:tabs>
              <w:adjustRightInd w:val="0"/>
              <w:snapToGrid w:val="0"/>
              <w:jc w:val="center"/>
              <w:rPr>
                <w:rFonts w:hint="default" w:ascii="Times New Roman" w:hAnsi="Times New Roman" w:eastAsia="宋体" w:cs="Times New Roman"/>
                <w:color w:val="auto"/>
              </w:rPr>
            </w:pPr>
            <w:r>
              <w:rPr>
                <w:rFonts w:hint="eastAsia" w:cs="Times New Roman"/>
                <w:color w:val="auto"/>
                <w:lang w:val="en-US" w:eastAsia="zh-CN"/>
              </w:rPr>
              <w:t>+0.002408</w:t>
            </w:r>
          </w:p>
        </w:tc>
      </w:tr>
      <w:tr w14:paraId="2A399A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53" w:type="pct"/>
            <w:vMerge w:val="continue"/>
            <w:tcBorders>
              <w:tl2br w:val="nil"/>
              <w:tr2bl w:val="nil"/>
            </w:tcBorders>
            <w:noWrap w:val="0"/>
            <w:vAlign w:val="center"/>
          </w:tcPr>
          <w:p w14:paraId="63CAAEF5">
            <w:pPr>
              <w:pStyle w:val="66"/>
              <w:spacing w:beforeLines="0" w:afterLines="0" w:line="240" w:lineRule="auto"/>
              <w:rPr>
                <w:rFonts w:hint="default" w:ascii="Times New Roman" w:hAnsi="Times New Roman" w:eastAsia="宋体" w:cs="Times New Roman"/>
                <w:snapToGrid w:val="0"/>
                <w:color w:val="auto"/>
                <w:kern w:val="21"/>
                <w:szCs w:val="21"/>
              </w:rPr>
            </w:pPr>
          </w:p>
        </w:tc>
        <w:tc>
          <w:tcPr>
            <w:tcW w:w="399" w:type="pct"/>
            <w:tcBorders>
              <w:tl2br w:val="nil"/>
              <w:tr2bl w:val="nil"/>
            </w:tcBorders>
            <w:noWrap w:val="0"/>
            <w:vAlign w:val="center"/>
          </w:tcPr>
          <w:p w14:paraId="5F11F099">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rPr>
            </w:pPr>
            <w:r>
              <w:rPr>
                <w:rFonts w:hint="eastAsia" w:ascii="Times New Roman" w:hAnsi="Times New Roman" w:cs="Times New Roman"/>
                <w:color w:val="auto"/>
                <w:sz w:val="21"/>
                <w:szCs w:val="21"/>
                <w:lang w:val="en-US" w:eastAsia="zh-CN"/>
              </w:rPr>
              <w:t>Pb</w:t>
            </w:r>
          </w:p>
        </w:tc>
        <w:tc>
          <w:tcPr>
            <w:tcW w:w="705" w:type="pct"/>
            <w:tcBorders>
              <w:tl2br w:val="nil"/>
              <w:tr2bl w:val="nil"/>
            </w:tcBorders>
            <w:noWrap w:val="0"/>
            <w:vAlign w:val="center"/>
          </w:tcPr>
          <w:p w14:paraId="379664C3">
            <w:pPr>
              <w:pStyle w:val="66"/>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w:t>
            </w:r>
          </w:p>
        </w:tc>
        <w:tc>
          <w:tcPr>
            <w:tcW w:w="460" w:type="pct"/>
            <w:tcBorders>
              <w:tl2br w:val="nil"/>
              <w:tr2bl w:val="nil"/>
            </w:tcBorders>
            <w:noWrap w:val="0"/>
            <w:vAlign w:val="center"/>
          </w:tcPr>
          <w:p w14:paraId="15A9DEB9">
            <w:pPr>
              <w:pStyle w:val="66"/>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678" w:type="pct"/>
            <w:tcBorders>
              <w:tl2br w:val="nil"/>
              <w:tr2bl w:val="nil"/>
            </w:tcBorders>
            <w:noWrap w:val="0"/>
            <w:vAlign w:val="center"/>
          </w:tcPr>
          <w:p w14:paraId="2DBABA77">
            <w:pPr>
              <w:pStyle w:val="66"/>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655" w:type="pct"/>
            <w:tcBorders>
              <w:tl2br w:val="nil"/>
              <w:tr2bl w:val="nil"/>
            </w:tcBorders>
            <w:noWrap w:val="0"/>
            <w:vAlign w:val="center"/>
          </w:tcPr>
          <w:p w14:paraId="104629D5">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0.0322</w:t>
            </w:r>
          </w:p>
        </w:tc>
        <w:tc>
          <w:tcPr>
            <w:tcW w:w="618" w:type="pct"/>
            <w:tcBorders>
              <w:tl2br w:val="nil"/>
              <w:tr2bl w:val="nil"/>
            </w:tcBorders>
            <w:noWrap w:val="0"/>
            <w:vAlign w:val="center"/>
          </w:tcPr>
          <w:p w14:paraId="1B3D7145">
            <w:pPr>
              <w:pStyle w:val="66"/>
              <w:spacing w:beforeLines="0" w:afterLines="0" w:line="240" w:lineRule="auto"/>
              <w:rPr>
                <w:rFonts w:hint="default" w:ascii="Times New Roman" w:hAnsi="Times New Roman" w:eastAsia="宋体" w:cs="Times New Roman"/>
                <w:color w:val="auto"/>
              </w:rPr>
            </w:pPr>
            <w:r>
              <w:rPr>
                <w:rFonts w:hint="eastAsia" w:ascii="Times New Roman" w:cs="Times New Roman"/>
                <w:snapToGrid w:val="0"/>
                <w:color w:val="auto"/>
                <w:kern w:val="21"/>
                <w:szCs w:val="21"/>
                <w:lang w:val="en-US" w:eastAsia="zh-CN"/>
              </w:rPr>
              <w:t>0</w:t>
            </w:r>
          </w:p>
        </w:tc>
        <w:tc>
          <w:tcPr>
            <w:tcW w:w="804" w:type="pct"/>
            <w:tcBorders>
              <w:tl2br w:val="nil"/>
              <w:tr2bl w:val="nil"/>
            </w:tcBorders>
            <w:noWrap w:val="0"/>
            <w:vAlign w:val="center"/>
          </w:tcPr>
          <w:p w14:paraId="1C02D34E">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0.0322</w:t>
            </w:r>
          </w:p>
        </w:tc>
        <w:tc>
          <w:tcPr>
            <w:tcW w:w="424" w:type="pct"/>
            <w:tcBorders>
              <w:tl2br w:val="nil"/>
              <w:tr2bl w:val="nil"/>
            </w:tcBorders>
            <w:noWrap w:val="0"/>
            <w:vAlign w:val="center"/>
          </w:tcPr>
          <w:p w14:paraId="7EA975B4">
            <w:pPr>
              <w:tabs>
                <w:tab w:val="left" w:pos="1215"/>
              </w:tabs>
              <w:adjustRightInd w:val="0"/>
              <w:snapToGrid w:val="0"/>
              <w:jc w:val="center"/>
              <w:rPr>
                <w:rFonts w:hint="default" w:ascii="Times New Roman" w:hAnsi="Times New Roman" w:eastAsia="宋体" w:cs="Times New Roman"/>
                <w:color w:val="auto"/>
              </w:rPr>
            </w:pPr>
            <w:r>
              <w:rPr>
                <w:rFonts w:hint="eastAsia" w:cs="Times New Roman"/>
                <w:color w:val="auto"/>
                <w:lang w:val="en-US" w:eastAsia="zh-CN"/>
              </w:rPr>
              <w:t>+0.0322</w:t>
            </w:r>
          </w:p>
        </w:tc>
      </w:tr>
      <w:tr w14:paraId="0B0529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53" w:type="pct"/>
            <w:vMerge w:val="continue"/>
            <w:tcBorders>
              <w:tl2br w:val="nil"/>
              <w:tr2bl w:val="nil"/>
            </w:tcBorders>
            <w:noWrap w:val="0"/>
            <w:vAlign w:val="center"/>
          </w:tcPr>
          <w:p w14:paraId="00A0F2B9">
            <w:pPr>
              <w:pStyle w:val="66"/>
              <w:spacing w:beforeLines="0" w:afterLines="0" w:line="240" w:lineRule="auto"/>
              <w:rPr>
                <w:rFonts w:hint="default" w:ascii="Times New Roman" w:hAnsi="Times New Roman" w:eastAsia="宋体" w:cs="Times New Roman"/>
                <w:snapToGrid w:val="0"/>
                <w:color w:val="auto"/>
                <w:kern w:val="21"/>
                <w:szCs w:val="21"/>
              </w:rPr>
            </w:pPr>
          </w:p>
        </w:tc>
        <w:tc>
          <w:tcPr>
            <w:tcW w:w="399" w:type="pct"/>
            <w:tcBorders>
              <w:tl2br w:val="nil"/>
              <w:tr2bl w:val="nil"/>
            </w:tcBorders>
            <w:noWrap w:val="0"/>
            <w:vAlign w:val="center"/>
          </w:tcPr>
          <w:p w14:paraId="37107E01">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rPr>
            </w:pPr>
            <w:r>
              <w:rPr>
                <w:rFonts w:hint="eastAsia" w:ascii="Times New Roman" w:hAnsi="Times New Roman" w:cs="Times New Roman"/>
                <w:color w:val="auto"/>
                <w:sz w:val="21"/>
                <w:szCs w:val="21"/>
                <w:lang w:val="en-US" w:eastAsia="zh-CN"/>
              </w:rPr>
              <w:t>二噁英类</w:t>
            </w:r>
          </w:p>
        </w:tc>
        <w:tc>
          <w:tcPr>
            <w:tcW w:w="705" w:type="pct"/>
            <w:tcBorders>
              <w:tl2br w:val="nil"/>
              <w:tr2bl w:val="nil"/>
            </w:tcBorders>
            <w:noWrap w:val="0"/>
            <w:vAlign w:val="center"/>
          </w:tcPr>
          <w:p w14:paraId="09DA89A1">
            <w:pPr>
              <w:pStyle w:val="66"/>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w:t>
            </w:r>
          </w:p>
        </w:tc>
        <w:tc>
          <w:tcPr>
            <w:tcW w:w="460" w:type="pct"/>
            <w:tcBorders>
              <w:tl2br w:val="nil"/>
              <w:tr2bl w:val="nil"/>
            </w:tcBorders>
            <w:noWrap w:val="0"/>
            <w:vAlign w:val="center"/>
          </w:tcPr>
          <w:p w14:paraId="0AF8F100">
            <w:pPr>
              <w:pStyle w:val="66"/>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678" w:type="pct"/>
            <w:tcBorders>
              <w:tl2br w:val="nil"/>
              <w:tr2bl w:val="nil"/>
            </w:tcBorders>
            <w:noWrap w:val="0"/>
            <w:vAlign w:val="center"/>
          </w:tcPr>
          <w:p w14:paraId="618BD65B">
            <w:pPr>
              <w:pStyle w:val="66"/>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655" w:type="pct"/>
            <w:tcBorders>
              <w:tl2br w:val="nil"/>
              <w:tr2bl w:val="nil"/>
            </w:tcBorders>
            <w:noWrap w:val="0"/>
            <w:vAlign w:val="center"/>
          </w:tcPr>
          <w:p w14:paraId="2946A021">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8.72×10</w:t>
            </w:r>
            <w:r>
              <w:rPr>
                <w:rFonts w:hint="eastAsia" w:ascii="Times New Roman" w:hAnsi="Times New Roman" w:cs="Times New Roman"/>
                <w:color w:val="auto"/>
                <w:vertAlign w:val="superscript"/>
                <w:lang w:val="en-US" w:eastAsia="zh-CN"/>
              </w:rPr>
              <w:t>-8</w:t>
            </w:r>
          </w:p>
        </w:tc>
        <w:tc>
          <w:tcPr>
            <w:tcW w:w="618" w:type="pct"/>
            <w:tcBorders>
              <w:tl2br w:val="nil"/>
              <w:tr2bl w:val="nil"/>
            </w:tcBorders>
            <w:noWrap w:val="0"/>
            <w:vAlign w:val="center"/>
          </w:tcPr>
          <w:p w14:paraId="6EA5ED4D">
            <w:pPr>
              <w:pStyle w:val="66"/>
              <w:spacing w:beforeLines="0" w:afterLines="0" w:line="240" w:lineRule="auto"/>
              <w:rPr>
                <w:rFonts w:hint="default" w:ascii="Times New Roman" w:hAnsi="Times New Roman" w:eastAsia="宋体" w:cs="Times New Roman"/>
                <w:color w:val="auto"/>
              </w:rPr>
            </w:pPr>
            <w:r>
              <w:rPr>
                <w:rFonts w:hint="eastAsia" w:ascii="Times New Roman" w:cs="Times New Roman"/>
                <w:snapToGrid w:val="0"/>
                <w:color w:val="auto"/>
                <w:kern w:val="21"/>
                <w:szCs w:val="21"/>
                <w:lang w:val="en-US" w:eastAsia="zh-CN"/>
              </w:rPr>
              <w:t>0</w:t>
            </w:r>
          </w:p>
        </w:tc>
        <w:tc>
          <w:tcPr>
            <w:tcW w:w="804" w:type="pct"/>
            <w:tcBorders>
              <w:tl2br w:val="nil"/>
              <w:tr2bl w:val="nil"/>
            </w:tcBorders>
            <w:noWrap w:val="0"/>
            <w:vAlign w:val="center"/>
          </w:tcPr>
          <w:p w14:paraId="5E394628">
            <w:pPr>
              <w:tabs>
                <w:tab w:val="left" w:pos="1215"/>
              </w:tabs>
              <w:adjustRightInd w:val="0"/>
              <w:snapToGrid w:val="0"/>
              <w:jc w:val="center"/>
              <w:rPr>
                <w:rFonts w:hint="eastAsia" w:cs="Times New Roman"/>
                <w:color w:val="auto"/>
                <w:lang w:val="en-US" w:eastAsia="zh-CN"/>
              </w:rPr>
            </w:pPr>
            <w:r>
              <w:rPr>
                <w:rFonts w:hint="eastAsia" w:cs="Times New Roman"/>
                <w:color w:val="auto"/>
                <w:lang w:val="en-US" w:eastAsia="zh-CN"/>
              </w:rPr>
              <w:t>8.72×10</w:t>
            </w:r>
            <w:r>
              <w:rPr>
                <w:rFonts w:hint="eastAsia" w:ascii="Times New Roman" w:hAnsi="Times New Roman" w:cs="Times New Roman"/>
                <w:color w:val="auto"/>
                <w:vertAlign w:val="superscript"/>
                <w:lang w:val="en-US" w:eastAsia="zh-CN"/>
              </w:rPr>
              <w:t>-8</w:t>
            </w:r>
          </w:p>
        </w:tc>
        <w:tc>
          <w:tcPr>
            <w:tcW w:w="424" w:type="pct"/>
            <w:tcBorders>
              <w:tl2br w:val="nil"/>
              <w:tr2bl w:val="nil"/>
            </w:tcBorders>
            <w:noWrap w:val="0"/>
            <w:vAlign w:val="center"/>
          </w:tcPr>
          <w:p w14:paraId="1543BC1E">
            <w:pPr>
              <w:tabs>
                <w:tab w:val="left" w:pos="1215"/>
              </w:tabs>
              <w:adjustRightInd w:val="0"/>
              <w:snapToGrid w:val="0"/>
              <w:jc w:val="center"/>
              <w:rPr>
                <w:rFonts w:hint="default" w:ascii="Times New Roman" w:hAnsi="Times New Roman" w:eastAsia="宋体" w:cs="Times New Roman"/>
                <w:color w:val="auto"/>
              </w:rPr>
            </w:pPr>
            <w:r>
              <w:rPr>
                <w:rFonts w:hint="eastAsia" w:cs="Times New Roman"/>
                <w:color w:val="auto"/>
                <w:lang w:val="en-US" w:eastAsia="zh-CN"/>
              </w:rPr>
              <w:t>+8.72×10</w:t>
            </w:r>
            <w:r>
              <w:rPr>
                <w:rFonts w:hint="eastAsia" w:ascii="Times New Roman" w:hAnsi="Times New Roman" w:cs="Times New Roman"/>
                <w:color w:val="auto"/>
                <w:vertAlign w:val="superscript"/>
                <w:lang w:val="en-US" w:eastAsia="zh-CN"/>
              </w:rPr>
              <w:t>-8</w:t>
            </w:r>
          </w:p>
        </w:tc>
      </w:tr>
      <w:tr w14:paraId="38AF5E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53" w:type="pct"/>
            <w:vMerge w:val="restart"/>
            <w:tcBorders>
              <w:tl2br w:val="nil"/>
              <w:tr2bl w:val="nil"/>
            </w:tcBorders>
            <w:noWrap w:val="0"/>
            <w:vAlign w:val="center"/>
          </w:tcPr>
          <w:p w14:paraId="33C930B5">
            <w:pPr>
              <w:pStyle w:val="66"/>
              <w:spacing w:beforeLines="0" w:afterLines="0" w:line="240" w:lineRule="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废水</w:t>
            </w:r>
          </w:p>
        </w:tc>
        <w:tc>
          <w:tcPr>
            <w:tcW w:w="399" w:type="pct"/>
            <w:tcBorders>
              <w:tl2br w:val="nil"/>
              <w:tr2bl w:val="nil"/>
            </w:tcBorders>
            <w:noWrap w:val="0"/>
            <w:vAlign w:val="center"/>
          </w:tcPr>
          <w:p w14:paraId="74AB27A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snapToGrid w:val="0"/>
                <w:color w:val="auto"/>
                <w:kern w:val="21"/>
              </w:rPr>
            </w:pPr>
            <w:r>
              <w:rPr>
                <w:rFonts w:hint="eastAsia" w:cs="Times New Roman"/>
                <w:color w:val="auto"/>
                <w:sz w:val="21"/>
                <w:szCs w:val="21"/>
                <w:lang w:val="en-US" w:eastAsia="zh-CN"/>
              </w:rPr>
              <w:t>COD</w:t>
            </w:r>
          </w:p>
        </w:tc>
        <w:tc>
          <w:tcPr>
            <w:tcW w:w="705" w:type="pct"/>
            <w:tcBorders>
              <w:tl2br w:val="nil"/>
              <w:tr2bl w:val="nil"/>
            </w:tcBorders>
            <w:noWrap w:val="0"/>
            <w:vAlign w:val="center"/>
          </w:tcPr>
          <w:p w14:paraId="4A32E199">
            <w:pPr>
              <w:adjustRightInd w:val="0"/>
              <w:snapToGrid w:val="0"/>
              <w:jc w:val="center"/>
              <w:rPr>
                <w:rFonts w:hint="eastAsia" w:ascii="Times New Roman" w:hAnsi="Times New Roman" w:eastAsia="宋体" w:cs="Times New Roman"/>
                <w:snapToGrid w:val="0"/>
                <w:color w:val="auto"/>
                <w:kern w:val="21"/>
                <w:szCs w:val="21"/>
                <w:lang w:val="en-US" w:eastAsia="zh-CN"/>
              </w:rPr>
            </w:pPr>
            <w:r>
              <w:rPr>
                <w:rFonts w:hint="eastAsia" w:cs="Times New Roman"/>
                <w:bCs/>
                <w:color w:val="auto"/>
                <w:szCs w:val="21"/>
                <w:lang w:val="en-US" w:eastAsia="zh-CN"/>
              </w:rPr>
              <w:t>0.67</w:t>
            </w:r>
          </w:p>
        </w:tc>
        <w:tc>
          <w:tcPr>
            <w:tcW w:w="460" w:type="pct"/>
            <w:tcBorders>
              <w:tl2br w:val="nil"/>
              <w:tr2bl w:val="nil"/>
            </w:tcBorders>
            <w:noWrap w:val="0"/>
            <w:vAlign w:val="center"/>
          </w:tcPr>
          <w:p w14:paraId="46480545">
            <w:pPr>
              <w:pStyle w:val="66"/>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678" w:type="pct"/>
            <w:tcBorders>
              <w:tl2br w:val="nil"/>
              <w:tr2bl w:val="nil"/>
            </w:tcBorders>
            <w:noWrap w:val="0"/>
            <w:vAlign w:val="center"/>
          </w:tcPr>
          <w:p w14:paraId="48A892D5">
            <w:pPr>
              <w:pStyle w:val="66"/>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655" w:type="pct"/>
            <w:tcBorders>
              <w:tl2br w:val="nil"/>
              <w:tr2bl w:val="nil"/>
            </w:tcBorders>
            <w:noWrap w:val="0"/>
            <w:vAlign w:val="center"/>
          </w:tcPr>
          <w:p w14:paraId="314802B5">
            <w:pPr>
              <w:widowControl/>
              <w:jc w:val="center"/>
              <w:textAlignment w:val="center"/>
              <w:rPr>
                <w:rFonts w:hint="eastAsia" w:ascii="Times New Roman" w:hAnsi="Times New Roman" w:eastAsia="宋体" w:cs="Times New Roman"/>
                <w:color w:val="auto"/>
                <w:lang w:eastAsia="zh-CN"/>
              </w:rPr>
            </w:pPr>
            <w:r>
              <w:rPr>
                <w:rFonts w:hint="eastAsia" w:cs="Times New Roman"/>
                <w:color w:val="auto"/>
                <w:lang w:val="en-US" w:eastAsia="zh-CN"/>
              </w:rPr>
              <w:t>0</w:t>
            </w:r>
          </w:p>
        </w:tc>
        <w:tc>
          <w:tcPr>
            <w:tcW w:w="618" w:type="pct"/>
            <w:tcBorders>
              <w:tl2br w:val="nil"/>
              <w:tr2bl w:val="nil"/>
            </w:tcBorders>
            <w:noWrap w:val="0"/>
            <w:vAlign w:val="center"/>
          </w:tcPr>
          <w:p w14:paraId="47E372FF">
            <w:pPr>
              <w:widowControl/>
              <w:jc w:val="center"/>
              <w:textAlignment w:val="center"/>
              <w:rPr>
                <w:rFonts w:hint="eastAsia" w:ascii="Times New Roman" w:hAnsi="Times New Roman" w:eastAsia="宋体" w:cs="Times New Roman"/>
                <w:color w:val="auto"/>
                <w:lang w:val="en-US" w:eastAsia="zh-CN"/>
              </w:rPr>
            </w:pPr>
            <w:r>
              <w:rPr>
                <w:rFonts w:hint="eastAsia" w:cs="Times New Roman"/>
                <w:color w:val="auto"/>
                <w:lang w:val="en-US" w:eastAsia="zh-CN"/>
              </w:rPr>
              <w:t>0</w:t>
            </w:r>
          </w:p>
        </w:tc>
        <w:tc>
          <w:tcPr>
            <w:tcW w:w="804" w:type="pct"/>
            <w:tcBorders>
              <w:tl2br w:val="nil"/>
              <w:tr2bl w:val="nil"/>
            </w:tcBorders>
            <w:noWrap w:val="0"/>
            <w:vAlign w:val="center"/>
          </w:tcPr>
          <w:p w14:paraId="4D14CCA1">
            <w:pPr>
              <w:adjustRightInd w:val="0"/>
              <w:snapToGrid w:val="0"/>
              <w:jc w:val="center"/>
              <w:rPr>
                <w:rFonts w:hint="default" w:ascii="Times New Roman" w:hAnsi="Times New Roman" w:eastAsia="宋体" w:cs="Times New Roman"/>
                <w:color w:val="auto"/>
              </w:rPr>
            </w:pPr>
            <w:r>
              <w:rPr>
                <w:rFonts w:hint="eastAsia" w:cs="Times New Roman"/>
                <w:bCs/>
                <w:color w:val="auto"/>
                <w:szCs w:val="21"/>
                <w:lang w:val="en-US" w:eastAsia="zh-CN"/>
              </w:rPr>
              <w:t>0.67</w:t>
            </w:r>
          </w:p>
        </w:tc>
        <w:tc>
          <w:tcPr>
            <w:tcW w:w="424" w:type="pct"/>
            <w:tcBorders>
              <w:tl2br w:val="nil"/>
              <w:tr2bl w:val="nil"/>
            </w:tcBorders>
            <w:noWrap w:val="0"/>
            <w:vAlign w:val="center"/>
          </w:tcPr>
          <w:p w14:paraId="26D7EDA2">
            <w:pPr>
              <w:widowControl/>
              <w:jc w:val="center"/>
              <w:textAlignment w:val="center"/>
              <w:rPr>
                <w:rFonts w:hint="eastAsia" w:ascii="Times New Roman" w:hAnsi="Times New Roman" w:eastAsia="宋体" w:cs="Times New Roman"/>
                <w:color w:val="auto"/>
                <w:lang w:eastAsia="zh-CN"/>
              </w:rPr>
            </w:pPr>
            <w:r>
              <w:rPr>
                <w:rFonts w:hint="eastAsia" w:cs="Times New Roman"/>
                <w:color w:val="auto"/>
                <w:lang w:val="en-US" w:eastAsia="zh-CN"/>
              </w:rPr>
              <w:t>0</w:t>
            </w:r>
          </w:p>
        </w:tc>
      </w:tr>
      <w:tr w14:paraId="33F664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53" w:type="pct"/>
            <w:vMerge w:val="continue"/>
            <w:tcBorders>
              <w:tl2br w:val="nil"/>
              <w:tr2bl w:val="nil"/>
            </w:tcBorders>
            <w:noWrap w:val="0"/>
            <w:vAlign w:val="center"/>
          </w:tcPr>
          <w:p w14:paraId="57D4CDE1">
            <w:pPr>
              <w:pStyle w:val="66"/>
              <w:spacing w:beforeLines="0" w:afterLines="0" w:line="240" w:lineRule="auto"/>
              <w:rPr>
                <w:rFonts w:hint="default" w:ascii="Times New Roman" w:hAnsi="Times New Roman" w:eastAsia="宋体" w:cs="Times New Roman"/>
                <w:snapToGrid w:val="0"/>
                <w:color w:val="auto"/>
                <w:kern w:val="21"/>
                <w:szCs w:val="21"/>
              </w:rPr>
            </w:pPr>
          </w:p>
        </w:tc>
        <w:tc>
          <w:tcPr>
            <w:tcW w:w="399" w:type="pct"/>
            <w:tcBorders>
              <w:tl2br w:val="nil"/>
              <w:tr2bl w:val="nil"/>
            </w:tcBorders>
            <w:noWrap w:val="0"/>
            <w:vAlign w:val="center"/>
          </w:tcPr>
          <w:p w14:paraId="3628E83E">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snapToGrid w:val="0"/>
                <w:color w:val="auto"/>
                <w:kern w:val="21"/>
              </w:rPr>
            </w:pPr>
            <w:r>
              <w:rPr>
                <w:rFonts w:hint="eastAsia" w:cs="Times New Roman"/>
                <w:color w:val="auto"/>
                <w:sz w:val="21"/>
                <w:szCs w:val="21"/>
                <w:lang w:val="en-US" w:eastAsia="zh-CN"/>
              </w:rPr>
              <w:t>氨氮</w:t>
            </w:r>
          </w:p>
        </w:tc>
        <w:tc>
          <w:tcPr>
            <w:tcW w:w="705" w:type="pct"/>
            <w:tcBorders>
              <w:tl2br w:val="nil"/>
              <w:tr2bl w:val="nil"/>
            </w:tcBorders>
            <w:noWrap w:val="0"/>
            <w:vAlign w:val="center"/>
          </w:tcPr>
          <w:p w14:paraId="7327085F">
            <w:pPr>
              <w:adjustRightInd w:val="0"/>
              <w:snapToGrid w:val="0"/>
              <w:jc w:val="center"/>
              <w:rPr>
                <w:rFonts w:hint="eastAsia" w:ascii="Times New Roman" w:hAnsi="Times New Roman" w:eastAsia="宋体" w:cs="Times New Roman"/>
                <w:snapToGrid w:val="0"/>
                <w:color w:val="auto"/>
                <w:kern w:val="21"/>
                <w:szCs w:val="21"/>
                <w:lang w:val="en-US" w:eastAsia="zh-CN"/>
              </w:rPr>
            </w:pPr>
            <w:r>
              <w:rPr>
                <w:rFonts w:hint="eastAsia" w:cs="Times New Roman"/>
                <w:bCs/>
                <w:color w:val="auto"/>
                <w:szCs w:val="21"/>
                <w:lang w:val="en-US" w:eastAsia="zh-CN"/>
              </w:rPr>
              <w:t>0.13</w:t>
            </w:r>
          </w:p>
        </w:tc>
        <w:tc>
          <w:tcPr>
            <w:tcW w:w="460" w:type="pct"/>
            <w:tcBorders>
              <w:tl2br w:val="nil"/>
              <w:tr2bl w:val="nil"/>
            </w:tcBorders>
            <w:noWrap w:val="0"/>
            <w:vAlign w:val="center"/>
          </w:tcPr>
          <w:p w14:paraId="6FB2C265">
            <w:pPr>
              <w:pStyle w:val="66"/>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678" w:type="pct"/>
            <w:tcBorders>
              <w:tl2br w:val="nil"/>
              <w:tr2bl w:val="nil"/>
            </w:tcBorders>
            <w:noWrap w:val="0"/>
            <w:vAlign w:val="center"/>
          </w:tcPr>
          <w:p w14:paraId="24C46895">
            <w:pPr>
              <w:pStyle w:val="66"/>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655" w:type="pct"/>
            <w:tcBorders>
              <w:tl2br w:val="nil"/>
              <w:tr2bl w:val="nil"/>
            </w:tcBorders>
            <w:noWrap w:val="0"/>
            <w:vAlign w:val="center"/>
          </w:tcPr>
          <w:p w14:paraId="01B75045">
            <w:pPr>
              <w:widowControl/>
              <w:jc w:val="center"/>
              <w:textAlignment w:val="center"/>
              <w:rPr>
                <w:rFonts w:hint="eastAsia" w:ascii="Times New Roman" w:hAnsi="Times New Roman" w:eastAsia="宋体" w:cs="Times New Roman"/>
                <w:color w:val="auto"/>
                <w:lang w:eastAsia="zh-CN"/>
              </w:rPr>
            </w:pPr>
            <w:r>
              <w:rPr>
                <w:rFonts w:hint="eastAsia" w:cs="Times New Roman"/>
                <w:color w:val="auto"/>
                <w:lang w:val="en-US" w:eastAsia="zh-CN"/>
              </w:rPr>
              <w:t>0</w:t>
            </w:r>
          </w:p>
        </w:tc>
        <w:tc>
          <w:tcPr>
            <w:tcW w:w="618" w:type="pct"/>
            <w:tcBorders>
              <w:tl2br w:val="nil"/>
              <w:tr2bl w:val="nil"/>
            </w:tcBorders>
            <w:noWrap w:val="0"/>
            <w:vAlign w:val="center"/>
          </w:tcPr>
          <w:p w14:paraId="12C2929E">
            <w:pPr>
              <w:widowControl/>
              <w:jc w:val="center"/>
              <w:textAlignment w:val="center"/>
              <w:rPr>
                <w:rFonts w:hint="eastAsia" w:ascii="Times New Roman" w:hAnsi="Times New Roman" w:eastAsia="宋体" w:cs="Times New Roman"/>
                <w:color w:val="auto"/>
                <w:lang w:val="en-US" w:eastAsia="zh-CN"/>
              </w:rPr>
            </w:pPr>
            <w:r>
              <w:rPr>
                <w:rFonts w:hint="eastAsia" w:cs="Times New Roman"/>
                <w:color w:val="auto"/>
                <w:lang w:val="en-US" w:eastAsia="zh-CN"/>
              </w:rPr>
              <w:t>0</w:t>
            </w:r>
          </w:p>
        </w:tc>
        <w:tc>
          <w:tcPr>
            <w:tcW w:w="804" w:type="pct"/>
            <w:tcBorders>
              <w:tl2br w:val="nil"/>
              <w:tr2bl w:val="nil"/>
            </w:tcBorders>
            <w:noWrap w:val="0"/>
            <w:vAlign w:val="center"/>
          </w:tcPr>
          <w:p w14:paraId="6FB8EE2C">
            <w:pPr>
              <w:adjustRightInd w:val="0"/>
              <w:snapToGrid w:val="0"/>
              <w:jc w:val="center"/>
              <w:rPr>
                <w:rFonts w:hint="default" w:ascii="Times New Roman" w:hAnsi="Times New Roman" w:eastAsia="宋体" w:cs="Times New Roman"/>
                <w:color w:val="auto"/>
              </w:rPr>
            </w:pPr>
            <w:r>
              <w:rPr>
                <w:rFonts w:hint="eastAsia" w:cs="Times New Roman"/>
                <w:bCs/>
                <w:color w:val="auto"/>
                <w:szCs w:val="21"/>
                <w:lang w:val="en-US" w:eastAsia="zh-CN"/>
              </w:rPr>
              <w:t>0.13</w:t>
            </w:r>
          </w:p>
        </w:tc>
        <w:tc>
          <w:tcPr>
            <w:tcW w:w="424" w:type="pct"/>
            <w:tcBorders>
              <w:tl2br w:val="nil"/>
              <w:tr2bl w:val="nil"/>
            </w:tcBorders>
            <w:noWrap w:val="0"/>
            <w:vAlign w:val="center"/>
          </w:tcPr>
          <w:p w14:paraId="3FA527BA">
            <w:pPr>
              <w:widowControl/>
              <w:jc w:val="center"/>
              <w:textAlignment w:val="center"/>
              <w:rPr>
                <w:rFonts w:hint="eastAsia" w:ascii="Times New Roman" w:hAnsi="Times New Roman" w:eastAsia="宋体" w:cs="Times New Roman"/>
                <w:color w:val="auto"/>
                <w:lang w:eastAsia="zh-CN"/>
              </w:rPr>
            </w:pPr>
            <w:r>
              <w:rPr>
                <w:rFonts w:hint="eastAsia" w:cs="Times New Roman"/>
                <w:color w:val="auto"/>
                <w:lang w:val="en-US" w:eastAsia="zh-CN"/>
              </w:rPr>
              <w:t>0</w:t>
            </w:r>
          </w:p>
        </w:tc>
      </w:tr>
      <w:tr w14:paraId="2806A0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53" w:type="pct"/>
            <w:vMerge w:val="restart"/>
            <w:tcBorders>
              <w:tl2br w:val="nil"/>
              <w:tr2bl w:val="nil"/>
            </w:tcBorders>
            <w:noWrap w:val="0"/>
            <w:vAlign w:val="center"/>
          </w:tcPr>
          <w:p w14:paraId="137EE649">
            <w:pPr>
              <w:widowControl/>
              <w:jc w:val="center"/>
              <w:textAlignment w:val="center"/>
              <w:rPr>
                <w:rFonts w:hint="default" w:ascii="Times New Roman" w:hAnsi="Times New Roman" w:eastAsia="宋体" w:cs="Times New Roman"/>
                <w:color w:val="auto"/>
                <w:kern w:val="0"/>
                <w:lang w:bidi="ar"/>
              </w:rPr>
            </w:pPr>
            <w:r>
              <w:rPr>
                <w:rFonts w:hint="default" w:ascii="Times New Roman" w:hAnsi="Times New Roman" w:eastAsia="宋体" w:cs="Times New Roman"/>
                <w:color w:val="auto"/>
                <w:kern w:val="0"/>
                <w:lang w:bidi="ar"/>
              </w:rPr>
              <w:t>一般工业</w:t>
            </w:r>
          </w:p>
          <w:p w14:paraId="1BD1B501">
            <w:pPr>
              <w:widowControl/>
              <w:jc w:val="center"/>
              <w:textAlignment w:val="center"/>
              <w:rPr>
                <w:rFonts w:hint="eastAsia" w:ascii="Times New Roman" w:hAnsi="Times New Roman" w:eastAsia="宋体" w:cs="Times New Roman"/>
                <w:color w:val="auto"/>
                <w:kern w:val="0"/>
                <w:lang w:eastAsia="zh-CN" w:bidi="ar"/>
              </w:rPr>
            </w:pPr>
            <w:r>
              <w:rPr>
                <w:rFonts w:hint="default" w:ascii="Times New Roman" w:hAnsi="Times New Roman" w:eastAsia="宋体" w:cs="Times New Roman"/>
                <w:color w:val="auto"/>
                <w:kern w:val="0"/>
                <w:lang w:bidi="ar"/>
              </w:rPr>
              <w:t>固体废物</w:t>
            </w:r>
          </w:p>
        </w:tc>
        <w:tc>
          <w:tcPr>
            <w:tcW w:w="399" w:type="pct"/>
            <w:tcBorders>
              <w:tl2br w:val="nil"/>
              <w:tr2bl w:val="nil"/>
            </w:tcBorders>
            <w:noWrap w:val="0"/>
            <w:vAlign w:val="center"/>
          </w:tcPr>
          <w:p w14:paraId="68782C57">
            <w:pPr>
              <w:tabs>
                <w:tab w:val="left" w:pos="1215"/>
              </w:tabs>
              <w:adjustRightInd w:val="0"/>
              <w:snapToGrid w:val="0"/>
              <w:jc w:val="center"/>
              <w:rPr>
                <w:rFonts w:hint="default" w:ascii="Times New Roman" w:hAnsi="Times New Roman" w:eastAsia="宋体" w:cs="Times New Roman"/>
                <w:color w:val="auto"/>
                <w:kern w:val="0"/>
                <w:lang w:bidi="ar"/>
              </w:rPr>
            </w:pPr>
            <w:r>
              <w:rPr>
                <w:rFonts w:hint="eastAsia" w:ascii="Times New Roman" w:hAnsi="Times New Roman" w:eastAsia="宋体" w:cs="Times New Roman"/>
                <w:color w:val="auto"/>
                <w:lang w:val="en-US" w:eastAsia="zh-CN"/>
              </w:rPr>
              <w:t>废容器或包装物</w:t>
            </w:r>
          </w:p>
        </w:tc>
        <w:tc>
          <w:tcPr>
            <w:tcW w:w="705" w:type="pct"/>
            <w:tcBorders>
              <w:tl2br w:val="nil"/>
              <w:tr2bl w:val="nil"/>
            </w:tcBorders>
            <w:noWrap w:val="0"/>
            <w:vAlign w:val="center"/>
          </w:tcPr>
          <w:p w14:paraId="22153638">
            <w:pPr>
              <w:widowControl/>
              <w:jc w:val="center"/>
              <w:textAlignment w:val="center"/>
              <w:rPr>
                <w:rFonts w:hint="eastAsia" w:ascii="Times New Roman" w:hAnsi="Times New Roman" w:eastAsia="宋体" w:cs="Times New Roman"/>
                <w:color w:val="auto"/>
                <w:kern w:val="0"/>
                <w:lang w:val="en-US" w:eastAsia="zh-CN" w:bidi="ar"/>
              </w:rPr>
            </w:pPr>
            <w:r>
              <w:rPr>
                <w:rFonts w:hint="eastAsia" w:cs="Times New Roman"/>
                <w:color w:val="auto"/>
                <w:kern w:val="0"/>
                <w:lang w:val="en-US" w:eastAsia="zh-CN" w:bidi="ar"/>
              </w:rPr>
              <w:t>0</w:t>
            </w:r>
          </w:p>
        </w:tc>
        <w:tc>
          <w:tcPr>
            <w:tcW w:w="460" w:type="pct"/>
            <w:tcBorders>
              <w:tl2br w:val="nil"/>
              <w:tr2bl w:val="nil"/>
            </w:tcBorders>
            <w:noWrap w:val="0"/>
            <w:vAlign w:val="center"/>
          </w:tcPr>
          <w:p w14:paraId="6FADF01D">
            <w:pPr>
              <w:widowControl/>
              <w:jc w:val="center"/>
              <w:textAlignment w:val="center"/>
              <w:rPr>
                <w:rFonts w:hint="default" w:ascii="Times New Roman" w:hAnsi="Times New Roman" w:eastAsia="宋体" w:cs="Times New Roman"/>
                <w:color w:val="auto"/>
                <w:kern w:val="0"/>
                <w:lang w:val="en-US" w:eastAsia="zh-CN" w:bidi="ar"/>
              </w:rPr>
            </w:pPr>
            <w:r>
              <w:rPr>
                <w:rFonts w:hint="eastAsia" w:cs="Times New Roman"/>
                <w:color w:val="auto"/>
                <w:kern w:val="0"/>
                <w:lang w:val="en-US" w:eastAsia="zh-CN" w:bidi="ar"/>
              </w:rPr>
              <w:t>/</w:t>
            </w:r>
          </w:p>
        </w:tc>
        <w:tc>
          <w:tcPr>
            <w:tcW w:w="678" w:type="pct"/>
            <w:tcBorders>
              <w:tl2br w:val="nil"/>
              <w:tr2bl w:val="nil"/>
            </w:tcBorders>
            <w:noWrap w:val="0"/>
            <w:vAlign w:val="center"/>
          </w:tcPr>
          <w:p w14:paraId="48DCFA34">
            <w:pPr>
              <w:widowControl/>
              <w:jc w:val="center"/>
              <w:textAlignment w:val="center"/>
              <w:rPr>
                <w:rFonts w:hint="eastAsia" w:ascii="Times New Roman" w:hAnsi="Times New Roman" w:eastAsia="宋体" w:cs="Times New Roman"/>
                <w:color w:val="auto"/>
                <w:kern w:val="0"/>
                <w:lang w:val="en-US" w:eastAsia="zh-CN" w:bidi="ar"/>
              </w:rPr>
            </w:pPr>
            <w:r>
              <w:rPr>
                <w:rFonts w:hint="eastAsia" w:cs="Times New Roman"/>
                <w:color w:val="auto"/>
                <w:kern w:val="0"/>
                <w:lang w:val="en-US" w:eastAsia="zh-CN" w:bidi="ar"/>
              </w:rPr>
              <w:t>/</w:t>
            </w:r>
          </w:p>
        </w:tc>
        <w:tc>
          <w:tcPr>
            <w:tcW w:w="655" w:type="pct"/>
            <w:tcBorders>
              <w:tl2br w:val="nil"/>
              <w:tr2bl w:val="nil"/>
            </w:tcBorders>
            <w:noWrap w:val="0"/>
            <w:vAlign w:val="center"/>
          </w:tcPr>
          <w:p w14:paraId="32C4BA87">
            <w:pPr>
              <w:widowControl/>
              <w:jc w:val="center"/>
              <w:textAlignment w:val="center"/>
              <w:rPr>
                <w:rFonts w:hint="eastAsia" w:ascii="Times New Roman" w:hAnsi="Times New Roman" w:eastAsia="宋体" w:cs="Times New Roman"/>
                <w:color w:val="auto"/>
                <w:lang w:val="en-US" w:eastAsia="zh-CN"/>
              </w:rPr>
            </w:pPr>
            <w:r>
              <w:rPr>
                <w:rFonts w:hint="eastAsia" w:cs="Times New Roman"/>
                <w:color w:val="auto"/>
                <w:lang w:val="en-US" w:eastAsia="zh-CN"/>
              </w:rPr>
              <w:t>0</w:t>
            </w:r>
          </w:p>
        </w:tc>
        <w:tc>
          <w:tcPr>
            <w:tcW w:w="618" w:type="pct"/>
            <w:tcBorders>
              <w:tl2br w:val="nil"/>
              <w:tr2bl w:val="nil"/>
            </w:tcBorders>
            <w:noWrap w:val="0"/>
            <w:vAlign w:val="center"/>
          </w:tcPr>
          <w:p w14:paraId="608F3788">
            <w:pPr>
              <w:widowControl/>
              <w:jc w:val="center"/>
              <w:textAlignment w:val="center"/>
              <w:rPr>
                <w:rFonts w:hint="eastAsia" w:ascii="Times New Roman" w:hAnsi="Times New Roman" w:eastAsia="宋体" w:cs="Times New Roman"/>
                <w:color w:val="auto"/>
                <w:lang w:val="en-US" w:eastAsia="zh-CN"/>
              </w:rPr>
            </w:pPr>
            <w:r>
              <w:rPr>
                <w:rFonts w:hint="eastAsia" w:cs="Times New Roman"/>
                <w:color w:val="auto"/>
                <w:lang w:val="en-US" w:eastAsia="zh-CN"/>
              </w:rPr>
              <w:t>0</w:t>
            </w:r>
          </w:p>
        </w:tc>
        <w:tc>
          <w:tcPr>
            <w:tcW w:w="804" w:type="pct"/>
            <w:tcBorders>
              <w:tl2br w:val="nil"/>
              <w:tr2bl w:val="nil"/>
            </w:tcBorders>
            <w:noWrap w:val="0"/>
            <w:vAlign w:val="center"/>
          </w:tcPr>
          <w:p w14:paraId="48830518">
            <w:pPr>
              <w:widowControl/>
              <w:jc w:val="center"/>
              <w:textAlignment w:val="center"/>
              <w:rPr>
                <w:rFonts w:hint="eastAsia" w:ascii="Times New Roman" w:hAnsi="Times New Roman" w:eastAsia="宋体" w:cs="Times New Roman"/>
                <w:color w:val="auto"/>
                <w:lang w:val="en-US" w:eastAsia="zh-CN"/>
              </w:rPr>
            </w:pPr>
            <w:r>
              <w:rPr>
                <w:rFonts w:hint="eastAsia" w:cs="Times New Roman"/>
                <w:color w:val="auto"/>
                <w:lang w:val="en-US" w:eastAsia="zh-CN"/>
              </w:rPr>
              <w:t>0</w:t>
            </w:r>
          </w:p>
        </w:tc>
        <w:tc>
          <w:tcPr>
            <w:tcW w:w="424" w:type="pct"/>
            <w:tcBorders>
              <w:tl2br w:val="nil"/>
              <w:tr2bl w:val="nil"/>
            </w:tcBorders>
            <w:noWrap w:val="0"/>
            <w:vAlign w:val="center"/>
          </w:tcPr>
          <w:p w14:paraId="565C99A7">
            <w:pPr>
              <w:widowControl/>
              <w:jc w:val="center"/>
              <w:textAlignment w:val="center"/>
              <w:rPr>
                <w:rFonts w:hint="eastAsia" w:ascii="Times New Roman" w:hAnsi="Times New Roman" w:eastAsia="宋体" w:cs="Times New Roman"/>
                <w:color w:val="auto"/>
                <w:lang w:val="en-US" w:eastAsia="zh-CN"/>
              </w:rPr>
            </w:pPr>
            <w:r>
              <w:rPr>
                <w:rFonts w:hint="eastAsia" w:cs="Times New Roman"/>
                <w:color w:val="auto"/>
                <w:lang w:val="en-US" w:eastAsia="zh-CN"/>
              </w:rPr>
              <w:t>0</w:t>
            </w:r>
          </w:p>
        </w:tc>
      </w:tr>
      <w:tr w14:paraId="2202DE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53" w:type="pct"/>
            <w:vMerge w:val="continue"/>
            <w:tcBorders>
              <w:tl2br w:val="nil"/>
              <w:tr2bl w:val="nil"/>
            </w:tcBorders>
            <w:noWrap w:val="0"/>
            <w:vAlign w:val="center"/>
          </w:tcPr>
          <w:p w14:paraId="6596E511">
            <w:pPr>
              <w:widowControl/>
              <w:jc w:val="center"/>
              <w:textAlignment w:val="center"/>
              <w:rPr>
                <w:rFonts w:hint="default" w:ascii="Times New Roman" w:hAnsi="Times New Roman" w:eastAsia="宋体" w:cs="Times New Roman"/>
                <w:color w:val="auto"/>
                <w:kern w:val="0"/>
                <w:lang w:bidi="ar"/>
              </w:rPr>
            </w:pPr>
          </w:p>
        </w:tc>
        <w:tc>
          <w:tcPr>
            <w:tcW w:w="399" w:type="pct"/>
            <w:tcBorders>
              <w:tl2br w:val="nil"/>
              <w:tr2bl w:val="nil"/>
            </w:tcBorders>
            <w:noWrap w:val="0"/>
            <w:vAlign w:val="center"/>
          </w:tcPr>
          <w:p w14:paraId="665700E9">
            <w:pPr>
              <w:tabs>
                <w:tab w:val="left" w:pos="1215"/>
              </w:tabs>
              <w:adjustRightInd w:val="0"/>
              <w:snapToGrid w:val="0"/>
              <w:jc w:val="center"/>
              <w:rPr>
                <w:rFonts w:hint="default" w:ascii="Times New Roman" w:hAnsi="Times New Roman" w:eastAsia="宋体" w:cs="Times New Roman"/>
                <w:color w:val="auto"/>
                <w:kern w:val="0"/>
                <w:lang w:bidi="ar"/>
              </w:rPr>
            </w:pPr>
            <w:r>
              <w:rPr>
                <w:rFonts w:hint="eastAsia" w:ascii="Times New Roman" w:hAnsi="Times New Roman" w:eastAsia="宋体" w:cs="Times New Roman"/>
                <w:color w:val="auto"/>
                <w:lang w:val="en-US" w:eastAsia="zh-CN"/>
              </w:rPr>
              <w:t>窑灰</w:t>
            </w:r>
          </w:p>
        </w:tc>
        <w:tc>
          <w:tcPr>
            <w:tcW w:w="705" w:type="pct"/>
            <w:tcBorders>
              <w:tl2br w:val="nil"/>
              <w:tr2bl w:val="nil"/>
            </w:tcBorders>
            <w:noWrap w:val="0"/>
            <w:vAlign w:val="center"/>
          </w:tcPr>
          <w:p w14:paraId="2D83772C">
            <w:pPr>
              <w:widowControl/>
              <w:jc w:val="center"/>
              <w:textAlignment w:val="center"/>
              <w:rPr>
                <w:rFonts w:hint="eastAsia" w:ascii="Times New Roman" w:hAnsi="Times New Roman" w:eastAsia="宋体" w:cs="Times New Roman"/>
                <w:color w:val="auto"/>
                <w:kern w:val="0"/>
                <w:lang w:val="en-US" w:eastAsia="zh-CN" w:bidi="ar"/>
              </w:rPr>
            </w:pPr>
            <w:r>
              <w:rPr>
                <w:rFonts w:hint="eastAsia" w:cs="Times New Roman"/>
                <w:color w:val="auto"/>
                <w:kern w:val="0"/>
                <w:lang w:val="en-US" w:eastAsia="zh-CN" w:bidi="ar"/>
              </w:rPr>
              <w:t>0</w:t>
            </w:r>
          </w:p>
        </w:tc>
        <w:tc>
          <w:tcPr>
            <w:tcW w:w="460" w:type="pct"/>
            <w:tcBorders>
              <w:tl2br w:val="nil"/>
              <w:tr2bl w:val="nil"/>
            </w:tcBorders>
            <w:noWrap w:val="0"/>
            <w:vAlign w:val="center"/>
          </w:tcPr>
          <w:p w14:paraId="5A2CE3E1">
            <w:pPr>
              <w:widowControl/>
              <w:jc w:val="center"/>
              <w:textAlignment w:val="center"/>
              <w:rPr>
                <w:rFonts w:hint="eastAsia" w:ascii="Times New Roman" w:hAnsi="Times New Roman" w:eastAsia="宋体" w:cs="Times New Roman"/>
                <w:color w:val="auto"/>
                <w:kern w:val="0"/>
                <w:lang w:val="en-US" w:eastAsia="zh-CN" w:bidi="ar"/>
              </w:rPr>
            </w:pPr>
            <w:r>
              <w:rPr>
                <w:rFonts w:hint="eastAsia" w:cs="Times New Roman"/>
                <w:color w:val="auto"/>
                <w:kern w:val="0"/>
                <w:lang w:val="en-US" w:eastAsia="zh-CN" w:bidi="ar"/>
              </w:rPr>
              <w:t>/</w:t>
            </w:r>
          </w:p>
        </w:tc>
        <w:tc>
          <w:tcPr>
            <w:tcW w:w="678" w:type="pct"/>
            <w:tcBorders>
              <w:tl2br w:val="nil"/>
              <w:tr2bl w:val="nil"/>
            </w:tcBorders>
            <w:noWrap w:val="0"/>
            <w:vAlign w:val="center"/>
          </w:tcPr>
          <w:p w14:paraId="3C4DDFE3">
            <w:pPr>
              <w:widowControl/>
              <w:jc w:val="center"/>
              <w:textAlignment w:val="center"/>
              <w:rPr>
                <w:rFonts w:hint="eastAsia" w:ascii="Times New Roman" w:hAnsi="Times New Roman" w:eastAsia="宋体" w:cs="Times New Roman"/>
                <w:color w:val="auto"/>
                <w:kern w:val="0"/>
                <w:lang w:val="en-US" w:eastAsia="zh-CN" w:bidi="ar"/>
              </w:rPr>
            </w:pPr>
            <w:r>
              <w:rPr>
                <w:rFonts w:hint="eastAsia" w:cs="Times New Roman"/>
                <w:color w:val="auto"/>
                <w:kern w:val="0"/>
                <w:lang w:val="en-US" w:eastAsia="zh-CN" w:bidi="ar"/>
              </w:rPr>
              <w:t>/</w:t>
            </w:r>
          </w:p>
        </w:tc>
        <w:tc>
          <w:tcPr>
            <w:tcW w:w="655" w:type="pct"/>
            <w:tcBorders>
              <w:tl2br w:val="nil"/>
              <w:tr2bl w:val="nil"/>
            </w:tcBorders>
            <w:noWrap w:val="0"/>
            <w:vAlign w:val="center"/>
          </w:tcPr>
          <w:p w14:paraId="51D00C6F">
            <w:pPr>
              <w:widowControl/>
              <w:jc w:val="center"/>
              <w:textAlignment w:val="center"/>
              <w:rPr>
                <w:rFonts w:hint="default" w:ascii="Times New Roman" w:hAnsi="Times New Roman" w:eastAsia="宋体" w:cs="Times New Roman"/>
                <w:color w:val="auto"/>
                <w:kern w:val="0"/>
                <w:lang w:val="en-US" w:eastAsia="zh-CN" w:bidi="ar"/>
              </w:rPr>
            </w:pPr>
            <w:r>
              <w:rPr>
                <w:rFonts w:hint="eastAsia" w:cs="Times New Roman"/>
                <w:color w:val="auto"/>
                <w:kern w:val="0"/>
                <w:lang w:val="en-US" w:eastAsia="zh-CN" w:bidi="ar"/>
              </w:rPr>
              <w:t>0</w:t>
            </w:r>
          </w:p>
        </w:tc>
        <w:tc>
          <w:tcPr>
            <w:tcW w:w="618" w:type="pct"/>
            <w:tcBorders>
              <w:tl2br w:val="nil"/>
              <w:tr2bl w:val="nil"/>
            </w:tcBorders>
            <w:noWrap w:val="0"/>
            <w:vAlign w:val="center"/>
          </w:tcPr>
          <w:p w14:paraId="4EB39FA6">
            <w:pPr>
              <w:widowControl/>
              <w:jc w:val="center"/>
              <w:textAlignment w:val="center"/>
              <w:rPr>
                <w:rFonts w:hint="eastAsia" w:ascii="Times New Roman" w:hAnsi="Times New Roman" w:eastAsia="宋体" w:cs="Times New Roman"/>
                <w:color w:val="auto"/>
                <w:kern w:val="0"/>
                <w:lang w:val="en-US" w:eastAsia="zh-CN" w:bidi="ar"/>
              </w:rPr>
            </w:pPr>
            <w:r>
              <w:rPr>
                <w:rFonts w:hint="eastAsia" w:cs="Times New Roman"/>
                <w:color w:val="auto"/>
                <w:kern w:val="0"/>
                <w:lang w:val="en-US" w:eastAsia="zh-CN" w:bidi="ar"/>
              </w:rPr>
              <w:t>0</w:t>
            </w:r>
          </w:p>
        </w:tc>
        <w:tc>
          <w:tcPr>
            <w:tcW w:w="804" w:type="pct"/>
            <w:tcBorders>
              <w:tl2br w:val="nil"/>
              <w:tr2bl w:val="nil"/>
            </w:tcBorders>
            <w:noWrap w:val="0"/>
            <w:vAlign w:val="center"/>
          </w:tcPr>
          <w:p w14:paraId="5A4E53C0">
            <w:pPr>
              <w:widowControl/>
              <w:jc w:val="center"/>
              <w:textAlignment w:val="center"/>
              <w:rPr>
                <w:rFonts w:hint="default" w:ascii="Times New Roman" w:hAnsi="Times New Roman" w:eastAsia="宋体" w:cs="Times New Roman"/>
                <w:color w:val="auto"/>
                <w:kern w:val="0"/>
                <w:lang w:val="en-US" w:eastAsia="zh-CN" w:bidi="ar"/>
              </w:rPr>
            </w:pPr>
            <w:r>
              <w:rPr>
                <w:rFonts w:hint="eastAsia" w:cs="Times New Roman"/>
                <w:color w:val="auto"/>
                <w:kern w:val="0"/>
                <w:lang w:val="en-US" w:eastAsia="zh-CN" w:bidi="ar"/>
              </w:rPr>
              <w:t>0</w:t>
            </w:r>
          </w:p>
        </w:tc>
        <w:tc>
          <w:tcPr>
            <w:tcW w:w="424" w:type="pct"/>
            <w:tcBorders>
              <w:tl2br w:val="nil"/>
              <w:tr2bl w:val="nil"/>
            </w:tcBorders>
            <w:noWrap w:val="0"/>
            <w:vAlign w:val="center"/>
          </w:tcPr>
          <w:p w14:paraId="16AE03C4">
            <w:pPr>
              <w:widowControl/>
              <w:jc w:val="center"/>
              <w:textAlignment w:val="center"/>
              <w:rPr>
                <w:rFonts w:hint="default" w:ascii="Times New Roman" w:hAnsi="Times New Roman" w:eastAsia="宋体" w:cs="Times New Roman"/>
                <w:color w:val="auto"/>
                <w:kern w:val="0"/>
                <w:lang w:val="en-US" w:eastAsia="zh-CN" w:bidi="ar"/>
              </w:rPr>
            </w:pPr>
            <w:r>
              <w:rPr>
                <w:rFonts w:hint="eastAsia" w:cs="Times New Roman"/>
                <w:color w:val="auto"/>
                <w:kern w:val="0"/>
                <w:lang w:val="en-US" w:eastAsia="zh-CN" w:bidi="ar"/>
              </w:rPr>
              <w:t>0</w:t>
            </w:r>
          </w:p>
        </w:tc>
      </w:tr>
      <w:tr w14:paraId="5894B6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53" w:type="pct"/>
            <w:vMerge w:val="continue"/>
            <w:tcBorders>
              <w:tl2br w:val="nil"/>
              <w:tr2bl w:val="nil"/>
            </w:tcBorders>
            <w:noWrap w:val="0"/>
            <w:vAlign w:val="center"/>
          </w:tcPr>
          <w:p w14:paraId="5DD0E35D">
            <w:pPr>
              <w:widowControl/>
              <w:jc w:val="center"/>
              <w:textAlignment w:val="center"/>
              <w:rPr>
                <w:rFonts w:hint="default" w:ascii="Times New Roman" w:hAnsi="Times New Roman" w:eastAsia="宋体" w:cs="Times New Roman"/>
                <w:color w:val="auto"/>
                <w:kern w:val="0"/>
                <w:lang w:bidi="ar"/>
              </w:rPr>
            </w:pPr>
          </w:p>
        </w:tc>
        <w:tc>
          <w:tcPr>
            <w:tcW w:w="399" w:type="pct"/>
            <w:tcBorders>
              <w:tl2br w:val="nil"/>
              <w:tr2bl w:val="nil"/>
            </w:tcBorders>
            <w:noWrap w:val="0"/>
            <w:vAlign w:val="center"/>
          </w:tcPr>
          <w:p w14:paraId="2C505E28">
            <w:pPr>
              <w:adjustRightInd w:val="0"/>
              <w:snapToGrid w:val="0"/>
              <w:jc w:val="center"/>
              <w:rPr>
                <w:rFonts w:hint="eastAsia" w:ascii="Times New Roman" w:hAnsi="Times New Roman" w:eastAsia="宋体" w:cs="Times New Roman"/>
                <w:color w:val="auto"/>
                <w:lang w:val="en-US" w:eastAsia="zh-CN"/>
              </w:rPr>
            </w:pPr>
            <w:r>
              <w:rPr>
                <w:rFonts w:hint="eastAsia" w:cs="Times New Roman"/>
                <w:bCs/>
                <w:color w:val="auto"/>
                <w:szCs w:val="21"/>
                <w:lang w:val="en-US" w:eastAsia="zh-CN"/>
              </w:rPr>
              <w:t>一般固废</w:t>
            </w:r>
          </w:p>
        </w:tc>
        <w:tc>
          <w:tcPr>
            <w:tcW w:w="705" w:type="pct"/>
            <w:tcBorders>
              <w:tl2br w:val="nil"/>
              <w:tr2bl w:val="nil"/>
            </w:tcBorders>
            <w:noWrap w:val="0"/>
            <w:vAlign w:val="center"/>
          </w:tcPr>
          <w:p w14:paraId="5BF56EBD">
            <w:pPr>
              <w:adjustRightInd w:val="0"/>
              <w:snapToGrid w:val="0"/>
              <w:jc w:val="center"/>
              <w:rPr>
                <w:rFonts w:hint="eastAsia" w:cs="Times New Roman"/>
                <w:color w:val="auto"/>
                <w:kern w:val="0"/>
                <w:lang w:val="en-US" w:eastAsia="zh-CN" w:bidi="ar"/>
              </w:rPr>
            </w:pPr>
            <w:r>
              <w:rPr>
                <w:rFonts w:hint="eastAsia" w:cs="Times New Roman"/>
                <w:bCs/>
                <w:color w:val="auto"/>
                <w:szCs w:val="21"/>
                <w:lang w:val="en-US" w:eastAsia="zh-CN"/>
              </w:rPr>
              <w:t>483300</w:t>
            </w:r>
          </w:p>
        </w:tc>
        <w:tc>
          <w:tcPr>
            <w:tcW w:w="460" w:type="pct"/>
            <w:tcBorders>
              <w:tl2br w:val="nil"/>
              <w:tr2bl w:val="nil"/>
            </w:tcBorders>
            <w:noWrap w:val="0"/>
            <w:vAlign w:val="center"/>
          </w:tcPr>
          <w:p w14:paraId="528F72DE">
            <w:pPr>
              <w:widowControl/>
              <w:jc w:val="center"/>
              <w:textAlignment w:val="center"/>
              <w:rPr>
                <w:rFonts w:hint="default" w:cs="Times New Roman"/>
                <w:color w:val="auto"/>
                <w:kern w:val="0"/>
                <w:lang w:val="en-US" w:eastAsia="zh-CN" w:bidi="ar"/>
              </w:rPr>
            </w:pPr>
            <w:r>
              <w:rPr>
                <w:rFonts w:hint="eastAsia" w:cs="Times New Roman"/>
                <w:color w:val="auto"/>
                <w:kern w:val="0"/>
                <w:lang w:val="en-US" w:eastAsia="zh-CN" w:bidi="ar"/>
              </w:rPr>
              <w:t>/</w:t>
            </w:r>
          </w:p>
        </w:tc>
        <w:tc>
          <w:tcPr>
            <w:tcW w:w="678" w:type="pct"/>
            <w:tcBorders>
              <w:tl2br w:val="nil"/>
              <w:tr2bl w:val="nil"/>
            </w:tcBorders>
            <w:noWrap w:val="0"/>
            <w:vAlign w:val="center"/>
          </w:tcPr>
          <w:p w14:paraId="6D5A8918">
            <w:pPr>
              <w:widowControl/>
              <w:jc w:val="center"/>
              <w:textAlignment w:val="center"/>
              <w:rPr>
                <w:rFonts w:hint="eastAsia" w:ascii="Times New Roman" w:hAnsi="Times New Roman" w:eastAsia="宋体" w:cs="Times New Roman"/>
                <w:color w:val="auto"/>
                <w:kern w:val="0"/>
                <w:lang w:val="en-US" w:eastAsia="zh-CN" w:bidi="ar"/>
              </w:rPr>
            </w:pPr>
            <w:r>
              <w:rPr>
                <w:rFonts w:hint="eastAsia" w:cs="Times New Roman"/>
                <w:color w:val="auto"/>
                <w:kern w:val="0"/>
                <w:lang w:val="en-US" w:eastAsia="zh-CN" w:bidi="ar"/>
              </w:rPr>
              <w:t>/</w:t>
            </w:r>
          </w:p>
        </w:tc>
        <w:tc>
          <w:tcPr>
            <w:tcW w:w="655" w:type="pct"/>
            <w:tcBorders>
              <w:tl2br w:val="nil"/>
              <w:tr2bl w:val="nil"/>
            </w:tcBorders>
            <w:noWrap w:val="0"/>
            <w:vAlign w:val="center"/>
          </w:tcPr>
          <w:p w14:paraId="208BF5BE">
            <w:pPr>
              <w:widowControl/>
              <w:jc w:val="center"/>
              <w:textAlignment w:val="center"/>
              <w:rPr>
                <w:rFonts w:hint="default" w:cs="Times New Roman"/>
                <w:color w:val="auto"/>
                <w:kern w:val="0"/>
                <w:lang w:val="en-US" w:eastAsia="zh-CN" w:bidi="ar"/>
              </w:rPr>
            </w:pPr>
            <w:r>
              <w:rPr>
                <w:rFonts w:hint="eastAsia" w:cs="Times New Roman"/>
                <w:color w:val="auto"/>
                <w:kern w:val="0"/>
                <w:lang w:val="en-US" w:eastAsia="zh-CN" w:bidi="ar"/>
              </w:rPr>
              <w:t>0</w:t>
            </w:r>
          </w:p>
        </w:tc>
        <w:tc>
          <w:tcPr>
            <w:tcW w:w="618" w:type="pct"/>
            <w:tcBorders>
              <w:tl2br w:val="nil"/>
              <w:tr2bl w:val="nil"/>
            </w:tcBorders>
            <w:noWrap w:val="0"/>
            <w:vAlign w:val="center"/>
          </w:tcPr>
          <w:p w14:paraId="0D6E86CF">
            <w:pPr>
              <w:widowControl/>
              <w:jc w:val="center"/>
              <w:textAlignment w:val="center"/>
              <w:rPr>
                <w:rFonts w:hint="default" w:cs="Times New Roman"/>
                <w:color w:val="auto"/>
                <w:kern w:val="0"/>
                <w:lang w:val="en-US" w:eastAsia="zh-CN" w:bidi="ar"/>
              </w:rPr>
            </w:pPr>
            <w:r>
              <w:rPr>
                <w:rFonts w:hint="eastAsia" w:cs="Times New Roman"/>
                <w:color w:val="auto"/>
                <w:kern w:val="0"/>
                <w:lang w:val="en-US" w:eastAsia="zh-CN" w:bidi="ar"/>
              </w:rPr>
              <w:t>0</w:t>
            </w:r>
          </w:p>
        </w:tc>
        <w:tc>
          <w:tcPr>
            <w:tcW w:w="804" w:type="pct"/>
            <w:tcBorders>
              <w:tl2br w:val="nil"/>
              <w:tr2bl w:val="nil"/>
            </w:tcBorders>
            <w:noWrap w:val="0"/>
            <w:vAlign w:val="center"/>
          </w:tcPr>
          <w:p w14:paraId="2958D4D5">
            <w:pPr>
              <w:adjustRightInd w:val="0"/>
              <w:snapToGrid w:val="0"/>
              <w:jc w:val="center"/>
              <w:rPr>
                <w:rFonts w:hint="eastAsia" w:cs="Times New Roman"/>
                <w:color w:val="auto"/>
                <w:kern w:val="0"/>
                <w:lang w:val="en-US" w:eastAsia="zh-CN" w:bidi="ar"/>
              </w:rPr>
            </w:pPr>
            <w:r>
              <w:rPr>
                <w:rFonts w:hint="eastAsia" w:cs="Times New Roman"/>
                <w:bCs/>
                <w:color w:val="auto"/>
                <w:szCs w:val="21"/>
                <w:lang w:val="en-US" w:eastAsia="zh-CN"/>
              </w:rPr>
              <w:t>483300</w:t>
            </w:r>
          </w:p>
        </w:tc>
        <w:tc>
          <w:tcPr>
            <w:tcW w:w="424" w:type="pct"/>
            <w:tcBorders>
              <w:tl2br w:val="nil"/>
              <w:tr2bl w:val="nil"/>
            </w:tcBorders>
            <w:noWrap w:val="0"/>
            <w:vAlign w:val="center"/>
          </w:tcPr>
          <w:p w14:paraId="4E3CC28D">
            <w:pPr>
              <w:widowControl/>
              <w:jc w:val="center"/>
              <w:textAlignment w:val="center"/>
              <w:rPr>
                <w:rFonts w:hint="default" w:cs="Times New Roman"/>
                <w:color w:val="auto"/>
                <w:kern w:val="0"/>
                <w:lang w:val="en-US" w:eastAsia="zh-CN" w:bidi="ar"/>
              </w:rPr>
            </w:pPr>
            <w:r>
              <w:rPr>
                <w:rFonts w:hint="eastAsia" w:cs="Times New Roman"/>
                <w:color w:val="auto"/>
                <w:kern w:val="0"/>
                <w:lang w:val="en-US" w:eastAsia="zh-CN" w:bidi="ar"/>
              </w:rPr>
              <w:t>0</w:t>
            </w:r>
          </w:p>
        </w:tc>
      </w:tr>
      <w:tr w14:paraId="2092E6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53" w:type="pct"/>
            <w:vMerge w:val="continue"/>
            <w:tcBorders>
              <w:tl2br w:val="nil"/>
              <w:tr2bl w:val="nil"/>
            </w:tcBorders>
            <w:noWrap w:val="0"/>
            <w:vAlign w:val="center"/>
          </w:tcPr>
          <w:p w14:paraId="643376C0">
            <w:pPr>
              <w:widowControl/>
              <w:jc w:val="center"/>
              <w:textAlignment w:val="center"/>
              <w:rPr>
                <w:rFonts w:hint="default" w:ascii="Times New Roman" w:hAnsi="Times New Roman" w:eastAsia="宋体" w:cs="Times New Roman"/>
                <w:color w:val="auto"/>
                <w:kern w:val="0"/>
                <w:lang w:bidi="ar"/>
              </w:rPr>
            </w:pPr>
          </w:p>
        </w:tc>
        <w:tc>
          <w:tcPr>
            <w:tcW w:w="399" w:type="pct"/>
            <w:tcBorders>
              <w:tl2br w:val="nil"/>
              <w:tr2bl w:val="nil"/>
            </w:tcBorders>
            <w:noWrap w:val="0"/>
            <w:vAlign w:val="center"/>
          </w:tcPr>
          <w:p w14:paraId="77F8BBF8">
            <w:pPr>
              <w:adjustRightInd w:val="0"/>
              <w:snapToGrid w:val="0"/>
              <w:jc w:val="center"/>
              <w:rPr>
                <w:rFonts w:hint="eastAsia" w:ascii="Times New Roman" w:hAnsi="Times New Roman" w:eastAsia="宋体" w:cs="Times New Roman"/>
                <w:color w:val="auto"/>
                <w:lang w:val="en-US" w:eastAsia="zh-CN"/>
              </w:rPr>
            </w:pPr>
            <w:r>
              <w:rPr>
                <w:rFonts w:hint="eastAsia" w:cs="Times New Roman"/>
                <w:bCs/>
                <w:color w:val="auto"/>
                <w:szCs w:val="21"/>
                <w:lang w:val="en-US" w:eastAsia="zh-CN"/>
              </w:rPr>
              <w:t>危险废物</w:t>
            </w:r>
          </w:p>
        </w:tc>
        <w:tc>
          <w:tcPr>
            <w:tcW w:w="705" w:type="pct"/>
            <w:tcBorders>
              <w:tl2br w:val="nil"/>
              <w:tr2bl w:val="nil"/>
            </w:tcBorders>
            <w:noWrap w:val="0"/>
            <w:vAlign w:val="center"/>
          </w:tcPr>
          <w:p w14:paraId="35ADEDB0">
            <w:pPr>
              <w:adjustRightInd w:val="0"/>
              <w:snapToGrid w:val="0"/>
              <w:jc w:val="center"/>
              <w:rPr>
                <w:rFonts w:hint="eastAsia" w:cs="Times New Roman"/>
                <w:color w:val="auto"/>
                <w:kern w:val="0"/>
                <w:lang w:val="en-US" w:eastAsia="zh-CN" w:bidi="ar"/>
              </w:rPr>
            </w:pPr>
            <w:r>
              <w:rPr>
                <w:rFonts w:hint="eastAsia" w:cs="Times New Roman"/>
                <w:bCs/>
                <w:color w:val="auto"/>
                <w:szCs w:val="21"/>
                <w:lang w:val="en-US" w:eastAsia="zh-CN"/>
              </w:rPr>
              <w:t>47.85</w:t>
            </w:r>
          </w:p>
        </w:tc>
        <w:tc>
          <w:tcPr>
            <w:tcW w:w="460" w:type="pct"/>
            <w:tcBorders>
              <w:tl2br w:val="nil"/>
              <w:tr2bl w:val="nil"/>
            </w:tcBorders>
            <w:noWrap w:val="0"/>
            <w:vAlign w:val="center"/>
          </w:tcPr>
          <w:p w14:paraId="6E60D003">
            <w:pPr>
              <w:widowControl/>
              <w:jc w:val="center"/>
              <w:textAlignment w:val="center"/>
              <w:rPr>
                <w:rFonts w:hint="default" w:cs="Times New Roman"/>
                <w:color w:val="auto"/>
                <w:kern w:val="0"/>
                <w:lang w:val="en-US" w:eastAsia="zh-CN" w:bidi="ar"/>
              </w:rPr>
            </w:pPr>
            <w:r>
              <w:rPr>
                <w:rFonts w:hint="eastAsia" w:cs="Times New Roman"/>
                <w:color w:val="auto"/>
                <w:kern w:val="0"/>
                <w:lang w:val="en-US" w:eastAsia="zh-CN" w:bidi="ar"/>
              </w:rPr>
              <w:t>/</w:t>
            </w:r>
          </w:p>
        </w:tc>
        <w:tc>
          <w:tcPr>
            <w:tcW w:w="678" w:type="pct"/>
            <w:tcBorders>
              <w:tl2br w:val="nil"/>
              <w:tr2bl w:val="nil"/>
            </w:tcBorders>
            <w:noWrap w:val="0"/>
            <w:vAlign w:val="center"/>
          </w:tcPr>
          <w:p w14:paraId="51DDE2CC">
            <w:pPr>
              <w:widowControl/>
              <w:jc w:val="center"/>
              <w:textAlignment w:val="center"/>
              <w:rPr>
                <w:rFonts w:hint="eastAsia" w:ascii="Times New Roman" w:hAnsi="Times New Roman" w:eastAsia="宋体" w:cs="Times New Roman"/>
                <w:color w:val="auto"/>
                <w:kern w:val="0"/>
                <w:lang w:val="en-US" w:eastAsia="zh-CN" w:bidi="ar"/>
              </w:rPr>
            </w:pPr>
            <w:r>
              <w:rPr>
                <w:rFonts w:hint="eastAsia" w:cs="Times New Roman"/>
                <w:color w:val="auto"/>
                <w:kern w:val="0"/>
                <w:lang w:val="en-US" w:eastAsia="zh-CN" w:bidi="ar"/>
              </w:rPr>
              <w:t>/</w:t>
            </w:r>
          </w:p>
        </w:tc>
        <w:tc>
          <w:tcPr>
            <w:tcW w:w="655" w:type="pct"/>
            <w:tcBorders>
              <w:tl2br w:val="nil"/>
              <w:tr2bl w:val="nil"/>
            </w:tcBorders>
            <w:noWrap w:val="0"/>
            <w:vAlign w:val="center"/>
          </w:tcPr>
          <w:p w14:paraId="3D6818F5">
            <w:pPr>
              <w:widowControl/>
              <w:jc w:val="center"/>
              <w:textAlignment w:val="center"/>
              <w:rPr>
                <w:rFonts w:hint="default" w:cs="Times New Roman"/>
                <w:color w:val="auto"/>
                <w:kern w:val="0"/>
                <w:lang w:val="en-US" w:eastAsia="zh-CN" w:bidi="ar"/>
              </w:rPr>
            </w:pPr>
            <w:r>
              <w:rPr>
                <w:rFonts w:hint="eastAsia" w:cs="Times New Roman"/>
                <w:color w:val="auto"/>
                <w:kern w:val="0"/>
                <w:lang w:val="en-US" w:eastAsia="zh-CN" w:bidi="ar"/>
              </w:rPr>
              <w:t>0</w:t>
            </w:r>
          </w:p>
        </w:tc>
        <w:tc>
          <w:tcPr>
            <w:tcW w:w="618" w:type="pct"/>
            <w:tcBorders>
              <w:tl2br w:val="nil"/>
              <w:tr2bl w:val="nil"/>
            </w:tcBorders>
            <w:noWrap w:val="0"/>
            <w:vAlign w:val="center"/>
          </w:tcPr>
          <w:p w14:paraId="2B01AB50">
            <w:pPr>
              <w:widowControl/>
              <w:jc w:val="center"/>
              <w:textAlignment w:val="center"/>
              <w:rPr>
                <w:rFonts w:hint="default" w:cs="Times New Roman"/>
                <w:color w:val="auto"/>
                <w:kern w:val="0"/>
                <w:lang w:val="en-US" w:eastAsia="zh-CN" w:bidi="ar"/>
              </w:rPr>
            </w:pPr>
            <w:r>
              <w:rPr>
                <w:rFonts w:hint="eastAsia" w:cs="Times New Roman"/>
                <w:color w:val="auto"/>
                <w:kern w:val="0"/>
                <w:lang w:val="en-US" w:eastAsia="zh-CN" w:bidi="ar"/>
              </w:rPr>
              <w:t>0</w:t>
            </w:r>
          </w:p>
        </w:tc>
        <w:tc>
          <w:tcPr>
            <w:tcW w:w="804" w:type="pct"/>
            <w:tcBorders>
              <w:tl2br w:val="nil"/>
              <w:tr2bl w:val="nil"/>
            </w:tcBorders>
            <w:noWrap w:val="0"/>
            <w:vAlign w:val="center"/>
          </w:tcPr>
          <w:p w14:paraId="775D4E6F">
            <w:pPr>
              <w:adjustRightInd w:val="0"/>
              <w:snapToGrid w:val="0"/>
              <w:jc w:val="center"/>
              <w:rPr>
                <w:rFonts w:hint="eastAsia" w:cs="Times New Roman"/>
                <w:color w:val="auto"/>
                <w:kern w:val="0"/>
                <w:lang w:val="en-US" w:eastAsia="zh-CN" w:bidi="ar"/>
              </w:rPr>
            </w:pPr>
            <w:r>
              <w:rPr>
                <w:rFonts w:hint="eastAsia" w:cs="Times New Roman"/>
                <w:bCs/>
                <w:color w:val="auto"/>
                <w:szCs w:val="21"/>
                <w:lang w:val="en-US" w:eastAsia="zh-CN"/>
              </w:rPr>
              <w:t>47.85</w:t>
            </w:r>
          </w:p>
        </w:tc>
        <w:tc>
          <w:tcPr>
            <w:tcW w:w="424" w:type="pct"/>
            <w:tcBorders>
              <w:tl2br w:val="nil"/>
              <w:tr2bl w:val="nil"/>
            </w:tcBorders>
            <w:noWrap w:val="0"/>
            <w:vAlign w:val="center"/>
          </w:tcPr>
          <w:p w14:paraId="76B4807A">
            <w:pPr>
              <w:widowControl/>
              <w:jc w:val="center"/>
              <w:textAlignment w:val="center"/>
              <w:rPr>
                <w:rFonts w:hint="default" w:cs="Times New Roman"/>
                <w:color w:val="auto"/>
                <w:kern w:val="0"/>
                <w:lang w:val="en-US" w:eastAsia="zh-CN" w:bidi="ar"/>
              </w:rPr>
            </w:pPr>
            <w:r>
              <w:rPr>
                <w:rFonts w:hint="eastAsia" w:cs="Times New Roman"/>
                <w:color w:val="auto"/>
                <w:kern w:val="0"/>
                <w:lang w:val="en-US" w:eastAsia="zh-CN" w:bidi="ar"/>
              </w:rPr>
              <w:t>0</w:t>
            </w:r>
          </w:p>
        </w:tc>
      </w:tr>
      <w:tr w14:paraId="6B2CCA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53" w:type="pct"/>
            <w:vMerge w:val="continue"/>
            <w:tcBorders>
              <w:tl2br w:val="nil"/>
              <w:tr2bl w:val="nil"/>
            </w:tcBorders>
            <w:noWrap w:val="0"/>
            <w:vAlign w:val="center"/>
          </w:tcPr>
          <w:p w14:paraId="783A8B23">
            <w:pPr>
              <w:widowControl/>
              <w:jc w:val="center"/>
              <w:textAlignment w:val="center"/>
              <w:rPr>
                <w:rFonts w:hint="default" w:ascii="Times New Roman" w:hAnsi="Times New Roman" w:eastAsia="宋体" w:cs="Times New Roman"/>
                <w:color w:val="auto"/>
                <w:kern w:val="0"/>
                <w:lang w:bidi="ar"/>
              </w:rPr>
            </w:pPr>
          </w:p>
        </w:tc>
        <w:tc>
          <w:tcPr>
            <w:tcW w:w="399" w:type="pct"/>
            <w:tcBorders>
              <w:tl2br w:val="nil"/>
              <w:tr2bl w:val="nil"/>
            </w:tcBorders>
            <w:noWrap w:val="0"/>
            <w:vAlign w:val="center"/>
          </w:tcPr>
          <w:p w14:paraId="04BD5B89">
            <w:pPr>
              <w:adjustRightInd w:val="0"/>
              <w:snapToGrid w:val="0"/>
              <w:jc w:val="center"/>
              <w:rPr>
                <w:rFonts w:hint="eastAsia" w:ascii="Times New Roman" w:hAnsi="Times New Roman" w:eastAsia="宋体" w:cs="Times New Roman"/>
                <w:color w:val="auto"/>
                <w:lang w:val="en-US" w:eastAsia="zh-CN"/>
              </w:rPr>
            </w:pPr>
            <w:r>
              <w:rPr>
                <w:rFonts w:hint="eastAsia" w:cs="Times New Roman"/>
                <w:bCs/>
                <w:color w:val="auto"/>
                <w:szCs w:val="21"/>
                <w:lang w:val="en-US" w:eastAsia="zh-CN"/>
              </w:rPr>
              <w:t>生活垃圾</w:t>
            </w:r>
          </w:p>
        </w:tc>
        <w:tc>
          <w:tcPr>
            <w:tcW w:w="705" w:type="pct"/>
            <w:tcBorders>
              <w:tl2br w:val="nil"/>
              <w:tr2bl w:val="nil"/>
            </w:tcBorders>
            <w:noWrap w:val="0"/>
            <w:vAlign w:val="center"/>
          </w:tcPr>
          <w:p w14:paraId="27BD32CE">
            <w:pPr>
              <w:adjustRightInd w:val="0"/>
              <w:snapToGrid w:val="0"/>
              <w:jc w:val="center"/>
              <w:rPr>
                <w:rFonts w:hint="eastAsia" w:cs="Times New Roman"/>
                <w:color w:val="auto"/>
                <w:kern w:val="0"/>
                <w:lang w:val="en-US" w:eastAsia="zh-CN" w:bidi="ar"/>
              </w:rPr>
            </w:pPr>
            <w:r>
              <w:rPr>
                <w:rFonts w:hint="eastAsia" w:cs="Times New Roman"/>
                <w:bCs/>
                <w:color w:val="auto"/>
                <w:szCs w:val="21"/>
                <w:lang w:val="en-US" w:eastAsia="zh-CN"/>
              </w:rPr>
              <w:t>60</w:t>
            </w:r>
          </w:p>
        </w:tc>
        <w:tc>
          <w:tcPr>
            <w:tcW w:w="460" w:type="pct"/>
            <w:tcBorders>
              <w:tl2br w:val="nil"/>
              <w:tr2bl w:val="nil"/>
            </w:tcBorders>
            <w:noWrap w:val="0"/>
            <w:vAlign w:val="center"/>
          </w:tcPr>
          <w:p w14:paraId="3FA59148">
            <w:pPr>
              <w:widowControl/>
              <w:jc w:val="center"/>
              <w:textAlignment w:val="center"/>
              <w:rPr>
                <w:rFonts w:hint="default" w:cs="Times New Roman"/>
                <w:color w:val="auto"/>
                <w:kern w:val="0"/>
                <w:lang w:val="en-US" w:eastAsia="zh-CN" w:bidi="ar"/>
              </w:rPr>
            </w:pPr>
            <w:r>
              <w:rPr>
                <w:rFonts w:hint="eastAsia" w:cs="Times New Roman"/>
                <w:color w:val="auto"/>
                <w:kern w:val="0"/>
                <w:lang w:val="en-US" w:eastAsia="zh-CN" w:bidi="ar"/>
              </w:rPr>
              <w:t>/</w:t>
            </w:r>
          </w:p>
        </w:tc>
        <w:tc>
          <w:tcPr>
            <w:tcW w:w="678" w:type="pct"/>
            <w:tcBorders>
              <w:tl2br w:val="nil"/>
              <w:tr2bl w:val="nil"/>
            </w:tcBorders>
            <w:noWrap w:val="0"/>
            <w:vAlign w:val="center"/>
          </w:tcPr>
          <w:p w14:paraId="4B8334F1">
            <w:pPr>
              <w:widowControl/>
              <w:jc w:val="center"/>
              <w:textAlignment w:val="center"/>
              <w:rPr>
                <w:rFonts w:hint="eastAsia" w:ascii="Times New Roman" w:hAnsi="Times New Roman" w:eastAsia="宋体" w:cs="Times New Roman"/>
                <w:color w:val="auto"/>
                <w:kern w:val="0"/>
                <w:lang w:val="en-US" w:eastAsia="zh-CN" w:bidi="ar"/>
              </w:rPr>
            </w:pPr>
            <w:r>
              <w:rPr>
                <w:rFonts w:hint="eastAsia" w:cs="Times New Roman"/>
                <w:color w:val="auto"/>
                <w:kern w:val="0"/>
                <w:lang w:val="en-US" w:eastAsia="zh-CN" w:bidi="ar"/>
              </w:rPr>
              <w:t>/</w:t>
            </w:r>
          </w:p>
        </w:tc>
        <w:tc>
          <w:tcPr>
            <w:tcW w:w="655" w:type="pct"/>
            <w:tcBorders>
              <w:tl2br w:val="nil"/>
              <w:tr2bl w:val="nil"/>
            </w:tcBorders>
            <w:noWrap w:val="0"/>
            <w:vAlign w:val="center"/>
          </w:tcPr>
          <w:p w14:paraId="5D34DDF5">
            <w:pPr>
              <w:widowControl/>
              <w:jc w:val="center"/>
              <w:textAlignment w:val="center"/>
              <w:rPr>
                <w:rFonts w:hint="default" w:cs="Times New Roman"/>
                <w:color w:val="auto"/>
                <w:kern w:val="0"/>
                <w:lang w:val="en-US" w:eastAsia="zh-CN" w:bidi="ar"/>
              </w:rPr>
            </w:pPr>
            <w:r>
              <w:rPr>
                <w:rFonts w:hint="eastAsia" w:cs="Times New Roman"/>
                <w:color w:val="auto"/>
                <w:kern w:val="0"/>
                <w:lang w:val="en-US" w:eastAsia="zh-CN" w:bidi="ar"/>
              </w:rPr>
              <w:t>0</w:t>
            </w:r>
          </w:p>
        </w:tc>
        <w:tc>
          <w:tcPr>
            <w:tcW w:w="618" w:type="pct"/>
            <w:tcBorders>
              <w:tl2br w:val="nil"/>
              <w:tr2bl w:val="nil"/>
            </w:tcBorders>
            <w:noWrap w:val="0"/>
            <w:vAlign w:val="center"/>
          </w:tcPr>
          <w:p w14:paraId="143297C2">
            <w:pPr>
              <w:widowControl/>
              <w:jc w:val="center"/>
              <w:textAlignment w:val="center"/>
              <w:rPr>
                <w:rFonts w:hint="default" w:cs="Times New Roman"/>
                <w:color w:val="auto"/>
                <w:kern w:val="0"/>
                <w:lang w:val="en-US" w:eastAsia="zh-CN" w:bidi="ar"/>
              </w:rPr>
            </w:pPr>
            <w:r>
              <w:rPr>
                <w:rFonts w:hint="eastAsia" w:cs="Times New Roman"/>
                <w:color w:val="auto"/>
                <w:kern w:val="0"/>
                <w:lang w:val="en-US" w:eastAsia="zh-CN" w:bidi="ar"/>
              </w:rPr>
              <w:t>0</w:t>
            </w:r>
          </w:p>
        </w:tc>
        <w:tc>
          <w:tcPr>
            <w:tcW w:w="804" w:type="pct"/>
            <w:tcBorders>
              <w:tl2br w:val="nil"/>
              <w:tr2bl w:val="nil"/>
            </w:tcBorders>
            <w:noWrap w:val="0"/>
            <w:vAlign w:val="center"/>
          </w:tcPr>
          <w:p w14:paraId="10BBB542">
            <w:pPr>
              <w:adjustRightInd w:val="0"/>
              <w:snapToGrid w:val="0"/>
              <w:jc w:val="center"/>
              <w:rPr>
                <w:rFonts w:hint="eastAsia" w:cs="Times New Roman"/>
                <w:color w:val="auto"/>
                <w:kern w:val="0"/>
                <w:lang w:val="en-US" w:eastAsia="zh-CN" w:bidi="ar"/>
              </w:rPr>
            </w:pPr>
            <w:r>
              <w:rPr>
                <w:rFonts w:hint="eastAsia" w:cs="Times New Roman"/>
                <w:bCs/>
                <w:color w:val="auto"/>
                <w:szCs w:val="21"/>
                <w:lang w:val="en-US" w:eastAsia="zh-CN"/>
              </w:rPr>
              <w:t>60</w:t>
            </w:r>
          </w:p>
        </w:tc>
        <w:tc>
          <w:tcPr>
            <w:tcW w:w="424" w:type="pct"/>
            <w:tcBorders>
              <w:tl2br w:val="nil"/>
              <w:tr2bl w:val="nil"/>
            </w:tcBorders>
            <w:noWrap w:val="0"/>
            <w:vAlign w:val="center"/>
          </w:tcPr>
          <w:p w14:paraId="69FFB357">
            <w:pPr>
              <w:widowControl/>
              <w:jc w:val="center"/>
              <w:textAlignment w:val="center"/>
              <w:rPr>
                <w:rFonts w:hint="default" w:cs="Times New Roman"/>
                <w:color w:val="auto"/>
                <w:kern w:val="0"/>
                <w:lang w:val="en-US" w:eastAsia="zh-CN" w:bidi="ar"/>
              </w:rPr>
            </w:pPr>
            <w:r>
              <w:rPr>
                <w:rFonts w:hint="eastAsia" w:cs="Times New Roman"/>
                <w:color w:val="auto"/>
                <w:kern w:val="0"/>
                <w:lang w:val="en-US" w:eastAsia="zh-CN" w:bidi="ar"/>
              </w:rPr>
              <w:t>0</w:t>
            </w:r>
          </w:p>
        </w:tc>
      </w:tr>
    </w:tbl>
    <w:p w14:paraId="7C7B4218">
      <w:pPr>
        <w:pStyle w:val="66"/>
        <w:spacing w:before="192" w:beforeLines="80" w:after="24"/>
        <w:jc w:val="left"/>
        <w:rPr>
          <w:rFonts w:hint="default" w:ascii="Times New Roman" w:eastAsia="黑体"/>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ascii="Times New Roman"/>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ascii="Times New Roman"/>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ascii="Times New Roman"/>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ascii="Times New Roman"/>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p>
    <w:sectPr>
      <w:footerReference r:id="rId5"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swiss"/>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monospace">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7F" w:usb3="00000000" w:csb0="203F01FF" w:csb1="DFFF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方正小标宋_GBK">
    <w:altName w:val="微软雅黑"/>
    <w:panose1 w:val="00000000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0"/>
    <w:family w:val="auto"/>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50CAD">
    <w:pPr>
      <w:tabs>
        <w:tab w:val="center" w:pos="4153"/>
        <w:tab w:val="right"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78105</wp:posOffset>
              </wp:positionV>
              <wp:extent cx="304800" cy="1828800"/>
              <wp:effectExtent l="0" t="0" r="0" b="0"/>
              <wp:wrapNone/>
              <wp:docPr id="10" name="文本框 1031"/>
              <wp:cNvGraphicFramePr/>
              <a:graphic xmlns:a="http://schemas.openxmlformats.org/drawingml/2006/main">
                <a:graphicData uri="http://schemas.microsoft.com/office/word/2010/wordprocessingShape">
                  <wps:wsp>
                    <wps:cNvSpPr txBox="1"/>
                    <wps:spPr>
                      <a:xfrm>
                        <a:off x="0" y="0"/>
                        <a:ext cx="304800" cy="1828800"/>
                      </a:xfrm>
                      <a:prstGeom prst="rect">
                        <a:avLst/>
                      </a:prstGeom>
                      <a:noFill/>
                      <a:ln>
                        <a:noFill/>
                      </a:ln>
                    </wps:spPr>
                    <wps:txbx>
                      <w:txbxContent>
                        <w:p w14:paraId="47B329BE">
                          <w:pPr>
                            <w:tabs>
                              <w:tab w:val="center" w:pos="4153"/>
                              <w:tab w:val="right" w:pos="8306"/>
                            </w:tabs>
                          </w:pPr>
                          <w:r>
                            <w:fldChar w:fldCharType="begin"/>
                          </w:r>
                          <w:r>
                            <w:instrText xml:space="preserve"> PAGE  \* MERGEFORMAT </w:instrText>
                          </w:r>
                          <w:r>
                            <w:fldChar w:fldCharType="separate"/>
                          </w:r>
                          <w:r>
                            <w:t>73</w:t>
                          </w:r>
                          <w:r>
                            <w:fldChar w:fldCharType="end"/>
                          </w:r>
                        </w:p>
                      </w:txbxContent>
                    </wps:txbx>
                    <wps:bodyPr wrap="square" lIns="0" tIns="0" rIns="0" bIns="0" upright="1">
                      <a:spAutoFit/>
                    </wps:bodyPr>
                  </wps:wsp>
                </a:graphicData>
              </a:graphic>
            </wp:anchor>
          </w:drawing>
        </mc:Choice>
        <mc:Fallback>
          <w:pict>
            <v:shape id="文本框 1031" o:spid="_x0000_s1026" o:spt="202" type="#_x0000_t202" style="position:absolute;left:0pt;margin-top:6.15pt;height:144pt;width:24pt;mso-position-horizontal:center;mso-position-horizontal-relative:margin;z-index:251660288;mso-width-relative:page;mso-height-relative:page;" filled="f" stroked="f" coordsize="21600,21600" o:gfxdata="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VWOH9MAAAAGAQAADwAAAAAAAAABACAAAAAiAAAAZHJz&#10;L2Rvd25yZXYueG1sUEsBAhQAFAAAAAgAh07iQK5I1wjQAQAAngMAAA4AAAAAAAAAAQAgAAAAIgEA&#10;AGRycy9lMm9Eb2MueG1sUEsFBgAAAAAGAAYAWQEAAGQFAAAAAA==&#10;">
              <v:fill on="f" focussize="0,0"/>
              <v:stroke on="f"/>
              <v:imagedata o:title=""/>
              <o:lock v:ext="edit" aspectratio="f"/>
              <v:textbox inset="0mm,0mm,0mm,0mm" style="mso-fit-shape-to-text:t;">
                <w:txbxContent>
                  <w:p w14:paraId="47B329BE">
                    <w:pPr>
                      <w:tabs>
                        <w:tab w:val="center" w:pos="4153"/>
                        <w:tab w:val="right" w:pos="8306"/>
                      </w:tabs>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4802A">
    <w:pPr>
      <w:tabs>
        <w:tab w:val="center" w:pos="4153"/>
        <w:tab w:val="right"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78105</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329C66">
                          <w:pPr>
                            <w:pStyle w:val="18"/>
                            <w:rPr>
                              <w:rStyle w:val="32"/>
                              <w:rFonts w:ascii="宋体" w:hAnsi="宋体"/>
                              <w:sz w:val="28"/>
                              <w:szCs w:val="28"/>
                            </w:rPr>
                          </w:pPr>
                          <w:r>
                            <w:rPr>
                              <w:rStyle w:val="32"/>
                              <w:rFonts w:hint="default" w:ascii="Times New Roman" w:hAnsi="Times New Roman" w:cs="Times New Roman"/>
                              <w:sz w:val="21"/>
                              <w:szCs w:val="21"/>
                            </w:rPr>
                            <w:fldChar w:fldCharType="begin"/>
                          </w:r>
                          <w:r>
                            <w:rPr>
                              <w:rStyle w:val="32"/>
                              <w:rFonts w:hint="default" w:ascii="Times New Roman" w:hAnsi="Times New Roman" w:cs="Times New Roman"/>
                              <w:sz w:val="21"/>
                              <w:szCs w:val="21"/>
                            </w:rPr>
                            <w:instrText xml:space="preserve"> PAGE  \* MERGEFORMAT </w:instrText>
                          </w:r>
                          <w:r>
                            <w:rPr>
                              <w:rStyle w:val="32"/>
                              <w:rFonts w:hint="default" w:ascii="Times New Roman" w:hAnsi="Times New Roman" w:cs="Times New Roman"/>
                              <w:sz w:val="21"/>
                              <w:szCs w:val="21"/>
                            </w:rPr>
                            <w:fldChar w:fldCharType="separate"/>
                          </w:r>
                          <w:r>
                            <w:rPr>
                              <w:rStyle w:val="32"/>
                              <w:rFonts w:hint="default" w:ascii="Times New Roman" w:hAnsi="Times New Roman" w:cs="Times New Roman"/>
                              <w:sz w:val="21"/>
                              <w:szCs w:val="21"/>
                            </w:rPr>
                            <w:t>- 76 -</w:t>
                          </w:r>
                          <w:r>
                            <w:rPr>
                              <w:rStyle w:val="32"/>
                              <w:rFonts w:hint="default" w:ascii="Times New Roman" w:hAnsi="Times New Roman" w:cs="Times New Roman"/>
                              <w:sz w:val="21"/>
                              <w:szCs w:val="21"/>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6.15pt;height:144pt;width:144pt;mso-position-horizontal:center;mso-position-horizontal-relative:margin;mso-wrap-style:none;z-index:251659264;mso-width-relative:page;mso-height-relative:page;" filled="f" stroked="f" coordsize="21600,21600" o:gfxdata="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S1W8C9MAAAAHAQAADwAAAAAAAAABACAAAAAiAAAAZHJzL2Rvd25y&#10;ZXYueG1sUEsBAhQAFAAAAAgAh07iQHSs0n/KAQAAmwMAAA4AAAAAAAAAAQAgAAAAIgEAAGRycy9l&#10;Mm9Eb2MueG1sUEsFBgAAAAAGAAYAWQEAAF4FAAAAAA==&#10;">
              <v:fill on="f" focussize="0,0"/>
              <v:stroke on="f"/>
              <v:imagedata o:title=""/>
              <o:lock v:ext="edit" aspectratio="f"/>
              <v:textbox inset="0mm,0mm,0mm,0mm" style="mso-fit-shape-to-text:t;">
                <w:txbxContent>
                  <w:p w14:paraId="13329C66">
                    <w:pPr>
                      <w:pStyle w:val="18"/>
                      <w:rPr>
                        <w:rStyle w:val="32"/>
                        <w:rFonts w:ascii="宋体" w:hAnsi="宋体"/>
                        <w:sz w:val="28"/>
                        <w:szCs w:val="28"/>
                      </w:rPr>
                    </w:pPr>
                    <w:r>
                      <w:rPr>
                        <w:rStyle w:val="32"/>
                        <w:rFonts w:hint="default" w:ascii="Times New Roman" w:hAnsi="Times New Roman" w:cs="Times New Roman"/>
                        <w:sz w:val="21"/>
                        <w:szCs w:val="21"/>
                      </w:rPr>
                      <w:fldChar w:fldCharType="begin"/>
                    </w:r>
                    <w:r>
                      <w:rPr>
                        <w:rStyle w:val="32"/>
                        <w:rFonts w:hint="default" w:ascii="Times New Roman" w:hAnsi="Times New Roman" w:cs="Times New Roman"/>
                        <w:sz w:val="21"/>
                        <w:szCs w:val="21"/>
                      </w:rPr>
                      <w:instrText xml:space="preserve"> PAGE  \* MERGEFORMAT </w:instrText>
                    </w:r>
                    <w:r>
                      <w:rPr>
                        <w:rStyle w:val="32"/>
                        <w:rFonts w:hint="default" w:ascii="Times New Roman" w:hAnsi="Times New Roman" w:cs="Times New Roman"/>
                        <w:sz w:val="21"/>
                        <w:szCs w:val="21"/>
                      </w:rPr>
                      <w:fldChar w:fldCharType="separate"/>
                    </w:r>
                    <w:r>
                      <w:rPr>
                        <w:rStyle w:val="32"/>
                        <w:rFonts w:hint="default" w:ascii="Times New Roman" w:hAnsi="Times New Roman" w:cs="Times New Roman"/>
                        <w:sz w:val="21"/>
                        <w:szCs w:val="21"/>
                      </w:rPr>
                      <w:t>- 76 -</w:t>
                    </w:r>
                    <w:r>
                      <w:rPr>
                        <w:rStyle w:val="32"/>
                        <w:rFonts w:hint="default" w:ascii="Times New Roman" w:hAnsi="Times New Roman" w:cs="Times New Roman"/>
                        <w:sz w:val="21"/>
                        <w:szCs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AAAC5">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79A84C"/>
    <w:multiLevelType w:val="singleLevel"/>
    <w:tmpl w:val="2F79A84C"/>
    <w:lvl w:ilvl="0" w:tentative="0">
      <w:start w:val="1"/>
      <w:numFmt w:val="decimal"/>
      <w:suff w:val="nothing"/>
      <w:lvlText w:val="（%1）"/>
      <w:lvlJc w:val="left"/>
    </w:lvl>
  </w:abstractNum>
  <w:abstractNum w:abstractNumId="1">
    <w:nsid w:val="343E091B"/>
    <w:multiLevelType w:val="singleLevel"/>
    <w:tmpl w:val="343E091B"/>
    <w:lvl w:ilvl="0" w:tentative="0">
      <w:start w:val="1"/>
      <w:numFmt w:val="decimal"/>
      <w:suff w:val="nothing"/>
      <w:lvlText w:val="（%1）"/>
      <w:lvlJc w:val="left"/>
    </w:lvl>
  </w:abstractNum>
  <w:abstractNum w:abstractNumId="2">
    <w:nsid w:val="6C454BB9"/>
    <w:multiLevelType w:val="singleLevel"/>
    <w:tmpl w:val="6C454BB9"/>
    <w:lvl w:ilvl="0" w:tentative="0">
      <w:start w:val="1"/>
      <w:numFmt w:val="decimal"/>
      <w:pStyle w:val="47"/>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wMjA4MDBhYTU5ZDhkZGIzYmZkMWFjMWU2ZjYyZDQifQ=="/>
  </w:docVars>
  <w:rsids>
    <w:rsidRoot w:val="00A14947"/>
    <w:rsid w:val="00003758"/>
    <w:rsid w:val="000060B3"/>
    <w:rsid w:val="000140D3"/>
    <w:rsid w:val="0001529E"/>
    <w:rsid w:val="000172BE"/>
    <w:rsid w:val="00023BB2"/>
    <w:rsid w:val="00025565"/>
    <w:rsid w:val="00025CB6"/>
    <w:rsid w:val="000311E1"/>
    <w:rsid w:val="000364F4"/>
    <w:rsid w:val="00040478"/>
    <w:rsid w:val="0004364B"/>
    <w:rsid w:val="0004685D"/>
    <w:rsid w:val="00061B1F"/>
    <w:rsid w:val="000628CC"/>
    <w:rsid w:val="000652BF"/>
    <w:rsid w:val="00071CF5"/>
    <w:rsid w:val="000733C4"/>
    <w:rsid w:val="00074783"/>
    <w:rsid w:val="00074E9B"/>
    <w:rsid w:val="000805E1"/>
    <w:rsid w:val="0008070B"/>
    <w:rsid w:val="000810AC"/>
    <w:rsid w:val="00081A02"/>
    <w:rsid w:val="00082231"/>
    <w:rsid w:val="00083E7B"/>
    <w:rsid w:val="00087F94"/>
    <w:rsid w:val="00090DD2"/>
    <w:rsid w:val="00092D38"/>
    <w:rsid w:val="0009377B"/>
    <w:rsid w:val="000A20C9"/>
    <w:rsid w:val="000A3BC1"/>
    <w:rsid w:val="000B058F"/>
    <w:rsid w:val="000B1B77"/>
    <w:rsid w:val="000B4467"/>
    <w:rsid w:val="000B4DB9"/>
    <w:rsid w:val="000C09AC"/>
    <w:rsid w:val="000C767F"/>
    <w:rsid w:val="000D4F12"/>
    <w:rsid w:val="000D5A44"/>
    <w:rsid w:val="000E3ED2"/>
    <w:rsid w:val="000E7994"/>
    <w:rsid w:val="000F692D"/>
    <w:rsid w:val="000F7B37"/>
    <w:rsid w:val="00113C48"/>
    <w:rsid w:val="00117071"/>
    <w:rsid w:val="001206BB"/>
    <w:rsid w:val="00130741"/>
    <w:rsid w:val="0013144C"/>
    <w:rsid w:val="00131F42"/>
    <w:rsid w:val="001357F1"/>
    <w:rsid w:val="00140FA8"/>
    <w:rsid w:val="00142284"/>
    <w:rsid w:val="00142AC7"/>
    <w:rsid w:val="00142FEB"/>
    <w:rsid w:val="00143A2D"/>
    <w:rsid w:val="00145A41"/>
    <w:rsid w:val="00147F40"/>
    <w:rsid w:val="00151675"/>
    <w:rsid w:val="00154A86"/>
    <w:rsid w:val="00157435"/>
    <w:rsid w:val="00160E2A"/>
    <w:rsid w:val="00162B9F"/>
    <w:rsid w:val="00171552"/>
    <w:rsid w:val="0017404D"/>
    <w:rsid w:val="0017504D"/>
    <w:rsid w:val="0017671A"/>
    <w:rsid w:val="00177422"/>
    <w:rsid w:val="001815BB"/>
    <w:rsid w:val="00184590"/>
    <w:rsid w:val="001870D1"/>
    <w:rsid w:val="0018781E"/>
    <w:rsid w:val="0019262D"/>
    <w:rsid w:val="001A1B35"/>
    <w:rsid w:val="001A2841"/>
    <w:rsid w:val="001A48A2"/>
    <w:rsid w:val="001A6CCE"/>
    <w:rsid w:val="001A6F61"/>
    <w:rsid w:val="001B2676"/>
    <w:rsid w:val="001B72B8"/>
    <w:rsid w:val="001C69B3"/>
    <w:rsid w:val="001D3D6A"/>
    <w:rsid w:val="001D5595"/>
    <w:rsid w:val="001D71CF"/>
    <w:rsid w:val="001D7874"/>
    <w:rsid w:val="001D7F22"/>
    <w:rsid w:val="001E42F6"/>
    <w:rsid w:val="001F0F17"/>
    <w:rsid w:val="001F23D3"/>
    <w:rsid w:val="001F3347"/>
    <w:rsid w:val="001F69E4"/>
    <w:rsid w:val="001F73FF"/>
    <w:rsid w:val="00204593"/>
    <w:rsid w:val="002062AF"/>
    <w:rsid w:val="00207852"/>
    <w:rsid w:val="002125B4"/>
    <w:rsid w:val="00212794"/>
    <w:rsid w:val="002137D6"/>
    <w:rsid w:val="002155B8"/>
    <w:rsid w:val="002158A0"/>
    <w:rsid w:val="00215CBE"/>
    <w:rsid w:val="00216630"/>
    <w:rsid w:val="002173C2"/>
    <w:rsid w:val="002173FF"/>
    <w:rsid w:val="00220597"/>
    <w:rsid w:val="00224839"/>
    <w:rsid w:val="002249B2"/>
    <w:rsid w:val="00226574"/>
    <w:rsid w:val="002278EC"/>
    <w:rsid w:val="00232177"/>
    <w:rsid w:val="0023280E"/>
    <w:rsid w:val="00236577"/>
    <w:rsid w:val="002377D1"/>
    <w:rsid w:val="00237D18"/>
    <w:rsid w:val="0024173B"/>
    <w:rsid w:val="002506BC"/>
    <w:rsid w:val="00254345"/>
    <w:rsid w:val="00264557"/>
    <w:rsid w:val="00264634"/>
    <w:rsid w:val="00267D86"/>
    <w:rsid w:val="00274BAA"/>
    <w:rsid w:val="00276674"/>
    <w:rsid w:val="002805AB"/>
    <w:rsid w:val="002814E8"/>
    <w:rsid w:val="00284204"/>
    <w:rsid w:val="0028587C"/>
    <w:rsid w:val="00287AEA"/>
    <w:rsid w:val="00291773"/>
    <w:rsid w:val="00293B07"/>
    <w:rsid w:val="002944DF"/>
    <w:rsid w:val="00294BD3"/>
    <w:rsid w:val="0029758A"/>
    <w:rsid w:val="002979FD"/>
    <w:rsid w:val="002A168C"/>
    <w:rsid w:val="002A18D1"/>
    <w:rsid w:val="002A217F"/>
    <w:rsid w:val="002A28AF"/>
    <w:rsid w:val="002A3DC7"/>
    <w:rsid w:val="002A774B"/>
    <w:rsid w:val="002B01F2"/>
    <w:rsid w:val="002B3319"/>
    <w:rsid w:val="002B49E2"/>
    <w:rsid w:val="002B59D3"/>
    <w:rsid w:val="002B7B00"/>
    <w:rsid w:val="002B7C44"/>
    <w:rsid w:val="002C1071"/>
    <w:rsid w:val="002C27C5"/>
    <w:rsid w:val="002C2B17"/>
    <w:rsid w:val="002C3A6B"/>
    <w:rsid w:val="002C653F"/>
    <w:rsid w:val="002D113D"/>
    <w:rsid w:val="002D3DD0"/>
    <w:rsid w:val="002D5607"/>
    <w:rsid w:val="002D787F"/>
    <w:rsid w:val="002D789C"/>
    <w:rsid w:val="002E1F3A"/>
    <w:rsid w:val="002E298A"/>
    <w:rsid w:val="002E4234"/>
    <w:rsid w:val="002E522F"/>
    <w:rsid w:val="002F220B"/>
    <w:rsid w:val="002F772B"/>
    <w:rsid w:val="00301978"/>
    <w:rsid w:val="00302B3B"/>
    <w:rsid w:val="0030332C"/>
    <w:rsid w:val="00303C41"/>
    <w:rsid w:val="003051C2"/>
    <w:rsid w:val="00306C86"/>
    <w:rsid w:val="003100A5"/>
    <w:rsid w:val="00312296"/>
    <w:rsid w:val="00314F0E"/>
    <w:rsid w:val="00321D8E"/>
    <w:rsid w:val="0032287E"/>
    <w:rsid w:val="00323CB6"/>
    <w:rsid w:val="00325928"/>
    <w:rsid w:val="003273F5"/>
    <w:rsid w:val="00331E7C"/>
    <w:rsid w:val="00332863"/>
    <w:rsid w:val="003340A0"/>
    <w:rsid w:val="0033684D"/>
    <w:rsid w:val="00337B42"/>
    <w:rsid w:val="00340957"/>
    <w:rsid w:val="00341B42"/>
    <w:rsid w:val="0034348F"/>
    <w:rsid w:val="00353B38"/>
    <w:rsid w:val="003550AC"/>
    <w:rsid w:val="00356653"/>
    <w:rsid w:val="0035743F"/>
    <w:rsid w:val="00357717"/>
    <w:rsid w:val="00357BE2"/>
    <w:rsid w:val="0036170C"/>
    <w:rsid w:val="00366E0F"/>
    <w:rsid w:val="0037155F"/>
    <w:rsid w:val="00372FE7"/>
    <w:rsid w:val="003759BD"/>
    <w:rsid w:val="0038056C"/>
    <w:rsid w:val="00381A72"/>
    <w:rsid w:val="00384676"/>
    <w:rsid w:val="00390857"/>
    <w:rsid w:val="00391566"/>
    <w:rsid w:val="003924BD"/>
    <w:rsid w:val="00393998"/>
    <w:rsid w:val="00394B0E"/>
    <w:rsid w:val="003A4425"/>
    <w:rsid w:val="003A4BF3"/>
    <w:rsid w:val="003A4FD0"/>
    <w:rsid w:val="003B420D"/>
    <w:rsid w:val="003C0B2B"/>
    <w:rsid w:val="003C6C16"/>
    <w:rsid w:val="003D794D"/>
    <w:rsid w:val="003E0FDC"/>
    <w:rsid w:val="003E3058"/>
    <w:rsid w:val="003E76A9"/>
    <w:rsid w:val="003F0809"/>
    <w:rsid w:val="003F1448"/>
    <w:rsid w:val="003F339A"/>
    <w:rsid w:val="003F4674"/>
    <w:rsid w:val="003F6A8C"/>
    <w:rsid w:val="003F755C"/>
    <w:rsid w:val="00406F01"/>
    <w:rsid w:val="0041346E"/>
    <w:rsid w:val="00416D50"/>
    <w:rsid w:val="00416FD5"/>
    <w:rsid w:val="00417772"/>
    <w:rsid w:val="00420E6A"/>
    <w:rsid w:val="00425A9E"/>
    <w:rsid w:val="00426D6B"/>
    <w:rsid w:val="00431E6C"/>
    <w:rsid w:val="00433CE7"/>
    <w:rsid w:val="004357C3"/>
    <w:rsid w:val="0044102E"/>
    <w:rsid w:val="004422D7"/>
    <w:rsid w:val="00451E01"/>
    <w:rsid w:val="00452738"/>
    <w:rsid w:val="00456091"/>
    <w:rsid w:val="00457068"/>
    <w:rsid w:val="00461093"/>
    <w:rsid w:val="00464BB8"/>
    <w:rsid w:val="00466321"/>
    <w:rsid w:val="00476D1B"/>
    <w:rsid w:val="00477981"/>
    <w:rsid w:val="00481EAD"/>
    <w:rsid w:val="00484B9B"/>
    <w:rsid w:val="004855F6"/>
    <w:rsid w:val="0048661E"/>
    <w:rsid w:val="00492A05"/>
    <w:rsid w:val="00492BD9"/>
    <w:rsid w:val="00492BE9"/>
    <w:rsid w:val="00494670"/>
    <w:rsid w:val="004A3823"/>
    <w:rsid w:val="004A4E88"/>
    <w:rsid w:val="004A6A25"/>
    <w:rsid w:val="004A7FC4"/>
    <w:rsid w:val="004B2D5C"/>
    <w:rsid w:val="004B6D9A"/>
    <w:rsid w:val="004C20C8"/>
    <w:rsid w:val="004C55B5"/>
    <w:rsid w:val="004C5696"/>
    <w:rsid w:val="004C666D"/>
    <w:rsid w:val="004D5B5F"/>
    <w:rsid w:val="004D720D"/>
    <w:rsid w:val="004E0F99"/>
    <w:rsid w:val="004E177C"/>
    <w:rsid w:val="004E6946"/>
    <w:rsid w:val="004E6DD1"/>
    <w:rsid w:val="004F1AD8"/>
    <w:rsid w:val="004F496D"/>
    <w:rsid w:val="004F513B"/>
    <w:rsid w:val="00500F06"/>
    <w:rsid w:val="005039CB"/>
    <w:rsid w:val="0050558F"/>
    <w:rsid w:val="00506286"/>
    <w:rsid w:val="00510813"/>
    <w:rsid w:val="00511990"/>
    <w:rsid w:val="00511DE0"/>
    <w:rsid w:val="00514870"/>
    <w:rsid w:val="00514B9B"/>
    <w:rsid w:val="00517CAC"/>
    <w:rsid w:val="00517F02"/>
    <w:rsid w:val="00520700"/>
    <w:rsid w:val="00520F3E"/>
    <w:rsid w:val="00522117"/>
    <w:rsid w:val="00524303"/>
    <w:rsid w:val="005258A2"/>
    <w:rsid w:val="00525CBD"/>
    <w:rsid w:val="005401AE"/>
    <w:rsid w:val="00541CCC"/>
    <w:rsid w:val="00542E07"/>
    <w:rsid w:val="00543A8C"/>
    <w:rsid w:val="00545424"/>
    <w:rsid w:val="0054585F"/>
    <w:rsid w:val="00545C11"/>
    <w:rsid w:val="0055421D"/>
    <w:rsid w:val="00554A7B"/>
    <w:rsid w:val="0055572C"/>
    <w:rsid w:val="00556E25"/>
    <w:rsid w:val="0056106A"/>
    <w:rsid w:val="00565A4E"/>
    <w:rsid w:val="0056631F"/>
    <w:rsid w:val="005720AE"/>
    <w:rsid w:val="005853F3"/>
    <w:rsid w:val="00587929"/>
    <w:rsid w:val="00594D77"/>
    <w:rsid w:val="005952DC"/>
    <w:rsid w:val="005969E4"/>
    <w:rsid w:val="005A06B7"/>
    <w:rsid w:val="005A0D4E"/>
    <w:rsid w:val="005A1759"/>
    <w:rsid w:val="005A1F53"/>
    <w:rsid w:val="005A68A7"/>
    <w:rsid w:val="005B66E5"/>
    <w:rsid w:val="005C6C02"/>
    <w:rsid w:val="005D0091"/>
    <w:rsid w:val="005D2E7A"/>
    <w:rsid w:val="005D36AB"/>
    <w:rsid w:val="005E1EBD"/>
    <w:rsid w:val="005F438E"/>
    <w:rsid w:val="00602AC0"/>
    <w:rsid w:val="00605F72"/>
    <w:rsid w:val="00617CC3"/>
    <w:rsid w:val="006255AC"/>
    <w:rsid w:val="006306B3"/>
    <w:rsid w:val="00632DE6"/>
    <w:rsid w:val="0063325E"/>
    <w:rsid w:val="00637256"/>
    <w:rsid w:val="006377A6"/>
    <w:rsid w:val="00637A3D"/>
    <w:rsid w:val="006411EF"/>
    <w:rsid w:val="00641DF1"/>
    <w:rsid w:val="00646D74"/>
    <w:rsid w:val="00661674"/>
    <w:rsid w:val="00664533"/>
    <w:rsid w:val="00665B99"/>
    <w:rsid w:val="006748B8"/>
    <w:rsid w:val="006775C3"/>
    <w:rsid w:val="0068119A"/>
    <w:rsid w:val="00683111"/>
    <w:rsid w:val="0069290A"/>
    <w:rsid w:val="006929F1"/>
    <w:rsid w:val="0069775A"/>
    <w:rsid w:val="00697813"/>
    <w:rsid w:val="006A17CE"/>
    <w:rsid w:val="006A3EE8"/>
    <w:rsid w:val="006A72BF"/>
    <w:rsid w:val="006A72D8"/>
    <w:rsid w:val="006B03F2"/>
    <w:rsid w:val="006B0BB6"/>
    <w:rsid w:val="006B37DC"/>
    <w:rsid w:val="006B4F68"/>
    <w:rsid w:val="006B5E61"/>
    <w:rsid w:val="006B6762"/>
    <w:rsid w:val="006C0592"/>
    <w:rsid w:val="006C272E"/>
    <w:rsid w:val="006C3F1D"/>
    <w:rsid w:val="006C5479"/>
    <w:rsid w:val="006D13B5"/>
    <w:rsid w:val="006D6AF4"/>
    <w:rsid w:val="006E12FF"/>
    <w:rsid w:val="006E191C"/>
    <w:rsid w:val="006E5F68"/>
    <w:rsid w:val="006E607E"/>
    <w:rsid w:val="00700391"/>
    <w:rsid w:val="00706C5D"/>
    <w:rsid w:val="00721E31"/>
    <w:rsid w:val="00722E95"/>
    <w:rsid w:val="00725A2C"/>
    <w:rsid w:val="00727293"/>
    <w:rsid w:val="00732922"/>
    <w:rsid w:val="0075162E"/>
    <w:rsid w:val="00751DD4"/>
    <w:rsid w:val="00752D71"/>
    <w:rsid w:val="00754034"/>
    <w:rsid w:val="00756556"/>
    <w:rsid w:val="00757976"/>
    <w:rsid w:val="007618C4"/>
    <w:rsid w:val="00767980"/>
    <w:rsid w:val="00770B19"/>
    <w:rsid w:val="00773D23"/>
    <w:rsid w:val="0077463F"/>
    <w:rsid w:val="007836EA"/>
    <w:rsid w:val="00784CDA"/>
    <w:rsid w:val="007863D7"/>
    <w:rsid w:val="007900D5"/>
    <w:rsid w:val="007906C4"/>
    <w:rsid w:val="007940EA"/>
    <w:rsid w:val="007967E8"/>
    <w:rsid w:val="007A215E"/>
    <w:rsid w:val="007A2170"/>
    <w:rsid w:val="007A22BF"/>
    <w:rsid w:val="007A3323"/>
    <w:rsid w:val="007A6F63"/>
    <w:rsid w:val="007B67A5"/>
    <w:rsid w:val="007B6BC7"/>
    <w:rsid w:val="007B72B8"/>
    <w:rsid w:val="007B7A58"/>
    <w:rsid w:val="007C1741"/>
    <w:rsid w:val="007C21B5"/>
    <w:rsid w:val="007D0FC1"/>
    <w:rsid w:val="007D3348"/>
    <w:rsid w:val="007D3898"/>
    <w:rsid w:val="007E1902"/>
    <w:rsid w:val="007E4BD2"/>
    <w:rsid w:val="007F039E"/>
    <w:rsid w:val="007F545E"/>
    <w:rsid w:val="00801393"/>
    <w:rsid w:val="00802F88"/>
    <w:rsid w:val="008032EC"/>
    <w:rsid w:val="00805C99"/>
    <w:rsid w:val="00806B7C"/>
    <w:rsid w:val="0081293E"/>
    <w:rsid w:val="00815465"/>
    <w:rsid w:val="00817E9A"/>
    <w:rsid w:val="008306BD"/>
    <w:rsid w:val="00831A80"/>
    <w:rsid w:val="00833743"/>
    <w:rsid w:val="0083389D"/>
    <w:rsid w:val="008340A4"/>
    <w:rsid w:val="008367B5"/>
    <w:rsid w:val="00837B5E"/>
    <w:rsid w:val="008412E7"/>
    <w:rsid w:val="008423C4"/>
    <w:rsid w:val="0084691C"/>
    <w:rsid w:val="0085028C"/>
    <w:rsid w:val="00852BEA"/>
    <w:rsid w:val="00866C4B"/>
    <w:rsid w:val="00866F48"/>
    <w:rsid w:val="0087135F"/>
    <w:rsid w:val="00872D94"/>
    <w:rsid w:val="00873543"/>
    <w:rsid w:val="00880364"/>
    <w:rsid w:val="00880D80"/>
    <w:rsid w:val="008838F9"/>
    <w:rsid w:val="00886A3F"/>
    <w:rsid w:val="008876EB"/>
    <w:rsid w:val="00891592"/>
    <w:rsid w:val="00891E9E"/>
    <w:rsid w:val="008A2F68"/>
    <w:rsid w:val="008B1417"/>
    <w:rsid w:val="008B4FA6"/>
    <w:rsid w:val="008B5282"/>
    <w:rsid w:val="008B5F86"/>
    <w:rsid w:val="008B7C17"/>
    <w:rsid w:val="008C04A5"/>
    <w:rsid w:val="008C2D01"/>
    <w:rsid w:val="008C40E6"/>
    <w:rsid w:val="008D0F7A"/>
    <w:rsid w:val="008D1A04"/>
    <w:rsid w:val="008D262A"/>
    <w:rsid w:val="008D68E4"/>
    <w:rsid w:val="008E0506"/>
    <w:rsid w:val="008E0CFF"/>
    <w:rsid w:val="008E5D6B"/>
    <w:rsid w:val="008E76F0"/>
    <w:rsid w:val="008F0E73"/>
    <w:rsid w:val="008F15FE"/>
    <w:rsid w:val="008F2D29"/>
    <w:rsid w:val="008F5187"/>
    <w:rsid w:val="008F60D8"/>
    <w:rsid w:val="00902727"/>
    <w:rsid w:val="0090312B"/>
    <w:rsid w:val="0091736D"/>
    <w:rsid w:val="00923BF0"/>
    <w:rsid w:val="009264D9"/>
    <w:rsid w:val="0093037A"/>
    <w:rsid w:val="0093164B"/>
    <w:rsid w:val="0094154D"/>
    <w:rsid w:val="0095155F"/>
    <w:rsid w:val="00951882"/>
    <w:rsid w:val="0095316C"/>
    <w:rsid w:val="00954429"/>
    <w:rsid w:val="009563CE"/>
    <w:rsid w:val="00957CB0"/>
    <w:rsid w:val="00957D08"/>
    <w:rsid w:val="00967291"/>
    <w:rsid w:val="009716B4"/>
    <w:rsid w:val="0097207F"/>
    <w:rsid w:val="00976328"/>
    <w:rsid w:val="00976388"/>
    <w:rsid w:val="0097680D"/>
    <w:rsid w:val="00976EEE"/>
    <w:rsid w:val="00982438"/>
    <w:rsid w:val="0098404C"/>
    <w:rsid w:val="0098511F"/>
    <w:rsid w:val="00985283"/>
    <w:rsid w:val="00995265"/>
    <w:rsid w:val="00995992"/>
    <w:rsid w:val="009A03E5"/>
    <w:rsid w:val="009A0F3B"/>
    <w:rsid w:val="009A1BB4"/>
    <w:rsid w:val="009A2437"/>
    <w:rsid w:val="009A2628"/>
    <w:rsid w:val="009A286F"/>
    <w:rsid w:val="009A3200"/>
    <w:rsid w:val="009A633F"/>
    <w:rsid w:val="009B0897"/>
    <w:rsid w:val="009B12F4"/>
    <w:rsid w:val="009B2013"/>
    <w:rsid w:val="009B7BD9"/>
    <w:rsid w:val="009C0CAF"/>
    <w:rsid w:val="009C7DD5"/>
    <w:rsid w:val="009E227D"/>
    <w:rsid w:val="009E5019"/>
    <w:rsid w:val="009E6451"/>
    <w:rsid w:val="009E78EB"/>
    <w:rsid w:val="009F092F"/>
    <w:rsid w:val="009F25AC"/>
    <w:rsid w:val="00A03414"/>
    <w:rsid w:val="00A04F1B"/>
    <w:rsid w:val="00A0501B"/>
    <w:rsid w:val="00A079CB"/>
    <w:rsid w:val="00A07C92"/>
    <w:rsid w:val="00A14947"/>
    <w:rsid w:val="00A17E8B"/>
    <w:rsid w:val="00A17EDB"/>
    <w:rsid w:val="00A21F9D"/>
    <w:rsid w:val="00A255A4"/>
    <w:rsid w:val="00A31120"/>
    <w:rsid w:val="00A312FE"/>
    <w:rsid w:val="00A31B67"/>
    <w:rsid w:val="00A32A83"/>
    <w:rsid w:val="00A368DB"/>
    <w:rsid w:val="00A369A0"/>
    <w:rsid w:val="00A423AA"/>
    <w:rsid w:val="00A44E97"/>
    <w:rsid w:val="00A51F37"/>
    <w:rsid w:val="00A53EC6"/>
    <w:rsid w:val="00A54533"/>
    <w:rsid w:val="00A54A56"/>
    <w:rsid w:val="00A54D8B"/>
    <w:rsid w:val="00A55C0F"/>
    <w:rsid w:val="00A55D63"/>
    <w:rsid w:val="00A635E5"/>
    <w:rsid w:val="00A65C45"/>
    <w:rsid w:val="00A67D91"/>
    <w:rsid w:val="00A7091A"/>
    <w:rsid w:val="00A73B1E"/>
    <w:rsid w:val="00A73BD3"/>
    <w:rsid w:val="00A7767C"/>
    <w:rsid w:val="00A80316"/>
    <w:rsid w:val="00A8048F"/>
    <w:rsid w:val="00A8713F"/>
    <w:rsid w:val="00A90BA1"/>
    <w:rsid w:val="00A911A9"/>
    <w:rsid w:val="00A94843"/>
    <w:rsid w:val="00A950EC"/>
    <w:rsid w:val="00A97A9A"/>
    <w:rsid w:val="00AA0671"/>
    <w:rsid w:val="00AA2531"/>
    <w:rsid w:val="00AA6BAB"/>
    <w:rsid w:val="00AB1E09"/>
    <w:rsid w:val="00AB5330"/>
    <w:rsid w:val="00AB6465"/>
    <w:rsid w:val="00AB67AE"/>
    <w:rsid w:val="00AB7747"/>
    <w:rsid w:val="00AC14CE"/>
    <w:rsid w:val="00AC1F6B"/>
    <w:rsid w:val="00AC257B"/>
    <w:rsid w:val="00AC2A56"/>
    <w:rsid w:val="00AC2BEB"/>
    <w:rsid w:val="00AC36E0"/>
    <w:rsid w:val="00AD0290"/>
    <w:rsid w:val="00AD055E"/>
    <w:rsid w:val="00AD0824"/>
    <w:rsid w:val="00AD47A7"/>
    <w:rsid w:val="00AD53C3"/>
    <w:rsid w:val="00AD6EF8"/>
    <w:rsid w:val="00AE2428"/>
    <w:rsid w:val="00AE5816"/>
    <w:rsid w:val="00AF0CBF"/>
    <w:rsid w:val="00AF257F"/>
    <w:rsid w:val="00AF33CF"/>
    <w:rsid w:val="00AF4D50"/>
    <w:rsid w:val="00AF59D2"/>
    <w:rsid w:val="00AF6179"/>
    <w:rsid w:val="00AF79F3"/>
    <w:rsid w:val="00B1295A"/>
    <w:rsid w:val="00B13538"/>
    <w:rsid w:val="00B16F31"/>
    <w:rsid w:val="00B179A0"/>
    <w:rsid w:val="00B20A45"/>
    <w:rsid w:val="00B22C5C"/>
    <w:rsid w:val="00B23A30"/>
    <w:rsid w:val="00B23EC7"/>
    <w:rsid w:val="00B24F30"/>
    <w:rsid w:val="00B26EFD"/>
    <w:rsid w:val="00B31ABF"/>
    <w:rsid w:val="00B33BE3"/>
    <w:rsid w:val="00B348AA"/>
    <w:rsid w:val="00B401AD"/>
    <w:rsid w:val="00B50541"/>
    <w:rsid w:val="00B53B5D"/>
    <w:rsid w:val="00B6055E"/>
    <w:rsid w:val="00B6317D"/>
    <w:rsid w:val="00B7723F"/>
    <w:rsid w:val="00B80534"/>
    <w:rsid w:val="00B807E8"/>
    <w:rsid w:val="00B82255"/>
    <w:rsid w:val="00B8433C"/>
    <w:rsid w:val="00B86413"/>
    <w:rsid w:val="00B87491"/>
    <w:rsid w:val="00BA29E9"/>
    <w:rsid w:val="00BA6E5A"/>
    <w:rsid w:val="00BA7142"/>
    <w:rsid w:val="00BB237C"/>
    <w:rsid w:val="00BB35EB"/>
    <w:rsid w:val="00BB41A3"/>
    <w:rsid w:val="00BB4464"/>
    <w:rsid w:val="00BB5E4F"/>
    <w:rsid w:val="00BC32DC"/>
    <w:rsid w:val="00BC35B6"/>
    <w:rsid w:val="00BC67AD"/>
    <w:rsid w:val="00BC7177"/>
    <w:rsid w:val="00BD1B51"/>
    <w:rsid w:val="00BD420C"/>
    <w:rsid w:val="00BD4596"/>
    <w:rsid w:val="00BE0754"/>
    <w:rsid w:val="00BE1405"/>
    <w:rsid w:val="00BE231C"/>
    <w:rsid w:val="00BE312D"/>
    <w:rsid w:val="00BE3153"/>
    <w:rsid w:val="00BE47B9"/>
    <w:rsid w:val="00BF0445"/>
    <w:rsid w:val="00BF1C20"/>
    <w:rsid w:val="00BF6159"/>
    <w:rsid w:val="00BF6ED8"/>
    <w:rsid w:val="00BF7C74"/>
    <w:rsid w:val="00C05AA3"/>
    <w:rsid w:val="00C10578"/>
    <w:rsid w:val="00C1197F"/>
    <w:rsid w:val="00C12A83"/>
    <w:rsid w:val="00C135BC"/>
    <w:rsid w:val="00C15C95"/>
    <w:rsid w:val="00C1610C"/>
    <w:rsid w:val="00C202DE"/>
    <w:rsid w:val="00C21459"/>
    <w:rsid w:val="00C2596A"/>
    <w:rsid w:val="00C2651E"/>
    <w:rsid w:val="00C27537"/>
    <w:rsid w:val="00C30399"/>
    <w:rsid w:val="00C30B92"/>
    <w:rsid w:val="00C328FE"/>
    <w:rsid w:val="00C33507"/>
    <w:rsid w:val="00C3487A"/>
    <w:rsid w:val="00C374BF"/>
    <w:rsid w:val="00C40D66"/>
    <w:rsid w:val="00C4409D"/>
    <w:rsid w:val="00C44E72"/>
    <w:rsid w:val="00C44F11"/>
    <w:rsid w:val="00C45A06"/>
    <w:rsid w:val="00C47E5B"/>
    <w:rsid w:val="00C50DDA"/>
    <w:rsid w:val="00C56F48"/>
    <w:rsid w:val="00C60890"/>
    <w:rsid w:val="00C61E4B"/>
    <w:rsid w:val="00C64BFF"/>
    <w:rsid w:val="00C704E9"/>
    <w:rsid w:val="00C744D0"/>
    <w:rsid w:val="00C763C9"/>
    <w:rsid w:val="00C80057"/>
    <w:rsid w:val="00C81CB1"/>
    <w:rsid w:val="00C82232"/>
    <w:rsid w:val="00C82913"/>
    <w:rsid w:val="00C854CD"/>
    <w:rsid w:val="00C87D68"/>
    <w:rsid w:val="00C93B94"/>
    <w:rsid w:val="00C94BBF"/>
    <w:rsid w:val="00C972B1"/>
    <w:rsid w:val="00CA2CCE"/>
    <w:rsid w:val="00CA43FD"/>
    <w:rsid w:val="00CA7EF8"/>
    <w:rsid w:val="00CB09E7"/>
    <w:rsid w:val="00CB4219"/>
    <w:rsid w:val="00CB5274"/>
    <w:rsid w:val="00CB5DEE"/>
    <w:rsid w:val="00CB77D1"/>
    <w:rsid w:val="00CC489B"/>
    <w:rsid w:val="00CD2BCD"/>
    <w:rsid w:val="00CD3A4C"/>
    <w:rsid w:val="00CE10E9"/>
    <w:rsid w:val="00CE1FF9"/>
    <w:rsid w:val="00CE2910"/>
    <w:rsid w:val="00CE5393"/>
    <w:rsid w:val="00CF36BE"/>
    <w:rsid w:val="00CF4821"/>
    <w:rsid w:val="00CF6000"/>
    <w:rsid w:val="00CF7F84"/>
    <w:rsid w:val="00D003F3"/>
    <w:rsid w:val="00D0364F"/>
    <w:rsid w:val="00D04F93"/>
    <w:rsid w:val="00D06834"/>
    <w:rsid w:val="00D24EE8"/>
    <w:rsid w:val="00D27703"/>
    <w:rsid w:val="00D308ED"/>
    <w:rsid w:val="00D32A2B"/>
    <w:rsid w:val="00D3323B"/>
    <w:rsid w:val="00D36D86"/>
    <w:rsid w:val="00D428AA"/>
    <w:rsid w:val="00D42E7F"/>
    <w:rsid w:val="00D4509B"/>
    <w:rsid w:val="00D50A34"/>
    <w:rsid w:val="00D53EFA"/>
    <w:rsid w:val="00D6007C"/>
    <w:rsid w:val="00D6700E"/>
    <w:rsid w:val="00D8103D"/>
    <w:rsid w:val="00D84B15"/>
    <w:rsid w:val="00D85267"/>
    <w:rsid w:val="00D91800"/>
    <w:rsid w:val="00D94A7C"/>
    <w:rsid w:val="00D95896"/>
    <w:rsid w:val="00DA288E"/>
    <w:rsid w:val="00DA7882"/>
    <w:rsid w:val="00DB2983"/>
    <w:rsid w:val="00DB45C9"/>
    <w:rsid w:val="00DC11B0"/>
    <w:rsid w:val="00DC1257"/>
    <w:rsid w:val="00DC3DC0"/>
    <w:rsid w:val="00DC4CE9"/>
    <w:rsid w:val="00DC5B2B"/>
    <w:rsid w:val="00DC6746"/>
    <w:rsid w:val="00DC6863"/>
    <w:rsid w:val="00DC7445"/>
    <w:rsid w:val="00DD318D"/>
    <w:rsid w:val="00DE1523"/>
    <w:rsid w:val="00DE61F1"/>
    <w:rsid w:val="00DE76DB"/>
    <w:rsid w:val="00DF1514"/>
    <w:rsid w:val="00DF2E12"/>
    <w:rsid w:val="00DF514A"/>
    <w:rsid w:val="00DF6690"/>
    <w:rsid w:val="00DF6804"/>
    <w:rsid w:val="00E0358D"/>
    <w:rsid w:val="00E04323"/>
    <w:rsid w:val="00E070A2"/>
    <w:rsid w:val="00E07712"/>
    <w:rsid w:val="00E11C7F"/>
    <w:rsid w:val="00E12439"/>
    <w:rsid w:val="00E1489F"/>
    <w:rsid w:val="00E1671E"/>
    <w:rsid w:val="00E222E8"/>
    <w:rsid w:val="00E2656A"/>
    <w:rsid w:val="00E3328A"/>
    <w:rsid w:val="00E37EB1"/>
    <w:rsid w:val="00E412D0"/>
    <w:rsid w:val="00E45465"/>
    <w:rsid w:val="00E53937"/>
    <w:rsid w:val="00E55874"/>
    <w:rsid w:val="00E56322"/>
    <w:rsid w:val="00E60982"/>
    <w:rsid w:val="00E62C62"/>
    <w:rsid w:val="00E62F05"/>
    <w:rsid w:val="00E63583"/>
    <w:rsid w:val="00E654C1"/>
    <w:rsid w:val="00E65D97"/>
    <w:rsid w:val="00E66FB3"/>
    <w:rsid w:val="00E72A5A"/>
    <w:rsid w:val="00E73354"/>
    <w:rsid w:val="00E73B88"/>
    <w:rsid w:val="00E77542"/>
    <w:rsid w:val="00E83AA5"/>
    <w:rsid w:val="00E9242D"/>
    <w:rsid w:val="00E938B8"/>
    <w:rsid w:val="00EA38C3"/>
    <w:rsid w:val="00EB3100"/>
    <w:rsid w:val="00EB5255"/>
    <w:rsid w:val="00EB5C47"/>
    <w:rsid w:val="00EB7AA1"/>
    <w:rsid w:val="00EC1098"/>
    <w:rsid w:val="00ED0639"/>
    <w:rsid w:val="00ED0FD3"/>
    <w:rsid w:val="00ED156B"/>
    <w:rsid w:val="00ED1AD9"/>
    <w:rsid w:val="00ED3021"/>
    <w:rsid w:val="00ED7B82"/>
    <w:rsid w:val="00EF4755"/>
    <w:rsid w:val="00EF7135"/>
    <w:rsid w:val="00F027DB"/>
    <w:rsid w:val="00F0320F"/>
    <w:rsid w:val="00F14A7A"/>
    <w:rsid w:val="00F17F30"/>
    <w:rsid w:val="00F222E3"/>
    <w:rsid w:val="00F22985"/>
    <w:rsid w:val="00F261E3"/>
    <w:rsid w:val="00F27364"/>
    <w:rsid w:val="00F3383E"/>
    <w:rsid w:val="00F40FF5"/>
    <w:rsid w:val="00F4287B"/>
    <w:rsid w:val="00F4300A"/>
    <w:rsid w:val="00F4313B"/>
    <w:rsid w:val="00F44C43"/>
    <w:rsid w:val="00F465A7"/>
    <w:rsid w:val="00F4687E"/>
    <w:rsid w:val="00F5058C"/>
    <w:rsid w:val="00F50B7C"/>
    <w:rsid w:val="00F550E6"/>
    <w:rsid w:val="00F55C2B"/>
    <w:rsid w:val="00F566AC"/>
    <w:rsid w:val="00F60550"/>
    <w:rsid w:val="00F610F7"/>
    <w:rsid w:val="00F61E7A"/>
    <w:rsid w:val="00F62511"/>
    <w:rsid w:val="00F633AD"/>
    <w:rsid w:val="00F70E91"/>
    <w:rsid w:val="00F725F3"/>
    <w:rsid w:val="00F7268D"/>
    <w:rsid w:val="00F72E8F"/>
    <w:rsid w:val="00F732FD"/>
    <w:rsid w:val="00F74345"/>
    <w:rsid w:val="00F76583"/>
    <w:rsid w:val="00F76925"/>
    <w:rsid w:val="00F809FE"/>
    <w:rsid w:val="00F80A0A"/>
    <w:rsid w:val="00F8289B"/>
    <w:rsid w:val="00F82B19"/>
    <w:rsid w:val="00F9212D"/>
    <w:rsid w:val="00F958EA"/>
    <w:rsid w:val="00F965DA"/>
    <w:rsid w:val="00FA0215"/>
    <w:rsid w:val="00FA406A"/>
    <w:rsid w:val="00FA5871"/>
    <w:rsid w:val="00FA70E3"/>
    <w:rsid w:val="00FB4969"/>
    <w:rsid w:val="00FB503A"/>
    <w:rsid w:val="00FB516C"/>
    <w:rsid w:val="00FB7BF2"/>
    <w:rsid w:val="00FC07E2"/>
    <w:rsid w:val="00FC6A99"/>
    <w:rsid w:val="00FD0236"/>
    <w:rsid w:val="00FD0A6F"/>
    <w:rsid w:val="00FD18F4"/>
    <w:rsid w:val="00FD54DB"/>
    <w:rsid w:val="00FD619F"/>
    <w:rsid w:val="00FE10C3"/>
    <w:rsid w:val="00FE34C1"/>
    <w:rsid w:val="00FF648A"/>
    <w:rsid w:val="0106663B"/>
    <w:rsid w:val="01087940"/>
    <w:rsid w:val="010A5041"/>
    <w:rsid w:val="010E1D9D"/>
    <w:rsid w:val="01166E93"/>
    <w:rsid w:val="011D281A"/>
    <w:rsid w:val="0125366D"/>
    <w:rsid w:val="01290F7E"/>
    <w:rsid w:val="01300AF0"/>
    <w:rsid w:val="01323CE1"/>
    <w:rsid w:val="01351709"/>
    <w:rsid w:val="01420A1F"/>
    <w:rsid w:val="01483505"/>
    <w:rsid w:val="0153673B"/>
    <w:rsid w:val="015C4E4C"/>
    <w:rsid w:val="015D1E09"/>
    <w:rsid w:val="015E034F"/>
    <w:rsid w:val="016C1CE4"/>
    <w:rsid w:val="01815F85"/>
    <w:rsid w:val="01875C90"/>
    <w:rsid w:val="0189337C"/>
    <w:rsid w:val="018D1D97"/>
    <w:rsid w:val="018D561B"/>
    <w:rsid w:val="01981160"/>
    <w:rsid w:val="019A41B9"/>
    <w:rsid w:val="019A6EAF"/>
    <w:rsid w:val="01AC61B8"/>
    <w:rsid w:val="01B8645F"/>
    <w:rsid w:val="01B93EE0"/>
    <w:rsid w:val="01BB2C67"/>
    <w:rsid w:val="01C16D6E"/>
    <w:rsid w:val="01E22B26"/>
    <w:rsid w:val="01EA7F33"/>
    <w:rsid w:val="01EB3525"/>
    <w:rsid w:val="01EC42D0"/>
    <w:rsid w:val="01FE6BD3"/>
    <w:rsid w:val="01FF4655"/>
    <w:rsid w:val="0222008D"/>
    <w:rsid w:val="022A1DBF"/>
    <w:rsid w:val="0253085C"/>
    <w:rsid w:val="02544F2A"/>
    <w:rsid w:val="02546149"/>
    <w:rsid w:val="02581525"/>
    <w:rsid w:val="02587777"/>
    <w:rsid w:val="025C49EE"/>
    <w:rsid w:val="026047DA"/>
    <w:rsid w:val="0261487E"/>
    <w:rsid w:val="02634379"/>
    <w:rsid w:val="02697903"/>
    <w:rsid w:val="026F743E"/>
    <w:rsid w:val="028B4239"/>
    <w:rsid w:val="029C1F55"/>
    <w:rsid w:val="02A35163"/>
    <w:rsid w:val="02A50666"/>
    <w:rsid w:val="02B74A8F"/>
    <w:rsid w:val="02BC4A08"/>
    <w:rsid w:val="02BE63C1"/>
    <w:rsid w:val="02D45E32"/>
    <w:rsid w:val="02E071C6"/>
    <w:rsid w:val="02EE513F"/>
    <w:rsid w:val="02F019DF"/>
    <w:rsid w:val="02F32FFC"/>
    <w:rsid w:val="02F96569"/>
    <w:rsid w:val="03060FB9"/>
    <w:rsid w:val="03082909"/>
    <w:rsid w:val="03130C9A"/>
    <w:rsid w:val="031A60A6"/>
    <w:rsid w:val="03227C2F"/>
    <w:rsid w:val="032363A1"/>
    <w:rsid w:val="032770F0"/>
    <w:rsid w:val="03292E3E"/>
    <w:rsid w:val="032D72C5"/>
    <w:rsid w:val="033C405D"/>
    <w:rsid w:val="033D1ADE"/>
    <w:rsid w:val="033F6241"/>
    <w:rsid w:val="034B00E1"/>
    <w:rsid w:val="034C5D85"/>
    <w:rsid w:val="03577A2F"/>
    <w:rsid w:val="036B5033"/>
    <w:rsid w:val="037554BB"/>
    <w:rsid w:val="038134CC"/>
    <w:rsid w:val="038A1BDD"/>
    <w:rsid w:val="03905CE5"/>
    <w:rsid w:val="039E740C"/>
    <w:rsid w:val="03AC31C8"/>
    <w:rsid w:val="03AF2E06"/>
    <w:rsid w:val="03C2759E"/>
    <w:rsid w:val="03C4237C"/>
    <w:rsid w:val="03C5653F"/>
    <w:rsid w:val="03CC00C8"/>
    <w:rsid w:val="03D21FD2"/>
    <w:rsid w:val="03D2589B"/>
    <w:rsid w:val="03D746CC"/>
    <w:rsid w:val="03EA7B21"/>
    <w:rsid w:val="03F60EC6"/>
    <w:rsid w:val="04017342"/>
    <w:rsid w:val="04034176"/>
    <w:rsid w:val="040C5655"/>
    <w:rsid w:val="04122DBB"/>
    <w:rsid w:val="04166B3C"/>
    <w:rsid w:val="04303F96"/>
    <w:rsid w:val="04375579"/>
    <w:rsid w:val="043A3F7F"/>
    <w:rsid w:val="04436E0D"/>
    <w:rsid w:val="0444488F"/>
    <w:rsid w:val="0448435E"/>
    <w:rsid w:val="04533824"/>
    <w:rsid w:val="046318C1"/>
    <w:rsid w:val="046724C5"/>
    <w:rsid w:val="046E4687"/>
    <w:rsid w:val="046E6DDE"/>
    <w:rsid w:val="04731B5B"/>
    <w:rsid w:val="0477794E"/>
    <w:rsid w:val="047C3FFD"/>
    <w:rsid w:val="047D42FB"/>
    <w:rsid w:val="048E5449"/>
    <w:rsid w:val="049D299F"/>
    <w:rsid w:val="04AF3F3E"/>
    <w:rsid w:val="04BC3254"/>
    <w:rsid w:val="04BE6757"/>
    <w:rsid w:val="04C40D23"/>
    <w:rsid w:val="04C63B63"/>
    <w:rsid w:val="04CC7B66"/>
    <w:rsid w:val="04DA5E85"/>
    <w:rsid w:val="04EE72A6"/>
    <w:rsid w:val="04FD623C"/>
    <w:rsid w:val="050A7B58"/>
    <w:rsid w:val="050E1D62"/>
    <w:rsid w:val="05197D6A"/>
    <w:rsid w:val="051D4572"/>
    <w:rsid w:val="05215177"/>
    <w:rsid w:val="05351B03"/>
    <w:rsid w:val="053C23AE"/>
    <w:rsid w:val="05503AC8"/>
    <w:rsid w:val="055943D7"/>
    <w:rsid w:val="055C535C"/>
    <w:rsid w:val="055E085F"/>
    <w:rsid w:val="05602200"/>
    <w:rsid w:val="05631463"/>
    <w:rsid w:val="056326BB"/>
    <w:rsid w:val="05646EE5"/>
    <w:rsid w:val="056A4671"/>
    <w:rsid w:val="05781409"/>
    <w:rsid w:val="05806815"/>
    <w:rsid w:val="059454B6"/>
    <w:rsid w:val="059465BE"/>
    <w:rsid w:val="05993C08"/>
    <w:rsid w:val="05AD3936"/>
    <w:rsid w:val="05B30673"/>
    <w:rsid w:val="05B375A5"/>
    <w:rsid w:val="05BA78F4"/>
    <w:rsid w:val="05BC2DF7"/>
    <w:rsid w:val="05C32781"/>
    <w:rsid w:val="05C43A86"/>
    <w:rsid w:val="05CA4916"/>
    <w:rsid w:val="05D92727"/>
    <w:rsid w:val="05DF682E"/>
    <w:rsid w:val="05EA0443"/>
    <w:rsid w:val="05F354CF"/>
    <w:rsid w:val="05F83EAE"/>
    <w:rsid w:val="060F15AA"/>
    <w:rsid w:val="06116510"/>
    <w:rsid w:val="06156D08"/>
    <w:rsid w:val="062C692E"/>
    <w:rsid w:val="063B1146"/>
    <w:rsid w:val="063C2898"/>
    <w:rsid w:val="063E7D85"/>
    <w:rsid w:val="063F594E"/>
    <w:rsid w:val="06451A56"/>
    <w:rsid w:val="06493F3E"/>
    <w:rsid w:val="0651443F"/>
    <w:rsid w:val="06687B06"/>
    <w:rsid w:val="067330D8"/>
    <w:rsid w:val="068A254B"/>
    <w:rsid w:val="06983A5E"/>
    <w:rsid w:val="06A31DF0"/>
    <w:rsid w:val="06A67EB1"/>
    <w:rsid w:val="06B1240A"/>
    <w:rsid w:val="06B3590D"/>
    <w:rsid w:val="06BC079B"/>
    <w:rsid w:val="06C510AB"/>
    <w:rsid w:val="06CD64B7"/>
    <w:rsid w:val="06E4265E"/>
    <w:rsid w:val="06E45E41"/>
    <w:rsid w:val="06E728E4"/>
    <w:rsid w:val="06ED6A30"/>
    <w:rsid w:val="06F408F5"/>
    <w:rsid w:val="06F53C79"/>
    <w:rsid w:val="06FA6082"/>
    <w:rsid w:val="07034156"/>
    <w:rsid w:val="07127DFA"/>
    <w:rsid w:val="0715212E"/>
    <w:rsid w:val="0716432D"/>
    <w:rsid w:val="072145DC"/>
    <w:rsid w:val="07237144"/>
    <w:rsid w:val="07293586"/>
    <w:rsid w:val="07295285"/>
    <w:rsid w:val="073A226A"/>
    <w:rsid w:val="073C4C17"/>
    <w:rsid w:val="074B6D85"/>
    <w:rsid w:val="074B784A"/>
    <w:rsid w:val="07517BBA"/>
    <w:rsid w:val="0756099A"/>
    <w:rsid w:val="075C3185"/>
    <w:rsid w:val="07636392"/>
    <w:rsid w:val="07684137"/>
    <w:rsid w:val="076A3DB7"/>
    <w:rsid w:val="07752B3A"/>
    <w:rsid w:val="0776564B"/>
    <w:rsid w:val="07770C56"/>
    <w:rsid w:val="07776194"/>
    <w:rsid w:val="077E0859"/>
    <w:rsid w:val="079F144F"/>
    <w:rsid w:val="07AF5932"/>
    <w:rsid w:val="07B348E0"/>
    <w:rsid w:val="07B354B0"/>
    <w:rsid w:val="07BC3BC1"/>
    <w:rsid w:val="07BE6173"/>
    <w:rsid w:val="07C06D44"/>
    <w:rsid w:val="07C95455"/>
    <w:rsid w:val="07D37F63"/>
    <w:rsid w:val="07D64A34"/>
    <w:rsid w:val="07DB5B40"/>
    <w:rsid w:val="07E66F84"/>
    <w:rsid w:val="07EC2E3C"/>
    <w:rsid w:val="07F020AC"/>
    <w:rsid w:val="07F05315"/>
    <w:rsid w:val="07F82721"/>
    <w:rsid w:val="07FA5C24"/>
    <w:rsid w:val="08043FB5"/>
    <w:rsid w:val="08076120"/>
    <w:rsid w:val="081B0462"/>
    <w:rsid w:val="08235AAA"/>
    <w:rsid w:val="08375A89"/>
    <w:rsid w:val="08426019"/>
    <w:rsid w:val="084B472A"/>
    <w:rsid w:val="087207FB"/>
    <w:rsid w:val="0873206B"/>
    <w:rsid w:val="08766BA9"/>
    <w:rsid w:val="087F5E43"/>
    <w:rsid w:val="08866A97"/>
    <w:rsid w:val="0889420E"/>
    <w:rsid w:val="0891161B"/>
    <w:rsid w:val="089B7826"/>
    <w:rsid w:val="08A118B5"/>
    <w:rsid w:val="08A42D41"/>
    <w:rsid w:val="08BE33E4"/>
    <w:rsid w:val="08C86463"/>
    <w:rsid w:val="08D12404"/>
    <w:rsid w:val="08DE122E"/>
    <w:rsid w:val="08E91129"/>
    <w:rsid w:val="08E97AAB"/>
    <w:rsid w:val="08F30F9E"/>
    <w:rsid w:val="08F97D45"/>
    <w:rsid w:val="090A651D"/>
    <w:rsid w:val="09167A44"/>
    <w:rsid w:val="09207DF1"/>
    <w:rsid w:val="09213488"/>
    <w:rsid w:val="092217DD"/>
    <w:rsid w:val="09257549"/>
    <w:rsid w:val="092B1819"/>
    <w:rsid w:val="0930241E"/>
    <w:rsid w:val="09352129"/>
    <w:rsid w:val="0937562C"/>
    <w:rsid w:val="093A7294"/>
    <w:rsid w:val="094523C3"/>
    <w:rsid w:val="09522C36"/>
    <w:rsid w:val="0958200E"/>
    <w:rsid w:val="095A2369"/>
    <w:rsid w:val="095A6AE5"/>
    <w:rsid w:val="095C6CEE"/>
    <w:rsid w:val="096071C1"/>
    <w:rsid w:val="0962402E"/>
    <w:rsid w:val="098740AE"/>
    <w:rsid w:val="09891BB3"/>
    <w:rsid w:val="09906FBF"/>
    <w:rsid w:val="099512B1"/>
    <w:rsid w:val="09986358"/>
    <w:rsid w:val="099955C6"/>
    <w:rsid w:val="099F3E24"/>
    <w:rsid w:val="09AD6CEE"/>
    <w:rsid w:val="09AE729A"/>
    <w:rsid w:val="09B329F7"/>
    <w:rsid w:val="09B5199D"/>
    <w:rsid w:val="09BB3687"/>
    <w:rsid w:val="09BC1108"/>
    <w:rsid w:val="09C71698"/>
    <w:rsid w:val="09D76D0C"/>
    <w:rsid w:val="09DF6D3E"/>
    <w:rsid w:val="09EA0953"/>
    <w:rsid w:val="09F25D5F"/>
    <w:rsid w:val="09F43460"/>
    <w:rsid w:val="0A0A4F55"/>
    <w:rsid w:val="0A2168AE"/>
    <w:rsid w:val="0A263993"/>
    <w:rsid w:val="0A2707B8"/>
    <w:rsid w:val="0A273152"/>
    <w:rsid w:val="0A286239"/>
    <w:rsid w:val="0A2C41A3"/>
    <w:rsid w:val="0A2D3AC2"/>
    <w:rsid w:val="0A3864D3"/>
    <w:rsid w:val="0A49011C"/>
    <w:rsid w:val="0A503B7A"/>
    <w:rsid w:val="0A5F2B10"/>
    <w:rsid w:val="0A603A28"/>
    <w:rsid w:val="0A6B19C4"/>
    <w:rsid w:val="0A7669ED"/>
    <w:rsid w:val="0A780FD3"/>
    <w:rsid w:val="0A7C3C8A"/>
    <w:rsid w:val="0A7D3E12"/>
    <w:rsid w:val="0A894A79"/>
    <w:rsid w:val="0A8B4C59"/>
    <w:rsid w:val="0A9D09D9"/>
    <w:rsid w:val="0AA755DF"/>
    <w:rsid w:val="0AAC0660"/>
    <w:rsid w:val="0AB4001B"/>
    <w:rsid w:val="0AB64D3A"/>
    <w:rsid w:val="0AC843F7"/>
    <w:rsid w:val="0ACF1ECA"/>
    <w:rsid w:val="0AD927DA"/>
    <w:rsid w:val="0AE51E6F"/>
    <w:rsid w:val="0AE63EF8"/>
    <w:rsid w:val="0AEC4C61"/>
    <w:rsid w:val="0AF21185"/>
    <w:rsid w:val="0AF7560D"/>
    <w:rsid w:val="0B0C7351"/>
    <w:rsid w:val="0B120D44"/>
    <w:rsid w:val="0B156DBB"/>
    <w:rsid w:val="0B175120"/>
    <w:rsid w:val="0B462D79"/>
    <w:rsid w:val="0B483FCA"/>
    <w:rsid w:val="0B4B5097"/>
    <w:rsid w:val="0B4C4D17"/>
    <w:rsid w:val="0B505218"/>
    <w:rsid w:val="0B544033"/>
    <w:rsid w:val="0B57692B"/>
    <w:rsid w:val="0B591E2E"/>
    <w:rsid w:val="0B605058"/>
    <w:rsid w:val="0B860374"/>
    <w:rsid w:val="0B8B007F"/>
    <w:rsid w:val="0B8E7D02"/>
    <w:rsid w:val="0B9B0319"/>
    <w:rsid w:val="0BAA5AC2"/>
    <w:rsid w:val="0BB9314C"/>
    <w:rsid w:val="0BC87EE4"/>
    <w:rsid w:val="0BD22F88"/>
    <w:rsid w:val="0BD27BF6"/>
    <w:rsid w:val="0BEC6E1F"/>
    <w:rsid w:val="0BEF4F92"/>
    <w:rsid w:val="0BF82C31"/>
    <w:rsid w:val="0C064859"/>
    <w:rsid w:val="0C0F533A"/>
    <w:rsid w:val="0C115D59"/>
    <w:rsid w:val="0C1237DB"/>
    <w:rsid w:val="0C1F08F2"/>
    <w:rsid w:val="0C237D54"/>
    <w:rsid w:val="0C302D8B"/>
    <w:rsid w:val="0C311772"/>
    <w:rsid w:val="0C3B3C7D"/>
    <w:rsid w:val="0C441A2C"/>
    <w:rsid w:val="0C467B62"/>
    <w:rsid w:val="0C5651C9"/>
    <w:rsid w:val="0C5A1B1E"/>
    <w:rsid w:val="0C5B1651"/>
    <w:rsid w:val="0C675B4D"/>
    <w:rsid w:val="0C6A5094"/>
    <w:rsid w:val="0C717078"/>
    <w:rsid w:val="0C755A7E"/>
    <w:rsid w:val="0C794286"/>
    <w:rsid w:val="0C7C0C8C"/>
    <w:rsid w:val="0C9275AC"/>
    <w:rsid w:val="0C946333"/>
    <w:rsid w:val="0C973A34"/>
    <w:rsid w:val="0CA61AD0"/>
    <w:rsid w:val="0CA81750"/>
    <w:rsid w:val="0CAB2EAE"/>
    <w:rsid w:val="0CAD5BD8"/>
    <w:rsid w:val="0CAF10DB"/>
    <w:rsid w:val="0CCD0FE1"/>
    <w:rsid w:val="0CD87D84"/>
    <w:rsid w:val="0CE344E5"/>
    <w:rsid w:val="0CE97FBB"/>
    <w:rsid w:val="0CEA0096"/>
    <w:rsid w:val="0CF5184F"/>
    <w:rsid w:val="0CF85DDF"/>
    <w:rsid w:val="0CFD6C5C"/>
    <w:rsid w:val="0D014C48"/>
    <w:rsid w:val="0D043617"/>
    <w:rsid w:val="0D08358D"/>
    <w:rsid w:val="0D0E5DA0"/>
    <w:rsid w:val="0D28745D"/>
    <w:rsid w:val="0D2C3709"/>
    <w:rsid w:val="0D323D1D"/>
    <w:rsid w:val="0D347447"/>
    <w:rsid w:val="0D3D37F2"/>
    <w:rsid w:val="0D3F33D4"/>
    <w:rsid w:val="0D4032E2"/>
    <w:rsid w:val="0D444B80"/>
    <w:rsid w:val="0D4B0C3C"/>
    <w:rsid w:val="0D5A2878"/>
    <w:rsid w:val="0D621C7D"/>
    <w:rsid w:val="0D67410D"/>
    <w:rsid w:val="0D697610"/>
    <w:rsid w:val="0D6D0128"/>
    <w:rsid w:val="0D73416F"/>
    <w:rsid w:val="0D766925"/>
    <w:rsid w:val="0D78730D"/>
    <w:rsid w:val="0D806A54"/>
    <w:rsid w:val="0D835267"/>
    <w:rsid w:val="0D8633EB"/>
    <w:rsid w:val="0D9229D2"/>
    <w:rsid w:val="0D9A2D37"/>
    <w:rsid w:val="0D9A7DDF"/>
    <w:rsid w:val="0DA61673"/>
    <w:rsid w:val="0DAE2303"/>
    <w:rsid w:val="0DB4576E"/>
    <w:rsid w:val="0DB717F6"/>
    <w:rsid w:val="0DBB0313"/>
    <w:rsid w:val="0DC137A0"/>
    <w:rsid w:val="0DC87629"/>
    <w:rsid w:val="0DEA6216"/>
    <w:rsid w:val="0E0707A8"/>
    <w:rsid w:val="0E0D73AC"/>
    <w:rsid w:val="0E10283C"/>
    <w:rsid w:val="0E160A2D"/>
    <w:rsid w:val="0E1C70B3"/>
    <w:rsid w:val="0E2557C4"/>
    <w:rsid w:val="0E2C734E"/>
    <w:rsid w:val="0E4F6609"/>
    <w:rsid w:val="0E554C8F"/>
    <w:rsid w:val="0E5A499A"/>
    <w:rsid w:val="0E73034D"/>
    <w:rsid w:val="0E8F15F0"/>
    <w:rsid w:val="0E920377"/>
    <w:rsid w:val="0E963944"/>
    <w:rsid w:val="0E9647FF"/>
    <w:rsid w:val="0E9C0E2C"/>
    <w:rsid w:val="0EA20611"/>
    <w:rsid w:val="0EAA2A67"/>
    <w:rsid w:val="0EAC08FD"/>
    <w:rsid w:val="0EAD6BD1"/>
    <w:rsid w:val="0EB74D33"/>
    <w:rsid w:val="0EC920D0"/>
    <w:rsid w:val="0EE67E01"/>
    <w:rsid w:val="0EE73DD4"/>
    <w:rsid w:val="0EE77A81"/>
    <w:rsid w:val="0EE950A0"/>
    <w:rsid w:val="0EF80443"/>
    <w:rsid w:val="0EFA0CA0"/>
    <w:rsid w:val="0F03523D"/>
    <w:rsid w:val="0F0528B4"/>
    <w:rsid w:val="0F0767AD"/>
    <w:rsid w:val="0F13775A"/>
    <w:rsid w:val="0F1E7653"/>
    <w:rsid w:val="0F3C0BAE"/>
    <w:rsid w:val="0F3C4F8C"/>
    <w:rsid w:val="0F4C3028"/>
    <w:rsid w:val="0F4D0AAA"/>
    <w:rsid w:val="0F503CB0"/>
    <w:rsid w:val="0F530435"/>
    <w:rsid w:val="0F553938"/>
    <w:rsid w:val="0F5D54C1"/>
    <w:rsid w:val="0F5F45FE"/>
    <w:rsid w:val="0F6163B3"/>
    <w:rsid w:val="0F6B5ADC"/>
    <w:rsid w:val="0F7450E6"/>
    <w:rsid w:val="0F7C7F74"/>
    <w:rsid w:val="0F845381"/>
    <w:rsid w:val="0F8F6F95"/>
    <w:rsid w:val="0F94341D"/>
    <w:rsid w:val="0F9755B6"/>
    <w:rsid w:val="0F9A112B"/>
    <w:rsid w:val="0F9B773C"/>
    <w:rsid w:val="0FB70159"/>
    <w:rsid w:val="0FBF1CE2"/>
    <w:rsid w:val="0FC30926"/>
    <w:rsid w:val="0FCB1589"/>
    <w:rsid w:val="0FCC6DFA"/>
    <w:rsid w:val="0FDE698D"/>
    <w:rsid w:val="0FDF4796"/>
    <w:rsid w:val="0FE05A9A"/>
    <w:rsid w:val="0FE443F8"/>
    <w:rsid w:val="0FF11244"/>
    <w:rsid w:val="0FF83141"/>
    <w:rsid w:val="0FFE75A6"/>
    <w:rsid w:val="100214D2"/>
    <w:rsid w:val="100B407B"/>
    <w:rsid w:val="101471EE"/>
    <w:rsid w:val="101F3001"/>
    <w:rsid w:val="1023528A"/>
    <w:rsid w:val="10236A5C"/>
    <w:rsid w:val="1026298B"/>
    <w:rsid w:val="10281712"/>
    <w:rsid w:val="1030566E"/>
    <w:rsid w:val="1033078E"/>
    <w:rsid w:val="103551A4"/>
    <w:rsid w:val="1039742E"/>
    <w:rsid w:val="10411C87"/>
    <w:rsid w:val="10437371"/>
    <w:rsid w:val="10482E33"/>
    <w:rsid w:val="1050791B"/>
    <w:rsid w:val="10686C78"/>
    <w:rsid w:val="106D2F64"/>
    <w:rsid w:val="107F2121"/>
    <w:rsid w:val="1087172B"/>
    <w:rsid w:val="108C5BB3"/>
    <w:rsid w:val="108D6EB8"/>
    <w:rsid w:val="109C5E4D"/>
    <w:rsid w:val="109E7152"/>
    <w:rsid w:val="10B20AFA"/>
    <w:rsid w:val="10B2256F"/>
    <w:rsid w:val="10B33874"/>
    <w:rsid w:val="10B63710"/>
    <w:rsid w:val="10B74479"/>
    <w:rsid w:val="10B77F7A"/>
    <w:rsid w:val="10B9577E"/>
    <w:rsid w:val="10C43C40"/>
    <w:rsid w:val="10D26921"/>
    <w:rsid w:val="10E16942"/>
    <w:rsid w:val="10E62DCA"/>
    <w:rsid w:val="10F10820"/>
    <w:rsid w:val="10F20DDB"/>
    <w:rsid w:val="10FD716C"/>
    <w:rsid w:val="1111330F"/>
    <w:rsid w:val="11146D91"/>
    <w:rsid w:val="111C2F7A"/>
    <w:rsid w:val="111D4EA0"/>
    <w:rsid w:val="112A26FF"/>
    <w:rsid w:val="114B0570"/>
    <w:rsid w:val="114F1320"/>
    <w:rsid w:val="11512479"/>
    <w:rsid w:val="11537B7A"/>
    <w:rsid w:val="115455FC"/>
    <w:rsid w:val="11550E7F"/>
    <w:rsid w:val="11552CCF"/>
    <w:rsid w:val="1155307D"/>
    <w:rsid w:val="115B4F87"/>
    <w:rsid w:val="115D048A"/>
    <w:rsid w:val="11665CA1"/>
    <w:rsid w:val="1166747D"/>
    <w:rsid w:val="1167461D"/>
    <w:rsid w:val="116D73E8"/>
    <w:rsid w:val="117074AB"/>
    <w:rsid w:val="117369C6"/>
    <w:rsid w:val="11761DEC"/>
    <w:rsid w:val="118934A9"/>
    <w:rsid w:val="11922F1F"/>
    <w:rsid w:val="11A64D64"/>
    <w:rsid w:val="11AD4D9B"/>
    <w:rsid w:val="11B17F14"/>
    <w:rsid w:val="11B36D85"/>
    <w:rsid w:val="11D1624A"/>
    <w:rsid w:val="11D30BC8"/>
    <w:rsid w:val="11D84431"/>
    <w:rsid w:val="11D96D2F"/>
    <w:rsid w:val="11DB77E2"/>
    <w:rsid w:val="11EA1373"/>
    <w:rsid w:val="11F93B8B"/>
    <w:rsid w:val="12010F98"/>
    <w:rsid w:val="121A5AEE"/>
    <w:rsid w:val="1220184D"/>
    <w:rsid w:val="123352DB"/>
    <w:rsid w:val="123404ED"/>
    <w:rsid w:val="123526EB"/>
    <w:rsid w:val="123910F2"/>
    <w:rsid w:val="123A29F6"/>
    <w:rsid w:val="123E2FFB"/>
    <w:rsid w:val="12421A01"/>
    <w:rsid w:val="12482ACB"/>
    <w:rsid w:val="128877AF"/>
    <w:rsid w:val="1295180B"/>
    <w:rsid w:val="12A01D9B"/>
    <w:rsid w:val="12A32D1F"/>
    <w:rsid w:val="12A861A1"/>
    <w:rsid w:val="12AB5BAD"/>
    <w:rsid w:val="12AE7FE8"/>
    <w:rsid w:val="12B61620"/>
    <w:rsid w:val="12B82CC5"/>
    <w:rsid w:val="12BE76D1"/>
    <w:rsid w:val="12C500AA"/>
    <w:rsid w:val="12D20A90"/>
    <w:rsid w:val="12E658DD"/>
    <w:rsid w:val="12EC4418"/>
    <w:rsid w:val="12FC46B3"/>
    <w:rsid w:val="130304C8"/>
    <w:rsid w:val="13045342"/>
    <w:rsid w:val="13115856"/>
    <w:rsid w:val="13180760"/>
    <w:rsid w:val="131F00EB"/>
    <w:rsid w:val="13205B6C"/>
    <w:rsid w:val="132B5337"/>
    <w:rsid w:val="132D60B6"/>
    <w:rsid w:val="133B7A1B"/>
    <w:rsid w:val="13490886"/>
    <w:rsid w:val="13561AB1"/>
    <w:rsid w:val="13573AC8"/>
    <w:rsid w:val="135E3453"/>
    <w:rsid w:val="135F4757"/>
    <w:rsid w:val="136B2768"/>
    <w:rsid w:val="136D546E"/>
    <w:rsid w:val="136D73C8"/>
    <w:rsid w:val="137220F3"/>
    <w:rsid w:val="13722A67"/>
    <w:rsid w:val="13787880"/>
    <w:rsid w:val="1381018F"/>
    <w:rsid w:val="138E1A23"/>
    <w:rsid w:val="139323BD"/>
    <w:rsid w:val="1394233C"/>
    <w:rsid w:val="13951726"/>
    <w:rsid w:val="13A43BC7"/>
    <w:rsid w:val="13A51648"/>
    <w:rsid w:val="13A72BAB"/>
    <w:rsid w:val="13AD22D8"/>
    <w:rsid w:val="13C55F8D"/>
    <w:rsid w:val="13C72E82"/>
    <w:rsid w:val="13CC4847"/>
    <w:rsid w:val="13CE4A0B"/>
    <w:rsid w:val="13D54515"/>
    <w:rsid w:val="13D65D70"/>
    <w:rsid w:val="13D92D9C"/>
    <w:rsid w:val="13DA40A1"/>
    <w:rsid w:val="13E904A9"/>
    <w:rsid w:val="13EB21F9"/>
    <w:rsid w:val="13EC2208"/>
    <w:rsid w:val="13F812F0"/>
    <w:rsid w:val="13FD3CDB"/>
    <w:rsid w:val="14054FF4"/>
    <w:rsid w:val="140A7609"/>
    <w:rsid w:val="141F1312"/>
    <w:rsid w:val="14224495"/>
    <w:rsid w:val="142B72E1"/>
    <w:rsid w:val="142C276C"/>
    <w:rsid w:val="1431122C"/>
    <w:rsid w:val="14370BB7"/>
    <w:rsid w:val="143940BA"/>
    <w:rsid w:val="14396509"/>
    <w:rsid w:val="143F61ED"/>
    <w:rsid w:val="144D65A6"/>
    <w:rsid w:val="14577C40"/>
    <w:rsid w:val="145A7E72"/>
    <w:rsid w:val="145D0DF7"/>
    <w:rsid w:val="145F4BA3"/>
    <w:rsid w:val="14656203"/>
    <w:rsid w:val="146855F8"/>
    <w:rsid w:val="14807C32"/>
    <w:rsid w:val="148122B0"/>
    <w:rsid w:val="148D21CD"/>
    <w:rsid w:val="14A02B65"/>
    <w:rsid w:val="14A836F3"/>
    <w:rsid w:val="14A8568D"/>
    <w:rsid w:val="14AD5701"/>
    <w:rsid w:val="14AD738E"/>
    <w:rsid w:val="14AE4079"/>
    <w:rsid w:val="14B51486"/>
    <w:rsid w:val="14BE4314"/>
    <w:rsid w:val="14C95F28"/>
    <w:rsid w:val="14CA5743"/>
    <w:rsid w:val="14CB202B"/>
    <w:rsid w:val="14CD31AF"/>
    <w:rsid w:val="14DC5FE6"/>
    <w:rsid w:val="14DD2C3C"/>
    <w:rsid w:val="14E44553"/>
    <w:rsid w:val="14E867DD"/>
    <w:rsid w:val="14EF6168"/>
    <w:rsid w:val="14F264F0"/>
    <w:rsid w:val="14FB73FC"/>
    <w:rsid w:val="14FE278E"/>
    <w:rsid w:val="150115A9"/>
    <w:rsid w:val="15082937"/>
    <w:rsid w:val="150D7916"/>
    <w:rsid w:val="1511631C"/>
    <w:rsid w:val="151C1E25"/>
    <w:rsid w:val="152D0EF1"/>
    <w:rsid w:val="153220D4"/>
    <w:rsid w:val="153945CE"/>
    <w:rsid w:val="153C0465"/>
    <w:rsid w:val="15474B34"/>
    <w:rsid w:val="15501684"/>
    <w:rsid w:val="15517106"/>
    <w:rsid w:val="1555138F"/>
    <w:rsid w:val="1565422D"/>
    <w:rsid w:val="15664323"/>
    <w:rsid w:val="1573093F"/>
    <w:rsid w:val="15757364"/>
    <w:rsid w:val="15782848"/>
    <w:rsid w:val="157B34D7"/>
    <w:rsid w:val="157D6CD0"/>
    <w:rsid w:val="157E0ECE"/>
    <w:rsid w:val="158540DD"/>
    <w:rsid w:val="158562DB"/>
    <w:rsid w:val="15913A24"/>
    <w:rsid w:val="15964F66"/>
    <w:rsid w:val="15A54611"/>
    <w:rsid w:val="15AA134A"/>
    <w:rsid w:val="15B56E2A"/>
    <w:rsid w:val="15C164C0"/>
    <w:rsid w:val="15CE1F52"/>
    <w:rsid w:val="15D70664"/>
    <w:rsid w:val="15E93E01"/>
    <w:rsid w:val="15EA5FFB"/>
    <w:rsid w:val="15EB07E1"/>
    <w:rsid w:val="15F34710"/>
    <w:rsid w:val="15F731EB"/>
    <w:rsid w:val="16087E1D"/>
    <w:rsid w:val="160A7EC1"/>
    <w:rsid w:val="160E410C"/>
    <w:rsid w:val="161628CE"/>
    <w:rsid w:val="16165BCA"/>
    <w:rsid w:val="161F15F0"/>
    <w:rsid w:val="1623745E"/>
    <w:rsid w:val="16425CE5"/>
    <w:rsid w:val="16437993"/>
    <w:rsid w:val="16485448"/>
    <w:rsid w:val="165C58DA"/>
    <w:rsid w:val="166511CC"/>
    <w:rsid w:val="16651332"/>
    <w:rsid w:val="16691CD2"/>
    <w:rsid w:val="16693803"/>
    <w:rsid w:val="16733D65"/>
    <w:rsid w:val="167801ED"/>
    <w:rsid w:val="167A58EE"/>
    <w:rsid w:val="16816E45"/>
    <w:rsid w:val="168D3A3C"/>
    <w:rsid w:val="169923E1"/>
    <w:rsid w:val="16A80D46"/>
    <w:rsid w:val="16AA063C"/>
    <w:rsid w:val="16AB2114"/>
    <w:rsid w:val="16AE4F75"/>
    <w:rsid w:val="16AE673D"/>
    <w:rsid w:val="16B25250"/>
    <w:rsid w:val="16BF4D5E"/>
    <w:rsid w:val="16C96E6E"/>
    <w:rsid w:val="16D927E8"/>
    <w:rsid w:val="16E75A13"/>
    <w:rsid w:val="16EA5C1D"/>
    <w:rsid w:val="16F90D63"/>
    <w:rsid w:val="16F91A40"/>
    <w:rsid w:val="170742E1"/>
    <w:rsid w:val="170D11CC"/>
    <w:rsid w:val="171C7676"/>
    <w:rsid w:val="17263809"/>
    <w:rsid w:val="174278B6"/>
    <w:rsid w:val="17430BBA"/>
    <w:rsid w:val="1744663C"/>
    <w:rsid w:val="17487240"/>
    <w:rsid w:val="174D14CA"/>
    <w:rsid w:val="1750464D"/>
    <w:rsid w:val="175807D0"/>
    <w:rsid w:val="175F50DE"/>
    <w:rsid w:val="17686555"/>
    <w:rsid w:val="176B2C78"/>
    <w:rsid w:val="176D19FF"/>
    <w:rsid w:val="17701D14"/>
    <w:rsid w:val="17730B6F"/>
    <w:rsid w:val="17735226"/>
    <w:rsid w:val="177B2F13"/>
    <w:rsid w:val="177D6416"/>
    <w:rsid w:val="178610E9"/>
    <w:rsid w:val="179363BB"/>
    <w:rsid w:val="17A80E5D"/>
    <w:rsid w:val="17B42173"/>
    <w:rsid w:val="17BA627B"/>
    <w:rsid w:val="17BF67CD"/>
    <w:rsid w:val="17C23687"/>
    <w:rsid w:val="17C90A93"/>
    <w:rsid w:val="17CB6BD4"/>
    <w:rsid w:val="17CF079E"/>
    <w:rsid w:val="17D810AE"/>
    <w:rsid w:val="17E44EC0"/>
    <w:rsid w:val="17F038C3"/>
    <w:rsid w:val="17F760DF"/>
    <w:rsid w:val="18220228"/>
    <w:rsid w:val="182B350C"/>
    <w:rsid w:val="18340143"/>
    <w:rsid w:val="183F2036"/>
    <w:rsid w:val="184F676E"/>
    <w:rsid w:val="18500ABD"/>
    <w:rsid w:val="1856208B"/>
    <w:rsid w:val="185815FC"/>
    <w:rsid w:val="187334AB"/>
    <w:rsid w:val="187E095C"/>
    <w:rsid w:val="187F148E"/>
    <w:rsid w:val="187F7C38"/>
    <w:rsid w:val="188B0B51"/>
    <w:rsid w:val="188E534B"/>
    <w:rsid w:val="189A7199"/>
    <w:rsid w:val="189F624C"/>
    <w:rsid w:val="18A07EF3"/>
    <w:rsid w:val="18A474FD"/>
    <w:rsid w:val="18A51DA7"/>
    <w:rsid w:val="18A7347B"/>
    <w:rsid w:val="18AC23B2"/>
    <w:rsid w:val="18AF4212"/>
    <w:rsid w:val="18B57797"/>
    <w:rsid w:val="18D30901"/>
    <w:rsid w:val="18D76B74"/>
    <w:rsid w:val="18D80492"/>
    <w:rsid w:val="18E13ADF"/>
    <w:rsid w:val="18F666B0"/>
    <w:rsid w:val="18FB4688"/>
    <w:rsid w:val="18FB7F0C"/>
    <w:rsid w:val="18FF308F"/>
    <w:rsid w:val="1906629D"/>
    <w:rsid w:val="190C374D"/>
    <w:rsid w:val="190F6BAC"/>
    <w:rsid w:val="191B4BBD"/>
    <w:rsid w:val="193844ED"/>
    <w:rsid w:val="193E101D"/>
    <w:rsid w:val="19436C96"/>
    <w:rsid w:val="195145FA"/>
    <w:rsid w:val="19600756"/>
    <w:rsid w:val="19613133"/>
    <w:rsid w:val="19615277"/>
    <w:rsid w:val="196A76A5"/>
    <w:rsid w:val="197020C9"/>
    <w:rsid w:val="1971164E"/>
    <w:rsid w:val="19717B4A"/>
    <w:rsid w:val="197B3CDD"/>
    <w:rsid w:val="197C5EDB"/>
    <w:rsid w:val="19832B7B"/>
    <w:rsid w:val="1986206E"/>
    <w:rsid w:val="19885571"/>
    <w:rsid w:val="198F17BD"/>
    <w:rsid w:val="19B443F2"/>
    <w:rsid w:val="19BD7FCA"/>
    <w:rsid w:val="19C00F4E"/>
    <w:rsid w:val="19C575D4"/>
    <w:rsid w:val="19C84D8B"/>
    <w:rsid w:val="19D05965"/>
    <w:rsid w:val="19D50EAB"/>
    <w:rsid w:val="19D744D3"/>
    <w:rsid w:val="19E32408"/>
    <w:rsid w:val="19E7558B"/>
    <w:rsid w:val="19F606FC"/>
    <w:rsid w:val="1A061D15"/>
    <w:rsid w:val="1A0D324C"/>
    <w:rsid w:val="1A0E0D9F"/>
    <w:rsid w:val="1A1254D5"/>
    <w:rsid w:val="1A1324AA"/>
    <w:rsid w:val="1A1343ED"/>
    <w:rsid w:val="1A1640D9"/>
    <w:rsid w:val="1A1A1BD8"/>
    <w:rsid w:val="1A1C66C0"/>
    <w:rsid w:val="1A21446B"/>
    <w:rsid w:val="1A217CEE"/>
    <w:rsid w:val="1A27689A"/>
    <w:rsid w:val="1A2F4A85"/>
    <w:rsid w:val="1A3A7593"/>
    <w:rsid w:val="1A42393B"/>
    <w:rsid w:val="1A484737"/>
    <w:rsid w:val="1A5823C6"/>
    <w:rsid w:val="1A65359A"/>
    <w:rsid w:val="1A7309F2"/>
    <w:rsid w:val="1A791064"/>
    <w:rsid w:val="1A887955"/>
    <w:rsid w:val="1A892B95"/>
    <w:rsid w:val="1A8B191C"/>
    <w:rsid w:val="1AA17714"/>
    <w:rsid w:val="1AA36FC3"/>
    <w:rsid w:val="1AAD45DE"/>
    <w:rsid w:val="1AC05A52"/>
    <w:rsid w:val="1AD10211"/>
    <w:rsid w:val="1AE532AF"/>
    <w:rsid w:val="1AE66EF4"/>
    <w:rsid w:val="1AED613D"/>
    <w:rsid w:val="1AEE0311"/>
    <w:rsid w:val="1AEF5DBD"/>
    <w:rsid w:val="1AF14B43"/>
    <w:rsid w:val="1AF17CCF"/>
    <w:rsid w:val="1B046F80"/>
    <w:rsid w:val="1B0818DC"/>
    <w:rsid w:val="1B12727E"/>
    <w:rsid w:val="1B230E64"/>
    <w:rsid w:val="1B2B01A0"/>
    <w:rsid w:val="1B3267B5"/>
    <w:rsid w:val="1B3850EC"/>
    <w:rsid w:val="1B40161D"/>
    <w:rsid w:val="1B441859"/>
    <w:rsid w:val="1B443D5F"/>
    <w:rsid w:val="1B4545CD"/>
    <w:rsid w:val="1B487750"/>
    <w:rsid w:val="1B4A0A55"/>
    <w:rsid w:val="1B4B06D5"/>
    <w:rsid w:val="1B4F4EDD"/>
    <w:rsid w:val="1B504B5D"/>
    <w:rsid w:val="1B5E76F6"/>
    <w:rsid w:val="1B654D00"/>
    <w:rsid w:val="1B6606B1"/>
    <w:rsid w:val="1B6D53C7"/>
    <w:rsid w:val="1B6D668B"/>
    <w:rsid w:val="1B726CF2"/>
    <w:rsid w:val="1B7900EB"/>
    <w:rsid w:val="1B853D32"/>
    <w:rsid w:val="1B946DB4"/>
    <w:rsid w:val="1B971287"/>
    <w:rsid w:val="1B9D6AB8"/>
    <w:rsid w:val="1BAC5276"/>
    <w:rsid w:val="1BB750B7"/>
    <w:rsid w:val="1BC640E6"/>
    <w:rsid w:val="1BC74BB7"/>
    <w:rsid w:val="1BD35136"/>
    <w:rsid w:val="1BD50639"/>
    <w:rsid w:val="1BE608D3"/>
    <w:rsid w:val="1BE76355"/>
    <w:rsid w:val="1BE91782"/>
    <w:rsid w:val="1BEA53DC"/>
    <w:rsid w:val="1BEE218B"/>
    <w:rsid w:val="1BEE7EDE"/>
    <w:rsid w:val="1C017935"/>
    <w:rsid w:val="1C0F3C96"/>
    <w:rsid w:val="1C130130"/>
    <w:rsid w:val="1C163621"/>
    <w:rsid w:val="1C1E42B1"/>
    <w:rsid w:val="1C2942AF"/>
    <w:rsid w:val="1C294840"/>
    <w:rsid w:val="1C346454"/>
    <w:rsid w:val="1C400096"/>
    <w:rsid w:val="1C41576A"/>
    <w:rsid w:val="1C427968"/>
    <w:rsid w:val="1C4351CE"/>
    <w:rsid w:val="1C45352C"/>
    <w:rsid w:val="1C454170"/>
    <w:rsid w:val="1C55350F"/>
    <w:rsid w:val="1C5E7925"/>
    <w:rsid w:val="1C5F0D99"/>
    <w:rsid w:val="1C61021D"/>
    <w:rsid w:val="1C7958C4"/>
    <w:rsid w:val="1C821221"/>
    <w:rsid w:val="1C831A57"/>
    <w:rsid w:val="1C891FC9"/>
    <w:rsid w:val="1C8E6CE8"/>
    <w:rsid w:val="1C911643"/>
    <w:rsid w:val="1C9E2280"/>
    <w:rsid w:val="1CA0088A"/>
    <w:rsid w:val="1CA11007"/>
    <w:rsid w:val="1CA25CDE"/>
    <w:rsid w:val="1CA44A0F"/>
    <w:rsid w:val="1CA53D47"/>
    <w:rsid w:val="1CAB3B14"/>
    <w:rsid w:val="1CAE5E09"/>
    <w:rsid w:val="1CB07166"/>
    <w:rsid w:val="1CBB1BB0"/>
    <w:rsid w:val="1CBB34C2"/>
    <w:rsid w:val="1CBC50B4"/>
    <w:rsid w:val="1CC42694"/>
    <w:rsid w:val="1CC659C3"/>
    <w:rsid w:val="1CC97FC1"/>
    <w:rsid w:val="1CCE2EB3"/>
    <w:rsid w:val="1CD307AC"/>
    <w:rsid w:val="1CD37257"/>
    <w:rsid w:val="1CD411C5"/>
    <w:rsid w:val="1CD714E1"/>
    <w:rsid w:val="1CD81789"/>
    <w:rsid w:val="1CE529F5"/>
    <w:rsid w:val="1CE71795"/>
    <w:rsid w:val="1CEA414D"/>
    <w:rsid w:val="1CF3300F"/>
    <w:rsid w:val="1CFD070F"/>
    <w:rsid w:val="1CFD7290"/>
    <w:rsid w:val="1D0432AA"/>
    <w:rsid w:val="1D0D3BB9"/>
    <w:rsid w:val="1D13223F"/>
    <w:rsid w:val="1D382855"/>
    <w:rsid w:val="1D3A5FA0"/>
    <w:rsid w:val="1D41310E"/>
    <w:rsid w:val="1D4D111F"/>
    <w:rsid w:val="1D553FAD"/>
    <w:rsid w:val="1D5F6196"/>
    <w:rsid w:val="1D6132A5"/>
    <w:rsid w:val="1D681591"/>
    <w:rsid w:val="1D686CBF"/>
    <w:rsid w:val="1D8E56D5"/>
    <w:rsid w:val="1DA70534"/>
    <w:rsid w:val="1DA95F49"/>
    <w:rsid w:val="1DB913DB"/>
    <w:rsid w:val="1DC57AE4"/>
    <w:rsid w:val="1DC75A85"/>
    <w:rsid w:val="1DCA77EF"/>
    <w:rsid w:val="1DD039E9"/>
    <w:rsid w:val="1DF041AC"/>
    <w:rsid w:val="1DFA253D"/>
    <w:rsid w:val="1DFA3F62"/>
    <w:rsid w:val="1E15696A"/>
    <w:rsid w:val="1E1A3B08"/>
    <w:rsid w:val="1E206EF9"/>
    <w:rsid w:val="1E2106D1"/>
    <w:rsid w:val="1E2730BA"/>
    <w:rsid w:val="1E281D87"/>
    <w:rsid w:val="1E35361B"/>
    <w:rsid w:val="1E3B5525"/>
    <w:rsid w:val="1E3C6829"/>
    <w:rsid w:val="1E403FC3"/>
    <w:rsid w:val="1E532A67"/>
    <w:rsid w:val="1E537342"/>
    <w:rsid w:val="1E574E55"/>
    <w:rsid w:val="1E676061"/>
    <w:rsid w:val="1E6E4A7A"/>
    <w:rsid w:val="1E6F24FC"/>
    <w:rsid w:val="1E77318B"/>
    <w:rsid w:val="1E7A43DA"/>
    <w:rsid w:val="1E9062B3"/>
    <w:rsid w:val="1E960356"/>
    <w:rsid w:val="1E9858BE"/>
    <w:rsid w:val="1EB606F1"/>
    <w:rsid w:val="1EBF357F"/>
    <w:rsid w:val="1EC17D85"/>
    <w:rsid w:val="1EC47A07"/>
    <w:rsid w:val="1EC83C04"/>
    <w:rsid w:val="1ECF3134"/>
    <w:rsid w:val="1ED866A8"/>
    <w:rsid w:val="1EDA1BAB"/>
    <w:rsid w:val="1EE97C47"/>
    <w:rsid w:val="1EEC5348"/>
    <w:rsid w:val="1F0152EE"/>
    <w:rsid w:val="1F034F6D"/>
    <w:rsid w:val="1F096B82"/>
    <w:rsid w:val="1F0C7A6B"/>
    <w:rsid w:val="1F181690"/>
    <w:rsid w:val="1F184F13"/>
    <w:rsid w:val="1F1F1FCB"/>
    <w:rsid w:val="1F2567A7"/>
    <w:rsid w:val="1F30519D"/>
    <w:rsid w:val="1F3621EE"/>
    <w:rsid w:val="1F371F44"/>
    <w:rsid w:val="1F3A2EC9"/>
    <w:rsid w:val="1F3C1849"/>
    <w:rsid w:val="1F3E1D77"/>
    <w:rsid w:val="1F4849A4"/>
    <w:rsid w:val="1F516372"/>
    <w:rsid w:val="1F566F76"/>
    <w:rsid w:val="1F59377E"/>
    <w:rsid w:val="1F5F1CED"/>
    <w:rsid w:val="1F615A66"/>
    <w:rsid w:val="1F63408D"/>
    <w:rsid w:val="1F6F7384"/>
    <w:rsid w:val="1F761A29"/>
    <w:rsid w:val="1F7A3CB3"/>
    <w:rsid w:val="1F7E6617"/>
    <w:rsid w:val="1FA464BC"/>
    <w:rsid w:val="1FA834FD"/>
    <w:rsid w:val="1FA86D80"/>
    <w:rsid w:val="1FB8197E"/>
    <w:rsid w:val="1FB82D2D"/>
    <w:rsid w:val="1FBD7C1F"/>
    <w:rsid w:val="1FCE2663"/>
    <w:rsid w:val="1FD10E9A"/>
    <w:rsid w:val="1FD47491"/>
    <w:rsid w:val="1FDE39D7"/>
    <w:rsid w:val="1FE03657"/>
    <w:rsid w:val="1FE458E0"/>
    <w:rsid w:val="1FE53362"/>
    <w:rsid w:val="1FE7539E"/>
    <w:rsid w:val="1FE8673D"/>
    <w:rsid w:val="1FEA73BB"/>
    <w:rsid w:val="1FEB295E"/>
    <w:rsid w:val="20005D65"/>
    <w:rsid w:val="20061318"/>
    <w:rsid w:val="201560AF"/>
    <w:rsid w:val="20196E7D"/>
    <w:rsid w:val="20215745"/>
    <w:rsid w:val="202D3756"/>
    <w:rsid w:val="20307F5E"/>
    <w:rsid w:val="2031215C"/>
    <w:rsid w:val="203159E0"/>
    <w:rsid w:val="20392DEC"/>
    <w:rsid w:val="203C5A02"/>
    <w:rsid w:val="20462102"/>
    <w:rsid w:val="20473289"/>
    <w:rsid w:val="204B4169"/>
    <w:rsid w:val="20525F14"/>
    <w:rsid w:val="205674A7"/>
    <w:rsid w:val="205F733F"/>
    <w:rsid w:val="20653333"/>
    <w:rsid w:val="20671BE0"/>
    <w:rsid w:val="206A35BB"/>
    <w:rsid w:val="20831F67"/>
    <w:rsid w:val="208805ED"/>
    <w:rsid w:val="208B4DF4"/>
    <w:rsid w:val="208D4A74"/>
    <w:rsid w:val="2090127C"/>
    <w:rsid w:val="20963CB8"/>
    <w:rsid w:val="209F07ED"/>
    <w:rsid w:val="20A81A1B"/>
    <w:rsid w:val="20B07FB6"/>
    <w:rsid w:val="20B106AB"/>
    <w:rsid w:val="20B646FB"/>
    <w:rsid w:val="20C218EE"/>
    <w:rsid w:val="20CD4BE5"/>
    <w:rsid w:val="20D336FD"/>
    <w:rsid w:val="20DB793B"/>
    <w:rsid w:val="20DD2ECA"/>
    <w:rsid w:val="20E52059"/>
    <w:rsid w:val="20EC093B"/>
    <w:rsid w:val="20FB50A8"/>
    <w:rsid w:val="20FF72E4"/>
    <w:rsid w:val="21016FB2"/>
    <w:rsid w:val="2105175C"/>
    <w:rsid w:val="2107473E"/>
    <w:rsid w:val="2107693C"/>
    <w:rsid w:val="211401D1"/>
    <w:rsid w:val="2118245A"/>
    <w:rsid w:val="21184637"/>
    <w:rsid w:val="212F002F"/>
    <w:rsid w:val="21300023"/>
    <w:rsid w:val="213B74B1"/>
    <w:rsid w:val="21405B9D"/>
    <w:rsid w:val="21425423"/>
    <w:rsid w:val="21472FA9"/>
    <w:rsid w:val="214C7431"/>
    <w:rsid w:val="215A2310"/>
    <w:rsid w:val="216102D0"/>
    <w:rsid w:val="2173186F"/>
    <w:rsid w:val="21737AB1"/>
    <w:rsid w:val="217D7C00"/>
    <w:rsid w:val="218F339D"/>
    <w:rsid w:val="219D45D2"/>
    <w:rsid w:val="219E6103"/>
    <w:rsid w:val="21B76AE0"/>
    <w:rsid w:val="21CA447C"/>
    <w:rsid w:val="21CD18EF"/>
    <w:rsid w:val="21D1768A"/>
    <w:rsid w:val="21D315D6"/>
    <w:rsid w:val="21DD349D"/>
    <w:rsid w:val="21DE318A"/>
    <w:rsid w:val="21DF4421"/>
    <w:rsid w:val="21E83A2C"/>
    <w:rsid w:val="21EF5B80"/>
    <w:rsid w:val="22000ED9"/>
    <w:rsid w:val="22046BDF"/>
    <w:rsid w:val="22051E14"/>
    <w:rsid w:val="22054661"/>
    <w:rsid w:val="220679EF"/>
    <w:rsid w:val="220855E6"/>
    <w:rsid w:val="220A23E4"/>
    <w:rsid w:val="220A3CB5"/>
    <w:rsid w:val="2222290C"/>
    <w:rsid w:val="22245249"/>
    <w:rsid w:val="22357E6E"/>
    <w:rsid w:val="22422E41"/>
    <w:rsid w:val="224308C2"/>
    <w:rsid w:val="22576990"/>
    <w:rsid w:val="225B01FE"/>
    <w:rsid w:val="225D0766"/>
    <w:rsid w:val="2270048D"/>
    <w:rsid w:val="2277369B"/>
    <w:rsid w:val="227E5224"/>
    <w:rsid w:val="227F712C"/>
    <w:rsid w:val="228D4F28"/>
    <w:rsid w:val="229C403D"/>
    <w:rsid w:val="22A266DE"/>
    <w:rsid w:val="22A725C1"/>
    <w:rsid w:val="22AB33E9"/>
    <w:rsid w:val="22AE1DE0"/>
    <w:rsid w:val="22B50ABD"/>
    <w:rsid w:val="22B84105"/>
    <w:rsid w:val="22B91B86"/>
    <w:rsid w:val="22C47F17"/>
    <w:rsid w:val="22CA6E9F"/>
    <w:rsid w:val="22CF5CA0"/>
    <w:rsid w:val="22E63803"/>
    <w:rsid w:val="22EB5EA6"/>
    <w:rsid w:val="22F42C65"/>
    <w:rsid w:val="22F47480"/>
    <w:rsid w:val="22FE0FF6"/>
    <w:rsid w:val="2301188B"/>
    <w:rsid w:val="23077707"/>
    <w:rsid w:val="23097387"/>
    <w:rsid w:val="231B69D2"/>
    <w:rsid w:val="231B6E85"/>
    <w:rsid w:val="232102B1"/>
    <w:rsid w:val="23241235"/>
    <w:rsid w:val="23387ED6"/>
    <w:rsid w:val="23431AEA"/>
    <w:rsid w:val="2348065E"/>
    <w:rsid w:val="234826EF"/>
    <w:rsid w:val="23495BF2"/>
    <w:rsid w:val="235420DC"/>
    <w:rsid w:val="235A5E8C"/>
    <w:rsid w:val="2363679C"/>
    <w:rsid w:val="23683FB7"/>
    <w:rsid w:val="237C10C0"/>
    <w:rsid w:val="23807F0C"/>
    <w:rsid w:val="238115CF"/>
    <w:rsid w:val="238512A8"/>
    <w:rsid w:val="23865A57"/>
    <w:rsid w:val="23971A56"/>
    <w:rsid w:val="23983023"/>
    <w:rsid w:val="23A40CAB"/>
    <w:rsid w:val="23AA6B4A"/>
    <w:rsid w:val="23C27E3A"/>
    <w:rsid w:val="23CA5246"/>
    <w:rsid w:val="23D0134E"/>
    <w:rsid w:val="23DE1C48"/>
    <w:rsid w:val="23E12CD1"/>
    <w:rsid w:val="23F3224F"/>
    <w:rsid w:val="240210CD"/>
    <w:rsid w:val="24074D8C"/>
    <w:rsid w:val="241C755D"/>
    <w:rsid w:val="242001D4"/>
    <w:rsid w:val="242538B0"/>
    <w:rsid w:val="242A2CE1"/>
    <w:rsid w:val="242D3C66"/>
    <w:rsid w:val="24305489"/>
    <w:rsid w:val="243954FA"/>
    <w:rsid w:val="243A68A0"/>
    <w:rsid w:val="243E1982"/>
    <w:rsid w:val="24404E85"/>
    <w:rsid w:val="24470093"/>
    <w:rsid w:val="24654740"/>
    <w:rsid w:val="24657643"/>
    <w:rsid w:val="24696049"/>
    <w:rsid w:val="246B4DD0"/>
    <w:rsid w:val="247578DE"/>
    <w:rsid w:val="248136F0"/>
    <w:rsid w:val="24865AFC"/>
    <w:rsid w:val="248B7E85"/>
    <w:rsid w:val="248C5304"/>
    <w:rsid w:val="24952391"/>
    <w:rsid w:val="249917FE"/>
    <w:rsid w:val="24A617B6"/>
    <w:rsid w:val="24BC0052"/>
    <w:rsid w:val="24BF09F7"/>
    <w:rsid w:val="24CD15F1"/>
    <w:rsid w:val="24D25A79"/>
    <w:rsid w:val="24D46CDA"/>
    <w:rsid w:val="24D9609E"/>
    <w:rsid w:val="24DB4BBE"/>
    <w:rsid w:val="24EC6623"/>
    <w:rsid w:val="24EF75A7"/>
    <w:rsid w:val="24F45C2D"/>
    <w:rsid w:val="24F73805"/>
    <w:rsid w:val="24FB0D61"/>
    <w:rsid w:val="250F4259"/>
    <w:rsid w:val="252D53FE"/>
    <w:rsid w:val="253A0EA4"/>
    <w:rsid w:val="253B7E2A"/>
    <w:rsid w:val="253D7326"/>
    <w:rsid w:val="25415D2D"/>
    <w:rsid w:val="25455C83"/>
    <w:rsid w:val="255C215A"/>
    <w:rsid w:val="25621AE5"/>
    <w:rsid w:val="25676C13"/>
    <w:rsid w:val="2578614D"/>
    <w:rsid w:val="258A0103"/>
    <w:rsid w:val="258B4548"/>
    <w:rsid w:val="25A03E25"/>
    <w:rsid w:val="25AD0C5F"/>
    <w:rsid w:val="25B150E7"/>
    <w:rsid w:val="25C42A83"/>
    <w:rsid w:val="25C97EC1"/>
    <w:rsid w:val="25D64066"/>
    <w:rsid w:val="25D76220"/>
    <w:rsid w:val="25D81723"/>
    <w:rsid w:val="25EC2D81"/>
    <w:rsid w:val="25EE3AA0"/>
    <w:rsid w:val="25FB4585"/>
    <w:rsid w:val="25FE1963"/>
    <w:rsid w:val="260747F1"/>
    <w:rsid w:val="260845C9"/>
    <w:rsid w:val="260E79FF"/>
    <w:rsid w:val="26101F23"/>
    <w:rsid w:val="26241BA3"/>
    <w:rsid w:val="262E24D9"/>
    <w:rsid w:val="262F4DF6"/>
    <w:rsid w:val="26361ABD"/>
    <w:rsid w:val="26373D44"/>
    <w:rsid w:val="263B17C8"/>
    <w:rsid w:val="263C7249"/>
    <w:rsid w:val="26451986"/>
    <w:rsid w:val="264C4FF6"/>
    <w:rsid w:val="2653066B"/>
    <w:rsid w:val="26575875"/>
    <w:rsid w:val="266D2A2A"/>
    <w:rsid w:val="266D3A19"/>
    <w:rsid w:val="26742C26"/>
    <w:rsid w:val="267A6D2E"/>
    <w:rsid w:val="26A3466F"/>
    <w:rsid w:val="26AF5F03"/>
    <w:rsid w:val="26AF6371"/>
    <w:rsid w:val="26B14C8A"/>
    <w:rsid w:val="26B96501"/>
    <w:rsid w:val="26C6024F"/>
    <w:rsid w:val="26E776E2"/>
    <w:rsid w:val="26EF20E1"/>
    <w:rsid w:val="2701028C"/>
    <w:rsid w:val="2709311A"/>
    <w:rsid w:val="270A5E62"/>
    <w:rsid w:val="2733137D"/>
    <w:rsid w:val="273419E0"/>
    <w:rsid w:val="27413274"/>
    <w:rsid w:val="274A6DDF"/>
    <w:rsid w:val="27541A0C"/>
    <w:rsid w:val="277057A2"/>
    <w:rsid w:val="278B2C87"/>
    <w:rsid w:val="278E4F1E"/>
    <w:rsid w:val="27970BD9"/>
    <w:rsid w:val="27A37A95"/>
    <w:rsid w:val="27A7649B"/>
    <w:rsid w:val="27B35B31"/>
    <w:rsid w:val="27B66AB6"/>
    <w:rsid w:val="27BB513C"/>
    <w:rsid w:val="27BF73C5"/>
    <w:rsid w:val="27C75618"/>
    <w:rsid w:val="27CB7955"/>
    <w:rsid w:val="27D0102C"/>
    <w:rsid w:val="27FC4AF8"/>
    <w:rsid w:val="280C400C"/>
    <w:rsid w:val="281100C9"/>
    <w:rsid w:val="281921C7"/>
    <w:rsid w:val="281B645A"/>
    <w:rsid w:val="281F4E60"/>
    <w:rsid w:val="28235FAE"/>
    <w:rsid w:val="28431B9D"/>
    <w:rsid w:val="284B3726"/>
    <w:rsid w:val="286768D9"/>
    <w:rsid w:val="28694AC6"/>
    <w:rsid w:val="2880617F"/>
    <w:rsid w:val="288C68DE"/>
    <w:rsid w:val="28913C78"/>
    <w:rsid w:val="28971627"/>
    <w:rsid w:val="28A279B8"/>
    <w:rsid w:val="28A42EBB"/>
    <w:rsid w:val="28B740DA"/>
    <w:rsid w:val="28B81B5C"/>
    <w:rsid w:val="28B975DD"/>
    <w:rsid w:val="28BD2460"/>
    <w:rsid w:val="28BD5FE3"/>
    <w:rsid w:val="28C74374"/>
    <w:rsid w:val="28D02A86"/>
    <w:rsid w:val="28D92B11"/>
    <w:rsid w:val="28DC6898"/>
    <w:rsid w:val="28DD0611"/>
    <w:rsid w:val="28EF4C46"/>
    <w:rsid w:val="28F803C7"/>
    <w:rsid w:val="29206EB8"/>
    <w:rsid w:val="29215D08"/>
    <w:rsid w:val="29311825"/>
    <w:rsid w:val="2947257D"/>
    <w:rsid w:val="294F5552"/>
    <w:rsid w:val="29595666"/>
    <w:rsid w:val="29642EF7"/>
    <w:rsid w:val="29683EFE"/>
    <w:rsid w:val="296960FC"/>
    <w:rsid w:val="296C128F"/>
    <w:rsid w:val="296E0005"/>
    <w:rsid w:val="296F3889"/>
    <w:rsid w:val="296F6ACB"/>
    <w:rsid w:val="297A769B"/>
    <w:rsid w:val="297B511D"/>
    <w:rsid w:val="29824F56"/>
    <w:rsid w:val="29832529"/>
    <w:rsid w:val="29874881"/>
    <w:rsid w:val="298F3DBD"/>
    <w:rsid w:val="29974A4D"/>
    <w:rsid w:val="29B32D2D"/>
    <w:rsid w:val="29C55868"/>
    <w:rsid w:val="29C57AF3"/>
    <w:rsid w:val="29C9329D"/>
    <w:rsid w:val="29CF14F4"/>
    <w:rsid w:val="29D07A70"/>
    <w:rsid w:val="29D741B2"/>
    <w:rsid w:val="29E16035"/>
    <w:rsid w:val="29E270A3"/>
    <w:rsid w:val="29E325E0"/>
    <w:rsid w:val="29EC66D5"/>
    <w:rsid w:val="2A036979"/>
    <w:rsid w:val="2A1274C4"/>
    <w:rsid w:val="2A2158AB"/>
    <w:rsid w:val="2A226BAF"/>
    <w:rsid w:val="2A452503"/>
    <w:rsid w:val="2A510485"/>
    <w:rsid w:val="2A544E00"/>
    <w:rsid w:val="2A585C2C"/>
    <w:rsid w:val="2A5C7555"/>
    <w:rsid w:val="2A631461"/>
    <w:rsid w:val="2A6E59AA"/>
    <w:rsid w:val="2A743136"/>
    <w:rsid w:val="2A7D4187"/>
    <w:rsid w:val="2A7F0014"/>
    <w:rsid w:val="2A811DCA"/>
    <w:rsid w:val="2A8244FE"/>
    <w:rsid w:val="2A8320CC"/>
    <w:rsid w:val="2A8E3CE0"/>
    <w:rsid w:val="2A8F4E19"/>
    <w:rsid w:val="2A9815DC"/>
    <w:rsid w:val="2AA34B7F"/>
    <w:rsid w:val="2ABA0028"/>
    <w:rsid w:val="2AC01F31"/>
    <w:rsid w:val="2AC23637"/>
    <w:rsid w:val="2AC94DBF"/>
    <w:rsid w:val="2ACC37C5"/>
    <w:rsid w:val="2AD53D7E"/>
    <w:rsid w:val="2AD67958"/>
    <w:rsid w:val="2ADE440E"/>
    <w:rsid w:val="2AEF2A80"/>
    <w:rsid w:val="2AF04C7E"/>
    <w:rsid w:val="2AF6240B"/>
    <w:rsid w:val="2AFA35B4"/>
    <w:rsid w:val="2B011EAB"/>
    <w:rsid w:val="2B01299A"/>
    <w:rsid w:val="2B035E9D"/>
    <w:rsid w:val="2B085BA8"/>
    <w:rsid w:val="2B0C2313"/>
    <w:rsid w:val="2B0C45AE"/>
    <w:rsid w:val="2B151618"/>
    <w:rsid w:val="2B17019F"/>
    <w:rsid w:val="2B193B25"/>
    <w:rsid w:val="2B421205"/>
    <w:rsid w:val="2B556D9A"/>
    <w:rsid w:val="2B581320"/>
    <w:rsid w:val="2B644121"/>
    <w:rsid w:val="2B6B45C8"/>
    <w:rsid w:val="2B6C0ED7"/>
    <w:rsid w:val="2B7C5748"/>
    <w:rsid w:val="2B7D5B67"/>
    <w:rsid w:val="2B8054C6"/>
    <w:rsid w:val="2B88197A"/>
    <w:rsid w:val="2B94578C"/>
    <w:rsid w:val="2B987A16"/>
    <w:rsid w:val="2B9A7696"/>
    <w:rsid w:val="2B9F50B3"/>
    <w:rsid w:val="2BA20325"/>
    <w:rsid w:val="2BA52AAD"/>
    <w:rsid w:val="2BA60F2A"/>
    <w:rsid w:val="2BA769AB"/>
    <w:rsid w:val="2BA936A8"/>
    <w:rsid w:val="2BB76C46"/>
    <w:rsid w:val="2BC53A12"/>
    <w:rsid w:val="2BC628A0"/>
    <w:rsid w:val="2BC94961"/>
    <w:rsid w:val="2BD155F1"/>
    <w:rsid w:val="2BDA267D"/>
    <w:rsid w:val="2BDA5F01"/>
    <w:rsid w:val="2BE34A3F"/>
    <w:rsid w:val="2C0525C8"/>
    <w:rsid w:val="2C1873A6"/>
    <w:rsid w:val="2C1B0EE8"/>
    <w:rsid w:val="2C315A5A"/>
    <w:rsid w:val="2C395F1A"/>
    <w:rsid w:val="2C4B1C25"/>
    <w:rsid w:val="2C4F5EBF"/>
    <w:rsid w:val="2C51109A"/>
    <w:rsid w:val="2C526E44"/>
    <w:rsid w:val="2C5408F3"/>
    <w:rsid w:val="2C603B96"/>
    <w:rsid w:val="2C607E9D"/>
    <w:rsid w:val="2C6251CE"/>
    <w:rsid w:val="2C721F01"/>
    <w:rsid w:val="2C781282"/>
    <w:rsid w:val="2C814110"/>
    <w:rsid w:val="2C8E6CA9"/>
    <w:rsid w:val="2C9F7BCD"/>
    <w:rsid w:val="2CA220C6"/>
    <w:rsid w:val="2CA568CE"/>
    <w:rsid w:val="2CA60ACC"/>
    <w:rsid w:val="2CAB30C6"/>
    <w:rsid w:val="2CAD7613"/>
    <w:rsid w:val="2CBD64F3"/>
    <w:rsid w:val="2CCC0D0C"/>
    <w:rsid w:val="2CD72920"/>
    <w:rsid w:val="2CDB1327"/>
    <w:rsid w:val="2CE10CB2"/>
    <w:rsid w:val="2CE618B6"/>
    <w:rsid w:val="2CE65139"/>
    <w:rsid w:val="2CEC5BAD"/>
    <w:rsid w:val="2CEF7FC7"/>
    <w:rsid w:val="2CF952A7"/>
    <w:rsid w:val="2D0065D8"/>
    <w:rsid w:val="2D0313D7"/>
    <w:rsid w:val="2D11017C"/>
    <w:rsid w:val="2D192E9B"/>
    <w:rsid w:val="2D1D1618"/>
    <w:rsid w:val="2D2C76E9"/>
    <w:rsid w:val="2D36293A"/>
    <w:rsid w:val="2D3C00C6"/>
    <w:rsid w:val="2D5176B8"/>
    <w:rsid w:val="2D66605F"/>
    <w:rsid w:val="2D6D1642"/>
    <w:rsid w:val="2D70181A"/>
    <w:rsid w:val="2D714450"/>
    <w:rsid w:val="2D7733A3"/>
    <w:rsid w:val="2D963C58"/>
    <w:rsid w:val="2D98715B"/>
    <w:rsid w:val="2D9E56F5"/>
    <w:rsid w:val="2DA94E77"/>
    <w:rsid w:val="2DBF1599"/>
    <w:rsid w:val="2DBF4E1C"/>
    <w:rsid w:val="2DC37DB3"/>
    <w:rsid w:val="2DCC4132"/>
    <w:rsid w:val="2DCE7635"/>
    <w:rsid w:val="2DD678F6"/>
    <w:rsid w:val="2DDF0A87"/>
    <w:rsid w:val="2DFA397D"/>
    <w:rsid w:val="2DFB0E33"/>
    <w:rsid w:val="2E03208E"/>
    <w:rsid w:val="2E0E2DFC"/>
    <w:rsid w:val="2E1D4A61"/>
    <w:rsid w:val="2E3502DE"/>
    <w:rsid w:val="2E3A0EE3"/>
    <w:rsid w:val="2E40179A"/>
    <w:rsid w:val="2E4375F4"/>
    <w:rsid w:val="2E472A84"/>
    <w:rsid w:val="2E49006A"/>
    <w:rsid w:val="2E4A4A00"/>
    <w:rsid w:val="2E4B2482"/>
    <w:rsid w:val="2E4E3076"/>
    <w:rsid w:val="2E601123"/>
    <w:rsid w:val="2E667F96"/>
    <w:rsid w:val="2E8226AB"/>
    <w:rsid w:val="2E8438E1"/>
    <w:rsid w:val="2E96174D"/>
    <w:rsid w:val="2E961C46"/>
    <w:rsid w:val="2E9C0F87"/>
    <w:rsid w:val="2EB07460"/>
    <w:rsid w:val="2EB2312B"/>
    <w:rsid w:val="2ECD54C5"/>
    <w:rsid w:val="2ED964C1"/>
    <w:rsid w:val="2EDB0A6C"/>
    <w:rsid w:val="2EE00777"/>
    <w:rsid w:val="2EEC200B"/>
    <w:rsid w:val="2F00322A"/>
    <w:rsid w:val="2F082835"/>
    <w:rsid w:val="2F0B703D"/>
    <w:rsid w:val="2F0E7FC2"/>
    <w:rsid w:val="2F115F8D"/>
    <w:rsid w:val="2F1A4E86"/>
    <w:rsid w:val="2F2C7572"/>
    <w:rsid w:val="2F3B63E8"/>
    <w:rsid w:val="2F406E06"/>
    <w:rsid w:val="2F4208D2"/>
    <w:rsid w:val="2F4A4785"/>
    <w:rsid w:val="2F5219B0"/>
    <w:rsid w:val="2F523679"/>
    <w:rsid w:val="2F525233"/>
    <w:rsid w:val="2F542417"/>
    <w:rsid w:val="2F5F3244"/>
    <w:rsid w:val="2F683B53"/>
    <w:rsid w:val="2F7A50F2"/>
    <w:rsid w:val="2F7E3AF9"/>
    <w:rsid w:val="2F860BD0"/>
    <w:rsid w:val="2F922799"/>
    <w:rsid w:val="2F950E14"/>
    <w:rsid w:val="2FA14FB2"/>
    <w:rsid w:val="2FA45F37"/>
    <w:rsid w:val="2FA6143A"/>
    <w:rsid w:val="2FA86067"/>
    <w:rsid w:val="2FB219C5"/>
    <w:rsid w:val="2FB3074F"/>
    <w:rsid w:val="2FB674D6"/>
    <w:rsid w:val="2FC254E7"/>
    <w:rsid w:val="2FD065E6"/>
    <w:rsid w:val="2FD9098F"/>
    <w:rsid w:val="2FD96870"/>
    <w:rsid w:val="2FE665C0"/>
    <w:rsid w:val="2FED7630"/>
    <w:rsid w:val="2FF64D3B"/>
    <w:rsid w:val="2FFF01D6"/>
    <w:rsid w:val="30081583"/>
    <w:rsid w:val="30126165"/>
    <w:rsid w:val="301A0444"/>
    <w:rsid w:val="302F1268"/>
    <w:rsid w:val="3031359C"/>
    <w:rsid w:val="30336A9F"/>
    <w:rsid w:val="30351FA2"/>
    <w:rsid w:val="30357A24"/>
    <w:rsid w:val="3039642A"/>
    <w:rsid w:val="303F3BB7"/>
    <w:rsid w:val="30427AA5"/>
    <w:rsid w:val="30580BC9"/>
    <w:rsid w:val="305D69EA"/>
    <w:rsid w:val="3075660F"/>
    <w:rsid w:val="307D5C1A"/>
    <w:rsid w:val="30881A2C"/>
    <w:rsid w:val="308B07B3"/>
    <w:rsid w:val="309612E7"/>
    <w:rsid w:val="30963ECD"/>
    <w:rsid w:val="30987AC8"/>
    <w:rsid w:val="309F1652"/>
    <w:rsid w:val="30A30058"/>
    <w:rsid w:val="30A5527A"/>
    <w:rsid w:val="30A9718F"/>
    <w:rsid w:val="30AE1C6C"/>
    <w:rsid w:val="30AF44D2"/>
    <w:rsid w:val="30B976E9"/>
    <w:rsid w:val="30C419B0"/>
    <w:rsid w:val="30CB35A4"/>
    <w:rsid w:val="30CF3E7E"/>
    <w:rsid w:val="30D61B2C"/>
    <w:rsid w:val="30DC319E"/>
    <w:rsid w:val="30E34A7F"/>
    <w:rsid w:val="31035A7D"/>
    <w:rsid w:val="31106374"/>
    <w:rsid w:val="3119131B"/>
    <w:rsid w:val="311E2ED7"/>
    <w:rsid w:val="311F22C5"/>
    <w:rsid w:val="31324444"/>
    <w:rsid w:val="313925D7"/>
    <w:rsid w:val="313C4F65"/>
    <w:rsid w:val="313D68D6"/>
    <w:rsid w:val="31462D0D"/>
    <w:rsid w:val="31532D34"/>
    <w:rsid w:val="315619EE"/>
    <w:rsid w:val="315B7806"/>
    <w:rsid w:val="315C449C"/>
    <w:rsid w:val="31611710"/>
    <w:rsid w:val="31663B53"/>
    <w:rsid w:val="31670A79"/>
    <w:rsid w:val="316C4A7B"/>
    <w:rsid w:val="31766C80"/>
    <w:rsid w:val="3178653D"/>
    <w:rsid w:val="317A00BB"/>
    <w:rsid w:val="318008AB"/>
    <w:rsid w:val="318B34BE"/>
    <w:rsid w:val="318B624E"/>
    <w:rsid w:val="319C18F5"/>
    <w:rsid w:val="31A124F9"/>
    <w:rsid w:val="31A76E00"/>
    <w:rsid w:val="31A85707"/>
    <w:rsid w:val="31B14295"/>
    <w:rsid w:val="31B16024"/>
    <w:rsid w:val="31B82709"/>
    <w:rsid w:val="31BC0B24"/>
    <w:rsid w:val="31C439B2"/>
    <w:rsid w:val="31CE42C2"/>
    <w:rsid w:val="31D007B3"/>
    <w:rsid w:val="31D05482"/>
    <w:rsid w:val="31D3074A"/>
    <w:rsid w:val="31D84BD1"/>
    <w:rsid w:val="31EA5447"/>
    <w:rsid w:val="31F1357D"/>
    <w:rsid w:val="3203475A"/>
    <w:rsid w:val="320A6F75"/>
    <w:rsid w:val="320C28AB"/>
    <w:rsid w:val="32103E32"/>
    <w:rsid w:val="3218112C"/>
    <w:rsid w:val="3218123E"/>
    <w:rsid w:val="32224AEF"/>
    <w:rsid w:val="32337E61"/>
    <w:rsid w:val="3239174D"/>
    <w:rsid w:val="32393971"/>
    <w:rsid w:val="323971F4"/>
    <w:rsid w:val="323A4F77"/>
    <w:rsid w:val="32400B34"/>
    <w:rsid w:val="32537D9E"/>
    <w:rsid w:val="32546D64"/>
    <w:rsid w:val="325F3BB1"/>
    <w:rsid w:val="32630EB3"/>
    <w:rsid w:val="3265253D"/>
    <w:rsid w:val="32656435"/>
    <w:rsid w:val="32716EB2"/>
    <w:rsid w:val="32790B44"/>
    <w:rsid w:val="327B2543"/>
    <w:rsid w:val="327F79EE"/>
    <w:rsid w:val="3282531E"/>
    <w:rsid w:val="328A3DB3"/>
    <w:rsid w:val="328B377B"/>
    <w:rsid w:val="32933ECB"/>
    <w:rsid w:val="329613EB"/>
    <w:rsid w:val="329B0193"/>
    <w:rsid w:val="329E6876"/>
    <w:rsid w:val="32A1591F"/>
    <w:rsid w:val="32B1065A"/>
    <w:rsid w:val="32C37159"/>
    <w:rsid w:val="32C44BDA"/>
    <w:rsid w:val="32CB4565"/>
    <w:rsid w:val="32CD4510"/>
    <w:rsid w:val="32CE4E89"/>
    <w:rsid w:val="32D60378"/>
    <w:rsid w:val="32DA34FB"/>
    <w:rsid w:val="32E446AA"/>
    <w:rsid w:val="32F708AC"/>
    <w:rsid w:val="32F82AAB"/>
    <w:rsid w:val="32F8632E"/>
    <w:rsid w:val="32FB1798"/>
    <w:rsid w:val="32FF135C"/>
    <w:rsid w:val="330200E5"/>
    <w:rsid w:val="330D71CD"/>
    <w:rsid w:val="331039D5"/>
    <w:rsid w:val="331346A7"/>
    <w:rsid w:val="33187E5A"/>
    <w:rsid w:val="331E076C"/>
    <w:rsid w:val="331F2EEF"/>
    <w:rsid w:val="33291F9F"/>
    <w:rsid w:val="332F4289"/>
    <w:rsid w:val="333015F2"/>
    <w:rsid w:val="33356193"/>
    <w:rsid w:val="333F0CA1"/>
    <w:rsid w:val="333F1D4A"/>
    <w:rsid w:val="334B6320"/>
    <w:rsid w:val="335F6FD7"/>
    <w:rsid w:val="336060F9"/>
    <w:rsid w:val="336B3FEA"/>
    <w:rsid w:val="338305C5"/>
    <w:rsid w:val="3393507D"/>
    <w:rsid w:val="339D6BBC"/>
    <w:rsid w:val="33A07A40"/>
    <w:rsid w:val="33A5774B"/>
    <w:rsid w:val="33B36A61"/>
    <w:rsid w:val="33BC3AED"/>
    <w:rsid w:val="33BC7371"/>
    <w:rsid w:val="33BE756B"/>
    <w:rsid w:val="33D934D4"/>
    <w:rsid w:val="33DA6921"/>
    <w:rsid w:val="33EB6F0B"/>
    <w:rsid w:val="33ED121E"/>
    <w:rsid w:val="33EF3043"/>
    <w:rsid w:val="33F754AE"/>
    <w:rsid w:val="33FB26D9"/>
    <w:rsid w:val="33FE2F6A"/>
    <w:rsid w:val="34022063"/>
    <w:rsid w:val="340E07E5"/>
    <w:rsid w:val="341D288D"/>
    <w:rsid w:val="34226D15"/>
    <w:rsid w:val="34235BF7"/>
    <w:rsid w:val="34255A9B"/>
    <w:rsid w:val="342C69B6"/>
    <w:rsid w:val="34380EB8"/>
    <w:rsid w:val="343E1A7A"/>
    <w:rsid w:val="343F40C7"/>
    <w:rsid w:val="344537F9"/>
    <w:rsid w:val="34464303"/>
    <w:rsid w:val="34593BA3"/>
    <w:rsid w:val="34595660"/>
    <w:rsid w:val="345E497B"/>
    <w:rsid w:val="34692F9B"/>
    <w:rsid w:val="346E7194"/>
    <w:rsid w:val="34785525"/>
    <w:rsid w:val="347B2C27"/>
    <w:rsid w:val="347C3F2B"/>
    <w:rsid w:val="348B283E"/>
    <w:rsid w:val="34964AD5"/>
    <w:rsid w:val="34A22AE6"/>
    <w:rsid w:val="34AA3776"/>
    <w:rsid w:val="34B9050D"/>
    <w:rsid w:val="34B906A0"/>
    <w:rsid w:val="34CB752E"/>
    <w:rsid w:val="34D67ABD"/>
    <w:rsid w:val="34DD321B"/>
    <w:rsid w:val="34E15E4E"/>
    <w:rsid w:val="34E73011"/>
    <w:rsid w:val="34EB1585"/>
    <w:rsid w:val="34EB5437"/>
    <w:rsid w:val="34F06469"/>
    <w:rsid w:val="34F768D2"/>
    <w:rsid w:val="34F812F7"/>
    <w:rsid w:val="34FE797D"/>
    <w:rsid w:val="34FF0C81"/>
    <w:rsid w:val="35052068"/>
    <w:rsid w:val="3511441F"/>
    <w:rsid w:val="35382ED6"/>
    <w:rsid w:val="35452190"/>
    <w:rsid w:val="354D2F7F"/>
    <w:rsid w:val="3554290A"/>
    <w:rsid w:val="356928AF"/>
    <w:rsid w:val="356B0B1F"/>
    <w:rsid w:val="35771A76"/>
    <w:rsid w:val="35807EAE"/>
    <w:rsid w:val="3585695C"/>
    <w:rsid w:val="358C5FA8"/>
    <w:rsid w:val="358D4674"/>
    <w:rsid w:val="359F2D89"/>
    <w:rsid w:val="35A74912"/>
    <w:rsid w:val="35C15DF1"/>
    <w:rsid w:val="35C828C9"/>
    <w:rsid w:val="35D65462"/>
    <w:rsid w:val="35DE286E"/>
    <w:rsid w:val="35E2289C"/>
    <w:rsid w:val="35EA3ADE"/>
    <w:rsid w:val="35FA219E"/>
    <w:rsid w:val="35FB7C20"/>
    <w:rsid w:val="36062A6B"/>
    <w:rsid w:val="36074A7F"/>
    <w:rsid w:val="36111DC3"/>
    <w:rsid w:val="3640380C"/>
    <w:rsid w:val="364315C9"/>
    <w:rsid w:val="36460F5B"/>
    <w:rsid w:val="3653763E"/>
    <w:rsid w:val="36595A3B"/>
    <w:rsid w:val="365A34BC"/>
    <w:rsid w:val="365D0BBE"/>
    <w:rsid w:val="365F7944"/>
    <w:rsid w:val="36622AC7"/>
    <w:rsid w:val="366A14CB"/>
    <w:rsid w:val="366A695F"/>
    <w:rsid w:val="366B28CE"/>
    <w:rsid w:val="366D46DB"/>
    <w:rsid w:val="36783969"/>
    <w:rsid w:val="367F153B"/>
    <w:rsid w:val="36873DF9"/>
    <w:rsid w:val="36882D07"/>
    <w:rsid w:val="369032F6"/>
    <w:rsid w:val="36923549"/>
    <w:rsid w:val="36A9358B"/>
    <w:rsid w:val="36B10648"/>
    <w:rsid w:val="36B64491"/>
    <w:rsid w:val="36B75FBF"/>
    <w:rsid w:val="36BB5604"/>
    <w:rsid w:val="36BD0C45"/>
    <w:rsid w:val="36C100B2"/>
    <w:rsid w:val="36C20D6D"/>
    <w:rsid w:val="36C50230"/>
    <w:rsid w:val="36CC7A24"/>
    <w:rsid w:val="36D95C7C"/>
    <w:rsid w:val="36DD311B"/>
    <w:rsid w:val="36DE5C94"/>
    <w:rsid w:val="36E16BA3"/>
    <w:rsid w:val="36E94025"/>
    <w:rsid w:val="36F445B4"/>
    <w:rsid w:val="36FA1D41"/>
    <w:rsid w:val="370635D5"/>
    <w:rsid w:val="37117919"/>
    <w:rsid w:val="371B2276"/>
    <w:rsid w:val="371C1F09"/>
    <w:rsid w:val="3727738D"/>
    <w:rsid w:val="373569B9"/>
    <w:rsid w:val="375842D9"/>
    <w:rsid w:val="37676AF2"/>
    <w:rsid w:val="376F7781"/>
    <w:rsid w:val="37701980"/>
    <w:rsid w:val="37751C56"/>
    <w:rsid w:val="378404AE"/>
    <w:rsid w:val="37887EAC"/>
    <w:rsid w:val="379D1BF7"/>
    <w:rsid w:val="379F24CF"/>
    <w:rsid w:val="37B37449"/>
    <w:rsid w:val="37B855F7"/>
    <w:rsid w:val="37BA6DB4"/>
    <w:rsid w:val="37BE7500"/>
    <w:rsid w:val="37BF4F82"/>
    <w:rsid w:val="37C44C8D"/>
    <w:rsid w:val="37C60190"/>
    <w:rsid w:val="37CB0D94"/>
    <w:rsid w:val="37D00A9F"/>
    <w:rsid w:val="37D16AE4"/>
    <w:rsid w:val="37DF32B8"/>
    <w:rsid w:val="37E00298"/>
    <w:rsid w:val="37E87464"/>
    <w:rsid w:val="37EB0D27"/>
    <w:rsid w:val="37ED7275"/>
    <w:rsid w:val="37EF092A"/>
    <w:rsid w:val="37F0752F"/>
    <w:rsid w:val="37F976E5"/>
    <w:rsid w:val="380A2A7F"/>
    <w:rsid w:val="380F6006"/>
    <w:rsid w:val="3810555B"/>
    <w:rsid w:val="38145D11"/>
    <w:rsid w:val="381C20D2"/>
    <w:rsid w:val="381F62A0"/>
    <w:rsid w:val="38225026"/>
    <w:rsid w:val="382B3ACC"/>
    <w:rsid w:val="38321A3E"/>
    <w:rsid w:val="383C4215"/>
    <w:rsid w:val="383C7DCF"/>
    <w:rsid w:val="38494EE6"/>
    <w:rsid w:val="384F282B"/>
    <w:rsid w:val="385122F2"/>
    <w:rsid w:val="38550CF9"/>
    <w:rsid w:val="385E4E8B"/>
    <w:rsid w:val="385F708A"/>
    <w:rsid w:val="38651052"/>
    <w:rsid w:val="386879C3"/>
    <w:rsid w:val="386E3661"/>
    <w:rsid w:val="386E63CC"/>
    <w:rsid w:val="388A3751"/>
    <w:rsid w:val="389B5BEA"/>
    <w:rsid w:val="389E297D"/>
    <w:rsid w:val="38B302F9"/>
    <w:rsid w:val="38B36619"/>
    <w:rsid w:val="38B90A1D"/>
    <w:rsid w:val="38CC7A0B"/>
    <w:rsid w:val="38DA69D3"/>
    <w:rsid w:val="38DB4455"/>
    <w:rsid w:val="38DE1A7D"/>
    <w:rsid w:val="38E505E8"/>
    <w:rsid w:val="38E70267"/>
    <w:rsid w:val="38E70932"/>
    <w:rsid w:val="38F12CD3"/>
    <w:rsid w:val="38F73D85"/>
    <w:rsid w:val="38F85F83"/>
    <w:rsid w:val="38F94775"/>
    <w:rsid w:val="39002DFE"/>
    <w:rsid w:val="39041D96"/>
    <w:rsid w:val="39072D1B"/>
    <w:rsid w:val="390E5EBF"/>
    <w:rsid w:val="390E64C0"/>
    <w:rsid w:val="39106CB6"/>
    <w:rsid w:val="392971ED"/>
    <w:rsid w:val="392F1CE1"/>
    <w:rsid w:val="39303CC8"/>
    <w:rsid w:val="39325651"/>
    <w:rsid w:val="393B72B0"/>
    <w:rsid w:val="393C224A"/>
    <w:rsid w:val="393D31F5"/>
    <w:rsid w:val="393F1F7B"/>
    <w:rsid w:val="39424FFF"/>
    <w:rsid w:val="39462149"/>
    <w:rsid w:val="39467BD0"/>
    <w:rsid w:val="39471586"/>
    <w:rsid w:val="394D6D12"/>
    <w:rsid w:val="394E0F10"/>
    <w:rsid w:val="395C3AA9"/>
    <w:rsid w:val="39633163"/>
    <w:rsid w:val="396543B9"/>
    <w:rsid w:val="39657AA9"/>
    <w:rsid w:val="396A4FBD"/>
    <w:rsid w:val="396C7089"/>
    <w:rsid w:val="397E74E1"/>
    <w:rsid w:val="39810466"/>
    <w:rsid w:val="39811679"/>
    <w:rsid w:val="398413EB"/>
    <w:rsid w:val="398B45F9"/>
    <w:rsid w:val="398E6E86"/>
    <w:rsid w:val="398F2FFF"/>
    <w:rsid w:val="39900389"/>
    <w:rsid w:val="399E5818"/>
    <w:rsid w:val="39A1679C"/>
    <w:rsid w:val="39A27702"/>
    <w:rsid w:val="39B244B8"/>
    <w:rsid w:val="39B3677D"/>
    <w:rsid w:val="39BD78E5"/>
    <w:rsid w:val="39BE4A47"/>
    <w:rsid w:val="39C443D2"/>
    <w:rsid w:val="39C83064"/>
    <w:rsid w:val="39D0586A"/>
    <w:rsid w:val="3A0045B7"/>
    <w:rsid w:val="3A072CD0"/>
    <w:rsid w:val="3A100FCE"/>
    <w:rsid w:val="3A157488"/>
    <w:rsid w:val="3A1C2863"/>
    <w:rsid w:val="3A223DCB"/>
    <w:rsid w:val="3A50591E"/>
    <w:rsid w:val="3A5307BE"/>
    <w:rsid w:val="3A651D5D"/>
    <w:rsid w:val="3A677E4A"/>
    <w:rsid w:val="3A6C2334"/>
    <w:rsid w:val="3A6C2E84"/>
    <w:rsid w:val="3A6C4C40"/>
    <w:rsid w:val="3A745979"/>
    <w:rsid w:val="3A7601BF"/>
    <w:rsid w:val="3A767A79"/>
    <w:rsid w:val="3A7843F7"/>
    <w:rsid w:val="3A79517B"/>
    <w:rsid w:val="3A872856"/>
    <w:rsid w:val="3A8C2219"/>
    <w:rsid w:val="3A9C2231"/>
    <w:rsid w:val="3A9D7939"/>
    <w:rsid w:val="3AA13F45"/>
    <w:rsid w:val="3AA2053D"/>
    <w:rsid w:val="3AA472C4"/>
    <w:rsid w:val="3AB369E9"/>
    <w:rsid w:val="3ABE659E"/>
    <w:rsid w:val="3AC428AC"/>
    <w:rsid w:val="3AD049DD"/>
    <w:rsid w:val="3AD562C5"/>
    <w:rsid w:val="3AE570CF"/>
    <w:rsid w:val="3AE74B3F"/>
    <w:rsid w:val="3AEB7631"/>
    <w:rsid w:val="3AED09BD"/>
    <w:rsid w:val="3B086FE8"/>
    <w:rsid w:val="3B0C6651"/>
    <w:rsid w:val="3B143534"/>
    <w:rsid w:val="3B15087C"/>
    <w:rsid w:val="3B235613"/>
    <w:rsid w:val="3B28531E"/>
    <w:rsid w:val="3B2D17A6"/>
    <w:rsid w:val="3B2D6E1E"/>
    <w:rsid w:val="3B2E39A5"/>
    <w:rsid w:val="3B306EA8"/>
    <w:rsid w:val="3B341131"/>
    <w:rsid w:val="3B361A65"/>
    <w:rsid w:val="3B3763D1"/>
    <w:rsid w:val="3B3E3C3F"/>
    <w:rsid w:val="3B4A1561"/>
    <w:rsid w:val="3B4D4259"/>
    <w:rsid w:val="3B4E3ED9"/>
    <w:rsid w:val="3B583D69"/>
    <w:rsid w:val="3B587BC2"/>
    <w:rsid w:val="3B5D312D"/>
    <w:rsid w:val="3B710987"/>
    <w:rsid w:val="3B796670"/>
    <w:rsid w:val="3B7A0CB0"/>
    <w:rsid w:val="3B8514F4"/>
    <w:rsid w:val="3B8F5AC4"/>
    <w:rsid w:val="3B965952"/>
    <w:rsid w:val="3B976C4C"/>
    <w:rsid w:val="3B9855D2"/>
    <w:rsid w:val="3BA15EE2"/>
    <w:rsid w:val="3BA313E5"/>
    <w:rsid w:val="3BA7084C"/>
    <w:rsid w:val="3BA7366E"/>
    <w:rsid w:val="3BAF0A7B"/>
    <w:rsid w:val="3BC11D2E"/>
    <w:rsid w:val="3BC71E6D"/>
    <w:rsid w:val="3BC95DA1"/>
    <w:rsid w:val="3BE2474D"/>
    <w:rsid w:val="3BF15E9E"/>
    <w:rsid w:val="3BF32469"/>
    <w:rsid w:val="3BF65A0D"/>
    <w:rsid w:val="3BF97BF5"/>
    <w:rsid w:val="3BFA7686"/>
    <w:rsid w:val="3C0D3013"/>
    <w:rsid w:val="3C11529C"/>
    <w:rsid w:val="3C152F81"/>
    <w:rsid w:val="3C277440"/>
    <w:rsid w:val="3C291261"/>
    <w:rsid w:val="3C2C38C7"/>
    <w:rsid w:val="3C2F484C"/>
    <w:rsid w:val="3C2F6E1E"/>
    <w:rsid w:val="3C352ED2"/>
    <w:rsid w:val="3C3E15E3"/>
    <w:rsid w:val="3C436002"/>
    <w:rsid w:val="3C4F64BA"/>
    <w:rsid w:val="3C551209"/>
    <w:rsid w:val="3C56470C"/>
    <w:rsid w:val="3C654D26"/>
    <w:rsid w:val="3C75192F"/>
    <w:rsid w:val="3C7B6ECA"/>
    <w:rsid w:val="3C815550"/>
    <w:rsid w:val="3C9115B1"/>
    <w:rsid w:val="3C930CED"/>
    <w:rsid w:val="3C985175"/>
    <w:rsid w:val="3C9E2902"/>
    <w:rsid w:val="3CA11B80"/>
    <w:rsid w:val="3CA21308"/>
    <w:rsid w:val="3CA73211"/>
    <w:rsid w:val="3CBD17A7"/>
    <w:rsid w:val="3CC038F4"/>
    <w:rsid w:val="3CD367B2"/>
    <w:rsid w:val="3CD60E7B"/>
    <w:rsid w:val="3CD75F5F"/>
    <w:rsid w:val="3CDA245A"/>
    <w:rsid w:val="3CE07B53"/>
    <w:rsid w:val="3CE533DA"/>
    <w:rsid w:val="3CF06E89"/>
    <w:rsid w:val="3D033346"/>
    <w:rsid w:val="3D0433A8"/>
    <w:rsid w:val="3D0E06F5"/>
    <w:rsid w:val="3D130342"/>
    <w:rsid w:val="3D1E06B7"/>
    <w:rsid w:val="3D2B59E9"/>
    <w:rsid w:val="3D332DF5"/>
    <w:rsid w:val="3D3717FB"/>
    <w:rsid w:val="3D3D3705"/>
    <w:rsid w:val="3D404AB5"/>
    <w:rsid w:val="3D515C28"/>
    <w:rsid w:val="3D5C3BD3"/>
    <w:rsid w:val="3D6C4254"/>
    <w:rsid w:val="3D7B6145"/>
    <w:rsid w:val="3D86601D"/>
    <w:rsid w:val="3D972B19"/>
    <w:rsid w:val="3DA86637"/>
    <w:rsid w:val="3DB136C3"/>
    <w:rsid w:val="3DB44158"/>
    <w:rsid w:val="3DB738B9"/>
    <w:rsid w:val="3DC03CDE"/>
    <w:rsid w:val="3DC1395E"/>
    <w:rsid w:val="3DC34C62"/>
    <w:rsid w:val="3DD1570D"/>
    <w:rsid w:val="3DD71886"/>
    <w:rsid w:val="3DD96E06"/>
    <w:rsid w:val="3DF06A2B"/>
    <w:rsid w:val="3DF235A2"/>
    <w:rsid w:val="3DF918B9"/>
    <w:rsid w:val="3E0D44F1"/>
    <w:rsid w:val="3E0F72E0"/>
    <w:rsid w:val="3E160E69"/>
    <w:rsid w:val="3E1F757A"/>
    <w:rsid w:val="3E2878A4"/>
    <w:rsid w:val="3E4C20C0"/>
    <w:rsid w:val="3E500D27"/>
    <w:rsid w:val="3E532ADE"/>
    <w:rsid w:val="3E534551"/>
    <w:rsid w:val="3E561C53"/>
    <w:rsid w:val="3E5E28E2"/>
    <w:rsid w:val="3E676D15"/>
    <w:rsid w:val="3E6831F2"/>
    <w:rsid w:val="3E844D20"/>
    <w:rsid w:val="3E8A6C2A"/>
    <w:rsid w:val="3E8D7BAE"/>
    <w:rsid w:val="3EB92D70"/>
    <w:rsid w:val="3EB94B1E"/>
    <w:rsid w:val="3EC07783"/>
    <w:rsid w:val="3ED42521"/>
    <w:rsid w:val="3ED53826"/>
    <w:rsid w:val="3ED5426F"/>
    <w:rsid w:val="3ED97E14"/>
    <w:rsid w:val="3EDA0523"/>
    <w:rsid w:val="3EFF0DE7"/>
    <w:rsid w:val="3F0355EF"/>
    <w:rsid w:val="3F071A76"/>
    <w:rsid w:val="3F152DF8"/>
    <w:rsid w:val="3F16680E"/>
    <w:rsid w:val="3F1735F3"/>
    <w:rsid w:val="3F2776F6"/>
    <w:rsid w:val="3F2F1936"/>
    <w:rsid w:val="3F327A47"/>
    <w:rsid w:val="3F341641"/>
    <w:rsid w:val="3F3E47A2"/>
    <w:rsid w:val="3F4D6968"/>
    <w:rsid w:val="3F530871"/>
    <w:rsid w:val="3F59277A"/>
    <w:rsid w:val="3F61340A"/>
    <w:rsid w:val="3F665591"/>
    <w:rsid w:val="3F67457A"/>
    <w:rsid w:val="3F727F68"/>
    <w:rsid w:val="3F814E1B"/>
    <w:rsid w:val="3F8C1CD0"/>
    <w:rsid w:val="3F8D2FD4"/>
    <w:rsid w:val="3F934EDE"/>
    <w:rsid w:val="3F9835DA"/>
    <w:rsid w:val="3F9B2DCE"/>
    <w:rsid w:val="3FA550A3"/>
    <w:rsid w:val="3FB03189"/>
    <w:rsid w:val="3FB54EFD"/>
    <w:rsid w:val="3FB57611"/>
    <w:rsid w:val="3FBF1225"/>
    <w:rsid w:val="3FD60E4A"/>
    <w:rsid w:val="3FF73E65"/>
    <w:rsid w:val="40027710"/>
    <w:rsid w:val="40154CEE"/>
    <w:rsid w:val="401B13E3"/>
    <w:rsid w:val="402266F3"/>
    <w:rsid w:val="402740CC"/>
    <w:rsid w:val="402E587A"/>
    <w:rsid w:val="403070C4"/>
    <w:rsid w:val="40360E64"/>
    <w:rsid w:val="4036334F"/>
    <w:rsid w:val="40395F82"/>
    <w:rsid w:val="403A30ED"/>
    <w:rsid w:val="403C65F0"/>
    <w:rsid w:val="404B0E09"/>
    <w:rsid w:val="40517064"/>
    <w:rsid w:val="405A40DF"/>
    <w:rsid w:val="405B10A3"/>
    <w:rsid w:val="406A323D"/>
    <w:rsid w:val="40713247"/>
    <w:rsid w:val="4075690B"/>
    <w:rsid w:val="40757A4F"/>
    <w:rsid w:val="40772F52"/>
    <w:rsid w:val="407A6407"/>
    <w:rsid w:val="407F2F8E"/>
    <w:rsid w:val="408E4D75"/>
    <w:rsid w:val="409262BB"/>
    <w:rsid w:val="409C790E"/>
    <w:rsid w:val="409D0420"/>
    <w:rsid w:val="40AA309A"/>
    <w:rsid w:val="40AC7BA9"/>
    <w:rsid w:val="40CA7159"/>
    <w:rsid w:val="40D01062"/>
    <w:rsid w:val="40D84720"/>
    <w:rsid w:val="40E16D7E"/>
    <w:rsid w:val="40E66A89"/>
    <w:rsid w:val="40EF1917"/>
    <w:rsid w:val="40F16B34"/>
    <w:rsid w:val="410803FD"/>
    <w:rsid w:val="4117682A"/>
    <w:rsid w:val="41195217"/>
    <w:rsid w:val="41220E6C"/>
    <w:rsid w:val="4127136C"/>
    <w:rsid w:val="412C397A"/>
    <w:rsid w:val="41520337"/>
    <w:rsid w:val="415625C0"/>
    <w:rsid w:val="417860E6"/>
    <w:rsid w:val="41825EA3"/>
    <w:rsid w:val="41850CE8"/>
    <w:rsid w:val="418C2A9A"/>
    <w:rsid w:val="418E271A"/>
    <w:rsid w:val="419420A5"/>
    <w:rsid w:val="41B06F6C"/>
    <w:rsid w:val="41B21655"/>
    <w:rsid w:val="41B6005B"/>
    <w:rsid w:val="41C30F9E"/>
    <w:rsid w:val="41D1094B"/>
    <w:rsid w:val="41D50910"/>
    <w:rsid w:val="41E740AD"/>
    <w:rsid w:val="41EB2AB3"/>
    <w:rsid w:val="41ED183A"/>
    <w:rsid w:val="41F33DFE"/>
    <w:rsid w:val="4200449D"/>
    <w:rsid w:val="4202622D"/>
    <w:rsid w:val="420D42ED"/>
    <w:rsid w:val="420E7C77"/>
    <w:rsid w:val="42105272"/>
    <w:rsid w:val="421D4587"/>
    <w:rsid w:val="421E43D8"/>
    <w:rsid w:val="42282918"/>
    <w:rsid w:val="422E75D1"/>
    <w:rsid w:val="423A3BCC"/>
    <w:rsid w:val="423F253E"/>
    <w:rsid w:val="42446DF5"/>
    <w:rsid w:val="424853CC"/>
    <w:rsid w:val="424B4ADB"/>
    <w:rsid w:val="424C5D66"/>
    <w:rsid w:val="424E57D2"/>
    <w:rsid w:val="42593309"/>
    <w:rsid w:val="426961F0"/>
    <w:rsid w:val="426D4EE6"/>
    <w:rsid w:val="4271078E"/>
    <w:rsid w:val="42735F36"/>
    <w:rsid w:val="427D1648"/>
    <w:rsid w:val="427F375F"/>
    <w:rsid w:val="428E5B40"/>
    <w:rsid w:val="429709CE"/>
    <w:rsid w:val="429942B7"/>
    <w:rsid w:val="42B26C49"/>
    <w:rsid w:val="42B61283"/>
    <w:rsid w:val="42B6563B"/>
    <w:rsid w:val="42CC3426"/>
    <w:rsid w:val="42DE6BC4"/>
    <w:rsid w:val="42F53175"/>
    <w:rsid w:val="42F8543B"/>
    <w:rsid w:val="43087A08"/>
    <w:rsid w:val="43116916"/>
    <w:rsid w:val="431330E2"/>
    <w:rsid w:val="431B1B9B"/>
    <w:rsid w:val="431C1B20"/>
    <w:rsid w:val="431E1BAC"/>
    <w:rsid w:val="431E79AD"/>
    <w:rsid w:val="43254DBA"/>
    <w:rsid w:val="433078C8"/>
    <w:rsid w:val="433A6FE6"/>
    <w:rsid w:val="433E3844"/>
    <w:rsid w:val="433F168B"/>
    <w:rsid w:val="43433935"/>
    <w:rsid w:val="43454EAD"/>
    <w:rsid w:val="43480868"/>
    <w:rsid w:val="434D7F2B"/>
    <w:rsid w:val="4350713C"/>
    <w:rsid w:val="43546802"/>
    <w:rsid w:val="43585209"/>
    <w:rsid w:val="436653E0"/>
    <w:rsid w:val="43704724"/>
    <w:rsid w:val="43801D92"/>
    <w:rsid w:val="43900BE6"/>
    <w:rsid w:val="439240E9"/>
    <w:rsid w:val="43931DE2"/>
    <w:rsid w:val="4395506D"/>
    <w:rsid w:val="43961ACB"/>
    <w:rsid w:val="439F1200"/>
    <w:rsid w:val="43A37C06"/>
    <w:rsid w:val="43A97591"/>
    <w:rsid w:val="43B97DAC"/>
    <w:rsid w:val="43BB74AB"/>
    <w:rsid w:val="43C26223"/>
    <w:rsid w:val="43C26E36"/>
    <w:rsid w:val="43C4431A"/>
    <w:rsid w:val="43CE2C49"/>
    <w:rsid w:val="43D917DA"/>
    <w:rsid w:val="43DC3263"/>
    <w:rsid w:val="43E47DDB"/>
    <w:rsid w:val="43EF2284"/>
    <w:rsid w:val="4407792B"/>
    <w:rsid w:val="440C3DB3"/>
    <w:rsid w:val="440F6F36"/>
    <w:rsid w:val="4412373D"/>
    <w:rsid w:val="441618BE"/>
    <w:rsid w:val="441F71D0"/>
    <w:rsid w:val="44225F56"/>
    <w:rsid w:val="44265CB7"/>
    <w:rsid w:val="442723DE"/>
    <w:rsid w:val="44300FA4"/>
    <w:rsid w:val="44326EAC"/>
    <w:rsid w:val="443F5506"/>
    <w:rsid w:val="44511ED5"/>
    <w:rsid w:val="44533896"/>
    <w:rsid w:val="44547A2A"/>
    <w:rsid w:val="445730E6"/>
    <w:rsid w:val="44586430"/>
    <w:rsid w:val="445B15B3"/>
    <w:rsid w:val="445F383D"/>
    <w:rsid w:val="44605A3B"/>
    <w:rsid w:val="44613052"/>
    <w:rsid w:val="447B4066"/>
    <w:rsid w:val="447C3940"/>
    <w:rsid w:val="44846EF4"/>
    <w:rsid w:val="44894D3B"/>
    <w:rsid w:val="448E5285"/>
    <w:rsid w:val="44911A8D"/>
    <w:rsid w:val="44962692"/>
    <w:rsid w:val="44965F15"/>
    <w:rsid w:val="44970113"/>
    <w:rsid w:val="44A3059B"/>
    <w:rsid w:val="44AA7C4A"/>
    <w:rsid w:val="44B71B00"/>
    <w:rsid w:val="44B951CC"/>
    <w:rsid w:val="44C368B7"/>
    <w:rsid w:val="44C766E4"/>
    <w:rsid w:val="44CC44F5"/>
    <w:rsid w:val="44CD14E0"/>
    <w:rsid w:val="44D62293"/>
    <w:rsid w:val="44DA081F"/>
    <w:rsid w:val="44DE6309"/>
    <w:rsid w:val="44E32791"/>
    <w:rsid w:val="44EB3CEA"/>
    <w:rsid w:val="44F20B0B"/>
    <w:rsid w:val="45011D41"/>
    <w:rsid w:val="4514485C"/>
    <w:rsid w:val="45186B8F"/>
    <w:rsid w:val="45231ACE"/>
    <w:rsid w:val="45236DFE"/>
    <w:rsid w:val="45256A7E"/>
    <w:rsid w:val="452D770D"/>
    <w:rsid w:val="452E5F4C"/>
    <w:rsid w:val="452F2C10"/>
    <w:rsid w:val="453A6A23"/>
    <w:rsid w:val="453E5429"/>
    <w:rsid w:val="455240CA"/>
    <w:rsid w:val="45612018"/>
    <w:rsid w:val="45620AE1"/>
    <w:rsid w:val="45647867"/>
    <w:rsid w:val="45662D6A"/>
    <w:rsid w:val="457A15B1"/>
    <w:rsid w:val="457B117E"/>
    <w:rsid w:val="45824C19"/>
    <w:rsid w:val="45833790"/>
    <w:rsid w:val="4587201B"/>
    <w:rsid w:val="458946E9"/>
    <w:rsid w:val="459019B0"/>
    <w:rsid w:val="459270B2"/>
    <w:rsid w:val="459C4852"/>
    <w:rsid w:val="45A32BCF"/>
    <w:rsid w:val="45A47C0E"/>
    <w:rsid w:val="45B664E2"/>
    <w:rsid w:val="45BE11FB"/>
    <w:rsid w:val="45C9178A"/>
    <w:rsid w:val="45CE1495"/>
    <w:rsid w:val="45D205B4"/>
    <w:rsid w:val="45D50E20"/>
    <w:rsid w:val="45EF743C"/>
    <w:rsid w:val="45F416D5"/>
    <w:rsid w:val="46006A45"/>
    <w:rsid w:val="460601E5"/>
    <w:rsid w:val="46167423"/>
    <w:rsid w:val="461D1214"/>
    <w:rsid w:val="462C11BE"/>
    <w:rsid w:val="46336C3B"/>
    <w:rsid w:val="46577FD6"/>
    <w:rsid w:val="465B237E"/>
    <w:rsid w:val="46603AD2"/>
    <w:rsid w:val="46647A66"/>
    <w:rsid w:val="4666290D"/>
    <w:rsid w:val="466A1313"/>
    <w:rsid w:val="466B4B97"/>
    <w:rsid w:val="466F74F2"/>
    <w:rsid w:val="46832EC4"/>
    <w:rsid w:val="46875502"/>
    <w:rsid w:val="469324D8"/>
    <w:rsid w:val="4698695F"/>
    <w:rsid w:val="469F5D91"/>
    <w:rsid w:val="46B43DEC"/>
    <w:rsid w:val="46BB5C1A"/>
    <w:rsid w:val="46C155A5"/>
    <w:rsid w:val="46C81B7C"/>
    <w:rsid w:val="46CE6E39"/>
    <w:rsid w:val="46CF48BB"/>
    <w:rsid w:val="46D955A7"/>
    <w:rsid w:val="46EE10DD"/>
    <w:rsid w:val="46F54E3E"/>
    <w:rsid w:val="46FD4EEA"/>
    <w:rsid w:val="46FD5548"/>
    <w:rsid w:val="46FF1807"/>
    <w:rsid w:val="47051512"/>
    <w:rsid w:val="470C297B"/>
    <w:rsid w:val="47133957"/>
    <w:rsid w:val="471A0320"/>
    <w:rsid w:val="471A6376"/>
    <w:rsid w:val="471B36B5"/>
    <w:rsid w:val="472268C3"/>
    <w:rsid w:val="4723522B"/>
    <w:rsid w:val="47307DD7"/>
    <w:rsid w:val="473467DE"/>
    <w:rsid w:val="47372FE6"/>
    <w:rsid w:val="473751E4"/>
    <w:rsid w:val="473D4EEF"/>
    <w:rsid w:val="473E4B6F"/>
    <w:rsid w:val="4743487A"/>
    <w:rsid w:val="47486A40"/>
    <w:rsid w:val="474A5444"/>
    <w:rsid w:val="474C7708"/>
    <w:rsid w:val="474E4E09"/>
    <w:rsid w:val="475C698F"/>
    <w:rsid w:val="475F34FC"/>
    <w:rsid w:val="477414A2"/>
    <w:rsid w:val="477C0DDF"/>
    <w:rsid w:val="477E5958"/>
    <w:rsid w:val="47834097"/>
    <w:rsid w:val="47874069"/>
    <w:rsid w:val="478945B5"/>
    <w:rsid w:val="47904979"/>
    <w:rsid w:val="47984F17"/>
    <w:rsid w:val="47986502"/>
    <w:rsid w:val="479A1A05"/>
    <w:rsid w:val="479B2D0A"/>
    <w:rsid w:val="47A07E0C"/>
    <w:rsid w:val="47A2387E"/>
    <w:rsid w:val="47A47D96"/>
    <w:rsid w:val="47AF19AB"/>
    <w:rsid w:val="47B37163"/>
    <w:rsid w:val="47C307BC"/>
    <w:rsid w:val="47CA139C"/>
    <w:rsid w:val="47CA7FD6"/>
    <w:rsid w:val="47D6229D"/>
    <w:rsid w:val="47D84D6D"/>
    <w:rsid w:val="47E2567D"/>
    <w:rsid w:val="47EA3F9B"/>
    <w:rsid w:val="47EA630C"/>
    <w:rsid w:val="47F150C8"/>
    <w:rsid w:val="47F25917"/>
    <w:rsid w:val="47F92430"/>
    <w:rsid w:val="47FF3007"/>
    <w:rsid w:val="48123C4D"/>
    <w:rsid w:val="4815134F"/>
    <w:rsid w:val="483055C1"/>
    <w:rsid w:val="4830797A"/>
    <w:rsid w:val="48355592"/>
    <w:rsid w:val="483B2A48"/>
    <w:rsid w:val="4842699B"/>
    <w:rsid w:val="48441E9E"/>
    <w:rsid w:val="484653A1"/>
    <w:rsid w:val="4870272E"/>
    <w:rsid w:val="48743864"/>
    <w:rsid w:val="487F6800"/>
    <w:rsid w:val="48835FA5"/>
    <w:rsid w:val="488F12B1"/>
    <w:rsid w:val="489509A3"/>
    <w:rsid w:val="489B15FB"/>
    <w:rsid w:val="48A90987"/>
    <w:rsid w:val="48B45D17"/>
    <w:rsid w:val="48B53457"/>
    <w:rsid w:val="48BA3162"/>
    <w:rsid w:val="48BF75E9"/>
    <w:rsid w:val="48C45C6F"/>
    <w:rsid w:val="48C9597A"/>
    <w:rsid w:val="48E20AA3"/>
    <w:rsid w:val="48E561A4"/>
    <w:rsid w:val="48E829AC"/>
    <w:rsid w:val="48E972E2"/>
    <w:rsid w:val="49046A59"/>
    <w:rsid w:val="4909426A"/>
    <w:rsid w:val="490948F4"/>
    <w:rsid w:val="490E0C07"/>
    <w:rsid w:val="490E70C0"/>
    <w:rsid w:val="49191BCA"/>
    <w:rsid w:val="491C1542"/>
    <w:rsid w:val="49252811"/>
    <w:rsid w:val="49287F12"/>
    <w:rsid w:val="49291217"/>
    <w:rsid w:val="492E789D"/>
    <w:rsid w:val="49352AAB"/>
    <w:rsid w:val="493E5939"/>
    <w:rsid w:val="49451A76"/>
    <w:rsid w:val="494C26D0"/>
    <w:rsid w:val="495E25EB"/>
    <w:rsid w:val="4961028C"/>
    <w:rsid w:val="49611371"/>
    <w:rsid w:val="49775651"/>
    <w:rsid w:val="498176A7"/>
    <w:rsid w:val="498460AE"/>
    <w:rsid w:val="498D0F3C"/>
    <w:rsid w:val="498E60F2"/>
    <w:rsid w:val="49917942"/>
    <w:rsid w:val="49A252F6"/>
    <w:rsid w:val="49AF10F0"/>
    <w:rsid w:val="49BC1967"/>
    <w:rsid w:val="49C0138A"/>
    <w:rsid w:val="49C138A2"/>
    <w:rsid w:val="49D04EA8"/>
    <w:rsid w:val="49D21B62"/>
    <w:rsid w:val="49D7054F"/>
    <w:rsid w:val="49DC7715"/>
    <w:rsid w:val="49F46361"/>
    <w:rsid w:val="49F60938"/>
    <w:rsid w:val="4A023139"/>
    <w:rsid w:val="4A050C18"/>
    <w:rsid w:val="4A051356"/>
    <w:rsid w:val="4A0653B2"/>
    <w:rsid w:val="4A080885"/>
    <w:rsid w:val="4A0C03E5"/>
    <w:rsid w:val="4A140E14"/>
    <w:rsid w:val="4A1654D0"/>
    <w:rsid w:val="4A22712F"/>
    <w:rsid w:val="4A2E0AA5"/>
    <w:rsid w:val="4A367AFA"/>
    <w:rsid w:val="4A371147"/>
    <w:rsid w:val="4A391054"/>
    <w:rsid w:val="4A3C5D07"/>
    <w:rsid w:val="4A423EE2"/>
    <w:rsid w:val="4A451C53"/>
    <w:rsid w:val="4A513716"/>
    <w:rsid w:val="4A542F03"/>
    <w:rsid w:val="4A566406"/>
    <w:rsid w:val="4A58343D"/>
    <w:rsid w:val="4A5F709C"/>
    <w:rsid w:val="4A624AB5"/>
    <w:rsid w:val="4A64571C"/>
    <w:rsid w:val="4A6A1823"/>
    <w:rsid w:val="4A7B576F"/>
    <w:rsid w:val="4A834233"/>
    <w:rsid w:val="4A8E2CDD"/>
    <w:rsid w:val="4A9B0B0F"/>
    <w:rsid w:val="4AA414CB"/>
    <w:rsid w:val="4AA735E3"/>
    <w:rsid w:val="4AA85FA6"/>
    <w:rsid w:val="4AAD3591"/>
    <w:rsid w:val="4AAF523B"/>
    <w:rsid w:val="4ACA0DD2"/>
    <w:rsid w:val="4ACA3C0F"/>
    <w:rsid w:val="4ACD18C8"/>
    <w:rsid w:val="4AD32026"/>
    <w:rsid w:val="4ADB1D3F"/>
    <w:rsid w:val="4AE45C6A"/>
    <w:rsid w:val="4AE97B73"/>
    <w:rsid w:val="4AF04EB9"/>
    <w:rsid w:val="4AF561A9"/>
    <w:rsid w:val="4B0D4931"/>
    <w:rsid w:val="4B16773E"/>
    <w:rsid w:val="4B193F45"/>
    <w:rsid w:val="4B315D69"/>
    <w:rsid w:val="4B4F2856"/>
    <w:rsid w:val="4B50081C"/>
    <w:rsid w:val="4B6215A7"/>
    <w:rsid w:val="4B81314F"/>
    <w:rsid w:val="4B8378C9"/>
    <w:rsid w:val="4B881FFB"/>
    <w:rsid w:val="4B8F7407"/>
    <w:rsid w:val="4B92038C"/>
    <w:rsid w:val="4B991F60"/>
    <w:rsid w:val="4B9A240F"/>
    <w:rsid w:val="4BA252A4"/>
    <w:rsid w:val="4BA94E5D"/>
    <w:rsid w:val="4BB50541"/>
    <w:rsid w:val="4BBA5B9E"/>
    <w:rsid w:val="4BBF46D3"/>
    <w:rsid w:val="4BC5405E"/>
    <w:rsid w:val="4BC6625C"/>
    <w:rsid w:val="4BD40DF5"/>
    <w:rsid w:val="4BEB540D"/>
    <w:rsid w:val="4BEC7A21"/>
    <w:rsid w:val="4BEE3B73"/>
    <w:rsid w:val="4BF062B6"/>
    <w:rsid w:val="4BF161A7"/>
    <w:rsid w:val="4BF56DAC"/>
    <w:rsid w:val="4BF8401D"/>
    <w:rsid w:val="4BF91035"/>
    <w:rsid w:val="4C2C4D07"/>
    <w:rsid w:val="4C2C54AC"/>
    <w:rsid w:val="4C325A71"/>
    <w:rsid w:val="4C4A0649"/>
    <w:rsid w:val="4C5B5467"/>
    <w:rsid w:val="4C617760"/>
    <w:rsid w:val="4C683867"/>
    <w:rsid w:val="4C71139D"/>
    <w:rsid w:val="4C773E82"/>
    <w:rsid w:val="4C7E5ECA"/>
    <w:rsid w:val="4C835716"/>
    <w:rsid w:val="4C847914"/>
    <w:rsid w:val="4C876AA5"/>
    <w:rsid w:val="4CAB69CE"/>
    <w:rsid w:val="4CAF57B3"/>
    <w:rsid w:val="4CB1775A"/>
    <w:rsid w:val="4CB613E8"/>
    <w:rsid w:val="4CCD5FFB"/>
    <w:rsid w:val="4CD141B3"/>
    <w:rsid w:val="4CDA1567"/>
    <w:rsid w:val="4CDA4808"/>
    <w:rsid w:val="4CE17D14"/>
    <w:rsid w:val="4CE950BA"/>
    <w:rsid w:val="4CEA2B3C"/>
    <w:rsid w:val="4CEF6FC4"/>
    <w:rsid w:val="4CF11927"/>
    <w:rsid w:val="4CF16737"/>
    <w:rsid w:val="4CF259CA"/>
    <w:rsid w:val="4D054FAD"/>
    <w:rsid w:val="4D0E00FB"/>
    <w:rsid w:val="4D176606"/>
    <w:rsid w:val="4D1A22A2"/>
    <w:rsid w:val="4D1A4990"/>
    <w:rsid w:val="4D206899"/>
    <w:rsid w:val="4D2149DA"/>
    <w:rsid w:val="4D3144DF"/>
    <w:rsid w:val="4D463256"/>
    <w:rsid w:val="4D486759"/>
    <w:rsid w:val="4D4A4ADC"/>
    <w:rsid w:val="4D4F02E2"/>
    <w:rsid w:val="4D53256B"/>
    <w:rsid w:val="4D5C75F7"/>
    <w:rsid w:val="4D6F6618"/>
    <w:rsid w:val="4D73501E"/>
    <w:rsid w:val="4D742AA0"/>
    <w:rsid w:val="4D754A94"/>
    <w:rsid w:val="4D8330BA"/>
    <w:rsid w:val="4D881740"/>
    <w:rsid w:val="4D8971C2"/>
    <w:rsid w:val="4D8A04C7"/>
    <w:rsid w:val="4D920995"/>
    <w:rsid w:val="4D933887"/>
    <w:rsid w:val="4D942FD5"/>
    <w:rsid w:val="4D9664D8"/>
    <w:rsid w:val="4D9C03E1"/>
    <w:rsid w:val="4DA10A6B"/>
    <w:rsid w:val="4DA27CB1"/>
    <w:rsid w:val="4DA56AF2"/>
    <w:rsid w:val="4DAC1501"/>
    <w:rsid w:val="4DD65B7F"/>
    <w:rsid w:val="4DE10ED6"/>
    <w:rsid w:val="4DEC4FB0"/>
    <w:rsid w:val="4DED4259"/>
    <w:rsid w:val="4DF2336E"/>
    <w:rsid w:val="4DF9095E"/>
    <w:rsid w:val="4DFE42FC"/>
    <w:rsid w:val="4E075D8A"/>
    <w:rsid w:val="4E08517B"/>
    <w:rsid w:val="4E0E2C9E"/>
    <w:rsid w:val="4E0F4E9D"/>
    <w:rsid w:val="4E1118B3"/>
    <w:rsid w:val="4E1902A4"/>
    <w:rsid w:val="4E21445F"/>
    <w:rsid w:val="4E2C69CB"/>
    <w:rsid w:val="4E34765B"/>
    <w:rsid w:val="4E3605DF"/>
    <w:rsid w:val="4E3B4A4C"/>
    <w:rsid w:val="4E462DF8"/>
    <w:rsid w:val="4E4C3BD7"/>
    <w:rsid w:val="4E52248E"/>
    <w:rsid w:val="4E543767"/>
    <w:rsid w:val="4E574397"/>
    <w:rsid w:val="4E634927"/>
    <w:rsid w:val="4E695D36"/>
    <w:rsid w:val="4E714F41"/>
    <w:rsid w:val="4E727140"/>
    <w:rsid w:val="4E785B25"/>
    <w:rsid w:val="4E7A678B"/>
    <w:rsid w:val="4E8273BF"/>
    <w:rsid w:val="4E9E6D0A"/>
    <w:rsid w:val="4EA07161"/>
    <w:rsid w:val="4EA33192"/>
    <w:rsid w:val="4EAB059E"/>
    <w:rsid w:val="4EC00FAD"/>
    <w:rsid w:val="4EC12742"/>
    <w:rsid w:val="4EC85950"/>
    <w:rsid w:val="4ECB68D5"/>
    <w:rsid w:val="4ECF52DB"/>
    <w:rsid w:val="4EE264FA"/>
    <w:rsid w:val="4EEA3906"/>
    <w:rsid w:val="4EFC70A4"/>
    <w:rsid w:val="4F036A2F"/>
    <w:rsid w:val="4F13254C"/>
    <w:rsid w:val="4F183151"/>
    <w:rsid w:val="4F190D64"/>
    <w:rsid w:val="4F194455"/>
    <w:rsid w:val="4F1A6654"/>
    <w:rsid w:val="4F265CEA"/>
    <w:rsid w:val="4F2E0B78"/>
    <w:rsid w:val="4F375C04"/>
    <w:rsid w:val="4F396F09"/>
    <w:rsid w:val="4F3B460A"/>
    <w:rsid w:val="4F447498"/>
    <w:rsid w:val="4F47041D"/>
    <w:rsid w:val="4F473CA0"/>
    <w:rsid w:val="4F5764B9"/>
    <w:rsid w:val="4F6247EF"/>
    <w:rsid w:val="4F651AEC"/>
    <w:rsid w:val="4F6841D5"/>
    <w:rsid w:val="4F6D1E33"/>
    <w:rsid w:val="4F7336A7"/>
    <w:rsid w:val="4F89218B"/>
    <w:rsid w:val="4F9843DC"/>
    <w:rsid w:val="4F9A5CA8"/>
    <w:rsid w:val="4F9D33AA"/>
    <w:rsid w:val="4FA230B5"/>
    <w:rsid w:val="4FA36763"/>
    <w:rsid w:val="4FAF23CA"/>
    <w:rsid w:val="4FB158CE"/>
    <w:rsid w:val="4FB621C3"/>
    <w:rsid w:val="4FB825D0"/>
    <w:rsid w:val="4FB92CDA"/>
    <w:rsid w:val="4FBB03DB"/>
    <w:rsid w:val="4FC62A8C"/>
    <w:rsid w:val="4FCB3ED2"/>
    <w:rsid w:val="4FD90D1C"/>
    <w:rsid w:val="4FDF2F1A"/>
    <w:rsid w:val="4FE20F0D"/>
    <w:rsid w:val="4FE373A1"/>
    <w:rsid w:val="4FE415A0"/>
    <w:rsid w:val="4FE51552"/>
    <w:rsid w:val="4FEA6D2C"/>
    <w:rsid w:val="4FF7142D"/>
    <w:rsid w:val="4FFA6D45"/>
    <w:rsid w:val="50020B50"/>
    <w:rsid w:val="500F7CD3"/>
    <w:rsid w:val="50120070"/>
    <w:rsid w:val="50163074"/>
    <w:rsid w:val="50243AAC"/>
    <w:rsid w:val="504E2A18"/>
    <w:rsid w:val="50504C4B"/>
    <w:rsid w:val="50532ED8"/>
    <w:rsid w:val="50593093"/>
    <w:rsid w:val="506B057F"/>
    <w:rsid w:val="5074340D"/>
    <w:rsid w:val="507535F6"/>
    <w:rsid w:val="508436A7"/>
    <w:rsid w:val="50870DA9"/>
    <w:rsid w:val="5088682A"/>
    <w:rsid w:val="508E75C7"/>
    <w:rsid w:val="508F1A38"/>
    <w:rsid w:val="509C6E7C"/>
    <w:rsid w:val="50B576FA"/>
    <w:rsid w:val="50B82E88"/>
    <w:rsid w:val="50B9287D"/>
    <w:rsid w:val="50C13896"/>
    <w:rsid w:val="50E41142"/>
    <w:rsid w:val="50E5744F"/>
    <w:rsid w:val="50F20458"/>
    <w:rsid w:val="50F56CC6"/>
    <w:rsid w:val="50FE0FCA"/>
    <w:rsid w:val="51023F76"/>
    <w:rsid w:val="510703FD"/>
    <w:rsid w:val="51147713"/>
    <w:rsid w:val="5119191F"/>
    <w:rsid w:val="5119199D"/>
    <w:rsid w:val="51194E84"/>
    <w:rsid w:val="512C301D"/>
    <w:rsid w:val="514172DE"/>
    <w:rsid w:val="515D5589"/>
    <w:rsid w:val="5162104E"/>
    <w:rsid w:val="51663C9A"/>
    <w:rsid w:val="516C3EC9"/>
    <w:rsid w:val="5171202B"/>
    <w:rsid w:val="517915DE"/>
    <w:rsid w:val="51877A52"/>
    <w:rsid w:val="518A3C44"/>
    <w:rsid w:val="518F170F"/>
    <w:rsid w:val="518F7BD2"/>
    <w:rsid w:val="51914ADE"/>
    <w:rsid w:val="519412E6"/>
    <w:rsid w:val="519A2BC3"/>
    <w:rsid w:val="51A2607D"/>
    <w:rsid w:val="51A3027C"/>
    <w:rsid w:val="51A61200"/>
    <w:rsid w:val="51A96C75"/>
    <w:rsid w:val="51B36318"/>
    <w:rsid w:val="51BA5E2C"/>
    <w:rsid w:val="51BC7D83"/>
    <w:rsid w:val="51C61046"/>
    <w:rsid w:val="51C73373"/>
    <w:rsid w:val="51C7509C"/>
    <w:rsid w:val="51CC0B2E"/>
    <w:rsid w:val="51D31028"/>
    <w:rsid w:val="51E05D03"/>
    <w:rsid w:val="51E90E1F"/>
    <w:rsid w:val="51EC7777"/>
    <w:rsid w:val="520718D0"/>
    <w:rsid w:val="521108B0"/>
    <w:rsid w:val="52232614"/>
    <w:rsid w:val="522378D0"/>
    <w:rsid w:val="52353901"/>
    <w:rsid w:val="523E3941"/>
    <w:rsid w:val="52492F75"/>
    <w:rsid w:val="524A1D0E"/>
    <w:rsid w:val="524A5592"/>
    <w:rsid w:val="52566E26"/>
    <w:rsid w:val="52594527"/>
    <w:rsid w:val="526835BA"/>
    <w:rsid w:val="52773AD7"/>
    <w:rsid w:val="52786E56"/>
    <w:rsid w:val="528C01F9"/>
    <w:rsid w:val="528C5029"/>
    <w:rsid w:val="529D3D17"/>
    <w:rsid w:val="52A01A11"/>
    <w:rsid w:val="52AF4864"/>
    <w:rsid w:val="52B23907"/>
    <w:rsid w:val="52BA32C7"/>
    <w:rsid w:val="52C00A54"/>
    <w:rsid w:val="52C11B82"/>
    <w:rsid w:val="52D62BF7"/>
    <w:rsid w:val="52E3448B"/>
    <w:rsid w:val="52F46924"/>
    <w:rsid w:val="52FA40B1"/>
    <w:rsid w:val="530664DB"/>
    <w:rsid w:val="53096DD1"/>
    <w:rsid w:val="53250778"/>
    <w:rsid w:val="532D7D83"/>
    <w:rsid w:val="53316563"/>
    <w:rsid w:val="533F0A71"/>
    <w:rsid w:val="53431F26"/>
    <w:rsid w:val="53516CBE"/>
    <w:rsid w:val="53570BC7"/>
    <w:rsid w:val="535A53CF"/>
    <w:rsid w:val="535B1E41"/>
    <w:rsid w:val="53670B95"/>
    <w:rsid w:val="536B3E91"/>
    <w:rsid w:val="53722A27"/>
    <w:rsid w:val="537C7955"/>
    <w:rsid w:val="53870676"/>
    <w:rsid w:val="538C5F06"/>
    <w:rsid w:val="53925529"/>
    <w:rsid w:val="539D2CDF"/>
    <w:rsid w:val="53A039CC"/>
    <w:rsid w:val="53A1505A"/>
    <w:rsid w:val="53BA2E6A"/>
    <w:rsid w:val="53BB1023"/>
    <w:rsid w:val="53CA47C0"/>
    <w:rsid w:val="53E0692D"/>
    <w:rsid w:val="53EA39B9"/>
    <w:rsid w:val="53F47B4C"/>
    <w:rsid w:val="54063E08"/>
    <w:rsid w:val="54126C81"/>
    <w:rsid w:val="54136D7C"/>
    <w:rsid w:val="54163583"/>
    <w:rsid w:val="54190C85"/>
    <w:rsid w:val="541A5E66"/>
    <w:rsid w:val="54216091"/>
    <w:rsid w:val="54221594"/>
    <w:rsid w:val="54234E18"/>
    <w:rsid w:val="54242899"/>
    <w:rsid w:val="542C1497"/>
    <w:rsid w:val="543437E8"/>
    <w:rsid w:val="54345897"/>
    <w:rsid w:val="54366037"/>
    <w:rsid w:val="54482775"/>
    <w:rsid w:val="544F115F"/>
    <w:rsid w:val="54513236"/>
    <w:rsid w:val="54694DAD"/>
    <w:rsid w:val="546B0211"/>
    <w:rsid w:val="546B0A8F"/>
    <w:rsid w:val="548C26F2"/>
    <w:rsid w:val="548D6A45"/>
    <w:rsid w:val="54987C88"/>
    <w:rsid w:val="54A808F4"/>
    <w:rsid w:val="54AF6350"/>
    <w:rsid w:val="54B65ED8"/>
    <w:rsid w:val="54B77BB3"/>
    <w:rsid w:val="54C9785D"/>
    <w:rsid w:val="54CA68AA"/>
    <w:rsid w:val="54CB4E56"/>
    <w:rsid w:val="54CD52B0"/>
    <w:rsid w:val="54D163EC"/>
    <w:rsid w:val="54E00A4E"/>
    <w:rsid w:val="54E104D3"/>
    <w:rsid w:val="54E106CE"/>
    <w:rsid w:val="54E41652"/>
    <w:rsid w:val="54E4724E"/>
    <w:rsid w:val="54F14BBA"/>
    <w:rsid w:val="54F73313"/>
    <w:rsid w:val="54F80955"/>
    <w:rsid w:val="54FD7FFE"/>
    <w:rsid w:val="54FF459D"/>
    <w:rsid w:val="5503044A"/>
    <w:rsid w:val="550D609A"/>
    <w:rsid w:val="55114AA0"/>
    <w:rsid w:val="5518442B"/>
    <w:rsid w:val="551E3DB6"/>
    <w:rsid w:val="55226F39"/>
    <w:rsid w:val="55506783"/>
    <w:rsid w:val="555170A7"/>
    <w:rsid w:val="55534F41"/>
    <w:rsid w:val="5559450E"/>
    <w:rsid w:val="556D1D67"/>
    <w:rsid w:val="55711857"/>
    <w:rsid w:val="557E7653"/>
    <w:rsid w:val="5587536D"/>
    <w:rsid w:val="558E065B"/>
    <w:rsid w:val="559B174B"/>
    <w:rsid w:val="559B337F"/>
    <w:rsid w:val="55A4620D"/>
    <w:rsid w:val="55B961B3"/>
    <w:rsid w:val="55BC7D26"/>
    <w:rsid w:val="55CE0CF4"/>
    <w:rsid w:val="55DA7489"/>
    <w:rsid w:val="55DC546E"/>
    <w:rsid w:val="55DD2EEF"/>
    <w:rsid w:val="560B1CAC"/>
    <w:rsid w:val="560F1140"/>
    <w:rsid w:val="56226ADC"/>
    <w:rsid w:val="562F3EBC"/>
    <w:rsid w:val="56336B0D"/>
    <w:rsid w:val="56376A81"/>
    <w:rsid w:val="56427054"/>
    <w:rsid w:val="56486A5C"/>
    <w:rsid w:val="565A678F"/>
    <w:rsid w:val="56642DC8"/>
    <w:rsid w:val="566F4FFD"/>
    <w:rsid w:val="567B29ED"/>
    <w:rsid w:val="56856B80"/>
    <w:rsid w:val="56893008"/>
    <w:rsid w:val="568F468B"/>
    <w:rsid w:val="56B22A9C"/>
    <w:rsid w:val="56B363CB"/>
    <w:rsid w:val="56C9056E"/>
    <w:rsid w:val="56CF5CFB"/>
    <w:rsid w:val="56D24112"/>
    <w:rsid w:val="56E77B1E"/>
    <w:rsid w:val="56F0042E"/>
    <w:rsid w:val="570671F7"/>
    <w:rsid w:val="57075E55"/>
    <w:rsid w:val="57243206"/>
    <w:rsid w:val="5729188C"/>
    <w:rsid w:val="57294EB0"/>
    <w:rsid w:val="573D052D"/>
    <w:rsid w:val="57466C3E"/>
    <w:rsid w:val="57507EDB"/>
    <w:rsid w:val="575420E4"/>
    <w:rsid w:val="57597E5D"/>
    <w:rsid w:val="57650F48"/>
    <w:rsid w:val="57763155"/>
    <w:rsid w:val="577704E5"/>
    <w:rsid w:val="578260FF"/>
    <w:rsid w:val="57833220"/>
    <w:rsid w:val="57887468"/>
    <w:rsid w:val="578E3C89"/>
    <w:rsid w:val="578F4AB4"/>
    <w:rsid w:val="57971574"/>
    <w:rsid w:val="57A25CD3"/>
    <w:rsid w:val="57A624DB"/>
    <w:rsid w:val="57AB0B61"/>
    <w:rsid w:val="57B35F6D"/>
    <w:rsid w:val="57B37623"/>
    <w:rsid w:val="57B72A76"/>
    <w:rsid w:val="57BB6BFD"/>
    <w:rsid w:val="57BE7285"/>
    <w:rsid w:val="57C255C7"/>
    <w:rsid w:val="57C3426C"/>
    <w:rsid w:val="57CD239A"/>
    <w:rsid w:val="57CE1F93"/>
    <w:rsid w:val="57D73475"/>
    <w:rsid w:val="57DE6F4C"/>
    <w:rsid w:val="57E4175F"/>
    <w:rsid w:val="57F26D57"/>
    <w:rsid w:val="57F57CDB"/>
    <w:rsid w:val="57F70FE0"/>
    <w:rsid w:val="57F80C60"/>
    <w:rsid w:val="5800606D"/>
    <w:rsid w:val="580469B3"/>
    <w:rsid w:val="581A6C16"/>
    <w:rsid w:val="581B7F1B"/>
    <w:rsid w:val="58200B20"/>
    <w:rsid w:val="582157B7"/>
    <w:rsid w:val="58275F82"/>
    <w:rsid w:val="58370A00"/>
    <w:rsid w:val="583E3C5F"/>
    <w:rsid w:val="583F3E8F"/>
    <w:rsid w:val="58586CFE"/>
    <w:rsid w:val="58653812"/>
    <w:rsid w:val="588743D1"/>
    <w:rsid w:val="5887701A"/>
    <w:rsid w:val="588B3A52"/>
    <w:rsid w:val="58920E5F"/>
    <w:rsid w:val="58924516"/>
    <w:rsid w:val="58A43CF2"/>
    <w:rsid w:val="58A778F2"/>
    <w:rsid w:val="58AA0A84"/>
    <w:rsid w:val="58B27195"/>
    <w:rsid w:val="58B7361D"/>
    <w:rsid w:val="58BF0A29"/>
    <w:rsid w:val="58CC3BCA"/>
    <w:rsid w:val="58D10943"/>
    <w:rsid w:val="58E00F5E"/>
    <w:rsid w:val="58E453E6"/>
    <w:rsid w:val="58E46427"/>
    <w:rsid w:val="58EA72EF"/>
    <w:rsid w:val="590636AD"/>
    <w:rsid w:val="5908689F"/>
    <w:rsid w:val="590A3BA8"/>
    <w:rsid w:val="590B30A7"/>
    <w:rsid w:val="590F622A"/>
    <w:rsid w:val="5911588E"/>
    <w:rsid w:val="592119C7"/>
    <w:rsid w:val="5921524A"/>
    <w:rsid w:val="59222CCC"/>
    <w:rsid w:val="59265E4F"/>
    <w:rsid w:val="592768C2"/>
    <w:rsid w:val="593B692B"/>
    <w:rsid w:val="593D39C1"/>
    <w:rsid w:val="593E6D79"/>
    <w:rsid w:val="593F47FB"/>
    <w:rsid w:val="59413C36"/>
    <w:rsid w:val="59421EFC"/>
    <w:rsid w:val="59442E81"/>
    <w:rsid w:val="59471C07"/>
    <w:rsid w:val="59480B21"/>
    <w:rsid w:val="594B280B"/>
    <w:rsid w:val="59537C18"/>
    <w:rsid w:val="59564420"/>
    <w:rsid w:val="59575EC9"/>
    <w:rsid w:val="595953A4"/>
    <w:rsid w:val="59632787"/>
    <w:rsid w:val="596D6B0E"/>
    <w:rsid w:val="596E1AC6"/>
    <w:rsid w:val="597436C4"/>
    <w:rsid w:val="597439D0"/>
    <w:rsid w:val="597B1BBD"/>
    <w:rsid w:val="597B6BDE"/>
    <w:rsid w:val="597C0DDC"/>
    <w:rsid w:val="59833FEA"/>
    <w:rsid w:val="598F7CDE"/>
    <w:rsid w:val="59907A7D"/>
    <w:rsid w:val="599E4814"/>
    <w:rsid w:val="59AB1EEB"/>
    <w:rsid w:val="59AD702D"/>
    <w:rsid w:val="59AE28B0"/>
    <w:rsid w:val="59B1261F"/>
    <w:rsid w:val="59B15A33"/>
    <w:rsid w:val="59C0439F"/>
    <w:rsid w:val="59CB7611"/>
    <w:rsid w:val="59CF0866"/>
    <w:rsid w:val="59EA4C93"/>
    <w:rsid w:val="59ED16B5"/>
    <w:rsid w:val="59F93C29"/>
    <w:rsid w:val="5A0A1945"/>
    <w:rsid w:val="5A0A5DD6"/>
    <w:rsid w:val="5A1070D1"/>
    <w:rsid w:val="5A176A5C"/>
    <w:rsid w:val="5A1D2B64"/>
    <w:rsid w:val="5A1E3E69"/>
    <w:rsid w:val="5A2537F3"/>
    <w:rsid w:val="5A284778"/>
    <w:rsid w:val="5A314164"/>
    <w:rsid w:val="5A463189"/>
    <w:rsid w:val="5A494CAD"/>
    <w:rsid w:val="5A4968FF"/>
    <w:rsid w:val="5A505296"/>
    <w:rsid w:val="5A511C57"/>
    <w:rsid w:val="5A554611"/>
    <w:rsid w:val="5A567846"/>
    <w:rsid w:val="5A690D4F"/>
    <w:rsid w:val="5A692FBD"/>
    <w:rsid w:val="5A6F296E"/>
    <w:rsid w:val="5A710DCE"/>
    <w:rsid w:val="5A777D7A"/>
    <w:rsid w:val="5A781F79"/>
    <w:rsid w:val="5A9226DC"/>
    <w:rsid w:val="5A9740BF"/>
    <w:rsid w:val="5A9D7BEB"/>
    <w:rsid w:val="5A9E3DC0"/>
    <w:rsid w:val="5AA47945"/>
    <w:rsid w:val="5AB34177"/>
    <w:rsid w:val="5AB51DDE"/>
    <w:rsid w:val="5ABE2233"/>
    <w:rsid w:val="5AC52078"/>
    <w:rsid w:val="5AC70DFE"/>
    <w:rsid w:val="5AC94E7D"/>
    <w:rsid w:val="5AD03C8C"/>
    <w:rsid w:val="5AE173E4"/>
    <w:rsid w:val="5AE470AA"/>
    <w:rsid w:val="5AE625AD"/>
    <w:rsid w:val="5AEA678C"/>
    <w:rsid w:val="5B03795E"/>
    <w:rsid w:val="5B0B55FA"/>
    <w:rsid w:val="5B160B7D"/>
    <w:rsid w:val="5B1806FD"/>
    <w:rsid w:val="5B187904"/>
    <w:rsid w:val="5B30540A"/>
    <w:rsid w:val="5B312A2C"/>
    <w:rsid w:val="5B374935"/>
    <w:rsid w:val="5B392037"/>
    <w:rsid w:val="5B3A58BA"/>
    <w:rsid w:val="5B3C0DBD"/>
    <w:rsid w:val="5B3F0EAB"/>
    <w:rsid w:val="5B4068FC"/>
    <w:rsid w:val="5B412CC6"/>
    <w:rsid w:val="5B4B48F9"/>
    <w:rsid w:val="5B4C5F6A"/>
    <w:rsid w:val="5B515455"/>
    <w:rsid w:val="5B5949F1"/>
    <w:rsid w:val="5B5C7251"/>
    <w:rsid w:val="5B6F0312"/>
    <w:rsid w:val="5B702511"/>
    <w:rsid w:val="5B713816"/>
    <w:rsid w:val="5B730F17"/>
    <w:rsid w:val="5B767C9D"/>
    <w:rsid w:val="5B780819"/>
    <w:rsid w:val="5B8909AB"/>
    <w:rsid w:val="5B9820C7"/>
    <w:rsid w:val="5BB167FD"/>
    <w:rsid w:val="5BB55204"/>
    <w:rsid w:val="5BC460BC"/>
    <w:rsid w:val="5BC67B5D"/>
    <w:rsid w:val="5BDF5D95"/>
    <w:rsid w:val="5BE424D0"/>
    <w:rsid w:val="5BF25068"/>
    <w:rsid w:val="5BF56340"/>
    <w:rsid w:val="5BFB00CD"/>
    <w:rsid w:val="5BFD3468"/>
    <w:rsid w:val="5BFE7528"/>
    <w:rsid w:val="5C021A80"/>
    <w:rsid w:val="5C0731E8"/>
    <w:rsid w:val="5C0C7E11"/>
    <w:rsid w:val="5C0D3694"/>
    <w:rsid w:val="5C106817"/>
    <w:rsid w:val="5C183C23"/>
    <w:rsid w:val="5C194F28"/>
    <w:rsid w:val="5C1C2629"/>
    <w:rsid w:val="5C2048B3"/>
    <w:rsid w:val="5C3F445D"/>
    <w:rsid w:val="5C4606A3"/>
    <w:rsid w:val="5C5158FD"/>
    <w:rsid w:val="5C59248E"/>
    <w:rsid w:val="5C6340A3"/>
    <w:rsid w:val="5C6A01AA"/>
    <w:rsid w:val="5C6A3A2D"/>
    <w:rsid w:val="5C733038"/>
    <w:rsid w:val="5C766B8D"/>
    <w:rsid w:val="5C7A360D"/>
    <w:rsid w:val="5C864257"/>
    <w:rsid w:val="5CAA4817"/>
    <w:rsid w:val="5CAB4F3D"/>
    <w:rsid w:val="5CC1443C"/>
    <w:rsid w:val="5CCC49CC"/>
    <w:rsid w:val="5CCF517E"/>
    <w:rsid w:val="5CD05BE7"/>
    <w:rsid w:val="5CDD26E7"/>
    <w:rsid w:val="5CEE2528"/>
    <w:rsid w:val="5D0C57B5"/>
    <w:rsid w:val="5D114A3C"/>
    <w:rsid w:val="5D122F42"/>
    <w:rsid w:val="5D161948"/>
    <w:rsid w:val="5D227959"/>
    <w:rsid w:val="5D277664"/>
    <w:rsid w:val="5D325D70"/>
    <w:rsid w:val="5D333BB8"/>
    <w:rsid w:val="5D350688"/>
    <w:rsid w:val="5D3543FB"/>
    <w:rsid w:val="5D443390"/>
    <w:rsid w:val="5D5071A3"/>
    <w:rsid w:val="5D5544B2"/>
    <w:rsid w:val="5D5757D7"/>
    <w:rsid w:val="5D587E33"/>
    <w:rsid w:val="5D5D42BA"/>
    <w:rsid w:val="5D79623B"/>
    <w:rsid w:val="5D9415C3"/>
    <w:rsid w:val="5D965719"/>
    <w:rsid w:val="5D9A411F"/>
    <w:rsid w:val="5DA369D2"/>
    <w:rsid w:val="5DA424B0"/>
    <w:rsid w:val="5DAA4110"/>
    <w:rsid w:val="5DAB78D0"/>
    <w:rsid w:val="5DAF0841"/>
    <w:rsid w:val="5DB15F43"/>
    <w:rsid w:val="5DB64E6E"/>
    <w:rsid w:val="5DBB5A53"/>
    <w:rsid w:val="5DBE112A"/>
    <w:rsid w:val="5DD40480"/>
    <w:rsid w:val="5DD52B10"/>
    <w:rsid w:val="5DD76949"/>
    <w:rsid w:val="5DDC5E8E"/>
    <w:rsid w:val="5DE35818"/>
    <w:rsid w:val="5DEF4297"/>
    <w:rsid w:val="5DF04B2E"/>
    <w:rsid w:val="5DF87764"/>
    <w:rsid w:val="5DFF3AC4"/>
    <w:rsid w:val="5E015274"/>
    <w:rsid w:val="5E0937D1"/>
    <w:rsid w:val="5E0B315A"/>
    <w:rsid w:val="5E0C4340"/>
    <w:rsid w:val="5E126576"/>
    <w:rsid w:val="5E1644BD"/>
    <w:rsid w:val="5E1A7052"/>
    <w:rsid w:val="5E2467F1"/>
    <w:rsid w:val="5E2814C4"/>
    <w:rsid w:val="5E2E6B91"/>
    <w:rsid w:val="5E3645DC"/>
    <w:rsid w:val="5E3A26F0"/>
    <w:rsid w:val="5E3E26AF"/>
    <w:rsid w:val="5E4332B3"/>
    <w:rsid w:val="5E473A9D"/>
    <w:rsid w:val="5E4851E6"/>
    <w:rsid w:val="5E4951BD"/>
    <w:rsid w:val="5E4F4700"/>
    <w:rsid w:val="5E547EAE"/>
    <w:rsid w:val="5E5D4D6B"/>
    <w:rsid w:val="5E6721EE"/>
    <w:rsid w:val="5E6F4E41"/>
    <w:rsid w:val="5E7F1E13"/>
    <w:rsid w:val="5E865022"/>
    <w:rsid w:val="5E972D3D"/>
    <w:rsid w:val="5E9D4C47"/>
    <w:rsid w:val="5EA60EB7"/>
    <w:rsid w:val="5EB35E48"/>
    <w:rsid w:val="5EB86AF5"/>
    <w:rsid w:val="5EBA1FF9"/>
    <w:rsid w:val="5EBC2342"/>
    <w:rsid w:val="5EC52588"/>
    <w:rsid w:val="5EC74102"/>
    <w:rsid w:val="5EDB472C"/>
    <w:rsid w:val="5EDB7FAF"/>
    <w:rsid w:val="5EDC21AD"/>
    <w:rsid w:val="5EDE77C5"/>
    <w:rsid w:val="5EEF11CE"/>
    <w:rsid w:val="5F0639A5"/>
    <w:rsid w:val="5F096F4E"/>
    <w:rsid w:val="5F1A2B43"/>
    <w:rsid w:val="5F261328"/>
    <w:rsid w:val="5F2D4540"/>
    <w:rsid w:val="5F32738D"/>
    <w:rsid w:val="5F4A6064"/>
    <w:rsid w:val="5F4E43DC"/>
    <w:rsid w:val="5F507F6E"/>
    <w:rsid w:val="5F5B3D80"/>
    <w:rsid w:val="5F61742A"/>
    <w:rsid w:val="5F653CCD"/>
    <w:rsid w:val="5F71426A"/>
    <w:rsid w:val="5F750926"/>
    <w:rsid w:val="5F765219"/>
    <w:rsid w:val="5F766F82"/>
    <w:rsid w:val="5F83006D"/>
    <w:rsid w:val="5F8B48CF"/>
    <w:rsid w:val="5F921CDC"/>
    <w:rsid w:val="5F983BE5"/>
    <w:rsid w:val="5F9D006D"/>
    <w:rsid w:val="5FA9607E"/>
    <w:rsid w:val="5FAC7002"/>
    <w:rsid w:val="5FB837BB"/>
    <w:rsid w:val="5FB92CCB"/>
    <w:rsid w:val="5FC50E59"/>
    <w:rsid w:val="5FDC3F67"/>
    <w:rsid w:val="5FE67EF0"/>
    <w:rsid w:val="5FFC0086"/>
    <w:rsid w:val="5FFE3589"/>
    <w:rsid w:val="60025813"/>
    <w:rsid w:val="60052F14"/>
    <w:rsid w:val="60115C72"/>
    <w:rsid w:val="6014572D"/>
    <w:rsid w:val="6018117D"/>
    <w:rsid w:val="601921F3"/>
    <w:rsid w:val="60235D47"/>
    <w:rsid w:val="604307FB"/>
    <w:rsid w:val="60477A6E"/>
    <w:rsid w:val="60606654"/>
    <w:rsid w:val="60655D0F"/>
    <w:rsid w:val="60746A4B"/>
    <w:rsid w:val="607522CE"/>
    <w:rsid w:val="607A2AD2"/>
    <w:rsid w:val="608215E4"/>
    <w:rsid w:val="608B4472"/>
    <w:rsid w:val="609D7C10"/>
    <w:rsid w:val="60A24097"/>
    <w:rsid w:val="60AA0313"/>
    <w:rsid w:val="60AF1486"/>
    <w:rsid w:val="60B168B0"/>
    <w:rsid w:val="60BD0483"/>
    <w:rsid w:val="60C26B4A"/>
    <w:rsid w:val="60CB745A"/>
    <w:rsid w:val="60CC405A"/>
    <w:rsid w:val="60CF38D6"/>
    <w:rsid w:val="60DB1C73"/>
    <w:rsid w:val="60E43A59"/>
    <w:rsid w:val="60E50004"/>
    <w:rsid w:val="60E9228D"/>
    <w:rsid w:val="60EA0710"/>
    <w:rsid w:val="60F34522"/>
    <w:rsid w:val="60FF4431"/>
    <w:rsid w:val="61017934"/>
    <w:rsid w:val="610D74CC"/>
    <w:rsid w:val="6110461A"/>
    <w:rsid w:val="611063C8"/>
    <w:rsid w:val="611B04DE"/>
    <w:rsid w:val="612B657A"/>
    <w:rsid w:val="612F717E"/>
    <w:rsid w:val="61343606"/>
    <w:rsid w:val="6137458B"/>
    <w:rsid w:val="61513795"/>
    <w:rsid w:val="61644155"/>
    <w:rsid w:val="616D4A65"/>
    <w:rsid w:val="617443F0"/>
    <w:rsid w:val="617678F3"/>
    <w:rsid w:val="6191637F"/>
    <w:rsid w:val="619A5DDF"/>
    <w:rsid w:val="619B7808"/>
    <w:rsid w:val="61A4713D"/>
    <w:rsid w:val="61B23ED4"/>
    <w:rsid w:val="61C83223"/>
    <w:rsid w:val="61E215D8"/>
    <w:rsid w:val="61E67468"/>
    <w:rsid w:val="61EB3135"/>
    <w:rsid w:val="61EF75BD"/>
    <w:rsid w:val="61FA3FB1"/>
    <w:rsid w:val="61FD6CED"/>
    <w:rsid w:val="61FE0AD0"/>
    <w:rsid w:val="61FE4473"/>
    <w:rsid w:val="62033520"/>
    <w:rsid w:val="6204625D"/>
    <w:rsid w:val="6206395E"/>
    <w:rsid w:val="620B0448"/>
    <w:rsid w:val="620F1696"/>
    <w:rsid w:val="621B3775"/>
    <w:rsid w:val="62344F5C"/>
    <w:rsid w:val="62364782"/>
    <w:rsid w:val="623D2A44"/>
    <w:rsid w:val="623F2BBF"/>
    <w:rsid w:val="624A2B22"/>
    <w:rsid w:val="624A69D1"/>
    <w:rsid w:val="624C6651"/>
    <w:rsid w:val="624F2F20"/>
    <w:rsid w:val="625414DF"/>
    <w:rsid w:val="62575CE7"/>
    <w:rsid w:val="625813DE"/>
    <w:rsid w:val="625E49B1"/>
    <w:rsid w:val="626B762E"/>
    <w:rsid w:val="626C6B86"/>
    <w:rsid w:val="626D2409"/>
    <w:rsid w:val="626E1EEC"/>
    <w:rsid w:val="62731D94"/>
    <w:rsid w:val="62926DC6"/>
    <w:rsid w:val="62996751"/>
    <w:rsid w:val="62BA4707"/>
    <w:rsid w:val="62BE798B"/>
    <w:rsid w:val="62CC6986"/>
    <w:rsid w:val="62DD013F"/>
    <w:rsid w:val="62DD22DA"/>
    <w:rsid w:val="62DE5BC0"/>
    <w:rsid w:val="62E27E4A"/>
    <w:rsid w:val="62E4334D"/>
    <w:rsid w:val="62E62F4B"/>
    <w:rsid w:val="62E90DB7"/>
    <w:rsid w:val="62F35B65"/>
    <w:rsid w:val="62FE3EF7"/>
    <w:rsid w:val="630228FD"/>
    <w:rsid w:val="63076C42"/>
    <w:rsid w:val="630A5BB9"/>
    <w:rsid w:val="630C7063"/>
    <w:rsid w:val="631363A0"/>
    <w:rsid w:val="63260125"/>
    <w:rsid w:val="632E5E9B"/>
    <w:rsid w:val="632E6A1C"/>
    <w:rsid w:val="632F247D"/>
    <w:rsid w:val="63334363"/>
    <w:rsid w:val="63375355"/>
    <w:rsid w:val="633A04D8"/>
    <w:rsid w:val="63414F5F"/>
    <w:rsid w:val="6347749A"/>
    <w:rsid w:val="63490AF3"/>
    <w:rsid w:val="634A2CF1"/>
    <w:rsid w:val="634D74F9"/>
    <w:rsid w:val="6365799D"/>
    <w:rsid w:val="636B10A4"/>
    <w:rsid w:val="6372336A"/>
    <w:rsid w:val="6377613F"/>
    <w:rsid w:val="63833F99"/>
    <w:rsid w:val="638602F8"/>
    <w:rsid w:val="63891D25"/>
    <w:rsid w:val="6394356A"/>
    <w:rsid w:val="63952BB5"/>
    <w:rsid w:val="6396536F"/>
    <w:rsid w:val="639701CA"/>
    <w:rsid w:val="639E73EC"/>
    <w:rsid w:val="63A24A04"/>
    <w:rsid w:val="63A76A6D"/>
    <w:rsid w:val="63B86BA8"/>
    <w:rsid w:val="63B90E96"/>
    <w:rsid w:val="63BB7B2D"/>
    <w:rsid w:val="63C61B2C"/>
    <w:rsid w:val="63C948C4"/>
    <w:rsid w:val="63D40BE9"/>
    <w:rsid w:val="63E8335E"/>
    <w:rsid w:val="63E94CAF"/>
    <w:rsid w:val="63EE37FF"/>
    <w:rsid w:val="63FF4D9E"/>
    <w:rsid w:val="64102431"/>
    <w:rsid w:val="641A33C9"/>
    <w:rsid w:val="643248A8"/>
    <w:rsid w:val="6437077B"/>
    <w:rsid w:val="643B7C00"/>
    <w:rsid w:val="64406FC4"/>
    <w:rsid w:val="64451C8F"/>
    <w:rsid w:val="64472F94"/>
    <w:rsid w:val="644B741C"/>
    <w:rsid w:val="644F5E22"/>
    <w:rsid w:val="64546A26"/>
    <w:rsid w:val="64686554"/>
    <w:rsid w:val="646B1ECF"/>
    <w:rsid w:val="647911E5"/>
    <w:rsid w:val="647E3CE9"/>
    <w:rsid w:val="648065F1"/>
    <w:rsid w:val="64A5243A"/>
    <w:rsid w:val="64AF38BD"/>
    <w:rsid w:val="64BF60D6"/>
    <w:rsid w:val="64BF6607"/>
    <w:rsid w:val="64BF68B6"/>
    <w:rsid w:val="64C34ADC"/>
    <w:rsid w:val="64D84A81"/>
    <w:rsid w:val="64DB505F"/>
    <w:rsid w:val="64DD7D7F"/>
    <w:rsid w:val="64E609A5"/>
    <w:rsid w:val="64F531DE"/>
    <w:rsid w:val="64FB04B9"/>
    <w:rsid w:val="65034821"/>
    <w:rsid w:val="65073E19"/>
    <w:rsid w:val="650B3FD7"/>
    <w:rsid w:val="651761F5"/>
    <w:rsid w:val="6523106A"/>
    <w:rsid w:val="652C0C88"/>
    <w:rsid w:val="65305110"/>
    <w:rsid w:val="65373578"/>
    <w:rsid w:val="654308AD"/>
    <w:rsid w:val="656520E7"/>
    <w:rsid w:val="65692DA6"/>
    <w:rsid w:val="65775884"/>
    <w:rsid w:val="657D6464"/>
    <w:rsid w:val="6584299C"/>
    <w:rsid w:val="6585261B"/>
    <w:rsid w:val="65954E34"/>
    <w:rsid w:val="65973BBB"/>
    <w:rsid w:val="659B02C0"/>
    <w:rsid w:val="659B647C"/>
    <w:rsid w:val="659E3545"/>
    <w:rsid w:val="65A47463"/>
    <w:rsid w:val="65A85B63"/>
    <w:rsid w:val="65AB285B"/>
    <w:rsid w:val="65B02BE0"/>
    <w:rsid w:val="65C149FF"/>
    <w:rsid w:val="65C45983"/>
    <w:rsid w:val="65CC1BD8"/>
    <w:rsid w:val="65CD4095"/>
    <w:rsid w:val="65DC68AD"/>
    <w:rsid w:val="65E671BD"/>
    <w:rsid w:val="65FE4864"/>
    <w:rsid w:val="660C5D78"/>
    <w:rsid w:val="6619508D"/>
    <w:rsid w:val="661A6479"/>
    <w:rsid w:val="661E7317"/>
    <w:rsid w:val="6620029B"/>
    <w:rsid w:val="6630215B"/>
    <w:rsid w:val="66333A39"/>
    <w:rsid w:val="663F632B"/>
    <w:rsid w:val="664B0689"/>
    <w:rsid w:val="66680690"/>
    <w:rsid w:val="666C22B7"/>
    <w:rsid w:val="669A227A"/>
    <w:rsid w:val="66A562F6"/>
    <w:rsid w:val="66B04A92"/>
    <w:rsid w:val="66B6078F"/>
    <w:rsid w:val="66BC5F1C"/>
    <w:rsid w:val="66CA2CB3"/>
    <w:rsid w:val="66D83436"/>
    <w:rsid w:val="66D9725C"/>
    <w:rsid w:val="66DC2BCD"/>
    <w:rsid w:val="66E66D60"/>
    <w:rsid w:val="66EB31E7"/>
    <w:rsid w:val="6700790A"/>
    <w:rsid w:val="6701538B"/>
    <w:rsid w:val="670544F5"/>
    <w:rsid w:val="67061813"/>
    <w:rsid w:val="671464E6"/>
    <w:rsid w:val="67184229"/>
    <w:rsid w:val="671F124A"/>
    <w:rsid w:val="672023BD"/>
    <w:rsid w:val="673A2F25"/>
    <w:rsid w:val="673A67A3"/>
    <w:rsid w:val="674072DB"/>
    <w:rsid w:val="674B1655"/>
    <w:rsid w:val="674C5C80"/>
    <w:rsid w:val="674C6704"/>
    <w:rsid w:val="67554E15"/>
    <w:rsid w:val="67693AB6"/>
    <w:rsid w:val="676B6FB9"/>
    <w:rsid w:val="676D5D3F"/>
    <w:rsid w:val="677A33C6"/>
    <w:rsid w:val="677B2AD6"/>
    <w:rsid w:val="678036DB"/>
    <w:rsid w:val="6781115C"/>
    <w:rsid w:val="678802FD"/>
    <w:rsid w:val="678C2521"/>
    <w:rsid w:val="679348FA"/>
    <w:rsid w:val="679F070D"/>
    <w:rsid w:val="67A51820"/>
    <w:rsid w:val="67A91028"/>
    <w:rsid w:val="67B13EAA"/>
    <w:rsid w:val="67B870B8"/>
    <w:rsid w:val="67CE125C"/>
    <w:rsid w:val="67CF2561"/>
    <w:rsid w:val="67D006CB"/>
    <w:rsid w:val="67D20F73"/>
    <w:rsid w:val="67D234E5"/>
    <w:rsid w:val="67D30F67"/>
    <w:rsid w:val="67DD510A"/>
    <w:rsid w:val="67ED628D"/>
    <w:rsid w:val="68105548"/>
    <w:rsid w:val="681A18DB"/>
    <w:rsid w:val="681F6961"/>
    <w:rsid w:val="68290671"/>
    <w:rsid w:val="683134FF"/>
    <w:rsid w:val="68370C8B"/>
    <w:rsid w:val="684C53AD"/>
    <w:rsid w:val="68512E97"/>
    <w:rsid w:val="68565CBD"/>
    <w:rsid w:val="685C4343"/>
    <w:rsid w:val="68610A2F"/>
    <w:rsid w:val="68637551"/>
    <w:rsid w:val="68680E34"/>
    <w:rsid w:val="68710A65"/>
    <w:rsid w:val="68805514"/>
    <w:rsid w:val="688C2914"/>
    <w:rsid w:val="689D062F"/>
    <w:rsid w:val="68A634BD"/>
    <w:rsid w:val="68AE634B"/>
    <w:rsid w:val="68B03FED"/>
    <w:rsid w:val="68B5103C"/>
    <w:rsid w:val="68B63758"/>
    <w:rsid w:val="68BA50F0"/>
    <w:rsid w:val="68C04067"/>
    <w:rsid w:val="68C86EF5"/>
    <w:rsid w:val="68CF16BA"/>
    <w:rsid w:val="68D73C8C"/>
    <w:rsid w:val="68DD5B96"/>
    <w:rsid w:val="68E0239E"/>
    <w:rsid w:val="690305C1"/>
    <w:rsid w:val="69136070"/>
    <w:rsid w:val="691A127E"/>
    <w:rsid w:val="691D7C84"/>
    <w:rsid w:val="691E3780"/>
    <w:rsid w:val="69231B8D"/>
    <w:rsid w:val="6923630A"/>
    <w:rsid w:val="69316E2F"/>
    <w:rsid w:val="693B6E22"/>
    <w:rsid w:val="69426518"/>
    <w:rsid w:val="694A3FCB"/>
    <w:rsid w:val="694E2071"/>
    <w:rsid w:val="695E4137"/>
    <w:rsid w:val="695E6CAB"/>
    <w:rsid w:val="6965790F"/>
    <w:rsid w:val="69706409"/>
    <w:rsid w:val="69713E8B"/>
    <w:rsid w:val="69766163"/>
    <w:rsid w:val="697A3B33"/>
    <w:rsid w:val="697D3D3F"/>
    <w:rsid w:val="6997112D"/>
    <w:rsid w:val="69981B4C"/>
    <w:rsid w:val="69B02460"/>
    <w:rsid w:val="69B071F3"/>
    <w:rsid w:val="69B31A37"/>
    <w:rsid w:val="69C53915"/>
    <w:rsid w:val="69D2698C"/>
    <w:rsid w:val="69D44760"/>
    <w:rsid w:val="69D501AF"/>
    <w:rsid w:val="69D6385B"/>
    <w:rsid w:val="69D84B34"/>
    <w:rsid w:val="69E356CB"/>
    <w:rsid w:val="69E50BCD"/>
    <w:rsid w:val="69EB5D53"/>
    <w:rsid w:val="69EC4515"/>
    <w:rsid w:val="69FD3A6F"/>
    <w:rsid w:val="69FF359F"/>
    <w:rsid w:val="6A0568FD"/>
    <w:rsid w:val="6A086DE1"/>
    <w:rsid w:val="6A0E500E"/>
    <w:rsid w:val="6A177E9C"/>
    <w:rsid w:val="6A302FC4"/>
    <w:rsid w:val="6A321D4B"/>
    <w:rsid w:val="6A491970"/>
    <w:rsid w:val="6A494278"/>
    <w:rsid w:val="6A520EC7"/>
    <w:rsid w:val="6A53227F"/>
    <w:rsid w:val="6A570C85"/>
    <w:rsid w:val="6A647F9B"/>
    <w:rsid w:val="6A6F052B"/>
    <w:rsid w:val="6A763739"/>
    <w:rsid w:val="6A7711BA"/>
    <w:rsid w:val="6A7730D3"/>
    <w:rsid w:val="6A7C1DBF"/>
    <w:rsid w:val="6A8032A9"/>
    <w:rsid w:val="6A842A4E"/>
    <w:rsid w:val="6A961A6F"/>
    <w:rsid w:val="6AA03DFE"/>
    <w:rsid w:val="6AA25882"/>
    <w:rsid w:val="6AB040EC"/>
    <w:rsid w:val="6ACA0A53"/>
    <w:rsid w:val="6AD611D4"/>
    <w:rsid w:val="6AF87E20"/>
    <w:rsid w:val="6B09652B"/>
    <w:rsid w:val="6B0F3A92"/>
    <w:rsid w:val="6B177A3F"/>
    <w:rsid w:val="6B2313EE"/>
    <w:rsid w:val="6B2B1F62"/>
    <w:rsid w:val="6B322639"/>
    <w:rsid w:val="6B361121"/>
    <w:rsid w:val="6B3D425E"/>
    <w:rsid w:val="6B416685"/>
    <w:rsid w:val="6B437609"/>
    <w:rsid w:val="6B5B4CB0"/>
    <w:rsid w:val="6B627153"/>
    <w:rsid w:val="6B6555BF"/>
    <w:rsid w:val="6B697849"/>
    <w:rsid w:val="6B6D624F"/>
    <w:rsid w:val="6B6F63E1"/>
    <w:rsid w:val="6B714752"/>
    <w:rsid w:val="6B7D0589"/>
    <w:rsid w:val="6B803BEB"/>
    <w:rsid w:val="6B8425F1"/>
    <w:rsid w:val="6B87759B"/>
    <w:rsid w:val="6B903E85"/>
    <w:rsid w:val="6B94610F"/>
    <w:rsid w:val="6B96571C"/>
    <w:rsid w:val="6B9A4795"/>
    <w:rsid w:val="6BA350A4"/>
    <w:rsid w:val="6BA8152C"/>
    <w:rsid w:val="6BAD1237"/>
    <w:rsid w:val="6BBD1AAD"/>
    <w:rsid w:val="6BC333DB"/>
    <w:rsid w:val="6BCC1AEC"/>
    <w:rsid w:val="6BDC4305"/>
    <w:rsid w:val="6BE80847"/>
    <w:rsid w:val="6BEB329A"/>
    <w:rsid w:val="6BEC459F"/>
    <w:rsid w:val="6BEF6F15"/>
    <w:rsid w:val="6BFB1336"/>
    <w:rsid w:val="6BFF57BE"/>
    <w:rsid w:val="6C003240"/>
    <w:rsid w:val="6C066105"/>
    <w:rsid w:val="6C077347"/>
    <w:rsid w:val="6C0F4FE4"/>
    <w:rsid w:val="6C160128"/>
    <w:rsid w:val="6C2830FF"/>
    <w:rsid w:val="6C3C1DA0"/>
    <w:rsid w:val="6C425E09"/>
    <w:rsid w:val="6C460131"/>
    <w:rsid w:val="6C465F32"/>
    <w:rsid w:val="6C4E0DC0"/>
    <w:rsid w:val="6C4E6617"/>
    <w:rsid w:val="6C4F4297"/>
    <w:rsid w:val="6C5F3259"/>
    <w:rsid w:val="6C636C38"/>
    <w:rsid w:val="6C662BE4"/>
    <w:rsid w:val="6C6D0666"/>
    <w:rsid w:val="6C6F5A72"/>
    <w:rsid w:val="6C742E3A"/>
    <w:rsid w:val="6C81461E"/>
    <w:rsid w:val="6C825E14"/>
    <w:rsid w:val="6C845A17"/>
    <w:rsid w:val="6C87699C"/>
    <w:rsid w:val="6C8B0FF9"/>
    <w:rsid w:val="6C941089"/>
    <w:rsid w:val="6C946F4C"/>
    <w:rsid w:val="6C997F3B"/>
    <w:rsid w:val="6C9A76FA"/>
    <w:rsid w:val="6CA32A49"/>
    <w:rsid w:val="6CA420BB"/>
    <w:rsid w:val="6CA86ED0"/>
    <w:rsid w:val="6CB4334D"/>
    <w:rsid w:val="6CBC13F4"/>
    <w:rsid w:val="6CC56480"/>
    <w:rsid w:val="6CCD168F"/>
    <w:rsid w:val="6CCD7110"/>
    <w:rsid w:val="6CD06C70"/>
    <w:rsid w:val="6CD27ACC"/>
    <w:rsid w:val="6CD97FB6"/>
    <w:rsid w:val="6CF33ACD"/>
    <w:rsid w:val="6D054407"/>
    <w:rsid w:val="6D066855"/>
    <w:rsid w:val="6D0A36F2"/>
    <w:rsid w:val="6D0D4104"/>
    <w:rsid w:val="6D151A83"/>
    <w:rsid w:val="6D172A07"/>
    <w:rsid w:val="6D1D2712"/>
    <w:rsid w:val="6D2F5EB0"/>
    <w:rsid w:val="6D5444AE"/>
    <w:rsid w:val="6D57074F"/>
    <w:rsid w:val="6D592EA5"/>
    <w:rsid w:val="6D632E87"/>
    <w:rsid w:val="6D653784"/>
    <w:rsid w:val="6D8C6249"/>
    <w:rsid w:val="6D997ADE"/>
    <w:rsid w:val="6DA01667"/>
    <w:rsid w:val="6DA11C3C"/>
    <w:rsid w:val="6DA26904"/>
    <w:rsid w:val="6DB34098"/>
    <w:rsid w:val="6DB545B6"/>
    <w:rsid w:val="6DBA4372"/>
    <w:rsid w:val="6DCA02AD"/>
    <w:rsid w:val="6DD30BBC"/>
    <w:rsid w:val="6DD34202"/>
    <w:rsid w:val="6DDF1C6D"/>
    <w:rsid w:val="6DE02FB4"/>
    <w:rsid w:val="6DF162FB"/>
    <w:rsid w:val="6DFA4688"/>
    <w:rsid w:val="6DFA687D"/>
    <w:rsid w:val="6DFF7482"/>
    <w:rsid w:val="6E0227BE"/>
    <w:rsid w:val="6E03170B"/>
    <w:rsid w:val="6E075FA3"/>
    <w:rsid w:val="6E0B03F1"/>
    <w:rsid w:val="6E0F4DD7"/>
    <w:rsid w:val="6E1D4C3A"/>
    <w:rsid w:val="6E293B49"/>
    <w:rsid w:val="6E2C5859"/>
    <w:rsid w:val="6E2D5DD3"/>
    <w:rsid w:val="6E3653DD"/>
    <w:rsid w:val="6E3D3571"/>
    <w:rsid w:val="6E4111F0"/>
    <w:rsid w:val="6E514CED"/>
    <w:rsid w:val="6E51728C"/>
    <w:rsid w:val="6E6C605B"/>
    <w:rsid w:val="6E7042BE"/>
    <w:rsid w:val="6E7837FF"/>
    <w:rsid w:val="6E955E51"/>
    <w:rsid w:val="6EA9791B"/>
    <w:rsid w:val="6EAA0C20"/>
    <w:rsid w:val="6EAB3EB2"/>
    <w:rsid w:val="6EAF50A7"/>
    <w:rsid w:val="6EB563D5"/>
    <w:rsid w:val="6EB62BBF"/>
    <w:rsid w:val="6EB724B4"/>
    <w:rsid w:val="6EB81C75"/>
    <w:rsid w:val="6EC76426"/>
    <w:rsid w:val="6ECE6335"/>
    <w:rsid w:val="6ED43FE2"/>
    <w:rsid w:val="6ED92677"/>
    <w:rsid w:val="6EE64CB8"/>
    <w:rsid w:val="6EED1B1C"/>
    <w:rsid w:val="6EF9099F"/>
    <w:rsid w:val="6F113E05"/>
    <w:rsid w:val="6F225983"/>
    <w:rsid w:val="6F2B4348"/>
    <w:rsid w:val="6F2F0E79"/>
    <w:rsid w:val="6F341A7D"/>
    <w:rsid w:val="6F345A96"/>
    <w:rsid w:val="6F4A6F49"/>
    <w:rsid w:val="6F547DB4"/>
    <w:rsid w:val="6F635E50"/>
    <w:rsid w:val="6F6438D1"/>
    <w:rsid w:val="6F6944D6"/>
    <w:rsid w:val="6F7637EB"/>
    <w:rsid w:val="6F793C10"/>
    <w:rsid w:val="6F7C589A"/>
    <w:rsid w:val="6F873882"/>
    <w:rsid w:val="6F881507"/>
    <w:rsid w:val="6F906926"/>
    <w:rsid w:val="6FA17EB3"/>
    <w:rsid w:val="6FA26503"/>
    <w:rsid w:val="6FA333B6"/>
    <w:rsid w:val="6FA40E37"/>
    <w:rsid w:val="6FA952BF"/>
    <w:rsid w:val="6FB72056"/>
    <w:rsid w:val="6FB9555A"/>
    <w:rsid w:val="6FD3742F"/>
    <w:rsid w:val="6FE96F93"/>
    <w:rsid w:val="6FEE7FB2"/>
    <w:rsid w:val="6FFB3A44"/>
    <w:rsid w:val="6FFC14C6"/>
    <w:rsid w:val="6FFC5590"/>
    <w:rsid w:val="6FFD27CB"/>
    <w:rsid w:val="70063C83"/>
    <w:rsid w:val="7016487A"/>
    <w:rsid w:val="702C7318"/>
    <w:rsid w:val="70322667"/>
    <w:rsid w:val="703543B4"/>
    <w:rsid w:val="70451ADA"/>
    <w:rsid w:val="70481945"/>
    <w:rsid w:val="704D7FCB"/>
    <w:rsid w:val="706D1DD0"/>
    <w:rsid w:val="70711485"/>
    <w:rsid w:val="70784693"/>
    <w:rsid w:val="707C3099"/>
    <w:rsid w:val="707F41AD"/>
    <w:rsid w:val="707F5958"/>
    <w:rsid w:val="70856B87"/>
    <w:rsid w:val="708A3FCF"/>
    <w:rsid w:val="70992A4E"/>
    <w:rsid w:val="709A0E5E"/>
    <w:rsid w:val="709F7DD6"/>
    <w:rsid w:val="70A367DC"/>
    <w:rsid w:val="70A409DA"/>
    <w:rsid w:val="70A45DD1"/>
    <w:rsid w:val="70A979BC"/>
    <w:rsid w:val="70AC166A"/>
    <w:rsid w:val="70AD13BA"/>
    <w:rsid w:val="70B0226E"/>
    <w:rsid w:val="70B544F8"/>
    <w:rsid w:val="70C95397"/>
    <w:rsid w:val="70CC631B"/>
    <w:rsid w:val="70CD6084"/>
    <w:rsid w:val="70D005A5"/>
    <w:rsid w:val="70D45599"/>
    <w:rsid w:val="70D473EF"/>
    <w:rsid w:val="70D527EE"/>
    <w:rsid w:val="70D80F58"/>
    <w:rsid w:val="70DC43B7"/>
    <w:rsid w:val="70E41DE0"/>
    <w:rsid w:val="70E62748"/>
    <w:rsid w:val="70F26482"/>
    <w:rsid w:val="70F46BBC"/>
    <w:rsid w:val="70FF5871"/>
    <w:rsid w:val="71032079"/>
    <w:rsid w:val="710A3C02"/>
    <w:rsid w:val="710A7485"/>
    <w:rsid w:val="710B44B6"/>
    <w:rsid w:val="710E5AEC"/>
    <w:rsid w:val="71124891"/>
    <w:rsid w:val="71152CB2"/>
    <w:rsid w:val="71170058"/>
    <w:rsid w:val="711B3449"/>
    <w:rsid w:val="71220432"/>
    <w:rsid w:val="71270FB3"/>
    <w:rsid w:val="712A61C5"/>
    <w:rsid w:val="71333A0D"/>
    <w:rsid w:val="71353C29"/>
    <w:rsid w:val="7138344C"/>
    <w:rsid w:val="713C004F"/>
    <w:rsid w:val="713E2889"/>
    <w:rsid w:val="714459EF"/>
    <w:rsid w:val="714814E8"/>
    <w:rsid w:val="715A4C86"/>
    <w:rsid w:val="715B5300"/>
    <w:rsid w:val="71602412"/>
    <w:rsid w:val="716C0423"/>
    <w:rsid w:val="716F50CE"/>
    <w:rsid w:val="71772037"/>
    <w:rsid w:val="717E72A4"/>
    <w:rsid w:val="71835E4A"/>
    <w:rsid w:val="71891F52"/>
    <w:rsid w:val="71992649"/>
    <w:rsid w:val="71B04377"/>
    <w:rsid w:val="71B13286"/>
    <w:rsid w:val="71C852BA"/>
    <w:rsid w:val="71D27F8A"/>
    <w:rsid w:val="71D74828"/>
    <w:rsid w:val="71D77AD2"/>
    <w:rsid w:val="71E25E63"/>
    <w:rsid w:val="71E5266B"/>
    <w:rsid w:val="71EB4575"/>
    <w:rsid w:val="71EE2744"/>
    <w:rsid w:val="71F41601"/>
    <w:rsid w:val="71F57082"/>
    <w:rsid w:val="71F8388A"/>
    <w:rsid w:val="71F907B3"/>
    <w:rsid w:val="71FB0F8C"/>
    <w:rsid w:val="71FD025E"/>
    <w:rsid w:val="72002E95"/>
    <w:rsid w:val="72010916"/>
    <w:rsid w:val="721F78A4"/>
    <w:rsid w:val="722B3CD4"/>
    <w:rsid w:val="722C39A3"/>
    <w:rsid w:val="72314CE9"/>
    <w:rsid w:val="7232276A"/>
    <w:rsid w:val="72340183"/>
    <w:rsid w:val="72376BF2"/>
    <w:rsid w:val="7239220A"/>
    <w:rsid w:val="723D2CFA"/>
    <w:rsid w:val="723E077B"/>
    <w:rsid w:val="723F3FFF"/>
    <w:rsid w:val="72403C7E"/>
    <w:rsid w:val="72492390"/>
    <w:rsid w:val="72553024"/>
    <w:rsid w:val="72683B3E"/>
    <w:rsid w:val="726C7FC6"/>
    <w:rsid w:val="726E12CB"/>
    <w:rsid w:val="726F1340"/>
    <w:rsid w:val="72760055"/>
    <w:rsid w:val="72771BDA"/>
    <w:rsid w:val="72A232E8"/>
    <w:rsid w:val="72AF43B7"/>
    <w:rsid w:val="72B07A90"/>
    <w:rsid w:val="72C72C5E"/>
    <w:rsid w:val="72C96161"/>
    <w:rsid w:val="72CA035F"/>
    <w:rsid w:val="72D8486C"/>
    <w:rsid w:val="72D850F7"/>
    <w:rsid w:val="72EB4117"/>
    <w:rsid w:val="72FA3C77"/>
    <w:rsid w:val="72FB43B2"/>
    <w:rsid w:val="72FC67AC"/>
    <w:rsid w:val="72FF7830"/>
    <w:rsid w:val="73007180"/>
    <w:rsid w:val="73122968"/>
    <w:rsid w:val="73123FD7"/>
    <w:rsid w:val="73170C47"/>
    <w:rsid w:val="731C7DF0"/>
    <w:rsid w:val="731E2C33"/>
    <w:rsid w:val="731F5D5E"/>
    <w:rsid w:val="732145F1"/>
    <w:rsid w:val="73231CF3"/>
    <w:rsid w:val="73247774"/>
    <w:rsid w:val="732A32B7"/>
    <w:rsid w:val="732E489D"/>
    <w:rsid w:val="733D069E"/>
    <w:rsid w:val="73401623"/>
    <w:rsid w:val="73550A2D"/>
    <w:rsid w:val="73586CCA"/>
    <w:rsid w:val="73627A3A"/>
    <w:rsid w:val="736C596A"/>
    <w:rsid w:val="73843119"/>
    <w:rsid w:val="73886182"/>
    <w:rsid w:val="738E2D08"/>
    <w:rsid w:val="73944C37"/>
    <w:rsid w:val="73962032"/>
    <w:rsid w:val="739C3F3B"/>
    <w:rsid w:val="73A338C6"/>
    <w:rsid w:val="73A50FC7"/>
    <w:rsid w:val="73A63F6B"/>
    <w:rsid w:val="73AF1A71"/>
    <w:rsid w:val="73B72B30"/>
    <w:rsid w:val="73BB3073"/>
    <w:rsid w:val="73C51AD5"/>
    <w:rsid w:val="73CE218C"/>
    <w:rsid w:val="73D16993"/>
    <w:rsid w:val="73D6680F"/>
    <w:rsid w:val="73F45823"/>
    <w:rsid w:val="7402235F"/>
    <w:rsid w:val="74054864"/>
    <w:rsid w:val="7409326A"/>
    <w:rsid w:val="740D54F4"/>
    <w:rsid w:val="74103B8B"/>
    <w:rsid w:val="74106478"/>
    <w:rsid w:val="741373FD"/>
    <w:rsid w:val="741E793C"/>
    <w:rsid w:val="743047AF"/>
    <w:rsid w:val="74350C36"/>
    <w:rsid w:val="7439183B"/>
    <w:rsid w:val="74416F50"/>
    <w:rsid w:val="744B4FD8"/>
    <w:rsid w:val="745323E5"/>
    <w:rsid w:val="745A113A"/>
    <w:rsid w:val="745D053E"/>
    <w:rsid w:val="745E3944"/>
    <w:rsid w:val="74671085"/>
    <w:rsid w:val="74703F13"/>
    <w:rsid w:val="74707C06"/>
    <w:rsid w:val="74777E8B"/>
    <w:rsid w:val="747E4E0D"/>
    <w:rsid w:val="747E6AAC"/>
    <w:rsid w:val="74900EF8"/>
    <w:rsid w:val="749F02E6"/>
    <w:rsid w:val="74A36CEC"/>
    <w:rsid w:val="74AF4CFD"/>
    <w:rsid w:val="74B134E9"/>
    <w:rsid w:val="74B2213E"/>
    <w:rsid w:val="74B64688"/>
    <w:rsid w:val="74C64922"/>
    <w:rsid w:val="74C66EA0"/>
    <w:rsid w:val="74DE2E34"/>
    <w:rsid w:val="74FE287D"/>
    <w:rsid w:val="750202C6"/>
    <w:rsid w:val="75070F8F"/>
    <w:rsid w:val="75113A9C"/>
    <w:rsid w:val="751759A6"/>
    <w:rsid w:val="75231A75"/>
    <w:rsid w:val="752949C6"/>
    <w:rsid w:val="752C20C8"/>
    <w:rsid w:val="752D33CD"/>
    <w:rsid w:val="753E10E9"/>
    <w:rsid w:val="75420914"/>
    <w:rsid w:val="75450A73"/>
    <w:rsid w:val="754F41F8"/>
    <w:rsid w:val="756F3708"/>
    <w:rsid w:val="75733B41"/>
    <w:rsid w:val="75786DB0"/>
    <w:rsid w:val="75787FC9"/>
    <w:rsid w:val="758269F7"/>
    <w:rsid w:val="758D4034"/>
    <w:rsid w:val="758E216C"/>
    <w:rsid w:val="75915EA6"/>
    <w:rsid w:val="75982A43"/>
    <w:rsid w:val="75AF692B"/>
    <w:rsid w:val="75CA0CCD"/>
    <w:rsid w:val="75CB42F8"/>
    <w:rsid w:val="75D54ADF"/>
    <w:rsid w:val="75DE488F"/>
    <w:rsid w:val="75E066F3"/>
    <w:rsid w:val="75E3349E"/>
    <w:rsid w:val="75F0022C"/>
    <w:rsid w:val="75F02C13"/>
    <w:rsid w:val="75F87C0F"/>
    <w:rsid w:val="75FF7EA2"/>
    <w:rsid w:val="76002045"/>
    <w:rsid w:val="760A7538"/>
    <w:rsid w:val="760F2C9B"/>
    <w:rsid w:val="761B72D6"/>
    <w:rsid w:val="76276E68"/>
    <w:rsid w:val="7635099D"/>
    <w:rsid w:val="76394804"/>
    <w:rsid w:val="76435113"/>
    <w:rsid w:val="764467DA"/>
    <w:rsid w:val="7645205E"/>
    <w:rsid w:val="76490ED0"/>
    <w:rsid w:val="764A0321"/>
    <w:rsid w:val="764A2F88"/>
    <w:rsid w:val="7652667E"/>
    <w:rsid w:val="76542AC8"/>
    <w:rsid w:val="765F4A43"/>
    <w:rsid w:val="766A2DD4"/>
    <w:rsid w:val="766A7551"/>
    <w:rsid w:val="766C59F7"/>
    <w:rsid w:val="767336E4"/>
    <w:rsid w:val="7679643D"/>
    <w:rsid w:val="767E47F1"/>
    <w:rsid w:val="769D6AA6"/>
    <w:rsid w:val="76A32011"/>
    <w:rsid w:val="76C06B82"/>
    <w:rsid w:val="76C21265"/>
    <w:rsid w:val="76CA3AAF"/>
    <w:rsid w:val="76CC293A"/>
    <w:rsid w:val="76D05FFC"/>
    <w:rsid w:val="76D13A7D"/>
    <w:rsid w:val="76D3117F"/>
    <w:rsid w:val="76D54682"/>
    <w:rsid w:val="76DA0DEE"/>
    <w:rsid w:val="76EC08E6"/>
    <w:rsid w:val="76F603C6"/>
    <w:rsid w:val="76F844EE"/>
    <w:rsid w:val="76FF4009"/>
    <w:rsid w:val="77062C53"/>
    <w:rsid w:val="770706D4"/>
    <w:rsid w:val="770A29D5"/>
    <w:rsid w:val="7711015C"/>
    <w:rsid w:val="77181C73"/>
    <w:rsid w:val="771D5F6E"/>
    <w:rsid w:val="772A798F"/>
    <w:rsid w:val="772E3E17"/>
    <w:rsid w:val="77341C7E"/>
    <w:rsid w:val="7734249D"/>
    <w:rsid w:val="773537A2"/>
    <w:rsid w:val="773D0BAE"/>
    <w:rsid w:val="776064A9"/>
    <w:rsid w:val="77762421"/>
    <w:rsid w:val="778A2DF1"/>
    <w:rsid w:val="77905E3A"/>
    <w:rsid w:val="77930288"/>
    <w:rsid w:val="779623CA"/>
    <w:rsid w:val="779A0FFD"/>
    <w:rsid w:val="779A56C5"/>
    <w:rsid w:val="779D6084"/>
    <w:rsid w:val="779D7A96"/>
    <w:rsid w:val="77A15CA5"/>
    <w:rsid w:val="77A411C1"/>
    <w:rsid w:val="77B56B1F"/>
    <w:rsid w:val="77BE2401"/>
    <w:rsid w:val="77C43C90"/>
    <w:rsid w:val="77D24925"/>
    <w:rsid w:val="77D90A2D"/>
    <w:rsid w:val="77DD4E62"/>
    <w:rsid w:val="77EA6748"/>
    <w:rsid w:val="77EA751B"/>
    <w:rsid w:val="77F428DB"/>
    <w:rsid w:val="780A4A7F"/>
    <w:rsid w:val="780B2500"/>
    <w:rsid w:val="780F09F4"/>
    <w:rsid w:val="7816704F"/>
    <w:rsid w:val="78206C22"/>
    <w:rsid w:val="782146A4"/>
    <w:rsid w:val="78222126"/>
    <w:rsid w:val="782643AF"/>
    <w:rsid w:val="78295334"/>
    <w:rsid w:val="783223C0"/>
    <w:rsid w:val="78440BB4"/>
    <w:rsid w:val="78461060"/>
    <w:rsid w:val="784748E4"/>
    <w:rsid w:val="784E646D"/>
    <w:rsid w:val="784F55D0"/>
    <w:rsid w:val="784F7772"/>
    <w:rsid w:val="78550182"/>
    <w:rsid w:val="785504B4"/>
    <w:rsid w:val="78640611"/>
    <w:rsid w:val="787E1450"/>
    <w:rsid w:val="78811502"/>
    <w:rsid w:val="78822EE6"/>
    <w:rsid w:val="78845E0E"/>
    <w:rsid w:val="78846947"/>
    <w:rsid w:val="78952465"/>
    <w:rsid w:val="789C3FEE"/>
    <w:rsid w:val="78A31478"/>
    <w:rsid w:val="78A90480"/>
    <w:rsid w:val="78A95882"/>
    <w:rsid w:val="78B02C8E"/>
    <w:rsid w:val="78B8391E"/>
    <w:rsid w:val="78BD341F"/>
    <w:rsid w:val="78C12F29"/>
    <w:rsid w:val="78CD45AA"/>
    <w:rsid w:val="78CD5B71"/>
    <w:rsid w:val="78D14746"/>
    <w:rsid w:val="78D7094F"/>
    <w:rsid w:val="78F30280"/>
    <w:rsid w:val="78F65981"/>
    <w:rsid w:val="78FB568C"/>
    <w:rsid w:val="791252B1"/>
    <w:rsid w:val="79257FB4"/>
    <w:rsid w:val="792E5ADB"/>
    <w:rsid w:val="79321EBD"/>
    <w:rsid w:val="79350CE9"/>
    <w:rsid w:val="793876EF"/>
    <w:rsid w:val="79395171"/>
    <w:rsid w:val="793B0674"/>
    <w:rsid w:val="793C27A7"/>
    <w:rsid w:val="79513575"/>
    <w:rsid w:val="795D1EAD"/>
    <w:rsid w:val="796832EF"/>
    <w:rsid w:val="796A51F1"/>
    <w:rsid w:val="797265CF"/>
    <w:rsid w:val="797A39DC"/>
    <w:rsid w:val="797B7403"/>
    <w:rsid w:val="79845FFA"/>
    <w:rsid w:val="798C7179"/>
    <w:rsid w:val="798E267C"/>
    <w:rsid w:val="79973381"/>
    <w:rsid w:val="799A648F"/>
    <w:rsid w:val="79A2593A"/>
    <w:rsid w:val="79A67D23"/>
    <w:rsid w:val="79B160B4"/>
    <w:rsid w:val="79B17D96"/>
    <w:rsid w:val="79C27653"/>
    <w:rsid w:val="79C36276"/>
    <w:rsid w:val="79C85CD9"/>
    <w:rsid w:val="79C97604"/>
    <w:rsid w:val="79CA11DC"/>
    <w:rsid w:val="79D0629D"/>
    <w:rsid w:val="79D20FEE"/>
    <w:rsid w:val="79D52DF1"/>
    <w:rsid w:val="79DE3700"/>
    <w:rsid w:val="79E84010"/>
    <w:rsid w:val="79EB1329"/>
    <w:rsid w:val="79F0141C"/>
    <w:rsid w:val="79F20BF8"/>
    <w:rsid w:val="79F842AA"/>
    <w:rsid w:val="79FA3F2A"/>
    <w:rsid w:val="79FA77AD"/>
    <w:rsid w:val="7A0016B7"/>
    <w:rsid w:val="7A0154E9"/>
    <w:rsid w:val="7A05390F"/>
    <w:rsid w:val="7A070C85"/>
    <w:rsid w:val="7A1D31E5"/>
    <w:rsid w:val="7A307C87"/>
    <w:rsid w:val="7A364017"/>
    <w:rsid w:val="7A3A0597"/>
    <w:rsid w:val="7A481273"/>
    <w:rsid w:val="7A506EB7"/>
    <w:rsid w:val="7A5E0446"/>
    <w:rsid w:val="7A6300D6"/>
    <w:rsid w:val="7A6B2F64"/>
    <w:rsid w:val="7A7F1A71"/>
    <w:rsid w:val="7A8265E1"/>
    <w:rsid w:val="7A8F2FC5"/>
    <w:rsid w:val="7A9905B0"/>
    <w:rsid w:val="7A9B3AB3"/>
    <w:rsid w:val="7AA578E2"/>
    <w:rsid w:val="7AAD2AD4"/>
    <w:rsid w:val="7AB03A59"/>
    <w:rsid w:val="7ACB0136"/>
    <w:rsid w:val="7ACD5587"/>
    <w:rsid w:val="7B13027A"/>
    <w:rsid w:val="7B1F1B0E"/>
    <w:rsid w:val="7B246CAD"/>
    <w:rsid w:val="7B2C33A2"/>
    <w:rsid w:val="7B3030FD"/>
    <w:rsid w:val="7B365EB0"/>
    <w:rsid w:val="7B404B3C"/>
    <w:rsid w:val="7B5D73F5"/>
    <w:rsid w:val="7B644801"/>
    <w:rsid w:val="7B686D42"/>
    <w:rsid w:val="7B716095"/>
    <w:rsid w:val="7B756C9A"/>
    <w:rsid w:val="7B7B0BA3"/>
    <w:rsid w:val="7B823DB1"/>
    <w:rsid w:val="7B841746"/>
    <w:rsid w:val="7B870C46"/>
    <w:rsid w:val="7BAB16F2"/>
    <w:rsid w:val="7BB12B87"/>
    <w:rsid w:val="7BBC1C9A"/>
    <w:rsid w:val="7BC241CF"/>
    <w:rsid w:val="7BC5314E"/>
    <w:rsid w:val="7BD01932"/>
    <w:rsid w:val="7BD62203"/>
    <w:rsid w:val="7BD6383B"/>
    <w:rsid w:val="7BDF310F"/>
    <w:rsid w:val="7BE372CE"/>
    <w:rsid w:val="7BE63AD5"/>
    <w:rsid w:val="7BE90431"/>
    <w:rsid w:val="7BEC3FF7"/>
    <w:rsid w:val="7BEE565F"/>
    <w:rsid w:val="7BFC5A6F"/>
    <w:rsid w:val="7C0A4F8F"/>
    <w:rsid w:val="7C100163"/>
    <w:rsid w:val="7C146392"/>
    <w:rsid w:val="7C23393A"/>
    <w:rsid w:val="7C28453F"/>
    <w:rsid w:val="7C3B0FE1"/>
    <w:rsid w:val="7C3C0710"/>
    <w:rsid w:val="7C456B11"/>
    <w:rsid w:val="7C471B3A"/>
    <w:rsid w:val="7C4A7092"/>
    <w:rsid w:val="7C4F7C82"/>
    <w:rsid w:val="7C501E80"/>
    <w:rsid w:val="7C607F1C"/>
    <w:rsid w:val="7C6C5AC7"/>
    <w:rsid w:val="7C771994"/>
    <w:rsid w:val="7CA80310"/>
    <w:rsid w:val="7CC6544B"/>
    <w:rsid w:val="7CCA1B4A"/>
    <w:rsid w:val="7CCF6C30"/>
    <w:rsid w:val="7CDB7866"/>
    <w:rsid w:val="7CE965D5"/>
    <w:rsid w:val="7CEE6886"/>
    <w:rsid w:val="7CF1261B"/>
    <w:rsid w:val="7CFB16A7"/>
    <w:rsid w:val="7CFE4939"/>
    <w:rsid w:val="7D0067A0"/>
    <w:rsid w:val="7D0239FF"/>
    <w:rsid w:val="7D0F0FB9"/>
    <w:rsid w:val="7D1C02CF"/>
    <w:rsid w:val="7D1C5B8A"/>
    <w:rsid w:val="7D245712"/>
    <w:rsid w:val="7D2C704B"/>
    <w:rsid w:val="7D306F70"/>
    <w:rsid w:val="7D312FA0"/>
    <w:rsid w:val="7D322473"/>
    <w:rsid w:val="7D3E2F76"/>
    <w:rsid w:val="7D4374F4"/>
    <w:rsid w:val="7D512D27"/>
    <w:rsid w:val="7D5E40CD"/>
    <w:rsid w:val="7D6961D0"/>
    <w:rsid w:val="7D7E706F"/>
    <w:rsid w:val="7D80675E"/>
    <w:rsid w:val="7D823D52"/>
    <w:rsid w:val="7D903D8F"/>
    <w:rsid w:val="7D956C94"/>
    <w:rsid w:val="7DB22DA3"/>
    <w:rsid w:val="7DB9054B"/>
    <w:rsid w:val="7DBA4CD5"/>
    <w:rsid w:val="7DBB0899"/>
    <w:rsid w:val="7DC120E2"/>
    <w:rsid w:val="7DCB2D24"/>
    <w:rsid w:val="7DCC6A4C"/>
    <w:rsid w:val="7DCD56F2"/>
    <w:rsid w:val="7DD32B96"/>
    <w:rsid w:val="7DD56DA4"/>
    <w:rsid w:val="7DD70F6F"/>
    <w:rsid w:val="7DD76804"/>
    <w:rsid w:val="7DE15765"/>
    <w:rsid w:val="7DE34815"/>
    <w:rsid w:val="7DEB3F55"/>
    <w:rsid w:val="7DEB54A4"/>
    <w:rsid w:val="7DF13801"/>
    <w:rsid w:val="7DF734B5"/>
    <w:rsid w:val="7DF86826"/>
    <w:rsid w:val="7DF969B8"/>
    <w:rsid w:val="7DFB1EBB"/>
    <w:rsid w:val="7DFC2C5F"/>
    <w:rsid w:val="7DFD1F5B"/>
    <w:rsid w:val="7E20467A"/>
    <w:rsid w:val="7E264004"/>
    <w:rsid w:val="7E3C1404"/>
    <w:rsid w:val="7E4200B1"/>
    <w:rsid w:val="7E4F51C9"/>
    <w:rsid w:val="7E5228CA"/>
    <w:rsid w:val="7E54384F"/>
    <w:rsid w:val="7E566D52"/>
    <w:rsid w:val="7E5D483D"/>
    <w:rsid w:val="7E5E47BF"/>
    <w:rsid w:val="7E6A7F71"/>
    <w:rsid w:val="7E787D6B"/>
    <w:rsid w:val="7E890826"/>
    <w:rsid w:val="7E890C99"/>
    <w:rsid w:val="7E947EBC"/>
    <w:rsid w:val="7EA2394E"/>
    <w:rsid w:val="7EA65BD8"/>
    <w:rsid w:val="7EA90D5A"/>
    <w:rsid w:val="7EAB425E"/>
    <w:rsid w:val="7EB443DF"/>
    <w:rsid w:val="7EB459DD"/>
    <w:rsid w:val="7EB503F0"/>
    <w:rsid w:val="7EC97091"/>
    <w:rsid w:val="7ECD36F3"/>
    <w:rsid w:val="7ECF3A21"/>
    <w:rsid w:val="7ED127E1"/>
    <w:rsid w:val="7ED26C70"/>
    <w:rsid w:val="7EF60B64"/>
    <w:rsid w:val="7EFA24D9"/>
    <w:rsid w:val="7F001CE7"/>
    <w:rsid w:val="7F085D14"/>
    <w:rsid w:val="7F1714A6"/>
    <w:rsid w:val="7F346740"/>
    <w:rsid w:val="7F3969BA"/>
    <w:rsid w:val="7F417FD4"/>
    <w:rsid w:val="7F482D79"/>
    <w:rsid w:val="7F64728F"/>
    <w:rsid w:val="7F685621"/>
    <w:rsid w:val="7F703475"/>
    <w:rsid w:val="7F7207A3"/>
    <w:rsid w:val="7F7861FE"/>
    <w:rsid w:val="7F7F7495"/>
    <w:rsid w:val="7F990663"/>
    <w:rsid w:val="7F9A60E4"/>
    <w:rsid w:val="7FAA4181"/>
    <w:rsid w:val="7FAB7913"/>
    <w:rsid w:val="7FB06A28"/>
    <w:rsid w:val="7FB42512"/>
    <w:rsid w:val="7FB807E5"/>
    <w:rsid w:val="7FBC2E67"/>
    <w:rsid w:val="7FC00B62"/>
    <w:rsid w:val="7FC250AB"/>
    <w:rsid w:val="7FC372A9"/>
    <w:rsid w:val="7FD12B85"/>
    <w:rsid w:val="7FD464F7"/>
    <w:rsid w:val="7FD604C8"/>
    <w:rsid w:val="7FDD2262"/>
    <w:rsid w:val="7FDE1157"/>
    <w:rsid w:val="7FDE58D4"/>
    <w:rsid w:val="7FE47E50"/>
    <w:rsid w:val="7FF165F0"/>
    <w:rsid w:val="7FFB2C86"/>
    <w:rsid w:val="7FFC704C"/>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nhideWhenUsed="0" w:uiPriority="99" w:semiHidden="0" w:name="heading 3" w:locked="1"/>
    <w:lsdException w:qFormat="1" w:unhideWhenUsed="0" w:uiPriority="99" w:semiHidden="0" w:name="heading 4" w:locked="1"/>
    <w:lsdException w:qFormat="1" w:uiPriority="9" w:semiHidden="0" w:name="heading 5" w:locked="1"/>
    <w:lsdException w:qFormat="1" w:uiPriority="9" w:semiHidden="0" w:name="heading 6" w:locked="1"/>
    <w:lsdException w:qFormat="1" w:unhideWhenUsed="0" w:uiPriority="1" w:semiHidden="0" w:name="heading 7" w:locked="1"/>
    <w:lsdException w:qFormat="1" w:uiPriority="9" w:semiHidden="0" w:name="heading 8" w:locked="1"/>
    <w:lsdException w:qFormat="1" w:uiPriority="9" w:name="heading 9" w:locked="1"/>
    <w:lsdException w:qFormat="1" w:unhideWhenUsed="0"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qFormat="1" w:unhideWhenUsed="0" w:uiPriority="9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qFormat="1" w:unhideWhenUsed="0" w:uiPriority="99" w:name="toc 9" w:locked="1"/>
    <w:lsdException w:qFormat="1" w:unhideWhenUsed="0" w:uiPriority="0" w:semiHidden="0" w:name="Normal Indent"/>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qFormat="1" w:unhideWhenUsed="0"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qFormat="1" w:unhideWhenUsed="0" w:uiPriority="0" w:semiHidden="0" w:name="Body Text"/>
    <w:lsdException w:unhideWhenUsed="0" w:uiPriority="0"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qFormat="1" w:unhideWhenUsed="0" w:uiPriority="99" w:semiHidden="0" w:name="Salutation" w:locked="1"/>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uiPriority="99" w:name="Note Heading" w:locked="1"/>
    <w:lsdException w:unhideWhenUsed="0" w:uiPriority="0" w:semiHidden="0" w:name="Body Text 2"/>
    <w:lsdException w:uiPriority="99" w:name="Body Text 3" w:locked="1"/>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99" w:semiHidden="0" w:name="Hyperlink" w:locked="1"/>
    <w:lsdException w:uiPriority="99" w:name="FollowedHyperlink" w:locked="1"/>
    <w:lsdException w:qFormat="1" w:unhideWhenUsed="0" w:uiPriority="22" w:semiHidden="0" w:name="Strong" w:locked="1"/>
    <w:lsdException w:qFormat="1" w:unhideWhenUsed="0" w:uiPriority="99" w:semiHidden="0" w:name="Emphasis" w:locked="1"/>
    <w:lsdException w:uiPriority="99" w:name="Document Map" w:locked="1"/>
    <w:lsdException w:qFormat="1" w:unhideWhenUsed="0" w:uiPriority="99" w:semiHidden="0"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qFormat="1" w:unhideWhenUsed="0" w:uiPriority="99" w:semiHidden="0" w:name="HTML Code" w:locked="1"/>
    <w:lsdException w:uiPriority="99" w:name="HTML Definition" w:locked="1"/>
    <w:lsdException w:qFormat="1" w:unhideWhenUsed="0" w:uiPriority="99" w:semiHidden="0" w:name="HTML Keyboard" w:locked="1"/>
    <w:lsdException w:uiPriority="99" w:name="HTML Preformatted" w:locked="1"/>
    <w:lsdException w:qFormat="1" w:unhideWhenUsed="0" w:uiPriority="99" w:semiHidden="0"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qFormat="1" w:unhideWhenUsed="0" w:uiPriority="99"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48"/>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49"/>
    <w:autoRedefine/>
    <w:qFormat/>
    <w:locked/>
    <w:uiPriority w:val="99"/>
    <w:pPr>
      <w:jc w:val="center"/>
      <w:outlineLvl w:val="1"/>
    </w:pPr>
    <w:rPr>
      <w:rFonts w:ascii="Calibri" w:hAnsi="Calibri" w:cs="Calibri"/>
      <w:b/>
      <w:bCs/>
      <w:color w:val="000000"/>
    </w:rPr>
  </w:style>
  <w:style w:type="paragraph" w:styleId="4">
    <w:name w:val="heading 3"/>
    <w:basedOn w:val="1"/>
    <w:next w:val="1"/>
    <w:link w:val="50"/>
    <w:autoRedefine/>
    <w:qFormat/>
    <w:locked/>
    <w:uiPriority w:val="99"/>
    <w:pPr>
      <w:keepNext/>
      <w:keepLines/>
      <w:snapToGrid w:val="0"/>
      <w:spacing w:before="60" w:after="120" w:line="400" w:lineRule="exact"/>
      <w:jc w:val="left"/>
      <w:outlineLvl w:val="2"/>
    </w:pPr>
    <w:rPr>
      <w:rFonts w:eastAsia="黑体"/>
    </w:rPr>
  </w:style>
  <w:style w:type="paragraph" w:styleId="5">
    <w:name w:val="heading 4"/>
    <w:basedOn w:val="1"/>
    <w:next w:val="1"/>
    <w:link w:val="51"/>
    <w:autoRedefine/>
    <w:qFormat/>
    <w:locked/>
    <w:uiPriority w:val="99"/>
    <w:pPr>
      <w:keepNext/>
      <w:keepLines/>
      <w:spacing w:line="376" w:lineRule="auto"/>
      <w:outlineLvl w:val="3"/>
    </w:pPr>
    <w:rPr>
      <w:rFonts w:ascii="Cambria" w:hAnsi="Cambria" w:cs="Cambria"/>
      <w:b/>
      <w:bCs/>
      <w:sz w:val="28"/>
      <w:szCs w:val="28"/>
    </w:rPr>
  </w:style>
  <w:style w:type="paragraph" w:styleId="6">
    <w:name w:val="heading 5"/>
    <w:basedOn w:val="1"/>
    <w:next w:val="1"/>
    <w:unhideWhenUsed/>
    <w:qFormat/>
    <w:locked/>
    <w:uiPriority w:val="9"/>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locked/>
    <w:uiPriority w:val="9"/>
    <w:pPr>
      <w:keepNext/>
      <w:keepLines/>
      <w:spacing w:before="240" w:beforeLines="0" w:beforeAutospacing="0" w:after="64" w:afterLines="0" w:afterAutospacing="0" w:line="317" w:lineRule="auto"/>
      <w:outlineLvl w:val="5"/>
    </w:pPr>
    <w:rPr>
      <w:rFonts w:ascii="Arial" w:hAnsi="Arial" w:eastAsia="黑体"/>
      <w:b/>
      <w:sz w:val="24"/>
    </w:rPr>
  </w:style>
  <w:style w:type="paragraph" w:styleId="8">
    <w:name w:val="heading 7"/>
    <w:basedOn w:val="1"/>
    <w:next w:val="1"/>
    <w:qFormat/>
    <w:locked/>
    <w:uiPriority w:val="1"/>
    <w:pPr>
      <w:ind w:left="222"/>
      <w:outlineLvl w:val="6"/>
    </w:pPr>
    <w:rPr>
      <w:rFonts w:ascii="宋体" w:hAnsi="宋体" w:eastAsia="宋体" w:cs="宋体"/>
      <w:b/>
      <w:bCs/>
      <w:sz w:val="24"/>
      <w:szCs w:val="24"/>
      <w:lang w:val="zh-CN" w:eastAsia="zh-CN" w:bidi="zh-CN"/>
    </w:rPr>
  </w:style>
  <w:style w:type="paragraph" w:styleId="9">
    <w:name w:val="heading 8"/>
    <w:basedOn w:val="1"/>
    <w:next w:val="1"/>
    <w:unhideWhenUsed/>
    <w:qFormat/>
    <w:locked/>
    <w:uiPriority w:val="9"/>
    <w:pPr>
      <w:keepNext/>
      <w:keepLines/>
      <w:spacing w:before="240" w:beforeLines="0" w:beforeAutospacing="0" w:after="64" w:afterLines="0" w:afterAutospacing="0" w:line="317" w:lineRule="auto"/>
      <w:outlineLvl w:val="7"/>
    </w:pPr>
    <w:rPr>
      <w:rFonts w:ascii="Arial" w:hAnsi="Arial" w:eastAsia="黑体"/>
      <w:sz w:val="24"/>
    </w:rPr>
  </w:style>
  <w:style w:type="character" w:default="1" w:styleId="31">
    <w:name w:val="Default Paragraph Font"/>
    <w:autoRedefine/>
    <w:semiHidden/>
    <w:qFormat/>
    <w:uiPriority w:val="99"/>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10">
    <w:name w:val="Normal Indent"/>
    <w:basedOn w:val="1"/>
    <w:qFormat/>
    <w:uiPriority w:val="0"/>
    <w:pPr>
      <w:autoSpaceDE w:val="0"/>
      <w:autoSpaceDN w:val="0"/>
      <w:adjustRightInd w:val="0"/>
      <w:spacing w:line="315" w:lineRule="atLeast"/>
      <w:ind w:firstLine="420"/>
      <w:jc w:val="left"/>
    </w:pPr>
    <w:rPr>
      <w:rFonts w:ascii="宋体"/>
      <w:kern w:val="0"/>
      <w:sz w:val="24"/>
      <w:szCs w:val="20"/>
    </w:rPr>
  </w:style>
  <w:style w:type="paragraph" w:styleId="11">
    <w:name w:val="annotation text"/>
    <w:basedOn w:val="1"/>
    <w:link w:val="52"/>
    <w:autoRedefine/>
    <w:semiHidden/>
    <w:qFormat/>
    <w:uiPriority w:val="99"/>
    <w:pPr>
      <w:jc w:val="left"/>
    </w:pPr>
    <w:rPr>
      <w:kern w:val="0"/>
      <w:sz w:val="24"/>
      <w:szCs w:val="24"/>
    </w:rPr>
  </w:style>
  <w:style w:type="paragraph" w:styleId="12">
    <w:name w:val="Salutation"/>
    <w:basedOn w:val="1"/>
    <w:next w:val="1"/>
    <w:link w:val="53"/>
    <w:autoRedefine/>
    <w:qFormat/>
    <w:locked/>
    <w:uiPriority w:val="99"/>
  </w:style>
  <w:style w:type="paragraph" w:styleId="13">
    <w:name w:val="Body Text"/>
    <w:basedOn w:val="1"/>
    <w:qFormat/>
    <w:uiPriority w:val="0"/>
    <w:pPr>
      <w:widowControl/>
      <w:snapToGrid w:val="0"/>
      <w:spacing w:before="60" w:after="160" w:line="259" w:lineRule="auto"/>
      <w:ind w:right="113"/>
    </w:pPr>
    <w:rPr>
      <w:rFonts w:ascii="Times New Roman" w:hAnsi="Times New Roman" w:cs="Times New Roman"/>
      <w:kern w:val="0"/>
      <w:sz w:val="18"/>
      <w:szCs w:val="20"/>
    </w:rPr>
  </w:style>
  <w:style w:type="paragraph" w:styleId="14">
    <w:name w:val="Block Text"/>
    <w:basedOn w:val="1"/>
    <w:autoRedefine/>
    <w:qFormat/>
    <w:uiPriority w:val="99"/>
    <w:pPr>
      <w:adjustRightInd w:val="0"/>
      <w:spacing w:line="500" w:lineRule="exact"/>
      <w:ind w:left="147" w:leftChars="70" w:right="160" w:rightChars="76"/>
    </w:pPr>
    <w:rPr>
      <w:rFonts w:ascii="宋体" w:hAnsi="宋体" w:cs="宋体"/>
    </w:rPr>
  </w:style>
  <w:style w:type="paragraph" w:styleId="15">
    <w:name w:val="Plain Text"/>
    <w:basedOn w:val="1"/>
    <w:next w:val="12"/>
    <w:link w:val="54"/>
    <w:autoRedefine/>
    <w:qFormat/>
    <w:locked/>
    <w:uiPriority w:val="99"/>
    <w:rPr>
      <w:rFonts w:ascii="宋体" w:hAnsi="Courier New" w:cs="宋体"/>
    </w:rPr>
  </w:style>
  <w:style w:type="paragraph" w:styleId="16">
    <w:name w:val="Date"/>
    <w:basedOn w:val="1"/>
    <w:next w:val="1"/>
    <w:link w:val="55"/>
    <w:autoRedefine/>
    <w:qFormat/>
    <w:uiPriority w:val="99"/>
    <w:pPr>
      <w:ind w:left="100" w:leftChars="2500"/>
    </w:pPr>
    <w:rPr>
      <w:kern w:val="0"/>
      <w:sz w:val="24"/>
      <w:szCs w:val="24"/>
    </w:rPr>
  </w:style>
  <w:style w:type="paragraph" w:styleId="17">
    <w:name w:val="Balloon Text"/>
    <w:basedOn w:val="1"/>
    <w:link w:val="56"/>
    <w:autoRedefine/>
    <w:semiHidden/>
    <w:qFormat/>
    <w:uiPriority w:val="99"/>
    <w:rPr>
      <w:kern w:val="0"/>
      <w:sz w:val="18"/>
      <w:szCs w:val="18"/>
    </w:rPr>
  </w:style>
  <w:style w:type="paragraph" w:styleId="18">
    <w:name w:val="footer"/>
    <w:basedOn w:val="1"/>
    <w:link w:val="57"/>
    <w:autoRedefine/>
    <w:qFormat/>
    <w:uiPriority w:val="99"/>
    <w:pPr>
      <w:tabs>
        <w:tab w:val="center" w:pos="4153"/>
        <w:tab w:val="right" w:pos="8306"/>
      </w:tabs>
      <w:snapToGrid w:val="0"/>
      <w:jc w:val="left"/>
    </w:pPr>
    <w:rPr>
      <w:kern w:val="0"/>
      <w:sz w:val="18"/>
      <w:szCs w:val="18"/>
    </w:rPr>
  </w:style>
  <w:style w:type="paragraph" w:styleId="19">
    <w:name w:val="header"/>
    <w:basedOn w:val="1"/>
    <w:link w:val="58"/>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szCs w:val="18"/>
    </w:rPr>
  </w:style>
  <w:style w:type="paragraph" w:styleId="20">
    <w:name w:val="index heading"/>
    <w:basedOn w:val="1"/>
    <w:next w:val="21"/>
    <w:autoRedefine/>
    <w:semiHidden/>
    <w:qFormat/>
    <w:locked/>
    <w:uiPriority w:val="99"/>
    <w:rPr>
      <w:rFonts w:ascii="Arial" w:hAnsi="Arial" w:cs="Arial"/>
      <w:b/>
      <w:bCs/>
    </w:rPr>
  </w:style>
  <w:style w:type="paragraph" w:styleId="21">
    <w:name w:val="index 1"/>
    <w:basedOn w:val="1"/>
    <w:next w:val="1"/>
    <w:autoRedefine/>
    <w:semiHidden/>
    <w:qFormat/>
    <w:locked/>
    <w:uiPriority w:val="99"/>
    <w:pPr>
      <w:jc w:val="center"/>
    </w:pPr>
  </w:style>
  <w:style w:type="paragraph" w:styleId="22">
    <w:name w:val="toc 2"/>
    <w:basedOn w:val="1"/>
    <w:next w:val="1"/>
    <w:autoRedefine/>
    <w:semiHidden/>
    <w:qFormat/>
    <w:locked/>
    <w:uiPriority w:val="99"/>
    <w:pPr>
      <w:ind w:left="210"/>
      <w:jc w:val="left"/>
    </w:pPr>
    <w:rPr>
      <w:smallCaps/>
      <w:sz w:val="20"/>
      <w:szCs w:val="20"/>
    </w:rPr>
  </w:style>
  <w:style w:type="paragraph" w:styleId="23">
    <w:name w:val="toc 9"/>
    <w:basedOn w:val="1"/>
    <w:next w:val="1"/>
    <w:autoRedefine/>
    <w:semiHidden/>
    <w:qFormat/>
    <w:locked/>
    <w:uiPriority w:val="99"/>
    <w:pPr>
      <w:widowControl/>
      <w:wordWrap w:val="0"/>
      <w:ind w:left="2975"/>
    </w:pPr>
  </w:style>
  <w:style w:type="paragraph" w:styleId="24">
    <w:name w:val="Normal (Web)"/>
    <w:basedOn w:val="1"/>
    <w:link w:val="63"/>
    <w:autoRedefine/>
    <w:qFormat/>
    <w:uiPriority w:val="99"/>
    <w:pPr>
      <w:widowControl/>
      <w:spacing w:before="100" w:beforeAutospacing="1" w:after="100" w:afterAutospacing="1"/>
      <w:jc w:val="left"/>
    </w:pPr>
    <w:rPr>
      <w:rFonts w:ascii="宋体" w:hAnsi="宋体" w:cs="宋体"/>
      <w:kern w:val="0"/>
      <w:sz w:val="24"/>
      <w:szCs w:val="24"/>
    </w:rPr>
  </w:style>
  <w:style w:type="paragraph" w:styleId="25">
    <w:name w:val="annotation subject"/>
    <w:basedOn w:val="11"/>
    <w:next w:val="11"/>
    <w:link w:val="59"/>
    <w:autoRedefine/>
    <w:semiHidden/>
    <w:qFormat/>
    <w:uiPriority w:val="99"/>
    <w:rPr>
      <w:b/>
      <w:bCs/>
      <w:kern w:val="2"/>
    </w:rPr>
  </w:style>
  <w:style w:type="paragraph" w:styleId="26">
    <w:name w:val="Body Text First Indent"/>
    <w:basedOn w:val="13"/>
    <w:qFormat/>
    <w:uiPriority w:val="0"/>
    <w:pPr>
      <w:ind w:firstLine="420" w:firstLineChars="100"/>
    </w:pPr>
  </w:style>
  <w:style w:type="paragraph" w:styleId="27">
    <w:name w:val="Body Text First Indent 2"/>
    <w:basedOn w:val="1"/>
    <w:next w:val="1"/>
    <w:qFormat/>
    <w:uiPriority w:val="0"/>
    <w:pPr>
      <w:ind w:firstLine="420"/>
    </w:pPr>
  </w:style>
  <w:style w:type="table" w:styleId="29">
    <w:name w:val="Table Grid"/>
    <w:basedOn w:val="28"/>
    <w:autoRedefine/>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0">
    <w:name w:val="Table Theme"/>
    <w:basedOn w:val="28"/>
    <w:autoRedefine/>
    <w:qFormat/>
    <w:locked/>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page number"/>
    <w:basedOn w:val="31"/>
    <w:autoRedefine/>
    <w:qFormat/>
    <w:locked/>
    <w:uiPriority w:val="99"/>
  </w:style>
  <w:style w:type="character" w:styleId="33">
    <w:name w:val="Emphasis"/>
    <w:basedOn w:val="31"/>
    <w:autoRedefine/>
    <w:qFormat/>
    <w:locked/>
    <w:uiPriority w:val="99"/>
  </w:style>
  <w:style w:type="character" w:styleId="34">
    <w:name w:val="Hyperlink"/>
    <w:basedOn w:val="31"/>
    <w:autoRedefine/>
    <w:qFormat/>
    <w:locked/>
    <w:uiPriority w:val="99"/>
    <w:rPr>
      <w:color w:val="auto"/>
      <w:u w:val="none"/>
    </w:rPr>
  </w:style>
  <w:style w:type="character" w:styleId="35">
    <w:name w:val="HTML Code"/>
    <w:basedOn w:val="31"/>
    <w:autoRedefine/>
    <w:qFormat/>
    <w:locked/>
    <w:uiPriority w:val="99"/>
    <w:rPr>
      <w:rFonts w:ascii="monospace" w:hAnsi="monospace" w:cs="monospace"/>
      <w:sz w:val="21"/>
      <w:szCs w:val="21"/>
    </w:rPr>
  </w:style>
  <w:style w:type="character" w:styleId="36">
    <w:name w:val="annotation reference"/>
    <w:basedOn w:val="31"/>
    <w:autoRedefine/>
    <w:semiHidden/>
    <w:qFormat/>
    <w:uiPriority w:val="99"/>
    <w:rPr>
      <w:sz w:val="21"/>
      <w:szCs w:val="21"/>
    </w:rPr>
  </w:style>
  <w:style w:type="character" w:styleId="37">
    <w:name w:val="HTML Keyboard"/>
    <w:basedOn w:val="31"/>
    <w:autoRedefine/>
    <w:qFormat/>
    <w:locked/>
    <w:uiPriority w:val="99"/>
    <w:rPr>
      <w:rFonts w:ascii="monospace" w:hAnsi="monospace" w:cs="monospace"/>
      <w:sz w:val="21"/>
      <w:szCs w:val="21"/>
    </w:rPr>
  </w:style>
  <w:style w:type="character" w:styleId="38">
    <w:name w:val="HTML Sample"/>
    <w:basedOn w:val="31"/>
    <w:autoRedefine/>
    <w:qFormat/>
    <w:locked/>
    <w:uiPriority w:val="99"/>
    <w:rPr>
      <w:rFonts w:ascii="monospace" w:hAnsi="monospace" w:cs="monospace"/>
      <w:sz w:val="21"/>
      <w:szCs w:val="21"/>
    </w:rPr>
  </w:style>
  <w:style w:type="paragraph" w:customStyle="1" w:styleId="39">
    <w:name w:val="Default"/>
    <w:basedOn w:val="40"/>
    <w:next w:val="41"/>
    <w:autoRedefine/>
    <w:qFormat/>
    <w:uiPriority w:val="99"/>
    <w:pPr>
      <w:autoSpaceDE w:val="0"/>
      <w:autoSpaceDN w:val="0"/>
    </w:pPr>
    <w:rPr>
      <w:rFonts w:ascii="Calibri" w:hAnsi="Calibri" w:cs="Calibri"/>
      <w:color w:val="000000"/>
    </w:rPr>
  </w:style>
  <w:style w:type="paragraph" w:customStyle="1" w:styleId="40">
    <w:name w:val="纯文本1"/>
    <w:basedOn w:val="1"/>
    <w:autoRedefine/>
    <w:qFormat/>
    <w:uiPriority w:val="99"/>
    <w:pPr>
      <w:adjustRightInd w:val="0"/>
      <w:jc w:val="center"/>
      <w:textAlignment w:val="baseline"/>
    </w:pPr>
    <w:rPr>
      <w:rFonts w:ascii="宋体" w:hAnsi="Courier New" w:cs="宋体"/>
      <w:sz w:val="24"/>
      <w:szCs w:val="24"/>
    </w:rPr>
  </w:style>
  <w:style w:type="paragraph" w:customStyle="1" w:styleId="41">
    <w:name w:val="Char Char Char Char Char Char1 Char Char Char Char"/>
    <w:basedOn w:val="1"/>
    <w:next w:val="1"/>
    <w:autoRedefine/>
    <w:semiHidden/>
    <w:qFormat/>
    <w:uiPriority w:val="99"/>
    <w:pPr>
      <w:spacing w:line="360" w:lineRule="auto"/>
      <w:ind w:firstLine="200" w:firstLineChars="200"/>
    </w:pPr>
    <w:rPr>
      <w:rFonts w:ascii="宋体" w:hAnsi="宋体" w:cs="宋体"/>
    </w:rPr>
  </w:style>
  <w:style w:type="paragraph" w:customStyle="1" w:styleId="42">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3">
    <w:name w:val="样式 正文文本缩进 + 行距: 1.5 倍行距"/>
    <w:qFormat/>
    <w:uiPriority w:val="0"/>
    <w:pPr>
      <w:ind w:left="90" w:leftChars="32" w:firstLine="560"/>
    </w:pPr>
    <w:rPr>
      <w:rFonts w:ascii="Times New Roman" w:hAnsi="Times New Roman" w:eastAsia="宋体" w:cs="Times New Roman"/>
    </w:rPr>
  </w:style>
  <w:style w:type="paragraph" w:customStyle="1" w:styleId="44">
    <w:name w:val="T正文"/>
    <w:autoRedefine/>
    <w:qFormat/>
    <w:uiPriority w:val="99"/>
    <w:pPr>
      <w:widowControl w:val="0"/>
      <w:adjustRightInd w:val="0"/>
      <w:snapToGrid w:val="0"/>
      <w:spacing w:line="360" w:lineRule="auto"/>
      <w:ind w:firstLine="200" w:firstLineChars="200"/>
      <w:jc w:val="both"/>
    </w:pPr>
    <w:rPr>
      <w:rFonts w:ascii="Times New Roman" w:hAnsi="Times New Roman" w:eastAsia="仿宋_GB2312" w:cs="Times New Roman"/>
      <w:kern w:val="0"/>
      <w:sz w:val="28"/>
      <w:szCs w:val="28"/>
      <w:lang w:val="en-US" w:eastAsia="zh-CN" w:bidi="ar-SA"/>
    </w:rPr>
  </w:style>
  <w:style w:type="paragraph" w:customStyle="1" w:styleId="45">
    <w:name w:val="样式1"/>
    <w:basedOn w:val="20"/>
    <w:next w:val="14"/>
    <w:autoRedefine/>
    <w:qFormat/>
    <w:uiPriority w:val="99"/>
    <w:pPr>
      <w:tabs>
        <w:tab w:val="right" w:leader="dot" w:pos="9061"/>
        <w:tab w:val="right" w:leader="dot" w:pos="9459"/>
      </w:tabs>
      <w:adjustRightInd w:val="0"/>
      <w:spacing w:line="360" w:lineRule="auto"/>
      <w:outlineLvl w:val="0"/>
    </w:pPr>
    <w:rPr>
      <w:sz w:val="28"/>
      <w:szCs w:val="28"/>
    </w:rPr>
  </w:style>
  <w:style w:type="paragraph" w:customStyle="1" w:styleId="46">
    <w:name w:val="样式5"/>
    <w:basedOn w:val="47"/>
    <w:next w:val="1"/>
    <w:autoRedefine/>
    <w:qFormat/>
    <w:uiPriority w:val="0"/>
    <w:rPr>
      <w:rFonts w:ascii="黑体" w:hAnsi="Times New Roman"/>
    </w:rPr>
  </w:style>
  <w:style w:type="paragraph" w:customStyle="1" w:styleId="47">
    <w:name w:val="正文1"/>
    <w:basedOn w:val="1"/>
    <w:next w:val="1"/>
    <w:autoRedefine/>
    <w:qFormat/>
    <w:uiPriority w:val="0"/>
    <w:pPr>
      <w:widowControl/>
      <w:numPr>
        <w:ilvl w:val="0"/>
        <w:numId w:val="1"/>
      </w:numPr>
      <w:spacing w:line="360" w:lineRule="auto"/>
      <w:ind w:firstLine="482"/>
    </w:pPr>
    <w:rPr>
      <w:kern w:val="0"/>
      <w:sz w:val="24"/>
    </w:rPr>
  </w:style>
  <w:style w:type="character" w:customStyle="1" w:styleId="48">
    <w:name w:val="Heading 1 Char"/>
    <w:basedOn w:val="31"/>
    <w:link w:val="2"/>
    <w:autoRedefine/>
    <w:qFormat/>
    <w:locked/>
    <w:uiPriority w:val="99"/>
    <w:rPr>
      <w:b/>
      <w:bCs/>
      <w:kern w:val="44"/>
      <w:sz w:val="44"/>
      <w:szCs w:val="44"/>
    </w:rPr>
  </w:style>
  <w:style w:type="character" w:customStyle="1" w:styleId="49">
    <w:name w:val="Heading 2 Char"/>
    <w:basedOn w:val="31"/>
    <w:link w:val="3"/>
    <w:autoRedefine/>
    <w:semiHidden/>
    <w:qFormat/>
    <w:locked/>
    <w:uiPriority w:val="99"/>
    <w:rPr>
      <w:rFonts w:ascii="Cambria" w:hAnsi="Cambria" w:eastAsia="宋体" w:cs="Cambria"/>
      <w:b/>
      <w:bCs/>
      <w:sz w:val="32"/>
      <w:szCs w:val="32"/>
    </w:rPr>
  </w:style>
  <w:style w:type="character" w:customStyle="1" w:styleId="50">
    <w:name w:val="Heading 3 Char"/>
    <w:basedOn w:val="31"/>
    <w:link w:val="4"/>
    <w:autoRedefine/>
    <w:semiHidden/>
    <w:qFormat/>
    <w:locked/>
    <w:uiPriority w:val="99"/>
    <w:rPr>
      <w:b/>
      <w:bCs/>
      <w:sz w:val="32"/>
      <w:szCs w:val="32"/>
    </w:rPr>
  </w:style>
  <w:style w:type="character" w:customStyle="1" w:styleId="51">
    <w:name w:val="Heading 4 Char"/>
    <w:basedOn w:val="31"/>
    <w:link w:val="5"/>
    <w:autoRedefine/>
    <w:semiHidden/>
    <w:qFormat/>
    <w:locked/>
    <w:uiPriority w:val="99"/>
    <w:rPr>
      <w:rFonts w:ascii="Cambria" w:hAnsi="Cambria" w:eastAsia="宋体" w:cs="Cambria"/>
      <w:b/>
      <w:bCs/>
      <w:sz w:val="28"/>
      <w:szCs w:val="28"/>
    </w:rPr>
  </w:style>
  <w:style w:type="character" w:customStyle="1" w:styleId="52">
    <w:name w:val="Comment Text Char"/>
    <w:basedOn w:val="31"/>
    <w:link w:val="11"/>
    <w:autoRedefine/>
    <w:qFormat/>
    <w:locked/>
    <w:uiPriority w:val="99"/>
    <w:rPr>
      <w:rFonts w:ascii="Times New Roman" w:hAnsi="Times New Roman" w:eastAsia="宋体" w:cs="Times New Roman"/>
      <w:sz w:val="24"/>
      <w:szCs w:val="24"/>
    </w:rPr>
  </w:style>
  <w:style w:type="character" w:customStyle="1" w:styleId="53">
    <w:name w:val="Salutation Char"/>
    <w:basedOn w:val="31"/>
    <w:link w:val="12"/>
    <w:autoRedefine/>
    <w:semiHidden/>
    <w:qFormat/>
    <w:locked/>
    <w:uiPriority w:val="99"/>
    <w:rPr>
      <w:sz w:val="21"/>
      <w:szCs w:val="21"/>
    </w:rPr>
  </w:style>
  <w:style w:type="character" w:customStyle="1" w:styleId="54">
    <w:name w:val="Plain Text Char"/>
    <w:basedOn w:val="31"/>
    <w:link w:val="15"/>
    <w:autoRedefine/>
    <w:semiHidden/>
    <w:qFormat/>
    <w:locked/>
    <w:uiPriority w:val="99"/>
    <w:rPr>
      <w:rFonts w:ascii="宋体" w:hAnsi="Courier New" w:cs="宋体"/>
      <w:sz w:val="21"/>
      <w:szCs w:val="21"/>
    </w:rPr>
  </w:style>
  <w:style w:type="character" w:customStyle="1" w:styleId="55">
    <w:name w:val="Date Char"/>
    <w:basedOn w:val="31"/>
    <w:link w:val="16"/>
    <w:autoRedefine/>
    <w:qFormat/>
    <w:locked/>
    <w:uiPriority w:val="99"/>
    <w:rPr>
      <w:rFonts w:ascii="Times New Roman" w:hAnsi="Times New Roman" w:eastAsia="宋体" w:cs="Times New Roman"/>
      <w:sz w:val="24"/>
      <w:szCs w:val="24"/>
    </w:rPr>
  </w:style>
  <w:style w:type="character" w:customStyle="1" w:styleId="56">
    <w:name w:val="Balloon Text Char"/>
    <w:basedOn w:val="31"/>
    <w:link w:val="17"/>
    <w:autoRedefine/>
    <w:semiHidden/>
    <w:qFormat/>
    <w:locked/>
    <w:uiPriority w:val="99"/>
    <w:rPr>
      <w:rFonts w:ascii="Times New Roman" w:hAnsi="Times New Roman" w:eastAsia="宋体" w:cs="Times New Roman"/>
      <w:sz w:val="18"/>
      <w:szCs w:val="18"/>
    </w:rPr>
  </w:style>
  <w:style w:type="character" w:customStyle="1" w:styleId="57">
    <w:name w:val="Footer Char"/>
    <w:basedOn w:val="31"/>
    <w:link w:val="18"/>
    <w:autoRedefine/>
    <w:semiHidden/>
    <w:qFormat/>
    <w:uiPriority w:val="99"/>
    <w:rPr>
      <w:sz w:val="18"/>
      <w:szCs w:val="18"/>
    </w:rPr>
  </w:style>
  <w:style w:type="character" w:customStyle="1" w:styleId="58">
    <w:name w:val="Header Char"/>
    <w:basedOn w:val="31"/>
    <w:link w:val="19"/>
    <w:autoRedefine/>
    <w:semiHidden/>
    <w:qFormat/>
    <w:uiPriority w:val="99"/>
    <w:rPr>
      <w:sz w:val="18"/>
      <w:szCs w:val="18"/>
    </w:rPr>
  </w:style>
  <w:style w:type="character" w:customStyle="1" w:styleId="59">
    <w:name w:val="Comment Subject Char"/>
    <w:basedOn w:val="52"/>
    <w:link w:val="25"/>
    <w:autoRedefine/>
    <w:semiHidden/>
    <w:qFormat/>
    <w:locked/>
    <w:uiPriority w:val="99"/>
    <w:rPr>
      <w:b/>
      <w:bCs/>
      <w:kern w:val="2"/>
    </w:rPr>
  </w:style>
  <w:style w:type="paragraph" w:customStyle="1" w:styleId="60">
    <w:name w:val="xl27"/>
    <w:basedOn w:val="1"/>
    <w:next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61">
    <w:name w:val="文本"/>
    <w:basedOn w:val="1"/>
    <w:next w:val="1"/>
    <w:autoRedefine/>
    <w:qFormat/>
    <w:uiPriority w:val="99"/>
    <w:pPr>
      <w:autoSpaceDE w:val="0"/>
      <w:autoSpaceDN w:val="0"/>
      <w:ind w:firstLine="480"/>
    </w:pPr>
    <w:rPr>
      <w:lang w:val="zh-CN"/>
    </w:rPr>
  </w:style>
  <w:style w:type="paragraph" w:customStyle="1" w:styleId="62">
    <w:name w:val="A正文"/>
    <w:basedOn w:val="1"/>
    <w:autoRedefine/>
    <w:qFormat/>
    <w:uiPriority w:val="99"/>
    <w:pPr>
      <w:spacing w:line="360" w:lineRule="auto"/>
      <w:ind w:firstLine="200" w:firstLineChars="200"/>
    </w:pPr>
    <w:rPr>
      <w:sz w:val="24"/>
      <w:szCs w:val="24"/>
    </w:rPr>
  </w:style>
  <w:style w:type="character" w:customStyle="1" w:styleId="63">
    <w:name w:val="Normal (Web) Char"/>
    <w:link w:val="24"/>
    <w:autoRedefine/>
    <w:qFormat/>
    <w:locked/>
    <w:uiPriority w:val="99"/>
    <w:rPr>
      <w:rFonts w:ascii="宋体" w:hAnsi="宋体" w:eastAsia="宋体" w:cs="宋体"/>
      <w:sz w:val="24"/>
      <w:szCs w:val="24"/>
    </w:rPr>
  </w:style>
  <w:style w:type="character" w:customStyle="1" w:styleId="64">
    <w:name w:val="font81"/>
    <w:autoRedefine/>
    <w:qFormat/>
    <w:uiPriority w:val="99"/>
    <w:rPr>
      <w:rFonts w:ascii="宋体" w:hAnsi="宋体" w:eastAsia="宋体" w:cs="宋体"/>
      <w:color w:val="000000"/>
      <w:sz w:val="18"/>
      <w:szCs w:val="18"/>
      <w:u w:val="none"/>
    </w:rPr>
  </w:style>
  <w:style w:type="character" w:customStyle="1" w:styleId="65">
    <w:name w:val="表格 Char"/>
    <w:link w:val="66"/>
    <w:autoRedefine/>
    <w:qFormat/>
    <w:locked/>
    <w:uiPriority w:val="99"/>
    <w:rPr>
      <w:rFonts w:ascii="宋体" w:cs="宋体"/>
      <w:sz w:val="21"/>
      <w:szCs w:val="21"/>
    </w:rPr>
  </w:style>
  <w:style w:type="paragraph" w:customStyle="1" w:styleId="66">
    <w:name w:val="表格"/>
    <w:basedOn w:val="67"/>
    <w:next w:val="1"/>
    <w:link w:val="65"/>
    <w:autoRedefine/>
    <w:qFormat/>
    <w:uiPriority w:val="99"/>
    <w:pPr>
      <w:adjustRightInd w:val="0"/>
      <w:snapToGrid w:val="0"/>
      <w:spacing w:beforeLines="10" w:afterLines="10" w:line="259" w:lineRule="auto"/>
    </w:pPr>
    <w:rPr>
      <w:rFonts w:ascii="宋体" w:eastAsia="宋体" w:cs="宋体"/>
    </w:rPr>
  </w:style>
  <w:style w:type="paragraph" w:customStyle="1" w:styleId="67">
    <w:name w:val="图示"/>
    <w:basedOn w:val="1"/>
    <w:autoRedefine/>
    <w:qFormat/>
    <w:uiPriority w:val="99"/>
    <w:pPr>
      <w:jc w:val="center"/>
    </w:pPr>
    <w:rPr>
      <w:rFonts w:eastAsia="黑体"/>
      <w:kern w:val="0"/>
    </w:rPr>
  </w:style>
  <w:style w:type="character" w:customStyle="1" w:styleId="68">
    <w:name w:val="日期 字符"/>
    <w:autoRedefine/>
    <w:semiHidden/>
    <w:qFormat/>
    <w:uiPriority w:val="99"/>
    <w:rPr>
      <w:rFonts w:ascii="Times New Roman" w:hAnsi="Times New Roman" w:eastAsia="宋体" w:cs="Times New Roman"/>
      <w:sz w:val="24"/>
      <w:szCs w:val="24"/>
    </w:rPr>
  </w:style>
  <w:style w:type="character" w:customStyle="1" w:styleId="69">
    <w:name w:val="表格内容 Char"/>
    <w:link w:val="70"/>
    <w:autoRedefine/>
    <w:qFormat/>
    <w:locked/>
    <w:uiPriority w:val="99"/>
    <w:rPr>
      <w:sz w:val="21"/>
      <w:szCs w:val="21"/>
    </w:rPr>
  </w:style>
  <w:style w:type="paragraph" w:customStyle="1" w:styleId="70">
    <w:name w:val="表格内容"/>
    <w:basedOn w:val="71"/>
    <w:next w:val="1"/>
    <w:link w:val="69"/>
    <w:autoRedefine/>
    <w:qFormat/>
    <w:uiPriority w:val="99"/>
    <w:pPr>
      <w:widowControl w:val="0"/>
      <w:adjustRightInd w:val="0"/>
      <w:spacing w:line="300" w:lineRule="auto"/>
    </w:pPr>
    <w:rPr>
      <w:rFonts w:eastAsia="宋体"/>
      <w:sz w:val="21"/>
      <w:szCs w:val="21"/>
    </w:rPr>
  </w:style>
  <w:style w:type="paragraph" w:customStyle="1" w:styleId="71">
    <w:name w:val="表格标题"/>
    <w:basedOn w:val="13"/>
    <w:next w:val="70"/>
    <w:autoRedefine/>
    <w:qFormat/>
    <w:uiPriority w:val="99"/>
    <w:pPr>
      <w:spacing w:before="120" w:after="60" w:line="240" w:lineRule="auto"/>
      <w:jc w:val="center"/>
    </w:pPr>
    <w:rPr>
      <w:rFonts w:ascii="Times New Roman" w:hAnsi="Times New Roman" w:eastAsia="黑体" w:cs="Times New Roman"/>
    </w:rPr>
  </w:style>
  <w:style w:type="paragraph" w:customStyle="1" w:styleId="72">
    <w:name w:val="表格式"/>
    <w:basedOn w:val="1"/>
    <w:autoRedefine/>
    <w:qFormat/>
    <w:uiPriority w:val="99"/>
    <w:pPr>
      <w:spacing w:beforeLines="50" w:afterLines="50" w:line="200" w:lineRule="exact"/>
      <w:jc w:val="center"/>
    </w:pPr>
  </w:style>
  <w:style w:type="paragraph" w:customStyle="1" w:styleId="73">
    <w:name w:val="表1"/>
    <w:basedOn w:val="1"/>
    <w:autoRedefine/>
    <w:qFormat/>
    <w:uiPriority w:val="99"/>
    <w:pPr>
      <w:ind w:firstLine="723" w:firstLineChars="200"/>
      <w:jc w:val="center"/>
    </w:pPr>
    <w:rPr>
      <w:b/>
      <w:bCs/>
    </w:rPr>
  </w:style>
  <w:style w:type="paragraph" w:customStyle="1" w:styleId="74">
    <w:name w:val="表标题"/>
    <w:autoRedefine/>
    <w:qFormat/>
    <w:uiPriority w:val="99"/>
    <w:pPr>
      <w:adjustRightInd w:val="0"/>
      <w:spacing w:after="60" w:line="500" w:lineRule="exact"/>
      <w:ind w:firstLine="0" w:firstLineChars="0"/>
      <w:jc w:val="center"/>
    </w:pPr>
    <w:rPr>
      <w:rFonts w:ascii="Calibri" w:hAnsi="Calibri" w:eastAsia="宋体" w:cs="Calibri"/>
      <w:b/>
      <w:bCs/>
      <w:kern w:val="2"/>
    </w:rPr>
  </w:style>
  <w:style w:type="paragraph" w:customStyle="1" w:styleId="75">
    <w:name w:val="表2"/>
    <w:basedOn w:val="1"/>
    <w:autoRedefine/>
    <w:qFormat/>
    <w:uiPriority w:val="99"/>
    <w:pPr>
      <w:jc w:val="center"/>
    </w:pPr>
  </w:style>
  <w:style w:type="paragraph" w:customStyle="1" w:styleId="76">
    <w:name w:val="表头"/>
    <w:link w:val="97"/>
    <w:autoRedefine/>
    <w:qFormat/>
    <w:uiPriority w:val="99"/>
    <w:pPr>
      <w:adjustRightInd w:val="0"/>
      <w:spacing w:line="500" w:lineRule="exact"/>
      <w:ind w:firstLine="560"/>
      <w:jc w:val="center"/>
      <w:textAlignment w:val="baseline"/>
    </w:pPr>
    <w:rPr>
      <w:rFonts w:ascii="宋体" w:hAnsi="Times New Roman" w:eastAsia="宋体" w:cs="宋体"/>
      <w:b/>
      <w:bCs/>
      <w:kern w:val="0"/>
      <w:sz w:val="28"/>
      <w:szCs w:val="28"/>
      <w:lang w:val="en-US" w:eastAsia="zh-CN" w:bidi="ar-SA"/>
    </w:rPr>
  </w:style>
  <w:style w:type="paragraph" w:customStyle="1" w:styleId="77">
    <w:name w:val="Table Paragraph"/>
    <w:basedOn w:val="1"/>
    <w:autoRedefine/>
    <w:qFormat/>
    <w:uiPriority w:val="99"/>
    <w:pPr>
      <w:jc w:val="left"/>
    </w:pPr>
    <w:rPr>
      <w:rFonts w:ascii="Calibri" w:hAnsi="Calibri" w:cs="Calibri"/>
      <w:sz w:val="22"/>
      <w:szCs w:val="22"/>
      <w:lang w:eastAsia="en-US"/>
    </w:rPr>
  </w:style>
  <w:style w:type="paragraph" w:customStyle="1" w:styleId="78">
    <w:name w:val="Char Char Char1 Char Char Char Char Char Char Char"/>
    <w:basedOn w:val="1"/>
    <w:autoRedefine/>
    <w:qFormat/>
    <w:uiPriority w:val="99"/>
    <w:rPr>
      <w:rFonts w:ascii="等线" w:hAnsi="等线" w:cs="等线"/>
      <w:spacing w:val="-2"/>
      <w:kern w:val="0"/>
    </w:rPr>
  </w:style>
  <w:style w:type="paragraph" w:customStyle="1" w:styleId="79">
    <w:name w:val="普通(网站)2"/>
    <w:basedOn w:val="1"/>
    <w:autoRedefine/>
    <w:qFormat/>
    <w:uiPriority w:val="99"/>
    <w:pPr>
      <w:widowControl/>
      <w:spacing w:before="100" w:beforeAutospacing="1" w:after="100" w:afterAutospacing="1"/>
      <w:jc w:val="left"/>
    </w:pPr>
    <w:rPr>
      <w:rFonts w:ascii="宋体" w:hAnsi="宋体" w:cs="宋体"/>
      <w:sz w:val="24"/>
      <w:szCs w:val="24"/>
    </w:rPr>
  </w:style>
  <w:style w:type="paragraph" w:customStyle="1" w:styleId="80">
    <w:name w:val="三级标题"/>
    <w:basedOn w:val="1"/>
    <w:autoRedefine/>
    <w:qFormat/>
    <w:uiPriority w:val="99"/>
    <w:pPr>
      <w:spacing w:line="300" w:lineRule="exact"/>
      <w:jc w:val="center"/>
    </w:pPr>
  </w:style>
  <w:style w:type="paragraph" w:customStyle="1" w:styleId="81">
    <w:name w:val="表格正文"/>
    <w:basedOn w:val="1"/>
    <w:autoRedefine/>
    <w:qFormat/>
    <w:uiPriority w:val="99"/>
    <w:pPr>
      <w:widowControl/>
      <w:adjustRightInd w:val="0"/>
      <w:snapToGrid w:val="0"/>
      <w:spacing w:line="360" w:lineRule="exact"/>
      <w:jc w:val="center"/>
    </w:pPr>
    <w:rPr>
      <w:sz w:val="20"/>
      <w:szCs w:val="20"/>
    </w:rPr>
  </w:style>
  <w:style w:type="paragraph" w:customStyle="1" w:styleId="82">
    <w:name w:val="表格CAT"/>
    <w:autoRedefine/>
    <w:qFormat/>
    <w:uiPriority w:val="99"/>
    <w:pPr>
      <w:tabs>
        <w:tab w:val="left" w:pos="277"/>
        <w:tab w:val="left" w:pos="600"/>
        <w:tab w:val="left" w:pos="780"/>
        <w:tab w:val="left" w:pos="2517"/>
      </w:tabs>
      <w:adjustRightInd w:val="0"/>
      <w:jc w:val="center"/>
      <w:textAlignment w:val="baseline"/>
    </w:pPr>
    <w:rPr>
      <w:rFonts w:ascii="Times New Roman" w:hAnsi="Times New Roman" w:eastAsia="宋体" w:cs="Times New Roman"/>
      <w:color w:val="000000"/>
      <w:kern w:val="0"/>
      <w:sz w:val="18"/>
      <w:szCs w:val="18"/>
      <w:lang w:val="en-GB" w:eastAsia="zh-CN" w:bidi="ar-SA"/>
    </w:rPr>
  </w:style>
  <w:style w:type="table" w:customStyle="1" w:styleId="83">
    <w:name w:val="网格型3"/>
    <w:autoRedefine/>
    <w:qFormat/>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4">
    <w:name w:val="表内文字"/>
    <w:basedOn w:val="1"/>
    <w:autoRedefine/>
    <w:qFormat/>
    <w:uiPriority w:val="99"/>
    <w:pPr>
      <w:adjustRightInd w:val="0"/>
      <w:jc w:val="center"/>
      <w:textAlignment w:val="baseline"/>
    </w:pPr>
  </w:style>
  <w:style w:type="character" w:customStyle="1" w:styleId="85">
    <w:name w:val="checkbox"/>
    <w:basedOn w:val="31"/>
    <w:autoRedefine/>
    <w:qFormat/>
    <w:uiPriority w:val="99"/>
  </w:style>
  <w:style w:type="character" w:customStyle="1" w:styleId="86">
    <w:name w:val="chakan"/>
    <w:basedOn w:val="31"/>
    <w:autoRedefine/>
    <w:qFormat/>
    <w:uiPriority w:val="99"/>
    <w:rPr>
      <w:color w:val="auto"/>
    </w:rPr>
  </w:style>
  <w:style w:type="character" w:customStyle="1" w:styleId="87">
    <w:name w:val="shenbao"/>
    <w:basedOn w:val="31"/>
    <w:autoRedefine/>
    <w:qFormat/>
    <w:uiPriority w:val="99"/>
    <w:rPr>
      <w:color w:val="auto"/>
    </w:rPr>
  </w:style>
  <w:style w:type="character" w:customStyle="1" w:styleId="88">
    <w:name w:val="checkbox2"/>
    <w:basedOn w:val="31"/>
    <w:autoRedefine/>
    <w:qFormat/>
    <w:uiPriority w:val="99"/>
  </w:style>
  <w:style w:type="paragraph" w:customStyle="1" w:styleId="89">
    <w:name w:val="表格123"/>
    <w:basedOn w:val="1"/>
    <w:autoRedefine/>
    <w:qFormat/>
    <w:uiPriority w:val="99"/>
    <w:pPr>
      <w:jc w:val="center"/>
    </w:pPr>
    <w:rPr>
      <w:rFonts w:ascii="宋体" w:hAnsi="宋体" w:cs="宋体"/>
    </w:rPr>
  </w:style>
  <w:style w:type="paragraph" w:customStyle="1" w:styleId="90">
    <w:name w:val="题注123"/>
    <w:basedOn w:val="1"/>
    <w:autoRedefine/>
    <w:qFormat/>
    <w:uiPriority w:val="99"/>
    <w:pPr>
      <w:keepNext/>
      <w:jc w:val="center"/>
    </w:pPr>
    <w:rPr>
      <w:b/>
      <w:bCs/>
    </w:rPr>
  </w:style>
  <w:style w:type="character" w:customStyle="1" w:styleId="91">
    <w:name w:val="font21"/>
    <w:basedOn w:val="31"/>
    <w:autoRedefine/>
    <w:qFormat/>
    <w:uiPriority w:val="99"/>
    <w:rPr>
      <w:rFonts w:ascii="宋体" w:hAnsi="宋体" w:eastAsia="宋体" w:cs="宋体"/>
      <w:b/>
      <w:bCs/>
      <w:color w:val="000000"/>
      <w:sz w:val="24"/>
      <w:szCs w:val="24"/>
      <w:u w:val="none"/>
      <w:vertAlign w:val="subscript"/>
    </w:rPr>
  </w:style>
  <w:style w:type="paragraph" w:customStyle="1" w:styleId="92">
    <w:name w:val="报告正文"/>
    <w:basedOn w:val="1"/>
    <w:autoRedefine/>
    <w:qFormat/>
    <w:uiPriority w:val="99"/>
    <w:pPr>
      <w:adjustRightInd w:val="0"/>
      <w:snapToGrid w:val="0"/>
      <w:spacing w:line="360" w:lineRule="auto"/>
      <w:ind w:firstLine="200" w:firstLineChars="200"/>
    </w:pPr>
    <w:rPr>
      <w:kern w:val="0"/>
      <w:sz w:val="24"/>
      <w:szCs w:val="24"/>
    </w:rPr>
  </w:style>
  <w:style w:type="paragraph" w:customStyle="1" w:styleId="93">
    <w:name w:val="段"/>
    <w:autoRedefine/>
    <w:qFormat/>
    <w:uiPriority w:val="99"/>
    <w:pPr>
      <w:autoSpaceDE w:val="0"/>
      <w:autoSpaceDN w:val="0"/>
      <w:ind w:firstLine="200" w:firstLineChars="200"/>
      <w:jc w:val="both"/>
    </w:pPr>
    <w:rPr>
      <w:rFonts w:ascii="宋体" w:hAnsi="Times New Roman" w:eastAsia="宋体" w:cs="宋体"/>
      <w:kern w:val="0"/>
      <w:sz w:val="21"/>
      <w:szCs w:val="21"/>
      <w:lang w:val="en-US" w:eastAsia="zh-CN" w:bidi="ar-SA"/>
    </w:rPr>
  </w:style>
  <w:style w:type="paragraph" w:customStyle="1" w:styleId="94">
    <w:name w:val="报告"/>
    <w:basedOn w:val="1"/>
    <w:autoRedefine/>
    <w:qFormat/>
    <w:uiPriority w:val="99"/>
    <w:pPr>
      <w:autoSpaceDE w:val="0"/>
      <w:autoSpaceDN w:val="0"/>
      <w:adjustRightInd w:val="0"/>
      <w:ind w:firstLine="505"/>
      <w:jc w:val="left"/>
      <w:textAlignment w:val="baseline"/>
    </w:pPr>
    <w:rPr>
      <w:kern w:val="0"/>
    </w:rPr>
  </w:style>
  <w:style w:type="table" w:customStyle="1" w:styleId="95">
    <w:name w:val="Table Normal1"/>
    <w:autoRedefine/>
    <w:semiHidden/>
    <w:qFormat/>
    <w:uiPriority w:val="99"/>
    <w:rPr>
      <w:kern w:val="0"/>
      <w:sz w:val="20"/>
      <w:szCs w:val="20"/>
    </w:rPr>
    <w:tblPr>
      <w:tblCellMar>
        <w:top w:w="0" w:type="dxa"/>
        <w:left w:w="0" w:type="dxa"/>
        <w:bottom w:w="0" w:type="dxa"/>
        <w:right w:w="0" w:type="dxa"/>
      </w:tblCellMar>
    </w:tblPr>
  </w:style>
  <w:style w:type="paragraph" w:customStyle="1" w:styleId="96">
    <w:name w:val="表格名称"/>
    <w:basedOn w:val="1"/>
    <w:autoRedefine/>
    <w:qFormat/>
    <w:uiPriority w:val="99"/>
    <w:pPr>
      <w:spacing w:beforeLines="50"/>
      <w:jc w:val="center"/>
    </w:pPr>
    <w:rPr>
      <w:b/>
      <w:bCs/>
    </w:rPr>
  </w:style>
  <w:style w:type="character" w:customStyle="1" w:styleId="97">
    <w:name w:val="表头 Char Char"/>
    <w:link w:val="76"/>
    <w:autoRedefine/>
    <w:qFormat/>
    <w:locked/>
    <w:uiPriority w:val="99"/>
    <w:rPr>
      <w:rFonts w:ascii="宋体" w:eastAsia="宋体" w:cs="宋体"/>
      <w:b/>
      <w:bCs/>
      <w:sz w:val="28"/>
      <w:szCs w:val="28"/>
    </w:rPr>
  </w:style>
  <w:style w:type="character" w:customStyle="1" w:styleId="98">
    <w:name w:val="font01"/>
    <w:basedOn w:val="31"/>
    <w:autoRedefine/>
    <w:qFormat/>
    <w:uiPriority w:val="99"/>
    <w:rPr>
      <w:rFonts w:ascii="宋体" w:hAnsi="宋体" w:eastAsia="宋体" w:cs="宋体"/>
      <w:color w:val="000000"/>
      <w:sz w:val="22"/>
      <w:szCs w:val="22"/>
      <w:u w:val="none"/>
    </w:rPr>
  </w:style>
  <w:style w:type="character" w:customStyle="1" w:styleId="99">
    <w:name w:val="font11"/>
    <w:autoRedefine/>
    <w:qFormat/>
    <w:uiPriority w:val="99"/>
    <w:rPr>
      <w:rFonts w:ascii="Tahoma" w:hAnsi="Tahoma" w:cs="Tahoma"/>
      <w:b/>
      <w:bCs/>
      <w:color w:val="000000"/>
      <w:sz w:val="28"/>
      <w:szCs w:val="28"/>
      <w:u w:val="none"/>
    </w:rPr>
  </w:style>
  <w:style w:type="paragraph" w:customStyle="1" w:styleId="100">
    <w:name w:val="标号正文"/>
    <w:basedOn w:val="1"/>
    <w:next w:val="1"/>
    <w:autoRedefine/>
    <w:qFormat/>
    <w:uiPriority w:val="99"/>
    <w:pPr>
      <w:tabs>
        <w:tab w:val="left" w:pos="1540"/>
      </w:tabs>
      <w:overflowPunct w:val="0"/>
      <w:snapToGrid w:val="0"/>
      <w:ind w:firstLine="1040"/>
      <w:jc w:val="left"/>
    </w:pPr>
    <w:rPr>
      <w:rFonts w:ascii="Arial" w:hAnsi="Arial" w:cs="Arial"/>
    </w:rPr>
  </w:style>
  <w:style w:type="table" w:customStyle="1" w:styleId="101">
    <w:name w:val="Table Normal2"/>
    <w:autoRedefine/>
    <w:semiHidden/>
    <w:qFormat/>
    <w:uiPriority w:val="99"/>
    <w:rPr>
      <w:kern w:val="0"/>
      <w:sz w:val="20"/>
      <w:szCs w:val="20"/>
    </w:rPr>
    <w:tblPr>
      <w:tblCellMar>
        <w:top w:w="0" w:type="dxa"/>
        <w:left w:w="0" w:type="dxa"/>
        <w:bottom w:w="0" w:type="dxa"/>
        <w:right w:w="0" w:type="dxa"/>
      </w:tblCellMar>
    </w:tblPr>
  </w:style>
  <w:style w:type="paragraph" w:customStyle="1" w:styleId="102">
    <w:name w:val="1统一正文样式"/>
    <w:basedOn w:val="1"/>
    <w:autoRedefine/>
    <w:qFormat/>
    <w:uiPriority w:val="99"/>
    <w:pPr>
      <w:spacing w:line="360" w:lineRule="auto"/>
      <w:ind w:firstLine="200" w:firstLineChars="200"/>
      <w:jc w:val="left"/>
    </w:pPr>
  </w:style>
  <w:style w:type="paragraph" w:customStyle="1" w:styleId="103">
    <w:name w:val="1统一表头图底样式"/>
    <w:basedOn w:val="104"/>
    <w:next w:val="1"/>
    <w:autoRedefine/>
    <w:qFormat/>
    <w:uiPriority w:val="99"/>
    <w:rPr>
      <w:rFonts w:ascii="Times New Roman" w:hAnsi="Times New Roman" w:cs="Times New Roman"/>
      <w:sz w:val="21"/>
      <w:szCs w:val="21"/>
    </w:rPr>
  </w:style>
  <w:style w:type="paragraph" w:customStyle="1" w:styleId="104">
    <w:name w:val="11111111111"/>
    <w:basedOn w:val="1"/>
    <w:autoRedefine/>
    <w:qFormat/>
    <w:uiPriority w:val="99"/>
    <w:pPr>
      <w:jc w:val="center"/>
    </w:pPr>
    <w:rPr>
      <w:rFonts w:ascii="Calibri" w:hAnsi="Calibri" w:cs="Calibri"/>
      <w:b/>
      <w:bCs/>
      <w:kern w:val="0"/>
      <w:sz w:val="20"/>
      <w:szCs w:val="20"/>
    </w:rPr>
  </w:style>
  <w:style w:type="paragraph" w:customStyle="1" w:styleId="105">
    <w:name w:val="1统一表样式"/>
    <w:basedOn w:val="1"/>
    <w:autoRedefine/>
    <w:qFormat/>
    <w:uiPriority w:val="99"/>
    <w:pPr>
      <w:jc w:val="center"/>
    </w:pPr>
  </w:style>
  <w:style w:type="paragraph" w:customStyle="1" w:styleId="106">
    <w:name w:val="Other|1"/>
    <w:basedOn w:val="1"/>
    <w:autoRedefine/>
    <w:qFormat/>
    <w:uiPriority w:val="99"/>
    <w:pPr>
      <w:jc w:val="center"/>
    </w:pPr>
    <w:rPr>
      <w:sz w:val="20"/>
      <w:szCs w:val="20"/>
    </w:rPr>
  </w:style>
  <w:style w:type="paragraph" w:customStyle="1" w:styleId="107">
    <w:name w:val="MsoNormal"/>
    <w:basedOn w:val="1"/>
    <w:autoRedefine/>
    <w:qFormat/>
    <w:uiPriority w:val="99"/>
    <w:rPr>
      <w:rFonts w:ascii="Calibri" w:hAnsi="Calibri" w:cs="Calibri"/>
    </w:rPr>
  </w:style>
  <w:style w:type="table" w:customStyle="1" w:styleId="108">
    <w:name w:val="MsoTableGrid"/>
    <w:autoRedefine/>
    <w:qFormat/>
    <w:uiPriority w:val="99"/>
    <w:rPr>
      <w:rFonts w:ascii="Calibri" w:hAnsi="Calibri" w:cs="Calibri"/>
      <w:kern w:val="0"/>
      <w:sz w:val="20"/>
      <w:szCs w:val="20"/>
    </w:rPr>
    <w:tblPr>
      <w:tblCellMar>
        <w:top w:w="0" w:type="dxa"/>
        <w:left w:w="108" w:type="dxa"/>
        <w:bottom w:w="0" w:type="dxa"/>
        <w:right w:w="108" w:type="dxa"/>
      </w:tblCellMar>
    </w:tblPr>
  </w:style>
  <w:style w:type="paragraph" w:customStyle="1" w:styleId="109">
    <w:name w:val="Table Text"/>
    <w:basedOn w:val="1"/>
    <w:autoRedefine/>
    <w:semiHidden/>
    <w:qFormat/>
    <w:uiPriority w:val="99"/>
    <w:rPr>
      <w:sz w:val="24"/>
      <w:szCs w:val="24"/>
      <w:lang w:eastAsia="en-US"/>
    </w:rPr>
  </w:style>
  <w:style w:type="paragraph" w:customStyle="1" w:styleId="110">
    <w:name w:val="*正文"/>
    <w:autoRedefine/>
    <w:qFormat/>
    <w:uiPriority w:val="99"/>
    <w:pPr>
      <w:spacing w:line="360" w:lineRule="auto"/>
      <w:ind w:firstLine="200" w:firstLineChars="200"/>
      <w:jc w:val="both"/>
      <w:textAlignment w:val="baseline"/>
    </w:pPr>
    <w:rPr>
      <w:rFonts w:ascii="Times New Roman" w:hAnsi="Times New Roman" w:eastAsia="宋体" w:cs="Times New Roman"/>
      <w:color w:val="000000"/>
      <w:kern w:val="0"/>
      <w:sz w:val="24"/>
      <w:szCs w:val="24"/>
      <w:lang w:val="en-US" w:eastAsia="zh-CN" w:bidi="ar-SA"/>
    </w:rPr>
  </w:style>
  <w:style w:type="character" w:customStyle="1" w:styleId="111">
    <w:name w:val="bds_more4"/>
    <w:basedOn w:val="31"/>
    <w:autoRedefine/>
    <w:qFormat/>
    <w:uiPriority w:val="99"/>
    <w:rPr>
      <w:rFonts w:ascii="宋体" w:hAnsi="宋体" w:eastAsia="宋体" w:cs="宋体"/>
    </w:rPr>
  </w:style>
  <w:style w:type="character" w:customStyle="1" w:styleId="112">
    <w:name w:val="bds_more5"/>
    <w:basedOn w:val="31"/>
    <w:autoRedefine/>
    <w:qFormat/>
    <w:uiPriority w:val="99"/>
  </w:style>
  <w:style w:type="character" w:customStyle="1" w:styleId="113">
    <w:name w:val="bds_more6"/>
    <w:basedOn w:val="31"/>
    <w:autoRedefine/>
    <w:qFormat/>
    <w:uiPriority w:val="99"/>
  </w:style>
  <w:style w:type="character" w:customStyle="1" w:styleId="114">
    <w:name w:val="bds_nopic"/>
    <w:basedOn w:val="31"/>
    <w:autoRedefine/>
    <w:qFormat/>
    <w:uiPriority w:val="99"/>
  </w:style>
  <w:style w:type="character" w:customStyle="1" w:styleId="115">
    <w:name w:val="bds_nopic1"/>
    <w:basedOn w:val="31"/>
    <w:autoRedefine/>
    <w:qFormat/>
    <w:uiPriority w:val="99"/>
  </w:style>
  <w:style w:type="character" w:customStyle="1" w:styleId="116">
    <w:name w:val="bds_nopic2"/>
    <w:basedOn w:val="31"/>
    <w:autoRedefine/>
    <w:qFormat/>
    <w:uiPriority w:val="99"/>
  </w:style>
  <w:style w:type="character" w:customStyle="1" w:styleId="117">
    <w:name w:val="bds_more"/>
    <w:basedOn w:val="31"/>
    <w:autoRedefine/>
    <w:qFormat/>
    <w:uiPriority w:val="99"/>
    <w:rPr>
      <w:rFonts w:ascii="宋体" w:hAnsi="宋体" w:eastAsia="宋体" w:cs="宋体"/>
    </w:rPr>
  </w:style>
  <w:style w:type="character" w:customStyle="1" w:styleId="118">
    <w:name w:val="bds_more1"/>
    <w:basedOn w:val="31"/>
    <w:autoRedefine/>
    <w:qFormat/>
    <w:uiPriority w:val="99"/>
  </w:style>
  <w:style w:type="character" w:customStyle="1" w:styleId="119">
    <w:name w:val="bds_more2"/>
    <w:basedOn w:val="31"/>
    <w:autoRedefine/>
    <w:qFormat/>
    <w:uiPriority w:val="99"/>
  </w:style>
  <w:style w:type="character" w:customStyle="1" w:styleId="120">
    <w:name w:val="bds_more3"/>
    <w:basedOn w:val="31"/>
    <w:autoRedefine/>
    <w:qFormat/>
    <w:uiPriority w:val="99"/>
  </w:style>
  <w:style w:type="table" w:customStyle="1" w:styleId="121">
    <w:name w:val="Table Normal"/>
    <w:autoRedefine/>
    <w:semiHidden/>
    <w:unhideWhenUsed/>
    <w:qFormat/>
    <w:uiPriority w:val="0"/>
    <w:tblPr>
      <w:tblCellMar>
        <w:top w:w="0" w:type="dxa"/>
        <w:left w:w="0" w:type="dxa"/>
        <w:bottom w:w="0" w:type="dxa"/>
        <w:right w:w="0" w:type="dxa"/>
      </w:tblCellMar>
    </w:tblPr>
  </w:style>
  <w:style w:type="paragraph" w:customStyle="1" w:styleId="122">
    <w:name w:val="表名"/>
    <w:basedOn w:val="1"/>
    <w:autoRedefine/>
    <w:qFormat/>
    <w:uiPriority w:val="0"/>
    <w:pPr>
      <w:adjustRightInd w:val="0"/>
      <w:snapToGrid w:val="0"/>
      <w:spacing w:before="50" w:beforeLines="50"/>
      <w:jc w:val="center"/>
    </w:pPr>
    <w:rPr>
      <w:rFonts w:hint="eastAsia"/>
      <w:b/>
      <w:kern w:val="0"/>
      <w:sz w:val="21"/>
      <w:szCs w:val="20"/>
    </w:rPr>
  </w:style>
  <w:style w:type="paragraph" w:customStyle="1" w:styleId="123">
    <w:name w:val="环评正文"/>
    <w:basedOn w:val="1"/>
    <w:autoRedefine/>
    <w:qFormat/>
    <w:uiPriority w:val="0"/>
    <w:pPr>
      <w:spacing w:line="360" w:lineRule="auto"/>
      <w:ind w:firstLine="482" w:firstLineChars="200"/>
      <w:jc w:val="both"/>
    </w:pPr>
    <w:rPr>
      <w:rFonts w:ascii="Times New Roman" w:hAnsi="Times New Roman" w:eastAsia="宋体"/>
      <w:color w:val="000000"/>
      <w:kern w:val="0"/>
      <w:sz w:val="24"/>
      <w:szCs w:val="24"/>
    </w:rPr>
  </w:style>
  <w:style w:type="paragraph" w:customStyle="1" w:styleId="124">
    <w:name w:val="0☆☆☆正文"/>
    <w:basedOn w:val="1"/>
    <w:autoRedefine/>
    <w:unhideWhenUsed/>
    <w:qFormat/>
    <w:uiPriority w:val="99"/>
    <w:pPr>
      <w:widowControl/>
      <w:snapToGrid w:val="0"/>
      <w:spacing w:line="360" w:lineRule="auto"/>
      <w:ind w:firstLine="480" w:firstLineChars="200"/>
      <w:jc w:val="left"/>
    </w:pPr>
    <w:rPr>
      <w:rFonts w:ascii="Times New Roman" w:hAnsi="Times New Roman" w:cs="Times New Roman"/>
      <w:kern w:val="0"/>
      <w:szCs w:val="24"/>
    </w:rPr>
  </w:style>
  <w:style w:type="character" w:customStyle="1" w:styleId="125">
    <w:name w:val="font122"/>
    <w:qFormat/>
    <w:uiPriority w:val="0"/>
    <w:rPr>
      <w:rFonts w:hint="eastAsia" w:ascii="宋体" w:hAnsi="宋体" w:eastAsia="宋体" w:cs="宋体"/>
      <w:color w:val="000000"/>
      <w:sz w:val="18"/>
      <w:szCs w:val="18"/>
      <w:u w:val="none"/>
    </w:rPr>
  </w:style>
  <w:style w:type="paragraph" w:customStyle="1" w:styleId="126">
    <w:name w:val="正文-H"/>
    <w:basedOn w:val="1"/>
    <w:qFormat/>
    <w:uiPriority w:val="0"/>
    <w:pPr>
      <w:spacing w:line="360" w:lineRule="auto"/>
      <w:ind w:firstLine="720" w:firstLineChars="200"/>
    </w:pPr>
    <w:rPr>
      <w:rFonts w:ascii="Times New Roman" w:hAnsi="Times New Roman"/>
      <w:sz w:val="24"/>
    </w:rPr>
  </w:style>
  <w:style w:type="paragraph" w:customStyle="1" w:styleId="127">
    <w:name w:val="表表文字"/>
    <w:basedOn w:val="1"/>
    <w:qFormat/>
    <w:uiPriority w:val="0"/>
    <w:pPr>
      <w:wordWrap w:val="0"/>
      <w:adjustRightInd w:val="0"/>
      <w:snapToGrid w:val="0"/>
      <w:jc w:val="center"/>
    </w:pPr>
    <w:rPr>
      <w:rFonts w:ascii="Calibri" w:hAnsi="Calibri" w:eastAsia="宋体" w:cs="Times New Roman"/>
      <w:szCs w:val="21"/>
    </w:rPr>
  </w:style>
  <w:style w:type="paragraph" w:customStyle="1" w:styleId="128">
    <w:name w:val="吴正文"/>
    <w:basedOn w:val="1"/>
    <w:qFormat/>
    <w:uiPriority w:val="0"/>
    <w:pPr>
      <w:widowControl/>
      <w:spacing w:line="360" w:lineRule="auto"/>
      <w:ind w:firstLine="200" w:firstLineChars="200"/>
    </w:pPr>
    <w:rPr>
      <w:sz w:val="24"/>
    </w:rPr>
  </w:style>
  <w:style w:type="paragraph" w:customStyle="1" w:styleId="129">
    <w:name w:val="[1]表格"/>
    <w:basedOn w:val="1"/>
    <w:qFormat/>
    <w:uiPriority w:val="0"/>
    <w:pPr>
      <w:widowControl/>
      <w:tabs>
        <w:tab w:val="left" w:pos="8773"/>
      </w:tabs>
      <w:autoSpaceDE w:val="0"/>
      <w:autoSpaceDN w:val="0"/>
      <w:adjustRightInd w:val="0"/>
      <w:snapToGrid w:val="0"/>
      <w:spacing w:line="320" w:lineRule="exact"/>
      <w:jc w:val="center"/>
    </w:pPr>
    <w:rPr>
      <w:rFonts w:cs="宋体"/>
      <w:kern w:val="0"/>
      <w:szCs w:val="24"/>
      <w:lang w:val="en-GB"/>
    </w:rPr>
  </w:style>
  <w:style w:type="paragraph" w:customStyle="1" w:styleId="130">
    <w:name w:val="1正文段落"/>
    <w:basedOn w:val="1"/>
    <w:qFormat/>
    <w:uiPriority w:val="0"/>
    <w:pPr>
      <w:spacing w:line="360" w:lineRule="auto"/>
      <w:ind w:firstLine="480" w:firstLineChars="200"/>
      <w:jc w:val="left"/>
    </w:pPr>
    <w:rPr>
      <w:snapToGrid w:val="0"/>
      <w:kern w:val="0"/>
      <w:sz w:val="24"/>
    </w:rPr>
  </w:style>
  <w:style w:type="paragraph" w:customStyle="1" w:styleId="131">
    <w:name w:val="表内容"/>
    <w:basedOn w:val="1"/>
    <w:qFormat/>
    <w:uiPriority w:val="0"/>
    <w:pPr>
      <w:snapToGrid w:val="0"/>
      <w:spacing w:line="240" w:lineRule="auto"/>
      <w:ind w:firstLine="0" w:firstLineChars="0"/>
      <w:jc w:val="center"/>
    </w:pPr>
    <w:rPr>
      <w:bCs/>
      <w:color w:val="000000" w:themeColor="text1"/>
      <w:sz w:val="18"/>
      <w:szCs w:val="21"/>
      <w14:textFill>
        <w14:solidFill>
          <w14:schemeClr w14:val="tx1"/>
        </w14:solidFill>
      </w14:textFill>
    </w:rPr>
  </w:style>
  <w:style w:type="paragraph" w:customStyle="1" w:styleId="132">
    <w:name w:val="表中文字"/>
    <w:basedOn w:val="1"/>
    <w:qFormat/>
    <w:uiPriority w:val="0"/>
    <w:pPr>
      <w:spacing w:line="300" w:lineRule="exact"/>
      <w:jc w:val="center"/>
    </w:pPr>
    <w:rPr>
      <w:color w:val="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wmf"/><Relationship Id="rId38" Type="http://schemas.openxmlformats.org/officeDocument/2006/relationships/image" Target="media/image32.wmf"/><Relationship Id="rId37" Type="http://schemas.openxmlformats.org/officeDocument/2006/relationships/image" Target="media/image31.wmf"/><Relationship Id="rId36" Type="http://schemas.openxmlformats.org/officeDocument/2006/relationships/image" Target="media/image30.wmf"/><Relationship Id="rId35" Type="http://schemas.openxmlformats.org/officeDocument/2006/relationships/image" Target="media/image29.wmf"/><Relationship Id="rId34" Type="http://schemas.openxmlformats.org/officeDocument/2006/relationships/image" Target="media/image28.wmf"/><Relationship Id="rId33" Type="http://schemas.openxmlformats.org/officeDocument/2006/relationships/image" Target="media/image27.wmf"/><Relationship Id="rId32" Type="http://schemas.openxmlformats.org/officeDocument/2006/relationships/image" Target="media/image26.wmf"/><Relationship Id="rId31" Type="http://schemas.openxmlformats.org/officeDocument/2006/relationships/image" Target="media/image25.wmf"/><Relationship Id="rId30" Type="http://schemas.openxmlformats.org/officeDocument/2006/relationships/image" Target="media/image24.wmf"/><Relationship Id="rId3" Type="http://schemas.openxmlformats.org/officeDocument/2006/relationships/header" Target="header1.xml"/><Relationship Id="rId29" Type="http://schemas.openxmlformats.org/officeDocument/2006/relationships/image" Target="media/image23.wmf"/><Relationship Id="rId28" Type="http://schemas.openxmlformats.org/officeDocument/2006/relationships/image" Target="media/image22.wmf"/><Relationship Id="rId27" Type="http://schemas.openxmlformats.org/officeDocument/2006/relationships/image" Target="media/image21.wmf"/><Relationship Id="rId26" Type="http://schemas.openxmlformats.org/officeDocument/2006/relationships/image" Target="media/image20.wmf"/><Relationship Id="rId25" Type="http://schemas.openxmlformats.org/officeDocument/2006/relationships/image" Target="media/image19.wmf"/><Relationship Id="rId24" Type="http://schemas.openxmlformats.org/officeDocument/2006/relationships/image" Target="media/image18.wmf"/><Relationship Id="rId23" Type="http://schemas.openxmlformats.org/officeDocument/2006/relationships/image" Target="media/image17.wmf"/><Relationship Id="rId22" Type="http://schemas.openxmlformats.org/officeDocument/2006/relationships/image" Target="media/image16.wmf"/><Relationship Id="rId21" Type="http://schemas.openxmlformats.org/officeDocument/2006/relationships/image" Target="media/image15.wmf"/><Relationship Id="rId20" Type="http://schemas.openxmlformats.org/officeDocument/2006/relationships/image" Target="media/image14.wmf"/><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image" Target="media/image12.wmf"/><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微软中国</Company>
  <Pages>111</Pages>
  <Words>149</Words>
  <Characters>161</Characters>
  <Lines>0</Lines>
  <Paragraphs>0</Paragraphs>
  <TotalTime>21</TotalTime>
  <ScaleCrop>false</ScaleCrop>
  <LinksUpToDate>false</LinksUpToDate>
  <CharactersWithSpaces>162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2021-09-13T05:22:00Z</dcterms:created>
  <dc:creator>lhj</dc:creator>
  <cp:lastModifiedBy>努力搬砖TT</cp:lastModifiedBy>
  <cp:lastPrinted>2024-11-28T03:02:00Z</cp:lastPrinted>
  <dcterms:modified xsi:type="dcterms:W3CDTF">2025-04-23T14:07:12Z</dcterms:modified>
  <dc:title>附件2</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3CC6EF9AD45047299D67AE80C88016B0_13</vt:lpwstr>
  </property>
  <property fmtid="{D5CDD505-2E9C-101B-9397-08002B2CF9AE}" pid="4" name="KSOTemplateDocerSaveRecord">
    <vt:lpwstr>eyJoZGlkIjoiNjNjOTIyYWFiNzAxYjllYTY4M2NlZjQ3NmRlNjhiZjkiLCJ1c2VySWQiOiIzODk2MTQzOTgifQ==</vt:lpwstr>
  </property>
</Properties>
</file>