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B7DC">
      <w:pPr>
        <w:rPr>
          <w:rFonts w:hint="eastAsia" w:ascii="仿宋_GB2312" w:hAnsi="仿宋_GB2312" w:eastAsia="仿宋_GB2312" w:cs="仿宋_GB2312"/>
          <w:sz w:val="36"/>
          <w:szCs w:val="36"/>
        </w:rPr>
      </w:pPr>
    </w:p>
    <w:p w14:paraId="17607945">
      <w:pPr>
        <w:rPr>
          <w:rFonts w:ascii="仿宋_GB2312" w:hAnsi="仿宋_GB2312" w:eastAsia="仿宋_GB2312" w:cs="仿宋_GB2312"/>
          <w:sz w:val="36"/>
          <w:szCs w:val="36"/>
        </w:rPr>
      </w:pPr>
    </w:p>
    <w:p w14:paraId="0C8BC78C">
      <w:pPr>
        <w:rPr>
          <w:rFonts w:hint="eastAsia" w:ascii="仿宋_GB2312" w:hAnsi="仿宋_GB2312" w:eastAsia="仿宋_GB2312" w:cs="仿宋_GB2312"/>
          <w:sz w:val="36"/>
          <w:szCs w:val="36"/>
        </w:rPr>
      </w:pPr>
    </w:p>
    <w:p w14:paraId="6F136403">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2F64452E">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598668A9">
      <w:pPr>
        <w:bidi w:val="0"/>
      </w:pPr>
    </w:p>
    <w:p w14:paraId="27281925">
      <w:pPr>
        <w:pStyle w:val="20"/>
      </w:pPr>
    </w:p>
    <w:p w14:paraId="64356CF2">
      <w:pPr>
        <w:pStyle w:val="20"/>
      </w:pPr>
    </w:p>
    <w:p w14:paraId="1A463D2C">
      <w:pPr>
        <w:jc w:val="center"/>
        <w:rPr>
          <w:rFonts w:eastAsia="仿宋"/>
          <w:sz w:val="52"/>
          <w:szCs w:val="52"/>
        </w:rPr>
      </w:pPr>
    </w:p>
    <w:p w14:paraId="4860D728">
      <w:pPr>
        <w:ind w:firstLine="1040"/>
        <w:rPr>
          <w:rFonts w:eastAsia="仿宋"/>
          <w:sz w:val="44"/>
          <w:szCs w:val="44"/>
        </w:rPr>
      </w:pPr>
    </w:p>
    <w:p w14:paraId="6B248349">
      <w:pPr>
        <w:ind w:firstLine="1040"/>
        <w:rPr>
          <w:rFonts w:eastAsia="仿宋"/>
          <w:sz w:val="44"/>
          <w:szCs w:val="44"/>
        </w:rPr>
      </w:pPr>
    </w:p>
    <w:p w14:paraId="5E1E42CF">
      <w:pPr>
        <w:pStyle w:val="11"/>
        <w:rPr>
          <w:rFonts w:hint="eastAsia"/>
        </w:rPr>
      </w:pPr>
    </w:p>
    <w:p w14:paraId="36030997">
      <w:pPr>
        <w:adjustRightInd w:val="0"/>
        <w:snapToGrid w:val="0"/>
        <w:spacing w:line="288" w:lineRule="auto"/>
        <w:ind w:firstLine="360" w:firstLineChars="100"/>
        <w:jc w:val="left"/>
        <w:rPr>
          <w:rFonts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rPr>
        <w:t xml:space="preserve">    铁路混凝土箱型梁预埋件加工     </w:t>
      </w:r>
    </w:p>
    <w:p w14:paraId="42C455D3">
      <w:pPr>
        <w:adjustRightInd w:val="0"/>
        <w:snapToGrid w:val="0"/>
        <w:spacing w:line="288" w:lineRule="auto"/>
        <w:ind w:firstLine="2160" w:firstLineChars="600"/>
        <w:jc w:val="left"/>
        <w:rPr>
          <w:rFonts w:hint="eastAsia" w:eastAsia="仿宋_GB2312"/>
          <w:color w:val="000000"/>
          <w:sz w:val="36"/>
          <w:szCs w:val="36"/>
          <w:u w:val="single"/>
        </w:rPr>
      </w:pPr>
      <w:r>
        <w:rPr>
          <w:rFonts w:eastAsia="仿宋_GB2312"/>
          <w:color w:val="000000"/>
          <w:sz w:val="36"/>
          <w:szCs w:val="36"/>
          <w:u w:val="single"/>
        </w:rPr>
        <w:t xml:space="preserve">  </w:t>
      </w:r>
      <w:r>
        <w:rPr>
          <w:rFonts w:hint="eastAsia" w:eastAsia="仿宋_GB2312"/>
          <w:color w:val="000000"/>
          <w:sz w:val="36"/>
          <w:szCs w:val="36"/>
          <w:u w:val="single"/>
        </w:rPr>
        <w:t xml:space="preserve">     及其PCA防腐技术项目       </w:t>
      </w:r>
    </w:p>
    <w:p w14:paraId="05442F22">
      <w:pPr>
        <w:adjustRightInd w:val="0"/>
        <w:snapToGrid w:val="0"/>
        <w:spacing w:line="288" w:lineRule="auto"/>
        <w:ind w:firstLine="360" w:firstLineChars="100"/>
        <w:rPr>
          <w:rFonts w:eastAsia="仿宋_GB2312"/>
          <w:color w:val="000000"/>
          <w:sz w:val="36"/>
          <w:szCs w:val="36"/>
          <w:u w:val="single"/>
        </w:rPr>
      </w:pPr>
      <w:r>
        <w:rPr>
          <w:rFonts w:eastAsia="仿宋_GB2312"/>
          <w:color w:val="000000"/>
          <w:sz w:val="36"/>
          <w:szCs w:val="36"/>
        </w:rPr>
        <w:t>建设单位：</w:t>
      </w:r>
      <w:r>
        <w:rPr>
          <w:rFonts w:eastAsia="仿宋_GB2312"/>
          <w:color w:val="000000"/>
          <w:sz w:val="36"/>
          <w:szCs w:val="36"/>
          <w:u w:val="single"/>
        </w:rPr>
        <w:t xml:space="preserve">  </w:t>
      </w:r>
      <w:r>
        <w:rPr>
          <w:rFonts w:hint="eastAsia" w:eastAsia="仿宋_GB2312"/>
          <w:color w:val="000000"/>
          <w:sz w:val="36"/>
          <w:szCs w:val="36"/>
          <w:u w:val="single"/>
        </w:rPr>
        <w:t xml:space="preserve">      淮北飞航科技有限公司       </w:t>
      </w:r>
    </w:p>
    <w:p w14:paraId="475C4A87">
      <w:pPr>
        <w:adjustRightInd w:val="0"/>
        <w:snapToGrid w:val="0"/>
        <w:spacing w:line="288" w:lineRule="auto"/>
        <w:ind w:firstLine="360" w:firstLineChars="100"/>
        <w:rPr>
          <w:rFonts w:eastAsia="仿宋_GB2312"/>
          <w:color w:val="000000"/>
          <w:sz w:val="36"/>
          <w:szCs w:val="36"/>
          <w:u w:val="single"/>
        </w:rPr>
      </w:pPr>
      <w:r>
        <w:rPr>
          <w:rFonts w:eastAsia="仿宋_GB2312"/>
          <w:color w:val="000000"/>
          <w:sz w:val="36"/>
          <w:szCs w:val="36"/>
        </w:rPr>
        <w:t>编制日期：</w:t>
      </w:r>
      <w:r>
        <w:rPr>
          <w:rFonts w:eastAsia="仿宋_GB2312"/>
          <w:color w:val="000000"/>
          <w:sz w:val="36"/>
          <w:szCs w:val="36"/>
          <w:u w:val="single"/>
        </w:rPr>
        <w:t xml:space="preserve">          </w:t>
      </w:r>
      <w:r>
        <w:rPr>
          <w:rFonts w:hint="eastAsia" w:eastAsia="仿宋_GB2312"/>
          <w:color w:val="000000"/>
          <w:sz w:val="36"/>
          <w:szCs w:val="36"/>
          <w:u w:val="single"/>
        </w:rPr>
        <w:t xml:space="preserve">  </w:t>
      </w:r>
      <w:r>
        <w:rPr>
          <w:rFonts w:eastAsia="仿宋_GB2312"/>
          <w:color w:val="000000"/>
          <w:sz w:val="36"/>
          <w:szCs w:val="36"/>
          <w:u w:val="single"/>
        </w:rPr>
        <w:t>202</w:t>
      </w:r>
      <w:r>
        <w:rPr>
          <w:rFonts w:hint="eastAsia" w:eastAsia="仿宋_GB2312"/>
          <w:color w:val="000000"/>
          <w:sz w:val="36"/>
          <w:szCs w:val="36"/>
          <w:u w:val="single"/>
          <w:lang w:val="en-US" w:eastAsia="zh-CN"/>
        </w:rPr>
        <w:t>5</w:t>
      </w:r>
      <w:r>
        <w:rPr>
          <w:rFonts w:eastAsia="仿宋_GB2312"/>
          <w:color w:val="000000"/>
          <w:sz w:val="36"/>
          <w:szCs w:val="36"/>
          <w:u w:val="single"/>
        </w:rPr>
        <w:t>年</w:t>
      </w:r>
      <w:r>
        <w:rPr>
          <w:rFonts w:hint="eastAsia" w:eastAsia="仿宋_GB2312"/>
          <w:sz w:val="36"/>
          <w:szCs w:val="36"/>
          <w:u w:val="single"/>
          <w:lang w:val="en-US" w:eastAsia="zh-CN"/>
        </w:rPr>
        <w:t>3</w:t>
      </w:r>
      <w:r>
        <w:rPr>
          <w:rFonts w:eastAsia="仿宋_GB2312"/>
          <w:color w:val="000000"/>
          <w:sz w:val="36"/>
          <w:szCs w:val="36"/>
          <w:u w:val="single"/>
        </w:rPr>
        <w:t>月</w:t>
      </w:r>
      <w:r>
        <w:rPr>
          <w:rFonts w:eastAsia="仿宋_GB2312"/>
          <w:color w:val="000000"/>
          <w:sz w:val="20"/>
          <w:szCs w:val="20"/>
          <w:u w:val="single"/>
        </w:rPr>
        <w:t xml:space="preserve"> </w:t>
      </w:r>
      <w:r>
        <w:rPr>
          <w:rFonts w:hint="eastAsia" w:eastAsia="仿宋_GB2312"/>
          <w:color w:val="000000"/>
          <w:sz w:val="36"/>
          <w:szCs w:val="36"/>
          <w:u w:val="single"/>
          <w:lang w:val="en-US" w:eastAsia="zh-CN"/>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w:t>
      </w:r>
    </w:p>
    <w:p w14:paraId="5CDC5F47">
      <w:pPr>
        <w:ind w:firstLine="1040"/>
        <w:rPr>
          <w:rFonts w:eastAsia="仿宋"/>
          <w:sz w:val="44"/>
          <w:szCs w:val="44"/>
        </w:rPr>
      </w:pPr>
    </w:p>
    <w:p w14:paraId="28D55DED">
      <w:pPr>
        <w:adjustRightInd w:val="0"/>
        <w:snapToGrid w:val="0"/>
        <w:spacing w:line="288" w:lineRule="auto"/>
        <w:jc w:val="center"/>
        <w:rPr>
          <w:rFonts w:ascii="楷体_GB2312" w:eastAsia="楷体_GB2312"/>
          <w:sz w:val="36"/>
          <w:szCs w:val="36"/>
        </w:rPr>
      </w:pPr>
    </w:p>
    <w:p w14:paraId="337C7092">
      <w:pPr>
        <w:pStyle w:val="11"/>
      </w:pPr>
    </w:p>
    <w:p w14:paraId="4436937B">
      <w:pPr>
        <w:pStyle w:val="11"/>
        <w:rPr>
          <w:rFonts w:hint="eastAsia"/>
        </w:rPr>
      </w:pPr>
    </w:p>
    <w:p w14:paraId="47707664">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12817D20">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3063C273">
      <w:pPr>
        <w:pStyle w:val="21"/>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4"/>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6"/>
        <w:gridCol w:w="1350"/>
        <w:gridCol w:w="1881"/>
        <w:gridCol w:w="2041"/>
        <w:gridCol w:w="3400"/>
      </w:tblGrid>
      <w:tr w14:paraId="3DC6C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45E265DB">
            <w:pPr>
              <w:adjustRightInd w:val="0"/>
              <w:snapToGrid w:val="0"/>
              <w:jc w:val="center"/>
              <w:rPr>
                <w:b/>
                <w:bCs/>
                <w:szCs w:val="21"/>
              </w:rPr>
            </w:pPr>
            <w:r>
              <w:rPr>
                <w:b/>
                <w:bCs/>
                <w:szCs w:val="21"/>
              </w:rPr>
              <w:t>建设项目名称</w:t>
            </w:r>
          </w:p>
        </w:tc>
        <w:tc>
          <w:tcPr>
            <w:tcW w:w="3917" w:type="pct"/>
            <w:gridSpan w:val="3"/>
            <w:noWrap w:val="0"/>
            <w:vAlign w:val="center"/>
          </w:tcPr>
          <w:p w14:paraId="2D51065C">
            <w:pPr>
              <w:adjustRightInd w:val="0"/>
              <w:snapToGrid w:val="0"/>
              <w:jc w:val="center"/>
              <w:rPr>
                <w:rFonts w:hint="eastAsia"/>
                <w:szCs w:val="21"/>
              </w:rPr>
            </w:pPr>
            <w:bookmarkStart w:id="0" w:name="_Hlk185240000"/>
            <w:r>
              <w:rPr>
                <w:rFonts w:hint="eastAsia"/>
                <w:kern w:val="28"/>
                <w:szCs w:val="21"/>
              </w:rPr>
              <w:t>铁路混凝土箱型梁预埋件加工及其PCA防腐技术项目</w:t>
            </w:r>
            <w:bookmarkEnd w:id="0"/>
          </w:p>
        </w:tc>
      </w:tr>
      <w:tr w14:paraId="4EECA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282D76C3">
            <w:pPr>
              <w:adjustRightInd w:val="0"/>
              <w:snapToGrid w:val="0"/>
              <w:jc w:val="center"/>
              <w:rPr>
                <w:b/>
                <w:bCs/>
                <w:szCs w:val="21"/>
              </w:rPr>
            </w:pPr>
            <w:r>
              <w:rPr>
                <w:b/>
                <w:bCs/>
                <w:szCs w:val="21"/>
              </w:rPr>
              <w:t>项目代码</w:t>
            </w:r>
          </w:p>
        </w:tc>
        <w:tc>
          <w:tcPr>
            <w:tcW w:w="3917" w:type="pct"/>
            <w:gridSpan w:val="3"/>
            <w:noWrap w:val="0"/>
            <w:vAlign w:val="center"/>
          </w:tcPr>
          <w:p w14:paraId="313654E5">
            <w:pPr>
              <w:adjustRightInd w:val="0"/>
              <w:snapToGrid w:val="0"/>
              <w:jc w:val="center"/>
              <w:rPr>
                <w:rFonts w:hint="eastAsia"/>
                <w:szCs w:val="21"/>
              </w:rPr>
            </w:pPr>
            <w:r>
              <w:rPr>
                <w:rFonts w:hint="eastAsia"/>
                <w:szCs w:val="21"/>
              </w:rPr>
              <w:t>2406-340602-04-01-777169</w:t>
            </w:r>
          </w:p>
        </w:tc>
      </w:tr>
      <w:tr w14:paraId="29B81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1A042A94">
            <w:pPr>
              <w:adjustRightInd w:val="0"/>
              <w:snapToGrid w:val="0"/>
              <w:jc w:val="center"/>
              <w:rPr>
                <w:b/>
                <w:bCs/>
                <w:szCs w:val="21"/>
              </w:rPr>
            </w:pPr>
            <w:r>
              <w:rPr>
                <w:b/>
                <w:bCs/>
                <w:szCs w:val="21"/>
              </w:rPr>
              <w:t>建设单位联系人</w:t>
            </w:r>
          </w:p>
        </w:tc>
        <w:tc>
          <w:tcPr>
            <w:tcW w:w="1006" w:type="pct"/>
            <w:noWrap w:val="0"/>
            <w:vAlign w:val="center"/>
          </w:tcPr>
          <w:p w14:paraId="0D04199F">
            <w:pPr>
              <w:adjustRightInd w:val="0"/>
              <w:snapToGrid w:val="0"/>
              <w:jc w:val="center"/>
              <w:rPr>
                <w:rFonts w:hint="eastAsia"/>
                <w:szCs w:val="21"/>
              </w:rPr>
            </w:pPr>
            <w:r>
              <w:rPr>
                <w:rFonts w:hint="eastAsia"/>
                <w:szCs w:val="21"/>
              </w:rPr>
              <w:t>吴维林</w:t>
            </w:r>
          </w:p>
        </w:tc>
        <w:tc>
          <w:tcPr>
            <w:tcW w:w="1092" w:type="pct"/>
            <w:noWrap w:val="0"/>
            <w:vAlign w:val="center"/>
          </w:tcPr>
          <w:p w14:paraId="1F36BAF1">
            <w:pPr>
              <w:adjustRightInd w:val="0"/>
              <w:snapToGrid w:val="0"/>
              <w:jc w:val="center"/>
              <w:rPr>
                <w:szCs w:val="21"/>
              </w:rPr>
            </w:pPr>
            <w:r>
              <w:rPr>
                <w:b/>
                <w:bCs/>
                <w:szCs w:val="21"/>
              </w:rPr>
              <w:t>联系方式</w:t>
            </w:r>
          </w:p>
        </w:tc>
        <w:tc>
          <w:tcPr>
            <w:tcW w:w="1818" w:type="pct"/>
            <w:noWrap w:val="0"/>
            <w:vAlign w:val="center"/>
          </w:tcPr>
          <w:p w14:paraId="0A6B2124">
            <w:pPr>
              <w:adjustRightInd w:val="0"/>
              <w:snapToGrid w:val="0"/>
              <w:jc w:val="center"/>
              <w:rPr>
                <w:szCs w:val="21"/>
              </w:rPr>
            </w:pPr>
            <w:r>
              <w:rPr>
                <w:rFonts w:hint="eastAsia"/>
                <w:szCs w:val="21"/>
              </w:rPr>
              <w:t>13855165468</w:t>
            </w:r>
          </w:p>
        </w:tc>
      </w:tr>
      <w:tr w14:paraId="4A53D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7351F5F9">
            <w:pPr>
              <w:adjustRightInd w:val="0"/>
              <w:snapToGrid w:val="0"/>
              <w:jc w:val="center"/>
              <w:rPr>
                <w:b/>
                <w:bCs/>
                <w:szCs w:val="21"/>
              </w:rPr>
            </w:pPr>
            <w:r>
              <w:rPr>
                <w:b/>
                <w:bCs/>
                <w:szCs w:val="21"/>
              </w:rPr>
              <w:t>建设地点</w:t>
            </w:r>
          </w:p>
        </w:tc>
        <w:tc>
          <w:tcPr>
            <w:tcW w:w="3917" w:type="pct"/>
            <w:gridSpan w:val="3"/>
            <w:noWrap w:val="0"/>
            <w:vAlign w:val="center"/>
          </w:tcPr>
          <w:p w14:paraId="444C11B4">
            <w:pPr>
              <w:adjustRightInd w:val="0"/>
              <w:snapToGrid w:val="0"/>
              <w:jc w:val="center"/>
              <w:rPr>
                <w:rFonts w:hint="eastAsia"/>
                <w:szCs w:val="21"/>
              </w:rPr>
            </w:pPr>
            <w:r>
              <w:rPr>
                <w:rFonts w:hint="eastAsia"/>
                <w:bCs/>
                <w:szCs w:val="21"/>
              </w:rPr>
              <w:t>安徽省淮北市杜集区石台镇育才路东侧乡村振兴产业园</w:t>
            </w:r>
          </w:p>
        </w:tc>
      </w:tr>
      <w:tr w14:paraId="778DD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5D43F79B">
            <w:pPr>
              <w:adjustRightInd w:val="0"/>
              <w:snapToGrid w:val="0"/>
              <w:jc w:val="center"/>
              <w:rPr>
                <w:b/>
                <w:bCs/>
                <w:szCs w:val="21"/>
              </w:rPr>
            </w:pPr>
            <w:r>
              <w:rPr>
                <w:b/>
                <w:bCs/>
                <w:szCs w:val="21"/>
              </w:rPr>
              <w:t>地理坐标</w:t>
            </w:r>
          </w:p>
        </w:tc>
        <w:tc>
          <w:tcPr>
            <w:tcW w:w="3917" w:type="pct"/>
            <w:gridSpan w:val="3"/>
            <w:noWrap w:val="0"/>
            <w:vAlign w:val="center"/>
          </w:tcPr>
          <w:p w14:paraId="025FF042">
            <w:pPr>
              <w:jc w:val="center"/>
              <w:rPr>
                <w:szCs w:val="21"/>
              </w:rPr>
            </w:pPr>
            <w:r>
              <w:rPr>
                <w:szCs w:val="21"/>
              </w:rPr>
              <w:t>（</w:t>
            </w:r>
            <w:r>
              <w:rPr>
                <w:szCs w:val="21"/>
                <w:u w:val="single"/>
              </w:rPr>
              <w:t>11</w:t>
            </w:r>
            <w:r>
              <w:rPr>
                <w:rFonts w:hint="eastAsia"/>
                <w:szCs w:val="21"/>
                <w:u w:val="single"/>
              </w:rPr>
              <w:t>6</w:t>
            </w:r>
            <w:r>
              <w:rPr>
                <w:szCs w:val="21"/>
              </w:rPr>
              <w:t>度</w:t>
            </w:r>
            <w:r>
              <w:rPr>
                <w:rFonts w:hint="eastAsia"/>
                <w:szCs w:val="21"/>
                <w:u w:val="single"/>
              </w:rPr>
              <w:t>5</w:t>
            </w:r>
            <w:r>
              <w:rPr>
                <w:rFonts w:hint="eastAsia"/>
                <w:szCs w:val="21"/>
                <w:u w:val="single"/>
                <w:lang w:val="en-US" w:eastAsia="zh-CN"/>
              </w:rPr>
              <w:t>4</w:t>
            </w:r>
            <w:r>
              <w:rPr>
                <w:szCs w:val="21"/>
              </w:rPr>
              <w:t>分</w:t>
            </w:r>
            <w:r>
              <w:rPr>
                <w:rFonts w:hint="eastAsia"/>
                <w:szCs w:val="21"/>
                <w:u w:val="single"/>
              </w:rPr>
              <w:t>44.649</w:t>
            </w:r>
            <w:r>
              <w:rPr>
                <w:szCs w:val="21"/>
              </w:rPr>
              <w:t>秒，</w:t>
            </w:r>
            <w:r>
              <w:rPr>
                <w:szCs w:val="21"/>
                <w:u w:val="single"/>
              </w:rPr>
              <w:t>3</w:t>
            </w:r>
            <w:r>
              <w:rPr>
                <w:rFonts w:hint="eastAsia"/>
                <w:szCs w:val="21"/>
                <w:u w:val="single"/>
              </w:rPr>
              <w:t>4</w:t>
            </w:r>
            <w:r>
              <w:rPr>
                <w:szCs w:val="21"/>
              </w:rPr>
              <w:t>度</w:t>
            </w:r>
            <w:r>
              <w:rPr>
                <w:rFonts w:hint="eastAsia"/>
                <w:szCs w:val="21"/>
                <w:u w:val="single"/>
              </w:rPr>
              <w:t>2</w:t>
            </w:r>
            <w:r>
              <w:rPr>
                <w:szCs w:val="21"/>
              </w:rPr>
              <w:t>分</w:t>
            </w:r>
            <w:r>
              <w:rPr>
                <w:rFonts w:hint="eastAsia"/>
                <w:szCs w:val="21"/>
                <w:u w:val="single"/>
              </w:rPr>
              <w:t>33.612</w:t>
            </w:r>
            <w:r>
              <w:rPr>
                <w:szCs w:val="21"/>
              </w:rPr>
              <w:t>秒）</w:t>
            </w:r>
          </w:p>
        </w:tc>
      </w:tr>
      <w:tr w14:paraId="4E0C3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82" w:type="pct"/>
            <w:gridSpan w:val="2"/>
            <w:noWrap w:val="0"/>
            <w:tcMar>
              <w:top w:w="16" w:type="dxa"/>
              <w:left w:w="16" w:type="dxa"/>
              <w:right w:w="16" w:type="dxa"/>
            </w:tcMar>
            <w:vAlign w:val="center"/>
          </w:tcPr>
          <w:p w14:paraId="21544DF2">
            <w:pPr>
              <w:adjustRightInd w:val="0"/>
              <w:snapToGrid w:val="0"/>
              <w:jc w:val="center"/>
              <w:rPr>
                <w:b/>
                <w:bCs/>
                <w:szCs w:val="21"/>
              </w:rPr>
            </w:pPr>
            <w:r>
              <w:rPr>
                <w:b/>
                <w:bCs/>
                <w:szCs w:val="21"/>
              </w:rPr>
              <w:t>国民经济</w:t>
            </w:r>
          </w:p>
          <w:p w14:paraId="2B9CB55E">
            <w:pPr>
              <w:adjustRightInd w:val="0"/>
              <w:snapToGrid w:val="0"/>
              <w:jc w:val="center"/>
              <w:rPr>
                <w:b/>
                <w:bCs/>
                <w:szCs w:val="21"/>
              </w:rPr>
            </w:pPr>
            <w:r>
              <w:rPr>
                <w:b/>
                <w:bCs/>
                <w:szCs w:val="21"/>
              </w:rPr>
              <w:t>行业类别</w:t>
            </w:r>
          </w:p>
        </w:tc>
        <w:tc>
          <w:tcPr>
            <w:tcW w:w="1006" w:type="pct"/>
            <w:noWrap w:val="0"/>
            <w:vAlign w:val="center"/>
          </w:tcPr>
          <w:p w14:paraId="41269BE7">
            <w:pPr>
              <w:adjustRightInd w:val="0"/>
              <w:snapToGrid w:val="0"/>
              <w:jc w:val="center"/>
              <w:rPr>
                <w:rFonts w:hint="eastAsia"/>
                <w:szCs w:val="21"/>
              </w:rPr>
            </w:pPr>
            <w:r>
              <w:rPr>
                <w:szCs w:val="21"/>
              </w:rPr>
              <w:t>C3359</w:t>
            </w:r>
            <w:r>
              <w:rPr>
                <w:rFonts w:hint="eastAsia"/>
                <w:szCs w:val="21"/>
              </w:rPr>
              <w:t>其他建筑、安全用金属制品制造</w:t>
            </w:r>
          </w:p>
        </w:tc>
        <w:tc>
          <w:tcPr>
            <w:tcW w:w="1092" w:type="pct"/>
            <w:noWrap w:val="0"/>
            <w:vAlign w:val="center"/>
          </w:tcPr>
          <w:p w14:paraId="19319EBC">
            <w:pPr>
              <w:adjustRightInd w:val="0"/>
              <w:snapToGrid w:val="0"/>
              <w:jc w:val="center"/>
              <w:rPr>
                <w:b/>
                <w:bCs/>
                <w:szCs w:val="21"/>
              </w:rPr>
            </w:pPr>
            <w:bookmarkStart w:id="1" w:name="_Hlk49843745"/>
            <w:r>
              <w:rPr>
                <w:b/>
                <w:bCs/>
                <w:szCs w:val="21"/>
              </w:rPr>
              <w:t>建设项目</w:t>
            </w:r>
          </w:p>
          <w:p w14:paraId="666A8B9D">
            <w:pPr>
              <w:adjustRightInd w:val="0"/>
              <w:snapToGrid w:val="0"/>
              <w:jc w:val="center"/>
              <w:rPr>
                <w:szCs w:val="21"/>
              </w:rPr>
            </w:pPr>
            <w:r>
              <w:rPr>
                <w:b/>
                <w:bCs/>
                <w:szCs w:val="21"/>
              </w:rPr>
              <w:t>行业类别</w:t>
            </w:r>
            <w:bookmarkEnd w:id="1"/>
          </w:p>
        </w:tc>
        <w:tc>
          <w:tcPr>
            <w:tcW w:w="1818" w:type="pct"/>
            <w:noWrap w:val="0"/>
            <w:vAlign w:val="center"/>
          </w:tcPr>
          <w:p w14:paraId="1F70CC45">
            <w:pPr>
              <w:adjustRightInd w:val="0"/>
              <w:snapToGrid w:val="0"/>
              <w:jc w:val="center"/>
            </w:pPr>
            <w:r>
              <w:rPr>
                <w:rFonts w:hint="eastAsia"/>
              </w:rPr>
              <w:t>三十、金属制品业 33建筑、安全用金属制品制造 335</w:t>
            </w:r>
            <w:r>
              <w:rPr>
                <w:rFonts w:hint="eastAsia"/>
                <w:lang w:val="en-US" w:eastAsia="zh-CN"/>
              </w:rPr>
              <w:t>中其他（仅分割、焊接、组装的除外；年用非溶剂型低VOCs含量涂料10吨以下的除外）</w:t>
            </w:r>
          </w:p>
        </w:tc>
      </w:tr>
      <w:tr w14:paraId="2B081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2" w:type="pct"/>
            <w:gridSpan w:val="2"/>
            <w:noWrap w:val="0"/>
            <w:tcMar>
              <w:top w:w="16" w:type="dxa"/>
              <w:left w:w="16" w:type="dxa"/>
              <w:right w:w="16" w:type="dxa"/>
            </w:tcMar>
            <w:vAlign w:val="center"/>
          </w:tcPr>
          <w:p w14:paraId="18A6F87C">
            <w:pPr>
              <w:adjustRightInd w:val="0"/>
              <w:snapToGrid w:val="0"/>
              <w:jc w:val="center"/>
              <w:rPr>
                <w:b/>
                <w:bCs/>
                <w:szCs w:val="21"/>
              </w:rPr>
            </w:pPr>
            <w:r>
              <w:rPr>
                <w:b/>
                <w:bCs/>
                <w:szCs w:val="21"/>
              </w:rPr>
              <w:t>建设性质</w:t>
            </w:r>
          </w:p>
        </w:tc>
        <w:tc>
          <w:tcPr>
            <w:tcW w:w="1006" w:type="pct"/>
            <w:noWrap w:val="0"/>
            <w:vAlign w:val="center"/>
          </w:tcPr>
          <w:p w14:paraId="7B42D7E2">
            <w:pPr>
              <w:jc w:val="left"/>
              <w:rPr>
                <w:szCs w:val="21"/>
              </w:rPr>
            </w:pPr>
            <w:r>
              <w:rPr>
                <w:szCs w:val="21"/>
              </w:rPr>
              <w:sym w:font="Wingdings 2" w:char="0052"/>
            </w:r>
            <w:r>
              <w:rPr>
                <w:szCs w:val="21"/>
              </w:rPr>
              <w:t>新建（迁建）</w:t>
            </w:r>
          </w:p>
          <w:p w14:paraId="26192099">
            <w:pPr>
              <w:jc w:val="left"/>
              <w:rPr>
                <w:szCs w:val="21"/>
              </w:rPr>
            </w:pPr>
            <w:r>
              <w:rPr>
                <w:szCs w:val="21"/>
              </w:rPr>
              <w:t>□改建</w:t>
            </w:r>
          </w:p>
          <w:p w14:paraId="4F41BC0E">
            <w:pPr>
              <w:jc w:val="left"/>
              <w:rPr>
                <w:szCs w:val="21"/>
              </w:rPr>
            </w:pPr>
            <w:r>
              <w:rPr>
                <w:szCs w:val="21"/>
              </w:rPr>
              <w:sym w:font="Wingdings 2" w:char="00A3"/>
            </w:r>
            <w:r>
              <w:rPr>
                <w:szCs w:val="21"/>
              </w:rPr>
              <w:t>扩建</w:t>
            </w:r>
          </w:p>
          <w:p w14:paraId="06761464">
            <w:pPr>
              <w:jc w:val="left"/>
              <w:rPr>
                <w:szCs w:val="21"/>
              </w:rPr>
            </w:pPr>
            <w:r>
              <w:rPr>
                <w:szCs w:val="21"/>
              </w:rPr>
              <w:t>□技术改造</w:t>
            </w:r>
          </w:p>
        </w:tc>
        <w:tc>
          <w:tcPr>
            <w:tcW w:w="1092" w:type="pct"/>
            <w:noWrap w:val="0"/>
            <w:vAlign w:val="center"/>
          </w:tcPr>
          <w:p w14:paraId="2EE12D30">
            <w:pPr>
              <w:adjustRightInd w:val="0"/>
              <w:snapToGrid w:val="0"/>
              <w:jc w:val="center"/>
              <w:rPr>
                <w:b/>
                <w:bCs/>
                <w:szCs w:val="21"/>
              </w:rPr>
            </w:pPr>
            <w:r>
              <w:rPr>
                <w:b/>
                <w:bCs/>
                <w:szCs w:val="21"/>
              </w:rPr>
              <w:t>建设项目</w:t>
            </w:r>
          </w:p>
          <w:p w14:paraId="64C71C8A">
            <w:pPr>
              <w:adjustRightInd w:val="0"/>
              <w:snapToGrid w:val="0"/>
              <w:jc w:val="center"/>
              <w:rPr>
                <w:b/>
                <w:bCs/>
                <w:szCs w:val="21"/>
              </w:rPr>
            </w:pPr>
            <w:r>
              <w:rPr>
                <w:b/>
                <w:bCs/>
                <w:szCs w:val="21"/>
              </w:rPr>
              <w:t>申报情形</w:t>
            </w:r>
          </w:p>
        </w:tc>
        <w:tc>
          <w:tcPr>
            <w:tcW w:w="1818" w:type="pct"/>
            <w:noWrap w:val="0"/>
            <w:vAlign w:val="center"/>
          </w:tcPr>
          <w:p w14:paraId="403CFE26">
            <w:pPr>
              <w:jc w:val="left"/>
              <w:rPr>
                <w:szCs w:val="21"/>
              </w:rPr>
            </w:pPr>
            <w:r>
              <w:rPr>
                <w:szCs w:val="21"/>
              </w:rPr>
              <w:sym w:font="Wingdings 2" w:char="0052"/>
            </w:r>
            <w:r>
              <w:rPr>
                <w:szCs w:val="21"/>
              </w:rPr>
              <w:t xml:space="preserve">首次申报项目             </w:t>
            </w:r>
          </w:p>
          <w:p w14:paraId="56E4B49E">
            <w:pPr>
              <w:jc w:val="left"/>
              <w:rPr>
                <w:szCs w:val="21"/>
              </w:rPr>
            </w:pPr>
            <w:r>
              <w:rPr>
                <w:szCs w:val="21"/>
              </w:rPr>
              <w:t>□不予批准后再次申报项目</w:t>
            </w:r>
          </w:p>
          <w:p w14:paraId="31E0070D">
            <w:pPr>
              <w:jc w:val="left"/>
              <w:rPr>
                <w:szCs w:val="21"/>
              </w:rPr>
            </w:pPr>
            <w:r>
              <w:rPr>
                <w:szCs w:val="21"/>
              </w:rPr>
              <w:t xml:space="preserve">□超五年重新审核项目     </w:t>
            </w:r>
          </w:p>
          <w:p w14:paraId="5E956BBB">
            <w:pPr>
              <w:jc w:val="left"/>
              <w:rPr>
                <w:szCs w:val="21"/>
              </w:rPr>
            </w:pPr>
            <w:r>
              <w:rPr>
                <w:szCs w:val="21"/>
              </w:rPr>
              <w:t>□重大变动重新报批项目</w:t>
            </w:r>
          </w:p>
        </w:tc>
      </w:tr>
      <w:tr w14:paraId="581EE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82" w:type="pct"/>
            <w:gridSpan w:val="2"/>
            <w:noWrap w:val="0"/>
            <w:tcMar>
              <w:top w:w="16" w:type="dxa"/>
              <w:left w:w="16" w:type="dxa"/>
              <w:right w:w="16" w:type="dxa"/>
            </w:tcMar>
            <w:vAlign w:val="center"/>
          </w:tcPr>
          <w:p w14:paraId="42395AF6">
            <w:pPr>
              <w:adjustRightInd w:val="0"/>
              <w:snapToGrid w:val="0"/>
              <w:jc w:val="center"/>
              <w:rPr>
                <w:b/>
                <w:bCs/>
                <w:szCs w:val="21"/>
              </w:rPr>
            </w:pPr>
            <w:r>
              <w:rPr>
                <w:b/>
                <w:bCs/>
                <w:szCs w:val="21"/>
              </w:rPr>
              <w:t>项目审批（核准/</w:t>
            </w:r>
          </w:p>
          <w:p w14:paraId="79AFDB38">
            <w:pPr>
              <w:adjustRightInd w:val="0"/>
              <w:snapToGrid w:val="0"/>
              <w:jc w:val="center"/>
              <w:rPr>
                <w:b/>
                <w:bCs/>
                <w:szCs w:val="21"/>
              </w:rPr>
            </w:pPr>
            <w:r>
              <w:rPr>
                <w:b/>
                <w:bCs/>
                <w:szCs w:val="21"/>
              </w:rPr>
              <w:t>备案）部门</w:t>
            </w:r>
          </w:p>
        </w:tc>
        <w:tc>
          <w:tcPr>
            <w:tcW w:w="1006" w:type="pct"/>
            <w:noWrap w:val="0"/>
            <w:vAlign w:val="center"/>
          </w:tcPr>
          <w:p w14:paraId="3D194B24">
            <w:pPr>
              <w:adjustRightInd w:val="0"/>
              <w:snapToGrid w:val="0"/>
              <w:jc w:val="center"/>
              <w:rPr>
                <w:rFonts w:hint="eastAsia"/>
                <w:szCs w:val="21"/>
              </w:rPr>
            </w:pPr>
            <w:r>
              <w:rPr>
                <w:rFonts w:hint="eastAsia"/>
                <w:szCs w:val="21"/>
              </w:rPr>
              <w:t>淮北市杜集区发展和改革委员会</w:t>
            </w:r>
          </w:p>
        </w:tc>
        <w:tc>
          <w:tcPr>
            <w:tcW w:w="1092" w:type="pct"/>
            <w:noWrap w:val="0"/>
            <w:vAlign w:val="center"/>
          </w:tcPr>
          <w:p w14:paraId="5E804CDF">
            <w:pPr>
              <w:adjustRightInd w:val="0"/>
              <w:snapToGrid w:val="0"/>
              <w:jc w:val="center"/>
              <w:rPr>
                <w:b/>
                <w:bCs/>
                <w:szCs w:val="21"/>
              </w:rPr>
            </w:pPr>
            <w:r>
              <w:rPr>
                <w:b/>
                <w:bCs/>
                <w:szCs w:val="21"/>
              </w:rPr>
              <w:t>项目审批（核准/</w:t>
            </w:r>
          </w:p>
          <w:p w14:paraId="4B5B83B7">
            <w:pPr>
              <w:adjustRightInd w:val="0"/>
              <w:snapToGrid w:val="0"/>
              <w:jc w:val="center"/>
              <w:rPr>
                <w:b/>
                <w:bCs/>
                <w:szCs w:val="21"/>
              </w:rPr>
            </w:pPr>
            <w:r>
              <w:rPr>
                <w:b/>
                <w:bCs/>
                <w:szCs w:val="21"/>
              </w:rPr>
              <w:t>备案）文号</w:t>
            </w:r>
          </w:p>
        </w:tc>
        <w:tc>
          <w:tcPr>
            <w:tcW w:w="1818" w:type="pct"/>
            <w:noWrap w:val="0"/>
            <w:vAlign w:val="center"/>
          </w:tcPr>
          <w:p w14:paraId="23719FAA">
            <w:pPr>
              <w:adjustRightInd w:val="0"/>
              <w:snapToGrid w:val="0"/>
              <w:jc w:val="center"/>
              <w:rPr>
                <w:szCs w:val="21"/>
              </w:rPr>
            </w:pPr>
            <w:r>
              <w:rPr>
                <w:rFonts w:hint="eastAsia"/>
                <w:szCs w:val="21"/>
              </w:rPr>
              <w:t>杜发改备【2024】44号</w:t>
            </w:r>
          </w:p>
        </w:tc>
      </w:tr>
      <w:tr w14:paraId="75E43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058091B7">
            <w:pPr>
              <w:adjustRightInd w:val="0"/>
              <w:snapToGrid w:val="0"/>
              <w:jc w:val="center"/>
              <w:rPr>
                <w:b/>
                <w:bCs/>
                <w:szCs w:val="21"/>
              </w:rPr>
            </w:pPr>
            <w:r>
              <w:rPr>
                <w:b/>
                <w:bCs/>
                <w:szCs w:val="21"/>
              </w:rPr>
              <w:t>总投资（万元）</w:t>
            </w:r>
          </w:p>
        </w:tc>
        <w:tc>
          <w:tcPr>
            <w:tcW w:w="1006" w:type="pct"/>
            <w:noWrap w:val="0"/>
            <w:vAlign w:val="center"/>
          </w:tcPr>
          <w:p w14:paraId="50BDB7A1">
            <w:pPr>
              <w:adjustRightInd w:val="0"/>
              <w:snapToGrid w:val="0"/>
              <w:jc w:val="center"/>
              <w:rPr>
                <w:szCs w:val="21"/>
              </w:rPr>
            </w:pPr>
            <w:r>
              <w:rPr>
                <w:rFonts w:hint="eastAsia"/>
                <w:szCs w:val="21"/>
              </w:rPr>
              <w:t>10000.00</w:t>
            </w:r>
          </w:p>
        </w:tc>
        <w:tc>
          <w:tcPr>
            <w:tcW w:w="1092" w:type="pct"/>
            <w:noWrap w:val="0"/>
            <w:tcMar>
              <w:top w:w="16" w:type="dxa"/>
              <w:left w:w="16" w:type="dxa"/>
              <w:right w:w="16" w:type="dxa"/>
            </w:tcMar>
            <w:vAlign w:val="center"/>
          </w:tcPr>
          <w:p w14:paraId="05568758">
            <w:pPr>
              <w:adjustRightInd w:val="0"/>
              <w:snapToGrid w:val="0"/>
              <w:jc w:val="center"/>
              <w:rPr>
                <w:b/>
                <w:bCs/>
                <w:szCs w:val="21"/>
              </w:rPr>
            </w:pPr>
            <w:r>
              <w:rPr>
                <w:b/>
                <w:bCs/>
                <w:szCs w:val="21"/>
              </w:rPr>
              <w:t>环保投资（万元）</w:t>
            </w:r>
          </w:p>
        </w:tc>
        <w:tc>
          <w:tcPr>
            <w:tcW w:w="1818" w:type="pct"/>
            <w:noWrap w:val="0"/>
            <w:vAlign w:val="center"/>
          </w:tcPr>
          <w:p w14:paraId="69014F53">
            <w:pPr>
              <w:adjustRightInd w:val="0"/>
              <w:snapToGrid w:val="0"/>
              <w:jc w:val="center"/>
              <w:rPr>
                <w:szCs w:val="21"/>
              </w:rPr>
            </w:pPr>
            <w:r>
              <w:rPr>
                <w:rFonts w:hint="eastAsia"/>
                <w:szCs w:val="21"/>
              </w:rPr>
              <w:t>1</w:t>
            </w:r>
            <w:r>
              <w:rPr>
                <w:rFonts w:hint="eastAsia"/>
                <w:szCs w:val="21"/>
                <w:lang w:val="en-US" w:eastAsia="zh-CN"/>
              </w:rPr>
              <w:t>5</w:t>
            </w:r>
            <w:r>
              <w:rPr>
                <w:rFonts w:hint="eastAsia"/>
                <w:szCs w:val="21"/>
              </w:rPr>
              <w:t>0</w:t>
            </w:r>
          </w:p>
        </w:tc>
      </w:tr>
      <w:tr w14:paraId="3669D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6002BE9C">
            <w:pPr>
              <w:adjustRightInd w:val="0"/>
              <w:snapToGrid w:val="0"/>
              <w:jc w:val="center"/>
              <w:rPr>
                <w:b/>
                <w:bCs/>
                <w:szCs w:val="21"/>
              </w:rPr>
            </w:pPr>
            <w:r>
              <w:rPr>
                <w:b/>
                <w:bCs/>
                <w:szCs w:val="21"/>
              </w:rPr>
              <w:t>环保投资占比（%）</w:t>
            </w:r>
          </w:p>
        </w:tc>
        <w:tc>
          <w:tcPr>
            <w:tcW w:w="1006" w:type="pct"/>
            <w:noWrap w:val="0"/>
            <w:vAlign w:val="center"/>
          </w:tcPr>
          <w:p w14:paraId="7B048064">
            <w:pPr>
              <w:adjustRightInd w:val="0"/>
              <w:snapToGrid w:val="0"/>
              <w:jc w:val="center"/>
              <w:rPr>
                <w:rFonts w:hint="default" w:eastAsia="宋体"/>
                <w:szCs w:val="21"/>
                <w:lang w:val="en-US" w:eastAsia="zh-CN"/>
              </w:rPr>
            </w:pPr>
            <w:r>
              <w:rPr>
                <w:rFonts w:hint="eastAsia"/>
                <w:szCs w:val="21"/>
              </w:rPr>
              <w:t>1</w:t>
            </w:r>
            <w:r>
              <w:rPr>
                <w:rFonts w:hint="eastAsia"/>
                <w:szCs w:val="21"/>
                <w:lang w:val="en-US" w:eastAsia="zh-CN"/>
              </w:rPr>
              <w:t>.5</w:t>
            </w:r>
          </w:p>
        </w:tc>
        <w:tc>
          <w:tcPr>
            <w:tcW w:w="1092" w:type="pct"/>
            <w:noWrap w:val="0"/>
            <w:tcMar>
              <w:top w:w="16" w:type="dxa"/>
              <w:left w:w="16" w:type="dxa"/>
              <w:right w:w="16" w:type="dxa"/>
            </w:tcMar>
            <w:vAlign w:val="center"/>
          </w:tcPr>
          <w:p w14:paraId="7D248A6E">
            <w:pPr>
              <w:adjustRightInd w:val="0"/>
              <w:snapToGrid w:val="0"/>
              <w:jc w:val="center"/>
              <w:rPr>
                <w:b/>
                <w:bCs/>
                <w:szCs w:val="21"/>
              </w:rPr>
            </w:pPr>
            <w:r>
              <w:rPr>
                <w:b/>
                <w:bCs/>
                <w:szCs w:val="21"/>
              </w:rPr>
              <w:t>施工工期</w:t>
            </w:r>
          </w:p>
        </w:tc>
        <w:tc>
          <w:tcPr>
            <w:tcW w:w="1818" w:type="pct"/>
            <w:noWrap w:val="0"/>
            <w:vAlign w:val="center"/>
          </w:tcPr>
          <w:p w14:paraId="36621475">
            <w:pPr>
              <w:adjustRightInd w:val="0"/>
              <w:snapToGrid w:val="0"/>
              <w:jc w:val="center"/>
              <w:rPr>
                <w:szCs w:val="21"/>
              </w:rPr>
            </w:pPr>
            <w:r>
              <w:rPr>
                <w:rFonts w:hint="eastAsia"/>
                <w:szCs w:val="21"/>
              </w:rPr>
              <w:t>12个月</w:t>
            </w:r>
          </w:p>
        </w:tc>
      </w:tr>
      <w:tr w14:paraId="16609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2" w:type="pct"/>
            <w:gridSpan w:val="2"/>
            <w:noWrap w:val="0"/>
            <w:tcMar>
              <w:top w:w="16" w:type="dxa"/>
              <w:left w:w="16" w:type="dxa"/>
              <w:right w:w="16" w:type="dxa"/>
            </w:tcMar>
            <w:vAlign w:val="center"/>
          </w:tcPr>
          <w:p w14:paraId="735B54D7">
            <w:pPr>
              <w:adjustRightInd w:val="0"/>
              <w:snapToGrid w:val="0"/>
              <w:jc w:val="center"/>
              <w:rPr>
                <w:b/>
                <w:bCs/>
                <w:szCs w:val="21"/>
              </w:rPr>
            </w:pPr>
            <w:r>
              <w:rPr>
                <w:b/>
                <w:bCs/>
                <w:szCs w:val="21"/>
              </w:rPr>
              <w:t>是否开工建设</w:t>
            </w:r>
          </w:p>
        </w:tc>
        <w:tc>
          <w:tcPr>
            <w:tcW w:w="1006" w:type="pct"/>
            <w:noWrap w:val="0"/>
            <w:vAlign w:val="center"/>
          </w:tcPr>
          <w:p w14:paraId="76342F35">
            <w:pPr>
              <w:adjustRightInd w:val="0"/>
              <w:snapToGrid w:val="0"/>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14:paraId="54261FC9">
            <w:pPr>
              <w:adjustRightInd w:val="0"/>
              <w:snapToGrid w:val="0"/>
              <w:rPr>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1092" w:type="pct"/>
            <w:noWrap w:val="0"/>
            <w:tcMar>
              <w:top w:w="16" w:type="dxa"/>
              <w:left w:w="16" w:type="dxa"/>
              <w:right w:w="16" w:type="dxa"/>
            </w:tcMar>
            <w:vAlign w:val="center"/>
          </w:tcPr>
          <w:p w14:paraId="0439B381">
            <w:pPr>
              <w:adjustRightInd w:val="0"/>
              <w:snapToGrid w:val="0"/>
              <w:jc w:val="center"/>
              <w:rPr>
                <w:b/>
                <w:bCs/>
                <w:szCs w:val="21"/>
              </w:rPr>
            </w:pPr>
            <w:r>
              <w:rPr>
                <w:b/>
                <w:bCs/>
                <w:spacing w:val="-6"/>
                <w:szCs w:val="21"/>
              </w:rPr>
              <w:t>用地面积（m</w:t>
            </w:r>
            <w:r>
              <w:rPr>
                <w:b/>
                <w:bCs/>
                <w:spacing w:val="-6"/>
                <w:szCs w:val="21"/>
                <w:vertAlign w:val="superscript"/>
              </w:rPr>
              <w:t>2</w:t>
            </w:r>
            <w:r>
              <w:rPr>
                <w:b/>
                <w:bCs/>
                <w:spacing w:val="-6"/>
                <w:szCs w:val="21"/>
              </w:rPr>
              <w:t>）</w:t>
            </w:r>
          </w:p>
        </w:tc>
        <w:tc>
          <w:tcPr>
            <w:tcW w:w="1818" w:type="pct"/>
            <w:noWrap w:val="0"/>
            <w:vAlign w:val="center"/>
          </w:tcPr>
          <w:p w14:paraId="26974E9F">
            <w:pPr>
              <w:adjustRightInd w:val="0"/>
              <w:snapToGrid w:val="0"/>
              <w:jc w:val="center"/>
              <w:rPr>
                <w:szCs w:val="21"/>
              </w:rPr>
            </w:pPr>
            <w:r>
              <w:rPr>
                <w:rFonts w:hint="eastAsia"/>
                <w:szCs w:val="21"/>
              </w:rPr>
              <w:t>9200</w:t>
            </w:r>
          </w:p>
        </w:tc>
      </w:tr>
      <w:tr w14:paraId="198FC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82" w:type="pct"/>
            <w:gridSpan w:val="2"/>
            <w:noWrap w:val="0"/>
            <w:vAlign w:val="center"/>
          </w:tcPr>
          <w:p w14:paraId="4CE0FCC4">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cs="宋体"/>
                <w:b/>
                <w:bCs/>
                <w:kern w:val="0"/>
                <w:szCs w:val="21"/>
              </w:rPr>
            </w:pPr>
            <w:r>
              <w:rPr>
                <w:rFonts w:hint="eastAsia" w:ascii="宋体" w:hAnsi="宋体" w:cs="宋体"/>
                <w:b/>
                <w:bCs/>
                <w:kern w:val="0"/>
                <w:szCs w:val="21"/>
              </w:rPr>
              <w:t>专项评价设置情况</w:t>
            </w:r>
          </w:p>
        </w:tc>
        <w:tc>
          <w:tcPr>
            <w:tcW w:w="3917" w:type="pct"/>
            <w:gridSpan w:val="3"/>
            <w:noWrap w:val="0"/>
            <w:vAlign w:val="center"/>
          </w:tcPr>
          <w:p w14:paraId="4B94FD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无</w:t>
            </w:r>
          </w:p>
        </w:tc>
      </w:tr>
      <w:tr w14:paraId="12302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82" w:type="pct"/>
            <w:gridSpan w:val="2"/>
            <w:noWrap w:val="0"/>
            <w:vAlign w:val="center"/>
          </w:tcPr>
          <w:p w14:paraId="4CD746DD">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hAnsi="宋体"/>
              </w:rPr>
            </w:pPr>
            <w:r>
              <w:rPr>
                <w:rFonts w:hint="eastAsia" w:ascii="宋体" w:hAnsi="宋体" w:cs="宋体"/>
                <w:b/>
                <w:bCs/>
                <w:szCs w:val="21"/>
              </w:rPr>
              <w:t>规划情况</w:t>
            </w:r>
          </w:p>
        </w:tc>
        <w:tc>
          <w:tcPr>
            <w:tcW w:w="3917" w:type="pct"/>
            <w:gridSpan w:val="3"/>
            <w:noWrap w:val="0"/>
            <w:vAlign w:val="center"/>
          </w:tcPr>
          <w:p w14:paraId="6D409C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hAnsi="宋体"/>
                <w:sz w:val="24"/>
                <w:szCs w:val="24"/>
              </w:rPr>
            </w:pPr>
            <w:r>
              <w:rPr>
                <w:rFonts w:hint="eastAsia" w:hAnsi="宋体"/>
                <w:sz w:val="24"/>
                <w:szCs w:val="24"/>
              </w:rPr>
              <w:t>规划名称：《</w:t>
            </w:r>
            <w:r>
              <w:rPr>
                <w:sz w:val="24"/>
                <w:szCs w:val="24"/>
              </w:rPr>
              <w:t>淮北市城市总体规划（2016-2040年）</w:t>
            </w:r>
            <w:r>
              <w:rPr>
                <w:rFonts w:hint="eastAsia"/>
                <w:sz w:val="24"/>
                <w:szCs w:val="24"/>
              </w:rPr>
              <w:t>》</w:t>
            </w:r>
          </w:p>
        </w:tc>
      </w:tr>
      <w:tr w14:paraId="3D9A6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082" w:type="pct"/>
            <w:gridSpan w:val="2"/>
            <w:noWrap w:val="0"/>
            <w:vAlign w:val="center"/>
          </w:tcPr>
          <w:p w14:paraId="0AB0D283">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宋体" w:hAnsi="宋体" w:cs="宋体"/>
                <w:b/>
                <w:bCs/>
                <w:szCs w:val="21"/>
              </w:rPr>
            </w:pPr>
            <w:r>
              <w:rPr>
                <w:rFonts w:hint="eastAsia" w:ascii="宋体" w:hAnsi="宋体" w:cs="宋体"/>
                <w:b/>
                <w:bCs/>
                <w:szCs w:val="21"/>
              </w:rPr>
              <w:t>规划环境影响</w:t>
            </w:r>
          </w:p>
          <w:p w14:paraId="62E71B6F">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宋体" w:hAnsi="宋体" w:cs="宋体"/>
                <w:b/>
                <w:bCs/>
                <w:szCs w:val="21"/>
              </w:rPr>
            </w:pPr>
            <w:r>
              <w:rPr>
                <w:rFonts w:hint="eastAsia" w:ascii="宋体" w:hAnsi="宋体" w:cs="宋体"/>
                <w:b/>
                <w:bCs/>
                <w:szCs w:val="21"/>
              </w:rPr>
              <w:t>评价情况</w:t>
            </w:r>
          </w:p>
        </w:tc>
        <w:tc>
          <w:tcPr>
            <w:tcW w:w="3917" w:type="pct"/>
            <w:gridSpan w:val="3"/>
            <w:noWrap w:val="0"/>
            <w:vAlign w:val="center"/>
          </w:tcPr>
          <w:p w14:paraId="3F4852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sz w:val="24"/>
                <w:szCs w:val="24"/>
              </w:rPr>
            </w:pPr>
            <w:r>
              <w:rPr>
                <w:rFonts w:hint="eastAsia"/>
                <w:sz w:val="24"/>
                <w:szCs w:val="24"/>
              </w:rPr>
              <w:t>无</w:t>
            </w:r>
          </w:p>
        </w:tc>
      </w:tr>
      <w:tr w14:paraId="5FF51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2" w:type="pct"/>
            <w:gridSpan w:val="2"/>
            <w:noWrap w:val="0"/>
            <w:vAlign w:val="center"/>
          </w:tcPr>
          <w:p w14:paraId="68987446">
            <w:pPr>
              <w:adjustRightInd w:val="0"/>
              <w:snapToGrid w:val="0"/>
              <w:jc w:val="center"/>
              <w:rPr>
                <w:rFonts w:ascii="Times New Roman" w:hAnsi="Times New Roman" w:eastAsia="宋体"/>
                <w:sz w:val="24"/>
              </w:rPr>
            </w:pPr>
            <w:r>
              <w:rPr>
                <w:rFonts w:hint="eastAsia" w:ascii="宋体" w:hAnsi="宋体" w:eastAsia="宋体" w:cs="宋体"/>
                <w:b/>
                <w:bCs/>
                <w:szCs w:val="21"/>
              </w:rPr>
              <w:t>规划及规划环境影响评价符合性分析</w:t>
            </w:r>
          </w:p>
        </w:tc>
        <w:tc>
          <w:tcPr>
            <w:tcW w:w="3917" w:type="pct"/>
            <w:gridSpan w:val="3"/>
            <w:noWrap w:val="0"/>
            <w:vAlign w:val="center"/>
          </w:tcPr>
          <w:p w14:paraId="009F9F39">
            <w:pPr>
              <w:numPr>
                <w:ilvl w:val="0"/>
                <w:numId w:val="0"/>
              </w:numPr>
              <w:overflowPunct w:val="0"/>
              <w:adjustRightInd w:val="0"/>
              <w:snapToGrid w:val="0"/>
              <w:spacing w:line="360" w:lineRule="auto"/>
              <w:ind w:left="720" w:leftChars="0" w:hanging="720" w:firstLineChars="0"/>
              <w:rPr>
                <w:rFonts w:ascii="宋体" w:hAnsi="宋体" w:cs="宋体"/>
                <w:b/>
                <w:bCs/>
                <w:kern w:val="0"/>
                <w:sz w:val="24"/>
              </w:rPr>
            </w:pPr>
            <w:r>
              <w:rPr>
                <w:rFonts w:hint="default" w:ascii="宋体" w:hAnsi="宋体" w:cs="宋体"/>
                <w:b/>
                <w:bCs/>
                <w:kern w:val="0"/>
                <w:sz w:val="24"/>
                <w:szCs w:val="24"/>
                <w:lang w:val="en-US" w:eastAsia="zh-CN" w:bidi="ar-SA"/>
              </w:rPr>
              <w:t>（一）</w:t>
            </w:r>
            <w:r>
              <w:rPr>
                <w:rFonts w:hint="eastAsia" w:ascii="宋体" w:hAnsi="宋体" w:cs="宋体"/>
                <w:b/>
                <w:bCs/>
                <w:kern w:val="0"/>
                <w:sz w:val="24"/>
              </w:rPr>
              <w:t>规划符合性分析</w:t>
            </w:r>
          </w:p>
          <w:p w14:paraId="0D87756A">
            <w:pPr>
              <w:pStyle w:val="11"/>
              <w:spacing w:line="360" w:lineRule="auto"/>
              <w:ind w:firstLine="480" w:firstLineChars="200"/>
              <w:jc w:val="left"/>
              <w:rPr>
                <w:rFonts w:ascii="Times New Roman" w:hAnsi="Times New Roman" w:eastAsia="宋体"/>
                <w:sz w:val="24"/>
              </w:rPr>
            </w:pPr>
            <w:r>
              <w:rPr>
                <w:rFonts w:ascii="Times New Roman" w:hAnsi="Times New Roman" w:eastAsia="宋体"/>
                <w:sz w:val="24"/>
              </w:rPr>
              <w:t>本项目所在地为淮北市杜集区石台镇育才路东侧乡村振兴产业园，属于《淮北市城市总体规划（2016-2040年）》（以下简称总规）中的规划范围，</w:t>
            </w:r>
            <w:r>
              <w:rPr>
                <w:rFonts w:hint="eastAsia" w:ascii="Times New Roman" w:hAnsi="Times New Roman" w:eastAsia="宋体" w:cs="Times New Roman"/>
                <w:sz w:val="24"/>
                <w:lang w:val="en-US" w:eastAsia="zh-CN"/>
              </w:rPr>
              <w:t>区域</w:t>
            </w:r>
            <w:r>
              <w:rPr>
                <w:rFonts w:ascii="Times New Roman" w:hAnsi="Times New Roman" w:eastAsia="宋体"/>
                <w:sz w:val="24"/>
              </w:rPr>
              <w:t>重点发展高端装备制造、科技研发、商贸物流、休闲旅游和大健康等产业，带动市域北部地区提档升级。本项目属于</w:t>
            </w:r>
            <w:r>
              <w:rPr>
                <w:rFonts w:hint="eastAsia" w:ascii="Times New Roman" w:hAnsi="Times New Roman" w:eastAsia="宋体"/>
                <w:sz w:val="24"/>
              </w:rPr>
              <w:t>C3359其他建筑、安全用金属制品制造</w:t>
            </w:r>
            <w:r>
              <w:rPr>
                <w:rFonts w:ascii="Times New Roman" w:hAnsi="Times New Roman" w:eastAsia="宋体"/>
                <w:sz w:val="24"/>
              </w:rPr>
              <w:t>，产品为铁路混凝土箱型梁预埋件，属于</w:t>
            </w:r>
            <w:r>
              <w:rPr>
                <w:rFonts w:hint="eastAsia" w:ascii="Times New Roman" w:hAnsi="Times New Roman" w:eastAsia="宋体"/>
                <w:sz w:val="24"/>
                <w:lang w:val="en-US" w:eastAsia="zh-CN"/>
              </w:rPr>
              <w:t>装备</w:t>
            </w:r>
            <w:r>
              <w:rPr>
                <w:rFonts w:hint="eastAsia" w:ascii="Times New Roman" w:hAnsi="Times New Roman" w:eastAsia="宋体"/>
                <w:sz w:val="24"/>
              </w:rPr>
              <w:t>制造</w:t>
            </w:r>
            <w:r>
              <w:rPr>
                <w:rFonts w:ascii="Times New Roman" w:hAnsi="Times New Roman" w:eastAsia="宋体"/>
                <w:sz w:val="24"/>
              </w:rPr>
              <w:t>行业，属于区域重点发展的项目。</w:t>
            </w:r>
          </w:p>
          <w:p w14:paraId="6DC9AAC8">
            <w:pPr>
              <w:pStyle w:val="11"/>
              <w:spacing w:line="360" w:lineRule="auto"/>
              <w:ind w:firstLine="480" w:firstLineChars="200"/>
              <w:rPr>
                <w:rFonts w:hint="eastAsia" w:ascii="Times New Roman" w:hAnsi="Times New Roman" w:eastAsia="宋体"/>
                <w:sz w:val="24"/>
              </w:rPr>
            </w:pPr>
            <w:r>
              <w:rPr>
                <w:rFonts w:hint="eastAsia" w:ascii="Times New Roman" w:hAnsi="Times New Roman" w:eastAsia="宋体"/>
                <w:sz w:val="24"/>
              </w:rPr>
              <w:t>淮北市城市总体规划图见附图6。</w:t>
            </w:r>
          </w:p>
        </w:tc>
      </w:tr>
      <w:tr w14:paraId="0C60F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2" w:hRule="atLeast"/>
          <w:jc w:val="center"/>
        </w:trPr>
        <w:tc>
          <w:tcPr>
            <w:tcW w:w="360" w:type="pct"/>
            <w:noWrap w:val="0"/>
            <w:vAlign w:val="center"/>
          </w:tcPr>
          <w:p w14:paraId="05B79292">
            <w:pPr>
              <w:autoSpaceDE w:val="0"/>
              <w:autoSpaceDN w:val="0"/>
              <w:adjustRightInd w:val="0"/>
              <w:snapToGrid w:val="0"/>
              <w:jc w:val="center"/>
              <w:rPr>
                <w:rFonts w:hint="eastAsia" w:ascii="宋体" w:hAnsi="宋体" w:cs="宋体"/>
                <w:kern w:val="0"/>
                <w:szCs w:val="21"/>
              </w:rPr>
            </w:pPr>
            <w:r>
              <w:rPr>
                <w:rFonts w:hint="eastAsia" w:ascii="宋体" w:hAnsi="宋体" w:cs="宋体"/>
                <w:b/>
                <w:bCs/>
                <w:kern w:val="0"/>
                <w:szCs w:val="21"/>
              </w:rPr>
              <w:t>其他符合性分析</w:t>
            </w:r>
          </w:p>
        </w:tc>
        <w:tc>
          <w:tcPr>
            <w:tcW w:w="4639" w:type="pct"/>
            <w:gridSpan w:val="4"/>
            <w:noWrap w:val="0"/>
            <w:vAlign w:val="center"/>
          </w:tcPr>
          <w:p w14:paraId="3B5BB35D">
            <w:pPr>
              <w:overflowPunct w:val="0"/>
              <w:adjustRightInd w:val="0"/>
              <w:snapToGrid w:val="0"/>
              <w:spacing w:line="360" w:lineRule="auto"/>
              <w:rPr>
                <w:b/>
                <w:bCs/>
                <w:sz w:val="24"/>
              </w:rPr>
            </w:pPr>
            <w:r>
              <w:rPr>
                <w:rFonts w:hint="eastAsia"/>
                <w:b/>
                <w:bCs/>
                <w:sz w:val="24"/>
              </w:rPr>
              <w:t>（一）产业政策符合性分析</w:t>
            </w:r>
          </w:p>
          <w:p w14:paraId="15D5BD77">
            <w:pPr>
              <w:overflowPunct w:val="0"/>
              <w:adjustRightInd w:val="0"/>
              <w:snapToGrid w:val="0"/>
              <w:spacing w:line="360" w:lineRule="auto"/>
              <w:ind w:firstLine="480" w:firstLineChars="200"/>
              <w:rPr>
                <w:rFonts w:hint="eastAsia"/>
                <w:b/>
                <w:bCs/>
                <w:sz w:val="24"/>
                <w:szCs w:val="32"/>
              </w:rPr>
            </w:pPr>
            <w:r>
              <w:rPr>
                <w:rFonts w:hint="eastAsia"/>
                <w:sz w:val="24"/>
              </w:rPr>
              <w:t>项目为铁路运输设备制造项目，经核查，本项目不</w:t>
            </w:r>
            <w:r>
              <w:rPr>
                <w:rFonts w:hint="eastAsia"/>
                <w:sz w:val="24"/>
                <w:lang w:val="en-US" w:eastAsia="zh-CN"/>
              </w:rPr>
              <w:t>属于</w:t>
            </w:r>
            <w:r>
              <w:rPr>
                <w:rFonts w:hint="eastAsia"/>
                <w:sz w:val="24"/>
              </w:rPr>
              <w:t>《产业结构调整指导目录（2024年本）》中第二类限制类及第三类淘汰类条款</w:t>
            </w:r>
            <w:r>
              <w:rPr>
                <w:rFonts w:hint="eastAsia"/>
                <w:sz w:val="24"/>
                <w:lang w:eastAsia="zh-CN"/>
              </w:rPr>
              <w:t>，</w:t>
            </w:r>
            <w:r>
              <w:rPr>
                <w:rFonts w:hint="eastAsia"/>
                <w:sz w:val="24"/>
              </w:rPr>
              <w:t>不属于《安徽省工业产业结构调整指导目录（2007年本）》中的第二类限制类及第三类淘汰类，可视为允许类。项目于2024年6月18日经淮北市杜集区发展和改革委员会备案，备案文号为杜发改备【2024】44号。因此，项目建设符合国家和地方产业政策导向要求。</w:t>
            </w:r>
          </w:p>
          <w:p w14:paraId="254DFD65">
            <w:pPr>
              <w:overflowPunct w:val="0"/>
              <w:adjustRightInd w:val="0"/>
              <w:snapToGrid w:val="0"/>
              <w:spacing w:line="360" w:lineRule="auto"/>
              <w:rPr>
                <w:rFonts w:hint="eastAsia"/>
                <w:b/>
                <w:bCs/>
                <w:sz w:val="24"/>
                <w:szCs w:val="32"/>
              </w:rPr>
            </w:pPr>
            <w:r>
              <w:rPr>
                <w:rFonts w:hint="eastAsia"/>
                <w:b/>
                <w:bCs/>
                <w:sz w:val="24"/>
                <w:szCs w:val="32"/>
              </w:rPr>
              <w:t>（二）与淮北市“三线一单”符合性分析</w:t>
            </w:r>
          </w:p>
          <w:p w14:paraId="467462B8">
            <w:pPr>
              <w:spacing w:line="360" w:lineRule="auto"/>
              <w:ind w:firstLine="482" w:firstLineChars="200"/>
              <w:rPr>
                <w:b/>
                <w:kern w:val="0"/>
                <w:sz w:val="24"/>
              </w:rPr>
            </w:pPr>
            <w:r>
              <w:rPr>
                <w:b/>
                <w:kern w:val="0"/>
                <w:sz w:val="24"/>
              </w:rPr>
              <w:t>1、生态保护红线</w:t>
            </w:r>
          </w:p>
          <w:p w14:paraId="5424A5E9">
            <w:pPr>
              <w:spacing w:line="360" w:lineRule="auto"/>
              <w:ind w:firstLine="480" w:firstLineChars="200"/>
              <w:rPr>
                <w:rFonts w:hint="eastAsia"/>
                <w:bCs/>
                <w:kern w:val="0"/>
                <w:sz w:val="24"/>
              </w:rPr>
            </w:pPr>
            <w:r>
              <w:rPr>
                <w:rFonts w:hint="eastAsia"/>
                <w:bCs/>
                <w:kern w:val="0"/>
                <w:sz w:val="24"/>
              </w:rPr>
              <w:t>本项目位于</w:t>
            </w:r>
            <w:r>
              <w:rPr>
                <w:rFonts w:hint="eastAsia"/>
                <w:bCs/>
                <w:sz w:val="24"/>
              </w:rPr>
              <w:t>淮北市杜集区石台镇育才路东侧乡村振兴产业园</w:t>
            </w:r>
            <w:r>
              <w:rPr>
                <w:rFonts w:hint="eastAsia"/>
                <w:bCs/>
                <w:kern w:val="0"/>
                <w:sz w:val="24"/>
              </w:rPr>
              <w:t>内，根据《安徽省生态保护红线》(皖政秘〔2018〕120号文)及《淮北市“三线一单”编制文本》内容，杜集区生态保护红线面积为233.18k</w:t>
            </w:r>
            <w:r>
              <w:rPr>
                <w:bCs/>
                <w:kern w:val="0"/>
                <w:sz w:val="24"/>
              </w:rPr>
              <w:t>m</w:t>
            </w:r>
            <w:r>
              <w:rPr>
                <w:bCs/>
                <w:kern w:val="0"/>
                <w:sz w:val="24"/>
                <w:vertAlign w:val="superscript"/>
              </w:rPr>
              <w:t>2</w:t>
            </w:r>
            <w:r>
              <w:rPr>
                <w:rFonts w:hint="eastAsia"/>
                <w:bCs/>
                <w:kern w:val="0"/>
                <w:sz w:val="24"/>
              </w:rPr>
              <w:t>，本项目不在生态保护红线范围内。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本项目与淮北市生态红线位置关系详见附图5。</w:t>
            </w:r>
          </w:p>
          <w:p w14:paraId="33535FB8">
            <w:pPr>
              <w:spacing w:line="360" w:lineRule="auto"/>
              <w:ind w:firstLine="480" w:firstLineChars="200"/>
              <w:jc w:val="both"/>
              <w:rPr>
                <w:rFonts w:hint="eastAsia"/>
                <w:bCs/>
                <w:kern w:val="0"/>
                <w:sz w:val="24"/>
              </w:rPr>
            </w:pPr>
            <w:r>
              <w:rPr>
                <w:rFonts w:hint="eastAsia"/>
                <w:bCs/>
                <w:kern w:val="0"/>
                <w:sz w:val="24"/>
              </w:rPr>
              <w:t>经查询安徽省“三线一单”公众服务平台，本项目所在区域涉及1个</w:t>
            </w:r>
            <w:r>
              <w:rPr>
                <w:rFonts w:hint="eastAsia"/>
                <w:bCs/>
                <w:kern w:val="0"/>
                <w:sz w:val="24"/>
                <w:lang w:val="en-US" w:eastAsia="zh-CN"/>
              </w:rPr>
              <w:t>一般</w:t>
            </w:r>
            <w:r>
              <w:rPr>
                <w:rFonts w:hint="eastAsia"/>
                <w:bCs/>
                <w:kern w:val="0"/>
                <w:sz w:val="24"/>
              </w:rPr>
              <w:t>管控单元，单元编码ZH34060230012。</w:t>
            </w:r>
          </w:p>
          <w:p w14:paraId="31A73F6A">
            <w:pPr>
              <w:spacing w:line="360" w:lineRule="auto"/>
              <w:jc w:val="center"/>
              <w:rPr>
                <w:bCs/>
                <w:kern w:val="0"/>
                <w:szCs w:val="21"/>
              </w:rPr>
            </w:pPr>
            <w:r>
              <w:rPr>
                <w:rFonts w:hint="eastAsia"/>
                <w:b/>
                <w:bCs/>
                <w:sz w:val="24"/>
              </w:rPr>
              <mc:AlternateContent>
                <mc:Choice Requires="wps">
                  <w:drawing>
                    <wp:anchor distT="0" distB="0" distL="114300" distR="114300" simplePos="0" relativeHeight="251659264" behindDoc="0" locked="0" layoutInCell="1" allowOverlap="1">
                      <wp:simplePos x="0" y="0"/>
                      <wp:positionH relativeFrom="column">
                        <wp:posOffset>1982470</wp:posOffset>
                      </wp:positionH>
                      <wp:positionV relativeFrom="paragraph">
                        <wp:posOffset>894080</wp:posOffset>
                      </wp:positionV>
                      <wp:extent cx="1057910" cy="279400"/>
                      <wp:effectExtent l="4445" t="4445" r="23495" b="230505"/>
                      <wp:wrapNone/>
                      <wp:docPr id="1" name="自选图形 4"/>
                      <wp:cNvGraphicFramePr/>
                      <a:graphic xmlns:a="http://schemas.openxmlformats.org/drawingml/2006/main">
                        <a:graphicData uri="http://schemas.microsoft.com/office/word/2010/wordprocessingShape">
                          <wps:wsp>
                            <wps:cNvSpPr/>
                            <wps:spPr>
                              <a:xfrm>
                                <a:off x="0" y="0"/>
                                <a:ext cx="1057910" cy="279400"/>
                              </a:xfrm>
                              <a:prstGeom prst="wedgeRectCallout">
                                <a:avLst>
                                  <a:gd name="adj1" fmla="val -30551"/>
                                  <a:gd name="adj2" fmla="val 123181"/>
                                </a:avLst>
                              </a:prstGeom>
                              <a:solidFill>
                                <a:srgbClr val="FFFF00"/>
                              </a:solidFill>
                              <a:ln w="9525" cap="flat" cmpd="sng">
                                <a:solidFill>
                                  <a:srgbClr val="FF0000"/>
                                </a:solidFill>
                                <a:prstDash val="solid"/>
                                <a:miter/>
                                <a:headEnd type="none" w="med" len="med"/>
                                <a:tailEnd type="none" w="med" len="med"/>
                              </a:ln>
                            </wps:spPr>
                            <wps:txbx>
                              <w:txbxContent>
                                <w:p w14:paraId="3D8DE848">
                                  <w:r>
                                    <w:rPr>
                                      <w:rFonts w:hint="eastAsia"/>
                                    </w:rPr>
                                    <w:t>本项目所在地</w:t>
                                  </w:r>
                                </w:p>
                              </w:txbxContent>
                            </wps:txbx>
                            <wps:bodyPr upright="1"/>
                          </wps:wsp>
                        </a:graphicData>
                      </a:graphic>
                    </wp:anchor>
                  </w:drawing>
                </mc:Choice>
                <mc:Fallback>
                  <w:pict>
                    <v:shape id="自选图形 4" o:spid="_x0000_s1026" o:spt="61" type="#_x0000_t61" style="position:absolute;left:0pt;margin-left:156.1pt;margin-top:70.4pt;height:22pt;width:83.3pt;z-index:251659264;mso-width-relative:page;mso-height-relative:page;" fillcolor="#FFFF00" filled="t" stroked="t" coordsize="21600,21600" o:gfxdata="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0zOLzXAAAACwEAAA8AAAAAAAAAAQAgAAAAIgAAAGRycy9k&#10;b3ducmV2LnhtbFBLAQIUABQAAAAIAIdO4kCajo9dPAIAAI4EAAAOAAAAAAAAAAEAIAAAACYBAABk&#10;cnMvZTJvRG9jLnhtbFBLBQYAAAAABgAGAFkBAADUBQAAAAA=&#10;" adj="4201,37407">
                      <v:fill on="t" focussize="0,0"/>
                      <v:stroke color="#FF0000" joinstyle="miter"/>
                      <v:imagedata o:title=""/>
                      <o:lock v:ext="edit" aspectratio="f"/>
                      <v:textbox>
                        <w:txbxContent>
                          <w:p w14:paraId="3D8DE848">
                            <w:r>
                              <w:rPr>
                                <w:rFonts w:hint="eastAsia"/>
                              </w:rPr>
                              <w:t>本项目所在地</w:t>
                            </w:r>
                          </w:p>
                        </w:txbxContent>
                      </v:textbox>
                    </v:shape>
                  </w:pict>
                </mc:Fallback>
              </mc:AlternateContent>
            </w:r>
            <w:r>
              <w:drawing>
                <wp:inline distT="0" distB="0" distL="114300" distR="114300">
                  <wp:extent cx="5372735" cy="2830830"/>
                  <wp:effectExtent l="0" t="0" r="184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72735" cy="2830830"/>
                          </a:xfrm>
                          <a:prstGeom prst="rect">
                            <a:avLst/>
                          </a:prstGeom>
                          <a:noFill/>
                          <a:ln>
                            <a:noFill/>
                          </a:ln>
                        </pic:spPr>
                      </pic:pic>
                    </a:graphicData>
                  </a:graphic>
                </wp:inline>
              </w:drawing>
            </w:r>
          </w:p>
          <w:p w14:paraId="18005285">
            <w:pPr>
              <w:pStyle w:val="11"/>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图1 项目与分区管控位置关系图</w:t>
            </w:r>
          </w:p>
          <w:p w14:paraId="23517F0A">
            <w:pPr>
              <w:overflowPunct w:val="0"/>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本项目与生态环境分区管控要求符合性分析如下</w:t>
            </w:r>
            <w:r>
              <w:rPr>
                <w:rFonts w:hint="eastAsia" w:ascii="Times New Roman" w:hAnsi="Times New Roman" w:eastAsia="宋体" w:cs="Times New Roman"/>
                <w:kern w:val="0"/>
                <w:sz w:val="24"/>
                <w:lang w:eastAsia="zh-CN"/>
              </w:rPr>
              <w:t>：</w:t>
            </w:r>
          </w:p>
          <w:p w14:paraId="0BCD3684">
            <w:pPr>
              <w:overflowPunct w:val="0"/>
              <w:adjustRightInd w:val="0"/>
              <w:snapToGrid w:val="0"/>
              <w:spacing w:line="360" w:lineRule="auto"/>
              <w:ind w:firstLine="480" w:firstLineChars="200"/>
              <w:rPr>
                <w:kern w:val="0"/>
                <w:sz w:val="24"/>
              </w:rPr>
            </w:pPr>
            <w:r>
              <w:rPr>
                <w:rFonts w:hint="eastAsia"/>
                <w:kern w:val="0"/>
                <w:sz w:val="24"/>
              </w:rPr>
              <w:t>①水环境分区管控级别及要求：本项目位于水环境工业污染重点管控区。管控要求为：</w:t>
            </w:r>
            <w:r>
              <w:rPr>
                <w:rFonts w:hint="eastAsia" w:ascii="仿宋" w:hAnsi="仿宋"/>
                <w:bCs/>
                <w:sz w:val="24"/>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w:t>
            </w:r>
            <w:r>
              <w:rPr>
                <w:rFonts w:hint="eastAsia" w:ascii="仿宋" w:hAnsi="仿宋"/>
                <w:bCs/>
                <w:sz w:val="24"/>
                <w:lang w:eastAsia="zh-CN"/>
              </w:rPr>
              <w:t>十四五</w:t>
            </w:r>
            <w:r>
              <w:rPr>
                <w:rFonts w:hint="eastAsia" w:ascii="仿宋" w:hAnsi="仿宋"/>
                <w:bCs/>
                <w:sz w:val="24"/>
              </w:rPr>
              <w:t>”生态环境保护规划》《安徽省“</w:t>
            </w:r>
            <w:r>
              <w:rPr>
                <w:rFonts w:hint="eastAsia" w:ascii="仿宋" w:hAnsi="仿宋"/>
                <w:bCs/>
                <w:sz w:val="24"/>
                <w:lang w:eastAsia="zh-CN"/>
              </w:rPr>
              <w:t>十四五</w:t>
            </w:r>
            <w:r>
              <w:rPr>
                <w:rFonts w:hint="eastAsia" w:ascii="仿宋" w:hAnsi="仿宋"/>
                <w:bCs/>
                <w:sz w:val="24"/>
              </w:rPr>
              <w:t>”环境保护规划》《安徽省“</w:t>
            </w:r>
            <w:r>
              <w:rPr>
                <w:rFonts w:hint="eastAsia" w:ascii="仿宋" w:hAnsi="仿宋"/>
                <w:bCs/>
                <w:sz w:val="24"/>
                <w:lang w:eastAsia="zh-CN"/>
              </w:rPr>
              <w:t>十四五</w:t>
            </w:r>
            <w:r>
              <w:rPr>
                <w:rFonts w:hint="eastAsia" w:ascii="仿宋" w:hAnsi="仿宋"/>
                <w:bCs/>
                <w:sz w:val="24"/>
              </w:rPr>
              <w:t>”节能减排实施方案》等要求，新建、改建和扩建项目水污染物实施</w:t>
            </w:r>
            <w:r>
              <w:rPr>
                <w:rFonts w:ascii="仿宋" w:hAnsi="仿宋"/>
                <w:bCs/>
                <w:sz w:val="24"/>
              </w:rPr>
              <w:t>“</w:t>
            </w:r>
            <w:r>
              <w:rPr>
                <w:rFonts w:hint="eastAsia" w:ascii="仿宋" w:hAnsi="仿宋"/>
                <w:bCs/>
                <w:sz w:val="24"/>
              </w:rPr>
              <w:t>等量替代</w:t>
            </w:r>
            <w:r>
              <w:rPr>
                <w:rFonts w:ascii="仿宋" w:hAnsi="仿宋"/>
                <w:bCs/>
                <w:sz w:val="24"/>
              </w:rPr>
              <w:t>”</w:t>
            </w:r>
            <w:r>
              <w:rPr>
                <w:rFonts w:hint="eastAsia"/>
                <w:kern w:val="0"/>
                <w:sz w:val="24"/>
              </w:rPr>
              <w:t>。</w:t>
            </w:r>
          </w:p>
          <w:p w14:paraId="75C38970">
            <w:pPr>
              <w:autoSpaceDE w:val="0"/>
              <w:autoSpaceDN w:val="0"/>
              <w:spacing w:line="360" w:lineRule="auto"/>
              <w:ind w:firstLine="480" w:firstLineChars="200"/>
              <w:rPr>
                <w:rFonts w:hint="eastAsia"/>
                <w:kern w:val="0"/>
                <w:sz w:val="24"/>
              </w:rPr>
            </w:pPr>
            <w:r>
              <w:rPr>
                <w:rFonts w:hint="eastAsia"/>
                <w:kern w:val="0"/>
                <w:sz w:val="24"/>
              </w:rPr>
              <w:t>本项目相符性分析：项目生活污水经化粪池预处理由园区总排口接管市政污水管网，最终排入龙湖污水处理厂集中处理，污水处理厂尾水排入龙河。因此，本项目满足水环境工业污染重点管控区要求。</w:t>
            </w:r>
          </w:p>
          <w:p w14:paraId="438D67F5">
            <w:pPr>
              <w:overflowPunct w:val="0"/>
              <w:adjustRightInd w:val="0"/>
              <w:snapToGrid w:val="0"/>
              <w:spacing w:line="360" w:lineRule="auto"/>
              <w:ind w:firstLine="480" w:firstLineChars="200"/>
              <w:rPr>
                <w:rFonts w:hint="eastAsia" w:ascii="Times New Roman" w:hAnsi="Times New Roman" w:eastAsia="宋体" w:cs="Times New Roman"/>
                <w:sz w:val="24"/>
              </w:rPr>
            </w:pPr>
            <w:r>
              <w:rPr>
                <w:rFonts w:hint="eastAsia"/>
                <w:sz w:val="24"/>
              </w:rPr>
              <w:t>②大气环境分区管控级别及要求：根据《安徽省环保厅关于进一步加强建设项目新增大气主要污染物总量指标管理工作的通知》（皖环发【2017】19号）相关内容：“三、大气主要污染物总量指标实行等量或倍量削减替代。上年度空气质量不达标的城市，相应污染物指标应执行“倍量替代”。”2023年淮北市空气质量不满足《环境空气质量标准》（GB3095-2012）的二级标准限值要求，项目所在区域为不达标区，需实施大气污染物“倍量替</w:t>
            </w:r>
            <w:r>
              <w:rPr>
                <w:rFonts w:hint="eastAsia" w:ascii="Times New Roman" w:hAnsi="Times New Roman" w:eastAsia="宋体" w:cs="Times New Roman"/>
                <w:sz w:val="24"/>
              </w:rPr>
              <w:t>代”。</w:t>
            </w:r>
          </w:p>
          <w:p w14:paraId="38126581">
            <w:pPr>
              <w:overflowPunct w:val="0"/>
              <w:adjustRightInd w:val="0"/>
              <w:snapToGrid w:val="0"/>
              <w:spacing w:line="360" w:lineRule="auto"/>
              <w:ind w:firstLine="480" w:firstLineChars="200"/>
              <w:rPr>
                <w:rFonts w:hint="eastAsia"/>
                <w:sz w:val="24"/>
              </w:rPr>
            </w:pPr>
            <w:r>
              <w:rPr>
                <w:rFonts w:hint="eastAsia" w:ascii="Times New Roman" w:hAnsi="Times New Roman" w:eastAsia="宋体" w:cs="Times New Roman"/>
                <w:sz w:val="24"/>
                <w:lang w:val="en-US" w:eastAsia="zh-CN"/>
              </w:rPr>
              <w:t>本项目相符性分析：本项目喷漆晾干产生的非甲烷总烃、漆雾，经过封闭负压收集后通过管道引入干式漆雾处理器+两级活性炭吸附设施处理后通过一根17m高排气筒（DA001）排放；抛丸机封闭作业，产生的粉尘经过设备自带的振打式布袋除尘器处理后通过一根17m高排气筒（DA002）排放；渗锌工件分离工序在专门的封闭分离室内进行，负压收集经过布袋除尘器处理后通过一根17m高排气筒（DA002）排放。渗锌炉配套低氮燃烧器</w:t>
            </w:r>
            <w:r>
              <w:rPr>
                <w:rFonts w:hint="eastAsia" w:cs="Times New Roman"/>
                <w:sz w:val="24"/>
                <w:lang w:val="en-US" w:eastAsia="zh-CN"/>
              </w:rPr>
              <w:t>，</w:t>
            </w:r>
            <w:r>
              <w:rPr>
                <w:rFonts w:hint="eastAsia" w:ascii="Times New Roman" w:hAnsi="Times New Roman" w:eastAsia="宋体" w:cs="Times New Roman"/>
                <w:sz w:val="24"/>
                <w:lang w:val="en-US" w:eastAsia="zh-CN"/>
              </w:rPr>
              <w:t>天然气燃烧废气通过顶部的专用引风管</w:t>
            </w:r>
            <w:r>
              <w:rPr>
                <w:rFonts w:hint="eastAsia" w:cs="Times New Roman"/>
                <w:sz w:val="24"/>
                <w:lang w:val="en-US" w:eastAsia="zh-CN"/>
              </w:rPr>
              <w:t>收集后</w:t>
            </w:r>
            <w:r>
              <w:rPr>
                <w:rFonts w:hint="eastAsia" w:ascii="Times New Roman" w:hAnsi="Times New Roman" w:eastAsia="宋体" w:cs="Times New Roman"/>
                <w:sz w:val="24"/>
                <w:lang w:val="en-US" w:eastAsia="zh-CN"/>
              </w:rPr>
              <w:t>排入17m高排气筒（DA001）排放。废气处理后达标排放，并按照要求申请总量，</w:t>
            </w:r>
            <w:r>
              <w:rPr>
                <w:rFonts w:hint="eastAsia"/>
                <w:sz w:val="24"/>
              </w:rPr>
              <w:t>因此本项目满足大气环境高排重点管控区要求。</w:t>
            </w:r>
          </w:p>
          <w:p w14:paraId="5450656C">
            <w:pPr>
              <w:overflowPunct w:val="0"/>
              <w:adjustRightInd w:val="0"/>
              <w:snapToGrid w:val="0"/>
              <w:spacing w:line="360" w:lineRule="auto"/>
              <w:ind w:firstLine="480" w:firstLineChars="200"/>
              <w:rPr>
                <w:rFonts w:hint="eastAsia"/>
                <w:sz w:val="24"/>
              </w:rPr>
            </w:pPr>
            <w:r>
              <w:rPr>
                <w:rFonts w:hint="eastAsia"/>
                <w:sz w:val="24"/>
              </w:rPr>
              <w:t>③土壤环境分区管控：对照《淮北市“三线一单”文本》，本项目位于土壤环境风险一般防控区。管控要求为：依据《中华人民共和国土壤污染防治法》《土壤污染防治行动计划》《安徽省土壤污染防治工作方案》《安徽省“</w:t>
            </w:r>
            <w:r>
              <w:rPr>
                <w:rFonts w:hint="eastAsia"/>
                <w:sz w:val="24"/>
                <w:lang w:eastAsia="zh-CN"/>
              </w:rPr>
              <w:t>十四五</w:t>
            </w:r>
            <w:r>
              <w:rPr>
                <w:rFonts w:hint="eastAsia"/>
                <w:sz w:val="24"/>
              </w:rPr>
              <w:t xml:space="preserve">”环境保护规划》等要求及各市土壤污染防治工作方案对一般管控区实施管控。 </w:t>
            </w:r>
          </w:p>
          <w:p w14:paraId="7335DB7A">
            <w:pPr>
              <w:overflowPunct w:val="0"/>
              <w:adjustRightInd w:val="0"/>
              <w:snapToGrid w:val="0"/>
              <w:spacing w:line="360" w:lineRule="auto"/>
              <w:ind w:firstLine="480" w:firstLineChars="200"/>
              <w:rPr>
                <w:rFonts w:hint="eastAsia"/>
                <w:sz w:val="24"/>
              </w:rPr>
            </w:pPr>
            <w:r>
              <w:rPr>
                <w:rFonts w:hint="eastAsia"/>
                <w:sz w:val="24"/>
              </w:rPr>
              <w:t>本项目相符性分析：本项目为新建项目，将严格按照分区防渗要求建设。因此，本项目满足土壤环境风险一般防控区管控要求。</w:t>
            </w:r>
          </w:p>
          <w:p w14:paraId="4A86589E">
            <w:pPr>
              <w:spacing w:line="360" w:lineRule="auto"/>
              <w:ind w:firstLine="482" w:firstLineChars="200"/>
              <w:rPr>
                <w:rFonts w:hint="default" w:eastAsia="宋体"/>
                <w:b/>
                <w:kern w:val="0"/>
                <w:sz w:val="24"/>
                <w:lang w:val="en-US" w:eastAsia="zh-CN"/>
              </w:rPr>
            </w:pPr>
            <w:r>
              <w:rPr>
                <w:b/>
                <w:kern w:val="0"/>
                <w:sz w:val="24"/>
              </w:rPr>
              <w:t>2、环境质量底线</w:t>
            </w:r>
            <w:r>
              <w:rPr>
                <w:rFonts w:hint="eastAsia"/>
                <w:b/>
                <w:kern w:val="0"/>
                <w:sz w:val="24"/>
                <w:lang w:eastAsia="zh-CN"/>
              </w:rPr>
              <w:t>的</w:t>
            </w:r>
            <w:r>
              <w:rPr>
                <w:rFonts w:hint="eastAsia"/>
                <w:b/>
                <w:kern w:val="0"/>
                <w:sz w:val="24"/>
                <w:lang w:val="en-US" w:eastAsia="zh-CN"/>
              </w:rPr>
              <w:t>相符性分析</w:t>
            </w:r>
          </w:p>
          <w:p w14:paraId="54BC5BEA">
            <w:pPr>
              <w:keepNext w:val="0"/>
              <w:keepLines w:val="0"/>
              <w:widowControl/>
              <w:suppressLineNumbers w:val="0"/>
              <w:spacing w:before="0" w:beforeAutospacing="0" w:after="0" w:afterAutospacing="0" w:line="360" w:lineRule="auto"/>
              <w:ind w:left="0" w:right="0" w:firstLine="480" w:firstLineChars="200"/>
              <w:rPr>
                <w:rFonts w:hint="default"/>
                <w:bCs/>
                <w:color w:val="auto"/>
                <w:kern w:val="0"/>
                <w:sz w:val="24"/>
                <w:szCs w:val="24"/>
              </w:rPr>
            </w:pPr>
            <w:r>
              <w:rPr>
                <w:rFonts w:hint="default" w:ascii="Times New Roman" w:hAnsi="Times New Roman" w:cs="Times New Roman"/>
                <w:bCs/>
                <w:kern w:val="0"/>
                <w:sz w:val="24"/>
              </w:rPr>
              <w:t>①</w:t>
            </w:r>
            <w:r>
              <w:rPr>
                <w:rFonts w:hint="default"/>
                <w:bCs/>
                <w:color w:val="auto"/>
                <w:kern w:val="0"/>
                <w:sz w:val="24"/>
                <w:szCs w:val="24"/>
              </w:rPr>
              <w:t>大气环境质量底线</w:t>
            </w:r>
          </w:p>
          <w:p w14:paraId="5D3951D5">
            <w:pPr>
              <w:keepNext w:val="0"/>
              <w:keepLines w:val="0"/>
              <w:widowControl/>
              <w:suppressLineNumbers w:val="0"/>
              <w:spacing w:before="0" w:beforeAutospacing="0" w:after="0" w:afterAutospacing="0" w:line="360" w:lineRule="auto"/>
              <w:ind w:left="0" w:right="0" w:firstLine="480" w:firstLineChars="200"/>
              <w:rPr>
                <w:rFonts w:hint="default"/>
                <w:bCs/>
                <w:color w:val="auto"/>
                <w:kern w:val="0"/>
                <w:sz w:val="24"/>
                <w:szCs w:val="24"/>
              </w:rPr>
            </w:pPr>
            <w:r>
              <w:rPr>
                <w:rFonts w:hint="default"/>
                <w:bCs/>
                <w:color w:val="auto"/>
                <w:kern w:val="0"/>
                <w:sz w:val="24"/>
                <w:szCs w:val="24"/>
              </w:rPr>
              <w:t>根据</w:t>
            </w:r>
            <w:r>
              <w:rPr>
                <w:rFonts w:hint="eastAsia"/>
                <w:bCs/>
                <w:color w:val="auto"/>
                <w:kern w:val="0"/>
                <w:sz w:val="24"/>
                <w:szCs w:val="24"/>
              </w:rPr>
              <w:t>《淮北市生态环境保护“十四五”规划》</w:t>
            </w:r>
            <w:r>
              <w:rPr>
                <w:rFonts w:hint="default"/>
                <w:bCs/>
                <w:color w:val="auto"/>
                <w:kern w:val="0"/>
                <w:sz w:val="24"/>
                <w:szCs w:val="24"/>
              </w:rPr>
              <w:t>，到2025年，在2020年目标的基础上，淮北市PM</w:t>
            </w:r>
            <w:r>
              <w:rPr>
                <w:rFonts w:hint="default"/>
                <w:bCs/>
                <w:color w:val="auto"/>
                <w:kern w:val="0"/>
                <w:sz w:val="24"/>
                <w:szCs w:val="24"/>
                <w:vertAlign w:val="subscript"/>
              </w:rPr>
              <w:t>2.5</w:t>
            </w:r>
            <w:r>
              <w:rPr>
                <w:rFonts w:hint="default"/>
                <w:bCs/>
                <w:color w:val="auto"/>
                <w:kern w:val="0"/>
                <w:sz w:val="24"/>
                <w:szCs w:val="24"/>
              </w:rPr>
              <w:t>平均浓度暂定为下降至</w:t>
            </w:r>
            <w:r>
              <w:rPr>
                <w:rFonts w:hint="eastAsia"/>
                <w:bCs/>
                <w:color w:val="auto"/>
                <w:kern w:val="0"/>
                <w:sz w:val="24"/>
                <w:szCs w:val="24"/>
              </w:rPr>
              <w:t>39</w:t>
            </w:r>
            <w:r>
              <w:rPr>
                <w:rFonts w:hint="default"/>
                <w:bCs/>
                <w:color w:val="auto"/>
                <w:kern w:val="0"/>
                <w:sz w:val="24"/>
                <w:szCs w:val="24"/>
              </w:rPr>
              <w:t>微克/立方米；到2035年，淮北市PM</w:t>
            </w:r>
            <w:r>
              <w:rPr>
                <w:rFonts w:hint="default"/>
                <w:bCs/>
                <w:color w:val="auto"/>
                <w:kern w:val="0"/>
                <w:sz w:val="24"/>
                <w:szCs w:val="24"/>
                <w:vertAlign w:val="subscript"/>
              </w:rPr>
              <w:t>2.5</w:t>
            </w:r>
            <w:r>
              <w:rPr>
                <w:rFonts w:hint="default"/>
                <w:bCs/>
                <w:color w:val="auto"/>
                <w:kern w:val="0"/>
                <w:sz w:val="24"/>
                <w:szCs w:val="24"/>
              </w:rPr>
              <w:t>平均浓度目标暂定为35微克/立方米。2025年、2035年目标值均为暂定，最终以“十四五”、“十六五”生态环境保护规划确定的目标为准。</w:t>
            </w:r>
          </w:p>
          <w:p w14:paraId="5AD33EFA">
            <w:pPr>
              <w:spacing w:line="360" w:lineRule="auto"/>
              <w:ind w:firstLine="480" w:firstLineChars="200"/>
              <w:rPr>
                <w:rFonts w:hint="default"/>
                <w:snapToGrid w:val="0"/>
                <w:color w:val="auto"/>
                <w:kern w:val="0"/>
                <w:sz w:val="24"/>
                <w:szCs w:val="24"/>
              </w:rPr>
            </w:pPr>
            <w:r>
              <w:rPr>
                <w:rFonts w:hint="default"/>
                <w:bCs/>
                <w:color w:val="auto"/>
                <w:kern w:val="0"/>
                <w:sz w:val="24"/>
                <w:szCs w:val="24"/>
              </w:rPr>
              <w:t>本项目位于安徽省淮北市杜集区石台镇，根据《淮北市202</w:t>
            </w:r>
            <w:r>
              <w:rPr>
                <w:rFonts w:hint="eastAsia"/>
                <w:bCs/>
                <w:color w:val="auto"/>
                <w:kern w:val="0"/>
                <w:sz w:val="24"/>
                <w:szCs w:val="24"/>
              </w:rPr>
              <w:t>3</w:t>
            </w:r>
            <w:r>
              <w:rPr>
                <w:rFonts w:hint="default"/>
                <w:bCs/>
                <w:color w:val="auto"/>
                <w:kern w:val="0"/>
                <w:sz w:val="24"/>
                <w:szCs w:val="24"/>
              </w:rPr>
              <w:t>年度生态环境状况公报》中城市空气环境质量可知，</w:t>
            </w:r>
            <w:r>
              <w:rPr>
                <w:rFonts w:hint="eastAsia"/>
                <w:bCs/>
                <w:color w:val="auto"/>
                <w:kern w:val="0"/>
                <w:sz w:val="24"/>
                <w:szCs w:val="24"/>
              </w:rPr>
              <w:t>淮北市2023年度</w:t>
            </w:r>
            <w:r>
              <w:rPr>
                <w:rFonts w:hint="default"/>
                <w:bCs/>
                <w:color w:val="auto"/>
                <w:kern w:val="0"/>
                <w:sz w:val="24"/>
                <w:szCs w:val="24"/>
              </w:rPr>
              <w:t>环境空气PM</w:t>
            </w:r>
            <w:r>
              <w:rPr>
                <w:rFonts w:hint="default"/>
                <w:bCs/>
                <w:color w:val="auto"/>
                <w:kern w:val="0"/>
                <w:sz w:val="24"/>
                <w:szCs w:val="24"/>
                <w:vertAlign w:val="subscript"/>
              </w:rPr>
              <w:t>2.5</w:t>
            </w:r>
            <w:r>
              <w:rPr>
                <w:rFonts w:hint="default"/>
                <w:bCs/>
                <w:color w:val="auto"/>
                <w:kern w:val="0"/>
                <w:sz w:val="24"/>
                <w:szCs w:val="24"/>
              </w:rPr>
              <w:t>、O</w:t>
            </w:r>
            <w:r>
              <w:rPr>
                <w:rFonts w:hint="default"/>
                <w:bCs/>
                <w:color w:val="auto"/>
                <w:kern w:val="0"/>
                <w:sz w:val="24"/>
                <w:szCs w:val="24"/>
                <w:vertAlign w:val="subscript"/>
              </w:rPr>
              <w:t>3</w:t>
            </w:r>
            <w:r>
              <w:rPr>
                <w:rFonts w:hint="default"/>
                <w:bCs/>
                <w:color w:val="auto"/>
                <w:kern w:val="0"/>
                <w:sz w:val="24"/>
                <w:szCs w:val="24"/>
              </w:rPr>
              <w:t>浓度值不满足《环境空气质量标准》（GB3095-2012）中二级标准，</w:t>
            </w:r>
            <w:r>
              <w:rPr>
                <w:rFonts w:hint="eastAsia"/>
                <w:bCs/>
                <w:color w:val="auto"/>
                <w:kern w:val="0"/>
                <w:sz w:val="24"/>
                <w:szCs w:val="24"/>
              </w:rPr>
              <w:t>属于</w:t>
            </w:r>
            <w:r>
              <w:rPr>
                <w:rFonts w:hint="default"/>
                <w:bCs/>
                <w:color w:val="auto"/>
                <w:kern w:val="0"/>
                <w:sz w:val="24"/>
                <w:szCs w:val="24"/>
              </w:rPr>
              <w:t>环境空气质量不达标区</w:t>
            </w:r>
            <w:r>
              <w:rPr>
                <w:rFonts w:hint="eastAsia"/>
                <w:bCs/>
                <w:color w:val="auto"/>
                <w:kern w:val="0"/>
                <w:sz w:val="24"/>
                <w:szCs w:val="24"/>
              </w:rPr>
              <w:t>。</w:t>
            </w:r>
          </w:p>
          <w:p w14:paraId="0A8BE0D8">
            <w:pPr>
              <w:spacing w:line="360" w:lineRule="auto"/>
              <w:ind w:firstLine="480" w:firstLineChars="200"/>
              <w:rPr>
                <w:rFonts w:hint="eastAsia"/>
                <w:bCs/>
                <w:kern w:val="0"/>
                <w:sz w:val="24"/>
              </w:rPr>
            </w:pPr>
            <w:r>
              <w:rPr>
                <w:rFonts w:hint="eastAsia"/>
                <w:bCs/>
                <w:kern w:val="0"/>
                <w:sz w:val="24"/>
              </w:rPr>
              <w:t>本项目废气中各类污染物排放均能够满足相应污染物排放标准，且结合区域环境质量现状，</w:t>
            </w:r>
            <w:r>
              <w:rPr>
                <w:rFonts w:hint="eastAsia"/>
                <w:bCs/>
                <w:kern w:val="0"/>
                <w:sz w:val="24"/>
                <w:lang w:val="en-US" w:eastAsia="zh-CN"/>
              </w:rPr>
              <w:t>本项目实施后</w:t>
            </w:r>
            <w:r>
              <w:rPr>
                <w:rFonts w:hint="eastAsia"/>
                <w:bCs/>
                <w:kern w:val="0"/>
                <w:sz w:val="24"/>
              </w:rPr>
              <w:t>大气环境区域环境质量能够满足环境质量底线</w:t>
            </w:r>
            <w:r>
              <w:rPr>
                <w:rFonts w:hint="eastAsia"/>
                <w:bCs/>
                <w:kern w:val="0"/>
                <w:sz w:val="24"/>
                <w:lang w:eastAsia="zh-CN"/>
              </w:rPr>
              <w:t>的</w:t>
            </w:r>
            <w:r>
              <w:rPr>
                <w:rFonts w:hint="eastAsia"/>
                <w:bCs/>
                <w:kern w:val="0"/>
                <w:sz w:val="24"/>
                <w:lang w:val="en-US" w:eastAsia="zh-CN"/>
              </w:rPr>
              <w:t>要求</w:t>
            </w:r>
            <w:r>
              <w:rPr>
                <w:rFonts w:hint="eastAsia"/>
                <w:bCs/>
                <w:kern w:val="0"/>
                <w:sz w:val="24"/>
              </w:rPr>
              <w:t>；</w:t>
            </w:r>
          </w:p>
          <w:p w14:paraId="038AB932">
            <w:pPr>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②地表水环境质量底线</w:t>
            </w:r>
          </w:p>
          <w:p w14:paraId="230F234F">
            <w:pPr>
              <w:spacing w:line="360" w:lineRule="auto"/>
              <w:ind w:firstLine="480" w:firstLineChars="200"/>
              <w:rPr>
                <w:rFonts w:hint="eastAsia"/>
                <w:bCs/>
                <w:kern w:val="0"/>
                <w:sz w:val="24"/>
                <w:lang w:eastAsia="zh-CN"/>
              </w:rPr>
            </w:pPr>
            <w:r>
              <w:rPr>
                <w:rFonts w:hint="default" w:ascii="Times New Roman" w:hAnsi="Times New Roman" w:cs="Times New Roman"/>
                <w:bCs/>
                <w:kern w:val="0"/>
                <w:sz w:val="24"/>
              </w:rPr>
              <w:t>根据</w:t>
            </w:r>
            <w:r>
              <w:rPr>
                <w:rFonts w:hint="eastAsia"/>
                <w:sz w:val="24"/>
              </w:rPr>
              <w:t>引用《淮北</w:t>
            </w:r>
            <w:r>
              <w:rPr>
                <w:sz w:val="24"/>
              </w:rPr>
              <w:t>海创循环科技有限责任公司淮北市废旧锂电池资源化绿色循环利用项目环境影响报告书》（2023年5月）中龙河的监测数据</w:t>
            </w:r>
            <w:r>
              <w:rPr>
                <w:rFonts w:hint="eastAsia"/>
                <w:sz w:val="24"/>
                <w:lang w:val="en-US" w:eastAsia="zh-CN"/>
              </w:rPr>
              <w:t>可知</w:t>
            </w:r>
            <w:r>
              <w:rPr>
                <w:rFonts w:hint="default" w:ascii="Times New Roman" w:hAnsi="Times New Roman" w:cs="Times New Roman"/>
                <w:bCs/>
                <w:kern w:val="0"/>
                <w:sz w:val="24"/>
              </w:rPr>
              <w:t>，</w:t>
            </w:r>
            <w:r>
              <w:rPr>
                <w:rFonts w:hint="eastAsia"/>
                <w:bCs/>
                <w:kern w:val="0"/>
                <w:sz w:val="24"/>
              </w:rPr>
              <w:t>监测期间地表水龙河各水质断面各监测因子均可满足《地表水环境质量标准》（GB3838-2002）中Ⅳ类标准要求</w:t>
            </w:r>
            <w:r>
              <w:rPr>
                <w:rFonts w:hint="eastAsia"/>
                <w:bCs/>
                <w:kern w:val="0"/>
                <w:sz w:val="24"/>
                <w:lang w:eastAsia="zh-CN"/>
              </w:rPr>
              <w:t>。</w:t>
            </w:r>
          </w:p>
          <w:p w14:paraId="634BF028">
            <w:pPr>
              <w:spacing w:line="360" w:lineRule="auto"/>
              <w:ind w:firstLine="480" w:firstLineChars="200"/>
              <w:rPr>
                <w:rFonts w:hint="eastAsia"/>
                <w:bCs/>
                <w:kern w:val="0"/>
                <w:sz w:val="24"/>
                <w:lang w:eastAsia="zh-CN"/>
              </w:rPr>
            </w:pPr>
            <w:r>
              <w:rPr>
                <w:rFonts w:hint="eastAsia"/>
                <w:bCs/>
                <w:kern w:val="0"/>
                <w:sz w:val="24"/>
                <w:lang w:val="en-US" w:eastAsia="zh-CN"/>
              </w:rPr>
              <w:t>本</w:t>
            </w:r>
            <w:r>
              <w:rPr>
                <w:rFonts w:hint="eastAsia"/>
                <w:bCs/>
                <w:kern w:val="0"/>
                <w:sz w:val="24"/>
              </w:rPr>
              <w:t>项目封闭清洗废水经絮凝沉淀后循环使用不外排，生活污水经过厂区化粪池预处理后满足龙湖污水处理厂接管标准，通过市政污水管网进入龙湖污水处理厂深度处理，处理达标后排入龙河；</w:t>
            </w:r>
            <w:r>
              <w:rPr>
                <w:rFonts w:hint="eastAsia"/>
                <w:bCs/>
                <w:kern w:val="0"/>
                <w:sz w:val="24"/>
                <w:lang w:val="en-US" w:eastAsia="zh-CN"/>
              </w:rPr>
              <w:t>根据</w:t>
            </w:r>
            <w:r>
              <w:rPr>
                <w:rFonts w:hint="eastAsia"/>
                <w:bCs/>
                <w:kern w:val="0"/>
                <w:sz w:val="24"/>
              </w:rPr>
              <w:t>区域</w:t>
            </w:r>
            <w:r>
              <w:rPr>
                <w:rFonts w:hint="eastAsia"/>
                <w:bCs/>
                <w:kern w:val="0"/>
                <w:sz w:val="24"/>
                <w:lang w:val="en-US" w:eastAsia="zh-CN"/>
              </w:rPr>
              <w:t>水</w:t>
            </w:r>
            <w:r>
              <w:rPr>
                <w:rFonts w:hint="eastAsia"/>
                <w:bCs/>
                <w:kern w:val="0"/>
                <w:sz w:val="24"/>
              </w:rPr>
              <w:t>环境质量现状，</w:t>
            </w:r>
            <w:r>
              <w:rPr>
                <w:rFonts w:hint="eastAsia"/>
                <w:bCs/>
                <w:kern w:val="0"/>
                <w:sz w:val="24"/>
                <w:lang w:val="en-US" w:eastAsia="zh-CN"/>
              </w:rPr>
              <w:t>本</w:t>
            </w:r>
            <w:r>
              <w:rPr>
                <w:rFonts w:hint="eastAsia"/>
                <w:bCs/>
                <w:kern w:val="0"/>
                <w:sz w:val="24"/>
              </w:rPr>
              <w:t>项目实施后区域</w:t>
            </w:r>
            <w:r>
              <w:rPr>
                <w:rFonts w:hint="eastAsia"/>
                <w:bCs/>
                <w:kern w:val="0"/>
                <w:sz w:val="24"/>
                <w:lang w:val="en-US" w:eastAsia="zh-CN"/>
              </w:rPr>
              <w:t>水</w:t>
            </w:r>
            <w:r>
              <w:rPr>
                <w:rFonts w:hint="eastAsia"/>
                <w:bCs/>
                <w:kern w:val="0"/>
                <w:sz w:val="24"/>
              </w:rPr>
              <w:t>环境质量能够满足地表水环境质量底线</w:t>
            </w:r>
            <w:r>
              <w:rPr>
                <w:rFonts w:hint="eastAsia"/>
                <w:bCs/>
                <w:kern w:val="0"/>
                <w:sz w:val="24"/>
                <w:lang w:eastAsia="zh-CN"/>
              </w:rPr>
              <w:t>的</w:t>
            </w:r>
            <w:r>
              <w:rPr>
                <w:rFonts w:hint="eastAsia"/>
                <w:bCs/>
                <w:kern w:val="0"/>
                <w:sz w:val="24"/>
              </w:rPr>
              <w:t>要求</w:t>
            </w:r>
            <w:r>
              <w:rPr>
                <w:rFonts w:hint="eastAsia"/>
                <w:bCs/>
                <w:kern w:val="0"/>
                <w:sz w:val="24"/>
                <w:lang w:eastAsia="zh-CN"/>
              </w:rPr>
              <w:t>。</w:t>
            </w:r>
          </w:p>
          <w:p w14:paraId="0CC0B640">
            <w:pPr>
              <w:spacing w:line="360" w:lineRule="auto"/>
              <w:ind w:firstLine="480" w:firstLineChars="200"/>
              <w:rPr>
                <w:rFonts w:hint="eastAsia" w:ascii="Times New Roman" w:hAnsi="Times New Roman" w:cs="Times New Roman"/>
                <w:bCs/>
                <w:kern w:val="0"/>
                <w:sz w:val="24"/>
                <w:lang w:val="en-US" w:eastAsia="zh-CN"/>
              </w:rPr>
            </w:pPr>
            <w:r>
              <w:rPr>
                <w:rFonts w:hint="default" w:ascii="Times New Roman" w:hAnsi="Times New Roman" w:cs="Times New Roman"/>
                <w:bCs/>
                <w:kern w:val="0"/>
                <w:sz w:val="24"/>
              </w:rPr>
              <w:t>③</w:t>
            </w:r>
            <w:r>
              <w:rPr>
                <w:rFonts w:hint="eastAsia" w:ascii="Times New Roman" w:hAnsi="Times New Roman" w:cs="Times New Roman"/>
                <w:bCs/>
                <w:kern w:val="0"/>
                <w:sz w:val="24"/>
                <w:lang w:val="en-US" w:eastAsia="zh-CN"/>
              </w:rPr>
              <w:t>声环境质量</w:t>
            </w:r>
          </w:p>
          <w:p w14:paraId="09ABB204">
            <w:pPr>
              <w:spacing w:line="360" w:lineRule="auto"/>
              <w:ind w:firstLine="480" w:firstLineChars="200"/>
              <w:rPr>
                <w:rFonts w:hint="default" w:ascii="Times New Roman" w:hAnsi="Times New Roman" w:cs="Times New Roman"/>
                <w:bCs/>
                <w:kern w:val="0"/>
                <w:sz w:val="24"/>
              </w:rPr>
            </w:pPr>
            <w:r>
              <w:rPr>
                <w:rFonts w:hint="eastAsia"/>
                <w:sz w:val="24"/>
              </w:rPr>
              <w:t>安徽鑫程检测科技有限公司于2025年3月6日~7日对项目区各厂界及声环境保护目标（和谐新家园）进行了监测</w:t>
            </w:r>
            <w:r>
              <w:rPr>
                <w:rFonts w:hint="eastAsia"/>
                <w:sz w:val="24"/>
                <w:lang w:eastAsia="zh-CN"/>
              </w:rPr>
              <w:t>，</w:t>
            </w:r>
            <w:r>
              <w:rPr>
                <w:rFonts w:hint="default" w:ascii="Times New Roman" w:hAnsi="Times New Roman" w:cs="Times New Roman"/>
                <w:bCs/>
                <w:kern w:val="0"/>
                <w:sz w:val="24"/>
              </w:rPr>
              <w:t>根据声环境质量监测结果可知，区域声环境和附近声环境敏感目标能够分别满足《声环境质量标准》（GB 3096-2008）中</w:t>
            </w:r>
            <w:r>
              <w:rPr>
                <w:rFonts w:hint="eastAsia" w:ascii="Times New Roman" w:hAnsi="Times New Roman" w:cs="Times New Roman"/>
                <w:bCs/>
                <w:kern w:val="0"/>
                <w:sz w:val="24"/>
                <w:lang w:eastAsia="zh-CN"/>
              </w:rPr>
              <w:t>的</w:t>
            </w:r>
            <w:r>
              <w:rPr>
                <w:rFonts w:hint="default" w:ascii="Times New Roman" w:hAnsi="Times New Roman" w:cs="Times New Roman"/>
                <w:bCs/>
                <w:kern w:val="0"/>
                <w:sz w:val="24"/>
              </w:rPr>
              <w:t>2类标准要求。</w:t>
            </w:r>
          </w:p>
          <w:p w14:paraId="02400C02">
            <w:pPr>
              <w:spacing w:line="360" w:lineRule="auto"/>
              <w:ind w:firstLine="480" w:firstLineChars="200"/>
              <w:rPr>
                <w:rFonts w:hint="default" w:ascii="Times New Roman" w:hAnsi="Times New Roman" w:eastAsia="宋体" w:cs="Times New Roman"/>
                <w:bCs/>
                <w:kern w:val="0"/>
                <w:sz w:val="24"/>
                <w:lang w:val="en-US" w:eastAsia="zh-CN"/>
              </w:rPr>
            </w:pPr>
            <w:r>
              <w:rPr>
                <w:rFonts w:hint="eastAsia" w:ascii="Times New Roman" w:hAnsi="Times New Roman" w:cs="Times New Roman"/>
                <w:bCs/>
                <w:kern w:val="0"/>
                <w:sz w:val="24"/>
                <w:lang w:eastAsia="zh-CN"/>
              </w:rPr>
              <w:t>本</w:t>
            </w:r>
            <w:r>
              <w:rPr>
                <w:rFonts w:hint="default" w:ascii="Times New Roman" w:hAnsi="Times New Roman" w:cs="Times New Roman"/>
                <w:bCs/>
                <w:kern w:val="0"/>
                <w:sz w:val="24"/>
              </w:rPr>
              <w:t>项目建成运行后，通过选用低噪设备、安装减振基座，经厂区建筑物的隔声、距离的衰减的降噪措施，厂界噪声能够满足《工业企业厂界环境噪声排放标准》（GB 12348-2008）中</w:t>
            </w:r>
            <w:r>
              <w:rPr>
                <w:rFonts w:hint="eastAsia" w:ascii="Times New Roman" w:hAnsi="Times New Roman" w:cs="Times New Roman"/>
                <w:bCs/>
                <w:kern w:val="0"/>
                <w:sz w:val="24"/>
                <w:lang w:val="en-US" w:eastAsia="zh-CN"/>
              </w:rPr>
              <w:t>2</w:t>
            </w:r>
            <w:r>
              <w:rPr>
                <w:rFonts w:hint="default" w:ascii="Times New Roman" w:hAnsi="Times New Roman" w:cs="Times New Roman"/>
                <w:bCs/>
                <w:kern w:val="0"/>
                <w:sz w:val="24"/>
              </w:rPr>
              <w:t>类标准；附近声环境敏感目标能够满足《声环境质量标准》（GB 3096-2008）中2类标准要求</w:t>
            </w:r>
            <w:r>
              <w:rPr>
                <w:rFonts w:hint="eastAsia" w:ascii="Times New Roman" w:hAnsi="Times New Roman" w:cs="Times New Roman"/>
                <w:bCs/>
                <w:kern w:val="0"/>
                <w:sz w:val="24"/>
                <w:lang w:eastAsia="zh-CN"/>
              </w:rPr>
              <w:t>。</w:t>
            </w:r>
            <w:r>
              <w:rPr>
                <w:rFonts w:hint="eastAsia" w:ascii="Times New Roman" w:hAnsi="Times New Roman" w:cs="Times New Roman"/>
                <w:bCs/>
                <w:kern w:val="0"/>
                <w:sz w:val="24"/>
                <w:lang w:val="en-US" w:eastAsia="zh-CN"/>
              </w:rPr>
              <w:t>因此，本项目实施后不会对区域声环境质量产生较大的影响。</w:t>
            </w:r>
          </w:p>
          <w:p w14:paraId="064D5234">
            <w:pPr>
              <w:spacing w:line="360" w:lineRule="auto"/>
              <w:ind w:firstLine="480" w:firstLineChars="200"/>
              <w:rPr>
                <w:rFonts w:hint="eastAsia" w:ascii="宋体" w:hAnsi="宋体" w:eastAsia="宋体" w:cs="宋体"/>
                <w:bCs/>
                <w:kern w:val="0"/>
                <w:sz w:val="24"/>
              </w:rPr>
            </w:pPr>
            <w:r>
              <w:rPr>
                <w:rFonts w:hint="eastAsia" w:ascii="宋体" w:hAnsi="宋体" w:eastAsia="宋体" w:cs="宋体"/>
                <w:bCs/>
                <w:kern w:val="0"/>
                <w:sz w:val="24"/>
              </w:rPr>
              <w:t>④土壤环境质量底线</w:t>
            </w:r>
          </w:p>
          <w:p w14:paraId="48768142">
            <w:pPr>
              <w:spacing w:line="360" w:lineRule="auto"/>
              <w:ind w:firstLine="480" w:firstLineChars="200"/>
              <w:rPr>
                <w:rFonts w:hint="default" w:ascii="Times New Roman" w:hAnsi="Times New Roman" w:eastAsia="宋体" w:cs="Times New Roman"/>
                <w:bCs/>
                <w:kern w:val="0"/>
                <w:sz w:val="24"/>
              </w:rPr>
            </w:pPr>
            <w:r>
              <w:rPr>
                <w:rFonts w:hint="eastAsia" w:ascii="宋体" w:hAnsi="宋体" w:eastAsia="宋体" w:cs="宋体"/>
                <w:bCs/>
                <w:kern w:val="0"/>
                <w:sz w:val="24"/>
              </w:rPr>
              <w:t>根据</w:t>
            </w:r>
            <w:r>
              <w:rPr>
                <w:rFonts w:hint="default" w:ascii="Times New Roman" w:hAnsi="Times New Roman" w:eastAsia="宋体" w:cs="Times New Roman"/>
                <w:bCs/>
                <w:kern w:val="0"/>
                <w:sz w:val="24"/>
              </w:rPr>
              <w:t>《淮北市土壤污染防治工作方案》，到2020年，受污染耕地安全利用率达到90%左右（根据2020年10月完成的淮北市耕地土壤环境质量类别划分最新成果，淮北市耕地全部为优先保护类耕地，目前没有受污染耕地）。到2030年，受污染耕地安全利用率达到95%以上，污染地块安全利用率达到95%以上。</w:t>
            </w:r>
          </w:p>
          <w:p w14:paraId="1F84DC07">
            <w:pPr>
              <w:spacing w:line="360" w:lineRule="auto"/>
              <w:ind w:firstLine="480" w:firstLineChars="200"/>
              <w:rPr>
                <w:bCs/>
                <w:kern w:val="0"/>
                <w:sz w:val="24"/>
              </w:rPr>
            </w:pPr>
            <w:r>
              <w:rPr>
                <w:rFonts w:hint="eastAsia"/>
                <w:bCs/>
                <w:kern w:val="0"/>
                <w:sz w:val="24"/>
                <w:lang w:val="en-US" w:eastAsia="zh-CN"/>
              </w:rPr>
              <w:t>本</w:t>
            </w:r>
            <w:r>
              <w:rPr>
                <w:rFonts w:hint="eastAsia"/>
                <w:bCs/>
                <w:kern w:val="0"/>
                <w:sz w:val="24"/>
              </w:rPr>
              <w:t>项目</w:t>
            </w:r>
            <w:r>
              <w:rPr>
                <w:rFonts w:hint="eastAsia"/>
                <w:bCs/>
                <w:kern w:val="0"/>
                <w:sz w:val="24"/>
                <w:lang w:val="en-US" w:eastAsia="zh-CN"/>
              </w:rPr>
              <w:t>要求危废间、封闭区和喷漆房进行重点防渗，通过分区防渗</w:t>
            </w:r>
            <w:r>
              <w:rPr>
                <w:rFonts w:hint="eastAsia"/>
                <w:bCs/>
                <w:kern w:val="0"/>
                <w:sz w:val="24"/>
              </w:rPr>
              <w:t>措施，</w:t>
            </w:r>
            <w:r>
              <w:rPr>
                <w:rFonts w:hint="eastAsia"/>
                <w:bCs/>
                <w:kern w:val="0"/>
                <w:sz w:val="24"/>
                <w:lang w:val="en-US" w:eastAsia="zh-CN"/>
              </w:rPr>
              <w:t>项目</w:t>
            </w:r>
            <w:r>
              <w:rPr>
                <w:rFonts w:hint="eastAsia"/>
                <w:bCs/>
                <w:kern w:val="0"/>
                <w:sz w:val="24"/>
              </w:rPr>
              <w:t>对区域土壤环境影响较小。结合区域</w:t>
            </w:r>
            <w:r>
              <w:rPr>
                <w:rFonts w:hint="eastAsia"/>
                <w:bCs/>
                <w:kern w:val="0"/>
                <w:sz w:val="24"/>
                <w:lang w:val="en-US" w:eastAsia="zh-CN"/>
              </w:rPr>
              <w:t>土壤</w:t>
            </w:r>
            <w:r>
              <w:rPr>
                <w:rFonts w:hint="eastAsia"/>
                <w:bCs/>
                <w:kern w:val="0"/>
                <w:sz w:val="24"/>
              </w:rPr>
              <w:t>环境质量现状，</w:t>
            </w:r>
            <w:r>
              <w:rPr>
                <w:rFonts w:hint="eastAsia"/>
                <w:bCs/>
                <w:kern w:val="0"/>
                <w:sz w:val="24"/>
                <w:lang w:val="en-US" w:eastAsia="zh-CN"/>
              </w:rPr>
              <w:t>本</w:t>
            </w:r>
            <w:r>
              <w:rPr>
                <w:rFonts w:hint="eastAsia"/>
                <w:bCs/>
                <w:kern w:val="0"/>
                <w:sz w:val="24"/>
              </w:rPr>
              <w:t>项目实施后区域土壤环境质量能够满足环境质量底线要求。</w:t>
            </w:r>
          </w:p>
          <w:p w14:paraId="2EFF3704">
            <w:pPr>
              <w:spacing w:line="360" w:lineRule="auto"/>
              <w:ind w:firstLine="480" w:firstLineChars="200"/>
              <w:rPr>
                <w:rFonts w:hint="eastAsia"/>
                <w:sz w:val="24"/>
              </w:rPr>
            </w:pPr>
            <w:r>
              <w:rPr>
                <w:rFonts w:hint="eastAsia"/>
                <w:sz w:val="24"/>
              </w:rPr>
              <w:t>综上，拟建项目营运期废气、废水、固废和噪声等均得到合理处理处置后，对周边环境影响较小，不会突破项目所在地的环境质量底线，本项目的建设不会恶化区域环境质量功能。</w:t>
            </w:r>
          </w:p>
          <w:p w14:paraId="0064BC57">
            <w:pPr>
              <w:pStyle w:val="11"/>
              <w:spacing w:line="360" w:lineRule="auto"/>
              <w:ind w:firstLine="482" w:firstLineChars="200"/>
              <w:rPr>
                <w:rFonts w:ascii="Times New Roman" w:hAnsi="Times New Roman" w:eastAsia="宋体"/>
                <w:b/>
                <w:bCs/>
                <w:kern w:val="0"/>
                <w:sz w:val="24"/>
              </w:rPr>
            </w:pPr>
            <w:r>
              <w:rPr>
                <w:rFonts w:ascii="Times New Roman" w:hAnsi="Times New Roman" w:eastAsia="宋体"/>
                <w:b/>
                <w:bCs/>
                <w:kern w:val="0"/>
                <w:sz w:val="24"/>
              </w:rPr>
              <w:t>3</w:t>
            </w:r>
            <w:r>
              <w:rPr>
                <w:rFonts w:hint="eastAsia" w:ascii="Times New Roman" w:hAnsi="Times New Roman" w:eastAsia="宋体"/>
                <w:b/>
                <w:bCs/>
                <w:kern w:val="0"/>
                <w:sz w:val="24"/>
              </w:rPr>
              <w:t>、</w:t>
            </w:r>
            <w:r>
              <w:rPr>
                <w:rFonts w:ascii="Times New Roman" w:hAnsi="Times New Roman" w:eastAsia="宋体"/>
                <w:b/>
                <w:bCs/>
                <w:kern w:val="0"/>
                <w:sz w:val="24"/>
              </w:rPr>
              <w:t>资源利用上线</w:t>
            </w:r>
          </w:p>
          <w:p w14:paraId="0F70ADE7">
            <w:pPr>
              <w:pStyle w:val="11"/>
              <w:spacing w:line="360" w:lineRule="auto"/>
              <w:ind w:firstLine="480" w:firstLineChars="200"/>
              <w:rPr>
                <w:rFonts w:hint="eastAsia" w:hAnsi="宋体" w:eastAsia="宋体"/>
                <w:sz w:val="24"/>
              </w:rPr>
            </w:pPr>
            <w:r>
              <w:rPr>
                <w:rFonts w:hint="eastAsia" w:hAnsi="宋体" w:eastAsia="宋体"/>
                <w:sz w:val="24"/>
              </w:rPr>
              <w:t>本项目为新建项目；</w:t>
            </w:r>
            <w:r>
              <w:rPr>
                <w:rFonts w:hAnsi="宋体" w:eastAsia="宋体"/>
                <w:sz w:val="24"/>
              </w:rPr>
              <w:t>本项目使用的新鲜水由市政管网供给；本项目用电由市政电网提供，且本项目属于</w:t>
            </w:r>
            <w:r>
              <w:rPr>
                <w:rFonts w:hint="eastAsia" w:hAnsi="宋体" w:eastAsia="宋体"/>
                <w:sz w:val="24"/>
              </w:rPr>
              <w:t>铁路运输设备制造项目</w:t>
            </w:r>
            <w:r>
              <w:rPr>
                <w:rFonts w:hAnsi="宋体" w:eastAsia="宋体"/>
                <w:sz w:val="24"/>
              </w:rPr>
              <w:t>，不属于高耗水高耗能行业项目，因此本项目不突破资源利用上限</w:t>
            </w:r>
            <w:r>
              <w:rPr>
                <w:rFonts w:hint="eastAsia" w:hAnsi="宋体" w:eastAsia="宋体"/>
                <w:sz w:val="24"/>
              </w:rPr>
              <w:t>。</w:t>
            </w:r>
          </w:p>
          <w:p w14:paraId="729886A6">
            <w:pPr>
              <w:spacing w:line="360" w:lineRule="auto"/>
              <w:ind w:firstLine="482" w:firstLineChars="200"/>
              <w:rPr>
                <w:rFonts w:hint="eastAsia"/>
                <w:b/>
                <w:kern w:val="0"/>
                <w:sz w:val="24"/>
              </w:rPr>
            </w:pPr>
            <w:r>
              <w:rPr>
                <w:b/>
                <w:kern w:val="0"/>
                <w:sz w:val="24"/>
              </w:rPr>
              <w:t>4、环境准入负面清单</w:t>
            </w:r>
          </w:p>
          <w:p w14:paraId="1EEBE59F">
            <w:pPr>
              <w:spacing w:line="360" w:lineRule="auto"/>
              <w:ind w:firstLine="480" w:firstLineChars="200"/>
              <w:rPr>
                <w:bCs/>
                <w:kern w:val="0"/>
                <w:szCs w:val="21"/>
              </w:rPr>
            </w:pPr>
            <w:r>
              <w:rPr>
                <w:rFonts w:hint="eastAsia"/>
                <w:bCs/>
                <w:kern w:val="0"/>
                <w:sz w:val="24"/>
              </w:rPr>
              <w:t>本项目不属于</w:t>
            </w:r>
            <w:r>
              <w:rPr>
                <w:bCs/>
                <w:kern w:val="0"/>
                <w:sz w:val="24"/>
              </w:rPr>
              <w:t>《产业结构调整指导目录（2024年本）》</w:t>
            </w:r>
            <w:r>
              <w:rPr>
                <w:rFonts w:hint="eastAsia"/>
                <w:bCs/>
                <w:kern w:val="0"/>
                <w:sz w:val="24"/>
              </w:rPr>
              <w:t>和</w:t>
            </w:r>
            <w:r>
              <w:rPr>
                <w:bCs/>
                <w:kern w:val="0"/>
                <w:sz w:val="24"/>
              </w:rPr>
              <w:t>《市场准入负面清单》</w:t>
            </w:r>
            <w:r>
              <w:rPr>
                <w:rFonts w:hint="eastAsia"/>
                <w:bCs/>
                <w:kern w:val="0"/>
                <w:sz w:val="24"/>
              </w:rPr>
              <w:t>（2</w:t>
            </w:r>
            <w:r>
              <w:rPr>
                <w:bCs/>
                <w:kern w:val="0"/>
                <w:sz w:val="24"/>
              </w:rPr>
              <w:t>022</w:t>
            </w:r>
            <w:r>
              <w:rPr>
                <w:rFonts w:hint="eastAsia"/>
                <w:bCs/>
                <w:kern w:val="0"/>
                <w:sz w:val="24"/>
              </w:rPr>
              <w:t>年版）中</w:t>
            </w:r>
            <w:r>
              <w:rPr>
                <w:bCs/>
                <w:kern w:val="0"/>
                <w:sz w:val="24"/>
              </w:rPr>
              <w:t>禁止或限制类项目</w:t>
            </w:r>
            <w:r>
              <w:rPr>
                <w:rFonts w:hint="eastAsia"/>
                <w:bCs/>
                <w:kern w:val="0"/>
                <w:sz w:val="24"/>
              </w:rPr>
              <w:t>。结合淮北市“生态环境准入清单”，拟建项目的建设满足《淮北市“三线一单”生态环境准入清单》中要求。</w:t>
            </w:r>
            <w:r>
              <w:rPr>
                <w:bCs/>
                <w:kern w:val="0"/>
                <w:sz w:val="24"/>
              </w:rPr>
              <w:t>因此</w:t>
            </w:r>
            <w:r>
              <w:rPr>
                <w:rFonts w:hint="eastAsia"/>
                <w:bCs/>
                <w:kern w:val="0"/>
                <w:sz w:val="24"/>
              </w:rPr>
              <w:t>，拟建</w:t>
            </w:r>
            <w:r>
              <w:rPr>
                <w:bCs/>
                <w:kern w:val="0"/>
                <w:sz w:val="24"/>
              </w:rPr>
              <w:t>项目</w:t>
            </w:r>
            <w:r>
              <w:rPr>
                <w:rFonts w:hint="eastAsia"/>
                <w:bCs/>
                <w:kern w:val="0"/>
                <w:sz w:val="24"/>
              </w:rPr>
              <w:t>的</w:t>
            </w:r>
            <w:r>
              <w:rPr>
                <w:bCs/>
                <w:kern w:val="0"/>
                <w:sz w:val="24"/>
              </w:rPr>
              <w:t>建设符合环境准入要求。</w:t>
            </w:r>
          </w:p>
          <w:p w14:paraId="6F53D44C">
            <w:pPr>
              <w:widowControl/>
              <w:numPr>
                <w:ilvl w:val="0"/>
                <w:numId w:val="2"/>
              </w:numPr>
              <w:jc w:val="center"/>
              <w:rPr>
                <w:b/>
                <w:kern w:val="0"/>
                <w:szCs w:val="21"/>
              </w:rPr>
            </w:pPr>
            <w:r>
              <w:rPr>
                <w:rFonts w:hint="eastAsia"/>
                <w:b/>
                <w:kern w:val="0"/>
                <w:szCs w:val="21"/>
              </w:rPr>
              <w:t>项目与淮北市“生态环境准入清单”符合性分析一览表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5318"/>
              <w:gridCol w:w="1125"/>
              <w:gridCol w:w="828"/>
            </w:tblGrid>
            <w:tr w14:paraId="1E0A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trPr>
              <w:tc>
                <w:tcPr>
                  <w:tcW w:w="694" w:type="pct"/>
                  <w:noWrap w:val="0"/>
                  <w:vAlign w:val="center"/>
                </w:tcPr>
                <w:p w14:paraId="06F8E968">
                  <w:pPr>
                    <w:jc w:val="center"/>
                    <w:rPr>
                      <w:b/>
                      <w:kern w:val="0"/>
                      <w:sz w:val="21"/>
                      <w:szCs w:val="21"/>
                    </w:rPr>
                  </w:pPr>
                  <w:r>
                    <w:rPr>
                      <w:b/>
                      <w:kern w:val="0"/>
                      <w:sz w:val="21"/>
                      <w:szCs w:val="21"/>
                    </w:rPr>
                    <w:t>要求</w:t>
                  </w:r>
                </w:p>
              </w:tc>
              <w:tc>
                <w:tcPr>
                  <w:tcW w:w="3148" w:type="pct"/>
                  <w:noWrap w:val="0"/>
                  <w:vAlign w:val="center"/>
                </w:tcPr>
                <w:p w14:paraId="00E2246F">
                  <w:pPr>
                    <w:jc w:val="center"/>
                    <w:rPr>
                      <w:b/>
                      <w:kern w:val="0"/>
                      <w:sz w:val="21"/>
                      <w:szCs w:val="21"/>
                    </w:rPr>
                  </w:pPr>
                  <w:r>
                    <w:rPr>
                      <w:b/>
                      <w:kern w:val="0"/>
                      <w:sz w:val="21"/>
                      <w:szCs w:val="21"/>
                    </w:rPr>
                    <w:t>文件要求</w:t>
                  </w:r>
                </w:p>
              </w:tc>
              <w:tc>
                <w:tcPr>
                  <w:tcW w:w="666" w:type="pct"/>
                  <w:noWrap w:val="0"/>
                  <w:vAlign w:val="center"/>
                </w:tcPr>
                <w:p w14:paraId="5F568FC7">
                  <w:pPr>
                    <w:jc w:val="center"/>
                    <w:rPr>
                      <w:b/>
                      <w:kern w:val="0"/>
                      <w:sz w:val="21"/>
                      <w:szCs w:val="21"/>
                    </w:rPr>
                  </w:pPr>
                  <w:r>
                    <w:rPr>
                      <w:b/>
                      <w:kern w:val="0"/>
                      <w:sz w:val="21"/>
                      <w:szCs w:val="21"/>
                    </w:rPr>
                    <w:t>本项目情况</w:t>
                  </w:r>
                </w:p>
              </w:tc>
              <w:tc>
                <w:tcPr>
                  <w:tcW w:w="490" w:type="pct"/>
                  <w:noWrap w:val="0"/>
                  <w:vAlign w:val="center"/>
                </w:tcPr>
                <w:p w14:paraId="595D7B78">
                  <w:pPr>
                    <w:jc w:val="center"/>
                    <w:rPr>
                      <w:b/>
                      <w:kern w:val="0"/>
                      <w:sz w:val="21"/>
                      <w:szCs w:val="21"/>
                    </w:rPr>
                  </w:pPr>
                  <w:r>
                    <w:rPr>
                      <w:b/>
                      <w:kern w:val="0"/>
                      <w:sz w:val="21"/>
                      <w:szCs w:val="21"/>
                    </w:rPr>
                    <w:t>是否符合</w:t>
                  </w:r>
                </w:p>
              </w:tc>
            </w:tr>
            <w:tr w14:paraId="5446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noWrap w:val="0"/>
                  <w:vAlign w:val="center"/>
                </w:tcPr>
                <w:p w14:paraId="09F963AC">
                  <w:pPr>
                    <w:rPr>
                      <w:bCs/>
                      <w:kern w:val="0"/>
                      <w:sz w:val="21"/>
                      <w:szCs w:val="21"/>
                    </w:rPr>
                  </w:pPr>
                  <w:r>
                    <w:rPr>
                      <w:bCs/>
                      <w:kern w:val="0"/>
                      <w:sz w:val="21"/>
                      <w:szCs w:val="21"/>
                    </w:rPr>
                    <w:t>禁止开发建设活动的要求</w:t>
                  </w:r>
                </w:p>
              </w:tc>
              <w:tc>
                <w:tcPr>
                  <w:tcW w:w="3148" w:type="pct"/>
                  <w:noWrap w:val="0"/>
                  <w:vAlign w:val="center"/>
                </w:tcPr>
                <w:p w14:paraId="76092C04">
                  <w:pPr>
                    <w:rPr>
                      <w:bCs/>
                      <w:kern w:val="0"/>
                      <w:sz w:val="21"/>
                      <w:szCs w:val="21"/>
                    </w:rPr>
                  </w:pPr>
                  <w:r>
                    <w:rPr>
                      <w:bCs/>
                      <w:kern w:val="0"/>
                      <w:sz w:val="21"/>
                      <w:szCs w:val="21"/>
                    </w:rPr>
                    <w:t>（1）严禁新增钢铁、焦化、电解铝、铸造、水泥和平板玻璃等产能。</w:t>
                  </w:r>
                </w:p>
                <w:p w14:paraId="3529FB5E">
                  <w:pPr>
                    <w:rPr>
                      <w:bCs/>
                      <w:kern w:val="0"/>
                      <w:sz w:val="21"/>
                      <w:szCs w:val="21"/>
                    </w:rPr>
                  </w:pPr>
                  <w:r>
                    <w:rPr>
                      <w:bCs/>
                      <w:kern w:val="0"/>
                      <w:sz w:val="21"/>
                      <w:szCs w:val="21"/>
                    </w:rPr>
                    <w:t>（2）细化“散乱污”企业及集群整治标准。实行拉网式排查，建立管理台账。按照“先停后治”的原则，实施分类处置。列入关停取缔类的，基本做到“两断三清”。</w:t>
                  </w:r>
                </w:p>
                <w:p w14:paraId="1037A486">
                  <w:pPr>
                    <w:rPr>
                      <w:bCs/>
                      <w:kern w:val="0"/>
                      <w:sz w:val="21"/>
                      <w:szCs w:val="21"/>
                    </w:rPr>
                  </w:pPr>
                  <w:r>
                    <w:rPr>
                      <w:bCs/>
                      <w:kern w:val="0"/>
                      <w:sz w:val="21"/>
                      <w:szCs w:val="21"/>
                    </w:rPr>
                    <w:t>（3）对违反资源环境法律法规、规划，污染环境、破坏生态、乱采滥挖的露天矿山，依法予以关闭；对责任主体灭失的露天矿山，要加强修复绿化、减尘抑尘。原则上禁止新建露天矿山建设项目。</w:t>
                  </w:r>
                </w:p>
                <w:p w14:paraId="0B031B2E">
                  <w:pPr>
                    <w:rPr>
                      <w:bCs/>
                      <w:kern w:val="0"/>
                      <w:sz w:val="21"/>
                      <w:szCs w:val="21"/>
                    </w:rPr>
                  </w:pPr>
                  <w:r>
                    <w:rPr>
                      <w:bCs/>
                      <w:kern w:val="0"/>
                      <w:sz w:val="21"/>
                      <w:szCs w:val="21"/>
                    </w:rPr>
                    <w:t>（4）禁止建设生产和使用高VOCs含量的溶剂型涂料、油墨、胶粘剂等项目。</w:t>
                  </w:r>
                </w:p>
                <w:p w14:paraId="478810BF">
                  <w:pPr>
                    <w:rPr>
                      <w:bCs/>
                      <w:kern w:val="0"/>
                      <w:sz w:val="21"/>
                      <w:szCs w:val="21"/>
                    </w:rPr>
                  </w:pPr>
                  <w:r>
                    <w:rPr>
                      <w:bCs/>
                      <w:kern w:val="0"/>
                      <w:sz w:val="21"/>
                      <w:szCs w:val="21"/>
                    </w:rPr>
                    <w:t>（5）禁止新增化工园区。</w:t>
                  </w:r>
                </w:p>
                <w:p w14:paraId="2E7613FB">
                  <w:pPr>
                    <w:rPr>
                      <w:bCs/>
                      <w:kern w:val="0"/>
                      <w:sz w:val="21"/>
                      <w:szCs w:val="21"/>
                    </w:rPr>
                  </w:pPr>
                  <w:r>
                    <w:rPr>
                      <w:bCs/>
                      <w:kern w:val="0"/>
                      <w:sz w:val="21"/>
                      <w:szCs w:val="21"/>
                    </w:rPr>
                    <w:t>（6）在城市建成区及居民区、医院、学校等环境敏感区域，严禁现场露天灰土拌合。</w:t>
                  </w:r>
                </w:p>
                <w:p w14:paraId="4E9F4347">
                  <w:pPr>
                    <w:rPr>
                      <w:bCs/>
                      <w:kern w:val="0"/>
                      <w:sz w:val="21"/>
                      <w:szCs w:val="21"/>
                    </w:rPr>
                  </w:pPr>
                  <w:r>
                    <w:rPr>
                      <w:bCs/>
                      <w:kern w:val="0"/>
                      <w:sz w:val="21"/>
                      <w:szCs w:val="21"/>
                    </w:rPr>
                    <w:t>（7）禁止掺烧高硫石油焦。</w:t>
                  </w:r>
                </w:p>
              </w:tc>
              <w:tc>
                <w:tcPr>
                  <w:tcW w:w="666" w:type="pct"/>
                  <w:vMerge w:val="restart"/>
                  <w:noWrap w:val="0"/>
                  <w:vAlign w:val="center"/>
                </w:tcPr>
                <w:p w14:paraId="5E19CD48">
                  <w:pPr>
                    <w:rPr>
                      <w:bCs/>
                      <w:kern w:val="0"/>
                      <w:sz w:val="21"/>
                      <w:szCs w:val="21"/>
                    </w:rPr>
                  </w:pPr>
                  <w:r>
                    <w:rPr>
                      <w:rFonts w:ascii="宋体" w:hAnsi="宋体"/>
                      <w:sz w:val="21"/>
                      <w:szCs w:val="21"/>
                    </w:rPr>
                    <w:t>本项目属于</w:t>
                  </w:r>
                  <w:r>
                    <w:rPr>
                      <w:rFonts w:hint="eastAsia" w:ascii="宋体" w:hAnsi="宋体"/>
                      <w:sz w:val="21"/>
                      <w:szCs w:val="21"/>
                    </w:rPr>
                    <w:t>其他建筑、安全用金属制品制造，</w:t>
                  </w:r>
                  <w:r>
                    <w:rPr>
                      <w:rFonts w:hint="eastAsia"/>
                      <w:bCs/>
                      <w:kern w:val="0"/>
                      <w:sz w:val="21"/>
                      <w:szCs w:val="21"/>
                    </w:rPr>
                    <w:t>不属于上述项目类型。</w:t>
                  </w:r>
                </w:p>
              </w:tc>
              <w:tc>
                <w:tcPr>
                  <w:tcW w:w="490" w:type="pct"/>
                  <w:vMerge w:val="restart"/>
                  <w:noWrap w:val="0"/>
                  <w:vAlign w:val="center"/>
                </w:tcPr>
                <w:p w14:paraId="7C4A84F7">
                  <w:pPr>
                    <w:rPr>
                      <w:bCs/>
                      <w:kern w:val="0"/>
                      <w:sz w:val="21"/>
                      <w:szCs w:val="21"/>
                    </w:rPr>
                  </w:pPr>
                  <w:r>
                    <w:rPr>
                      <w:rFonts w:hint="eastAsia"/>
                      <w:bCs/>
                      <w:kern w:val="0"/>
                      <w:sz w:val="21"/>
                      <w:szCs w:val="21"/>
                    </w:rPr>
                    <w:t>符合</w:t>
                  </w:r>
                </w:p>
              </w:tc>
            </w:tr>
            <w:tr w14:paraId="5C23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45F3D472">
                  <w:pPr>
                    <w:rPr>
                      <w:bCs/>
                      <w:kern w:val="0"/>
                      <w:sz w:val="21"/>
                      <w:szCs w:val="21"/>
                    </w:rPr>
                  </w:pPr>
                </w:p>
              </w:tc>
              <w:tc>
                <w:tcPr>
                  <w:tcW w:w="3148" w:type="pct"/>
                  <w:noWrap w:val="0"/>
                  <w:vAlign w:val="center"/>
                </w:tcPr>
                <w:p w14:paraId="2FC5C85E">
                  <w:pPr>
                    <w:rPr>
                      <w:bCs/>
                      <w:kern w:val="0"/>
                      <w:sz w:val="21"/>
                      <w:szCs w:val="21"/>
                    </w:rPr>
                  </w:pPr>
                  <w:r>
                    <w:rPr>
                      <w:bCs/>
                      <w:kern w:val="0"/>
                      <w:sz w:val="21"/>
                      <w:szCs w:val="21"/>
                    </w:rPr>
                    <w:t>严禁高污染、高耗能行业落后产能转入，不再审批钢铁、水泥、电解铝、平板玻璃等产能严重过剩行业新增产能项目。</w:t>
                  </w:r>
                </w:p>
              </w:tc>
              <w:tc>
                <w:tcPr>
                  <w:tcW w:w="666" w:type="pct"/>
                  <w:vMerge w:val="continue"/>
                  <w:noWrap w:val="0"/>
                  <w:vAlign w:val="center"/>
                </w:tcPr>
                <w:p w14:paraId="78C018A1">
                  <w:pPr>
                    <w:rPr>
                      <w:bCs/>
                      <w:kern w:val="0"/>
                      <w:sz w:val="21"/>
                      <w:szCs w:val="21"/>
                    </w:rPr>
                  </w:pPr>
                </w:p>
              </w:tc>
              <w:tc>
                <w:tcPr>
                  <w:tcW w:w="490" w:type="pct"/>
                  <w:vMerge w:val="continue"/>
                  <w:noWrap w:val="0"/>
                  <w:vAlign w:val="center"/>
                </w:tcPr>
                <w:p w14:paraId="4810633C">
                  <w:pPr>
                    <w:rPr>
                      <w:bCs/>
                      <w:kern w:val="0"/>
                      <w:sz w:val="21"/>
                      <w:szCs w:val="21"/>
                    </w:rPr>
                  </w:pPr>
                </w:p>
              </w:tc>
            </w:tr>
            <w:tr w14:paraId="386A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1823BB0A">
                  <w:pPr>
                    <w:rPr>
                      <w:bCs/>
                      <w:kern w:val="0"/>
                      <w:sz w:val="21"/>
                      <w:szCs w:val="21"/>
                    </w:rPr>
                  </w:pPr>
                </w:p>
              </w:tc>
              <w:tc>
                <w:tcPr>
                  <w:tcW w:w="3148" w:type="pct"/>
                  <w:noWrap w:val="0"/>
                  <w:vAlign w:val="center"/>
                </w:tcPr>
                <w:p w14:paraId="113F57AE">
                  <w:pPr>
                    <w:rPr>
                      <w:bCs/>
                      <w:kern w:val="0"/>
                      <w:sz w:val="21"/>
                      <w:szCs w:val="21"/>
                    </w:rPr>
                  </w:pPr>
                  <w:r>
                    <w:rPr>
                      <w:bCs/>
                      <w:kern w:val="0"/>
                      <w:sz w:val="21"/>
                      <w:szCs w:val="21"/>
                    </w:rPr>
                    <w:t>新建矿山的开采规模不得低于限定的最小开采规模，严禁大矿小开、一矿多开。</w:t>
                  </w:r>
                </w:p>
              </w:tc>
              <w:tc>
                <w:tcPr>
                  <w:tcW w:w="666" w:type="pct"/>
                  <w:vMerge w:val="continue"/>
                  <w:noWrap w:val="0"/>
                  <w:vAlign w:val="center"/>
                </w:tcPr>
                <w:p w14:paraId="6A8F2EB1">
                  <w:pPr>
                    <w:rPr>
                      <w:bCs/>
                      <w:kern w:val="0"/>
                      <w:sz w:val="21"/>
                      <w:szCs w:val="21"/>
                    </w:rPr>
                  </w:pPr>
                </w:p>
              </w:tc>
              <w:tc>
                <w:tcPr>
                  <w:tcW w:w="490" w:type="pct"/>
                  <w:vMerge w:val="continue"/>
                  <w:noWrap w:val="0"/>
                  <w:vAlign w:val="center"/>
                </w:tcPr>
                <w:p w14:paraId="1F1E8B47">
                  <w:pPr>
                    <w:rPr>
                      <w:bCs/>
                      <w:kern w:val="0"/>
                      <w:sz w:val="21"/>
                      <w:szCs w:val="21"/>
                    </w:rPr>
                  </w:pPr>
                </w:p>
              </w:tc>
            </w:tr>
            <w:tr w14:paraId="5CD8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0416F144">
                  <w:pPr>
                    <w:rPr>
                      <w:bCs/>
                      <w:kern w:val="0"/>
                      <w:sz w:val="21"/>
                      <w:szCs w:val="21"/>
                    </w:rPr>
                  </w:pPr>
                </w:p>
              </w:tc>
              <w:tc>
                <w:tcPr>
                  <w:tcW w:w="3148" w:type="pct"/>
                  <w:noWrap w:val="0"/>
                  <w:vAlign w:val="center"/>
                </w:tcPr>
                <w:p w14:paraId="0D62174B">
                  <w:pPr>
                    <w:rPr>
                      <w:bCs/>
                      <w:kern w:val="0"/>
                      <w:sz w:val="21"/>
                      <w:szCs w:val="21"/>
                    </w:rPr>
                  </w:pPr>
                  <w:r>
                    <w:rPr>
                      <w:bCs/>
                      <w:kern w:val="0"/>
                      <w:sz w:val="21"/>
                      <w:szCs w:val="21"/>
                    </w:rPr>
                    <w:t>严禁高污染、高耗能行业落后产能转入，不再审批钢铁、水泥、电解铝、平板玻璃等产能严重过剩行业新增产能项目，新、改、扩建项目要制定产能置换方案，实行产能等量或减量置换。</w:t>
                  </w:r>
                </w:p>
              </w:tc>
              <w:tc>
                <w:tcPr>
                  <w:tcW w:w="666" w:type="pct"/>
                  <w:vMerge w:val="continue"/>
                  <w:noWrap w:val="0"/>
                  <w:vAlign w:val="center"/>
                </w:tcPr>
                <w:p w14:paraId="75DF05FD">
                  <w:pPr>
                    <w:rPr>
                      <w:bCs/>
                      <w:kern w:val="0"/>
                      <w:sz w:val="21"/>
                      <w:szCs w:val="21"/>
                    </w:rPr>
                  </w:pPr>
                </w:p>
              </w:tc>
              <w:tc>
                <w:tcPr>
                  <w:tcW w:w="490" w:type="pct"/>
                  <w:vMerge w:val="continue"/>
                  <w:noWrap w:val="0"/>
                  <w:vAlign w:val="center"/>
                </w:tcPr>
                <w:p w14:paraId="18BBDF2C">
                  <w:pPr>
                    <w:rPr>
                      <w:bCs/>
                      <w:kern w:val="0"/>
                      <w:sz w:val="21"/>
                      <w:szCs w:val="21"/>
                    </w:rPr>
                  </w:pPr>
                </w:p>
              </w:tc>
            </w:tr>
            <w:tr w14:paraId="024C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noWrap w:val="0"/>
                  <w:vAlign w:val="center"/>
                </w:tcPr>
                <w:p w14:paraId="77589B97">
                  <w:pPr>
                    <w:rPr>
                      <w:bCs/>
                      <w:kern w:val="0"/>
                      <w:sz w:val="21"/>
                      <w:szCs w:val="21"/>
                    </w:rPr>
                  </w:pPr>
                  <w:r>
                    <w:rPr>
                      <w:bCs/>
                      <w:kern w:val="0"/>
                      <w:sz w:val="21"/>
                      <w:szCs w:val="21"/>
                    </w:rPr>
                    <w:t>限制开发建设活动的要求</w:t>
                  </w:r>
                </w:p>
              </w:tc>
              <w:tc>
                <w:tcPr>
                  <w:tcW w:w="3148" w:type="pct"/>
                  <w:noWrap w:val="0"/>
                  <w:vAlign w:val="center"/>
                </w:tcPr>
                <w:p w14:paraId="7D4F76ED">
                  <w:pPr>
                    <w:rPr>
                      <w:bCs/>
                      <w:kern w:val="0"/>
                      <w:sz w:val="21"/>
                      <w:szCs w:val="21"/>
                    </w:rPr>
                  </w:pPr>
                  <w:r>
                    <w:rPr>
                      <w:bCs/>
                      <w:kern w:val="0"/>
                      <w:sz w:val="21"/>
                      <w:szCs w:val="21"/>
                    </w:rPr>
                    <w:t>（1）钢铁企业应严格控制，确保污染物达标排放，逐步推动转型升级，加大煤化工园区和各类园区内化工企业的整治力度。</w:t>
                  </w:r>
                </w:p>
                <w:p w14:paraId="6F5E10CD">
                  <w:pPr>
                    <w:rPr>
                      <w:bCs/>
                      <w:kern w:val="0"/>
                      <w:sz w:val="21"/>
                      <w:szCs w:val="21"/>
                    </w:rPr>
                  </w:pPr>
                  <w:r>
                    <w:rPr>
                      <w:bCs/>
                      <w:kern w:val="0"/>
                      <w:sz w:val="21"/>
                      <w:szCs w:val="21"/>
                    </w:rPr>
                    <w:t>（2）“散乱污”列入整合搬迁类的，要按照产业发展规模化、现代化的原则，搬迁至合规工业园区并实施升级改造，列入升级改造类的，实施清洁生产技术改造，全面提升污染治理水平。</w:t>
                  </w:r>
                </w:p>
                <w:p w14:paraId="154B4DE3">
                  <w:pPr>
                    <w:rPr>
                      <w:bCs/>
                      <w:kern w:val="0"/>
                      <w:sz w:val="21"/>
                      <w:szCs w:val="21"/>
                    </w:rPr>
                  </w:pPr>
                  <w:r>
                    <w:rPr>
                      <w:bCs/>
                      <w:kern w:val="0"/>
                      <w:sz w:val="21"/>
                      <w:szCs w:val="21"/>
                    </w:rPr>
                    <w:t>（3）对治理效果差、技术服务能力弱、运营管理水平低的治理单位，公布名单，实行联合惩戒。</w:t>
                  </w:r>
                </w:p>
                <w:p w14:paraId="5F16519D">
                  <w:pPr>
                    <w:rPr>
                      <w:bCs/>
                      <w:kern w:val="0"/>
                      <w:sz w:val="21"/>
                      <w:szCs w:val="21"/>
                    </w:rPr>
                  </w:pPr>
                  <w:r>
                    <w:rPr>
                      <w:bCs/>
                      <w:kern w:val="0"/>
                      <w:sz w:val="21"/>
                      <w:szCs w:val="21"/>
                    </w:rPr>
                    <w:t>（4）对污染治理不规范的露天矿山，依法责令停产整治，整治完成并经相关部门组织验收合格后方可恢复生产。</w:t>
                  </w:r>
                </w:p>
              </w:tc>
              <w:tc>
                <w:tcPr>
                  <w:tcW w:w="666" w:type="pct"/>
                  <w:vMerge w:val="continue"/>
                  <w:noWrap w:val="0"/>
                  <w:vAlign w:val="center"/>
                </w:tcPr>
                <w:p w14:paraId="734199A2">
                  <w:pPr>
                    <w:rPr>
                      <w:bCs/>
                      <w:kern w:val="0"/>
                      <w:sz w:val="21"/>
                      <w:szCs w:val="21"/>
                    </w:rPr>
                  </w:pPr>
                </w:p>
              </w:tc>
              <w:tc>
                <w:tcPr>
                  <w:tcW w:w="490" w:type="pct"/>
                  <w:vMerge w:val="restart"/>
                  <w:noWrap w:val="0"/>
                  <w:vAlign w:val="center"/>
                </w:tcPr>
                <w:p w14:paraId="2BBECB18">
                  <w:pPr>
                    <w:rPr>
                      <w:bCs/>
                      <w:kern w:val="0"/>
                      <w:sz w:val="21"/>
                      <w:szCs w:val="21"/>
                    </w:rPr>
                  </w:pPr>
                  <w:r>
                    <w:rPr>
                      <w:rFonts w:hint="eastAsia"/>
                      <w:bCs/>
                      <w:kern w:val="0"/>
                      <w:sz w:val="21"/>
                      <w:szCs w:val="21"/>
                    </w:rPr>
                    <w:t>符合</w:t>
                  </w:r>
                </w:p>
              </w:tc>
            </w:tr>
            <w:tr w14:paraId="17BF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77DEAAE1">
                  <w:pPr>
                    <w:rPr>
                      <w:bCs/>
                      <w:kern w:val="0"/>
                      <w:sz w:val="21"/>
                      <w:szCs w:val="21"/>
                    </w:rPr>
                  </w:pPr>
                </w:p>
              </w:tc>
              <w:tc>
                <w:tcPr>
                  <w:tcW w:w="3148" w:type="pct"/>
                  <w:noWrap w:val="0"/>
                  <w:vAlign w:val="center"/>
                </w:tcPr>
                <w:p w14:paraId="499ABACD">
                  <w:pPr>
                    <w:rPr>
                      <w:bCs/>
                      <w:kern w:val="0"/>
                      <w:sz w:val="21"/>
                      <w:szCs w:val="21"/>
                    </w:rPr>
                  </w:pPr>
                  <w:r>
                    <w:rPr>
                      <w:bCs/>
                      <w:kern w:val="0"/>
                      <w:sz w:val="21"/>
                      <w:szCs w:val="21"/>
                    </w:rPr>
                    <w:t>严格控制高耗能、高排放和产能过剩行业新上项目，强化节能、环保、土地等指标约束。强化节能、环保、土地等指标约束。</w:t>
                  </w:r>
                </w:p>
              </w:tc>
              <w:tc>
                <w:tcPr>
                  <w:tcW w:w="666" w:type="pct"/>
                  <w:vMerge w:val="continue"/>
                  <w:noWrap w:val="0"/>
                  <w:vAlign w:val="center"/>
                </w:tcPr>
                <w:p w14:paraId="5BC8C941">
                  <w:pPr>
                    <w:rPr>
                      <w:bCs/>
                      <w:kern w:val="0"/>
                      <w:sz w:val="21"/>
                      <w:szCs w:val="21"/>
                    </w:rPr>
                  </w:pPr>
                </w:p>
              </w:tc>
              <w:tc>
                <w:tcPr>
                  <w:tcW w:w="490" w:type="pct"/>
                  <w:vMerge w:val="continue"/>
                  <w:noWrap w:val="0"/>
                  <w:vAlign w:val="center"/>
                </w:tcPr>
                <w:p w14:paraId="4E58C8B0">
                  <w:pPr>
                    <w:rPr>
                      <w:bCs/>
                      <w:kern w:val="0"/>
                      <w:sz w:val="21"/>
                      <w:szCs w:val="21"/>
                    </w:rPr>
                  </w:pPr>
                </w:p>
              </w:tc>
            </w:tr>
            <w:tr w14:paraId="0DD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6399F448">
                  <w:pPr>
                    <w:rPr>
                      <w:bCs/>
                      <w:kern w:val="0"/>
                      <w:sz w:val="21"/>
                      <w:szCs w:val="21"/>
                    </w:rPr>
                  </w:pPr>
                </w:p>
              </w:tc>
              <w:tc>
                <w:tcPr>
                  <w:tcW w:w="3148" w:type="pct"/>
                  <w:noWrap w:val="0"/>
                  <w:vAlign w:val="center"/>
                </w:tcPr>
                <w:p w14:paraId="00EC6C0A">
                  <w:pPr>
                    <w:rPr>
                      <w:bCs/>
                      <w:kern w:val="0"/>
                      <w:sz w:val="21"/>
                      <w:szCs w:val="21"/>
                    </w:rPr>
                  </w:pPr>
                  <w:r>
                    <w:rPr>
                      <w:bCs/>
                      <w:kern w:val="0"/>
                      <w:sz w:val="21"/>
                      <w:szCs w:val="21"/>
                    </w:rPr>
                    <w:t>严格执行矿山最低开采规模制度，以优势矿产和主要矿区为重点，提高大中型矿山企业的产能比例，逐步分矿区限定矿山最小开采规模。</w:t>
                  </w:r>
                </w:p>
              </w:tc>
              <w:tc>
                <w:tcPr>
                  <w:tcW w:w="666" w:type="pct"/>
                  <w:vMerge w:val="continue"/>
                  <w:noWrap w:val="0"/>
                  <w:vAlign w:val="center"/>
                </w:tcPr>
                <w:p w14:paraId="1B007943">
                  <w:pPr>
                    <w:rPr>
                      <w:bCs/>
                      <w:kern w:val="0"/>
                      <w:sz w:val="21"/>
                      <w:szCs w:val="21"/>
                    </w:rPr>
                  </w:pPr>
                </w:p>
              </w:tc>
              <w:tc>
                <w:tcPr>
                  <w:tcW w:w="490" w:type="pct"/>
                  <w:vMerge w:val="continue"/>
                  <w:noWrap w:val="0"/>
                  <w:vAlign w:val="center"/>
                </w:tcPr>
                <w:p w14:paraId="1DD6BA4A">
                  <w:pPr>
                    <w:rPr>
                      <w:bCs/>
                      <w:kern w:val="0"/>
                      <w:sz w:val="21"/>
                      <w:szCs w:val="21"/>
                    </w:rPr>
                  </w:pPr>
                </w:p>
              </w:tc>
            </w:tr>
            <w:tr w14:paraId="4A11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noWrap w:val="0"/>
                  <w:vAlign w:val="center"/>
                </w:tcPr>
                <w:p w14:paraId="11F4BE9A">
                  <w:pPr>
                    <w:rPr>
                      <w:bCs/>
                      <w:kern w:val="0"/>
                      <w:sz w:val="21"/>
                      <w:szCs w:val="21"/>
                    </w:rPr>
                  </w:pPr>
                  <w:r>
                    <w:rPr>
                      <w:bCs/>
                      <w:kern w:val="0"/>
                      <w:sz w:val="21"/>
                      <w:szCs w:val="21"/>
                    </w:rPr>
                    <w:t>不符合空间布局要求活动的退出要求</w:t>
                  </w:r>
                </w:p>
              </w:tc>
              <w:tc>
                <w:tcPr>
                  <w:tcW w:w="3148" w:type="pct"/>
                  <w:noWrap w:val="0"/>
                  <w:vAlign w:val="center"/>
                </w:tcPr>
                <w:p w14:paraId="1B04AEC2">
                  <w:pPr>
                    <w:rPr>
                      <w:bCs/>
                      <w:kern w:val="0"/>
                      <w:sz w:val="21"/>
                      <w:szCs w:val="21"/>
                    </w:rPr>
                  </w:pPr>
                  <w:r>
                    <w:rPr>
                      <w:bCs/>
                      <w:kern w:val="0"/>
                      <w:sz w:val="21"/>
                      <w:szCs w:val="21"/>
                    </w:rPr>
                    <w:t>（1）加快城市建成区重污染企业搬迁改造或关闭退出，推动实施水泥、化工等重污染企业搬迁工程。</w:t>
                  </w:r>
                </w:p>
                <w:p w14:paraId="5C657F7D">
                  <w:pPr>
                    <w:rPr>
                      <w:bCs/>
                      <w:kern w:val="0"/>
                      <w:sz w:val="21"/>
                      <w:szCs w:val="21"/>
                    </w:rPr>
                  </w:pPr>
                  <w:r>
                    <w:rPr>
                      <w:bCs/>
                      <w:kern w:val="0"/>
                      <w:sz w:val="21"/>
                      <w:szCs w:val="21"/>
                    </w:rPr>
                    <w:t>（2）加大落后产能淘汰和过剩产能压减力度。严格按照《产业结构调整指导目录》，执行过剩产能淘汰标准。严防“地条钢”死灰复燃。</w:t>
                  </w:r>
                </w:p>
                <w:p w14:paraId="400B9E25">
                  <w:pPr>
                    <w:rPr>
                      <w:bCs/>
                      <w:kern w:val="0"/>
                      <w:sz w:val="21"/>
                      <w:szCs w:val="21"/>
                    </w:rPr>
                  </w:pPr>
                  <w:r>
                    <w:rPr>
                      <w:bCs/>
                      <w:kern w:val="0"/>
                      <w:sz w:val="21"/>
                      <w:szCs w:val="21"/>
                    </w:rPr>
                    <w:t>（3）对污染治理不规范的露天矿山，依法责令停产整治，对拒不停产或擅自恢复生产的依法强制关闭。</w:t>
                  </w:r>
                </w:p>
              </w:tc>
              <w:tc>
                <w:tcPr>
                  <w:tcW w:w="666" w:type="pct"/>
                  <w:vMerge w:val="continue"/>
                  <w:noWrap w:val="0"/>
                  <w:vAlign w:val="center"/>
                </w:tcPr>
                <w:p w14:paraId="65812D00">
                  <w:pPr>
                    <w:rPr>
                      <w:bCs/>
                      <w:kern w:val="0"/>
                      <w:sz w:val="21"/>
                      <w:szCs w:val="21"/>
                    </w:rPr>
                  </w:pPr>
                </w:p>
              </w:tc>
              <w:tc>
                <w:tcPr>
                  <w:tcW w:w="490" w:type="pct"/>
                  <w:vMerge w:val="restart"/>
                  <w:noWrap w:val="0"/>
                  <w:vAlign w:val="center"/>
                </w:tcPr>
                <w:p w14:paraId="3C8DEA8E">
                  <w:pPr>
                    <w:rPr>
                      <w:bCs/>
                      <w:kern w:val="0"/>
                      <w:sz w:val="21"/>
                      <w:szCs w:val="21"/>
                    </w:rPr>
                  </w:pPr>
                  <w:r>
                    <w:rPr>
                      <w:rFonts w:hint="eastAsia"/>
                      <w:bCs/>
                      <w:kern w:val="0"/>
                      <w:sz w:val="21"/>
                      <w:szCs w:val="21"/>
                    </w:rPr>
                    <w:t>符合</w:t>
                  </w:r>
                </w:p>
              </w:tc>
            </w:tr>
            <w:tr w14:paraId="41CF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1321D939">
                  <w:pPr>
                    <w:rPr>
                      <w:bCs/>
                      <w:kern w:val="0"/>
                      <w:sz w:val="21"/>
                      <w:szCs w:val="21"/>
                    </w:rPr>
                  </w:pPr>
                </w:p>
              </w:tc>
              <w:tc>
                <w:tcPr>
                  <w:tcW w:w="3148" w:type="pct"/>
                  <w:noWrap w:val="0"/>
                  <w:vAlign w:val="center"/>
                </w:tcPr>
                <w:p w14:paraId="52CE9D2B">
                  <w:pPr>
                    <w:rPr>
                      <w:bCs/>
                      <w:kern w:val="0"/>
                      <w:sz w:val="21"/>
                      <w:szCs w:val="21"/>
                    </w:rPr>
                  </w:pPr>
                  <w:r>
                    <w:rPr>
                      <w:bCs/>
                      <w:kern w:val="0"/>
                      <w:sz w:val="21"/>
                      <w:szCs w:val="21"/>
                    </w:rPr>
                    <w:t>优化煤炭矿山结构，关闭一批资源枯竭、煤与瓦斯突出的煤炭矿山，到2020年，有序退出煤炭产能1280万吨/年。</w:t>
                  </w:r>
                </w:p>
              </w:tc>
              <w:tc>
                <w:tcPr>
                  <w:tcW w:w="666" w:type="pct"/>
                  <w:vMerge w:val="continue"/>
                  <w:noWrap w:val="0"/>
                  <w:vAlign w:val="center"/>
                </w:tcPr>
                <w:p w14:paraId="3388F9CA">
                  <w:pPr>
                    <w:rPr>
                      <w:bCs/>
                      <w:kern w:val="0"/>
                      <w:sz w:val="21"/>
                      <w:szCs w:val="21"/>
                    </w:rPr>
                  </w:pPr>
                </w:p>
              </w:tc>
              <w:tc>
                <w:tcPr>
                  <w:tcW w:w="490" w:type="pct"/>
                  <w:vMerge w:val="continue"/>
                  <w:noWrap w:val="0"/>
                  <w:vAlign w:val="center"/>
                </w:tcPr>
                <w:p w14:paraId="0B0FC796">
                  <w:pPr>
                    <w:rPr>
                      <w:bCs/>
                      <w:kern w:val="0"/>
                      <w:sz w:val="21"/>
                      <w:szCs w:val="21"/>
                    </w:rPr>
                  </w:pPr>
                </w:p>
              </w:tc>
            </w:tr>
            <w:tr w14:paraId="491A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4B4861CC">
                  <w:pPr>
                    <w:rPr>
                      <w:bCs/>
                      <w:kern w:val="0"/>
                      <w:sz w:val="21"/>
                      <w:szCs w:val="21"/>
                    </w:rPr>
                  </w:pPr>
                </w:p>
              </w:tc>
              <w:tc>
                <w:tcPr>
                  <w:tcW w:w="3148" w:type="pct"/>
                  <w:noWrap w:val="0"/>
                  <w:vAlign w:val="center"/>
                </w:tcPr>
                <w:p w14:paraId="5DE413AF">
                  <w:pPr>
                    <w:rPr>
                      <w:bCs/>
                      <w:kern w:val="0"/>
                      <w:sz w:val="21"/>
                      <w:szCs w:val="21"/>
                    </w:rPr>
                  </w:pPr>
                  <w:r>
                    <w:rPr>
                      <w:bCs/>
                      <w:kern w:val="0"/>
                      <w:sz w:val="21"/>
                      <w:szCs w:val="21"/>
                    </w:rPr>
                    <w:t>对存在环境高风险企业要予以挂牌督办，限期整改或搬迁，对不具备整改条件的，应依法予以关停；强化环境风险应急处置，做好突发环境事件风险控制、应急准备、应急处置和事后恢复等工作，建立环境事故处置和损害赔偿恢复机制，推进开展环境污染损害鉴定评估，完善损害赔偿制度。</w:t>
                  </w:r>
                </w:p>
              </w:tc>
              <w:tc>
                <w:tcPr>
                  <w:tcW w:w="666" w:type="pct"/>
                  <w:vMerge w:val="continue"/>
                  <w:noWrap w:val="0"/>
                  <w:vAlign w:val="center"/>
                </w:tcPr>
                <w:p w14:paraId="59EAA3EB">
                  <w:pPr>
                    <w:rPr>
                      <w:bCs/>
                      <w:kern w:val="0"/>
                      <w:sz w:val="21"/>
                      <w:szCs w:val="21"/>
                    </w:rPr>
                  </w:pPr>
                </w:p>
              </w:tc>
              <w:tc>
                <w:tcPr>
                  <w:tcW w:w="490" w:type="pct"/>
                  <w:vMerge w:val="continue"/>
                  <w:noWrap w:val="0"/>
                  <w:vAlign w:val="center"/>
                </w:tcPr>
                <w:p w14:paraId="03803CC6">
                  <w:pPr>
                    <w:rPr>
                      <w:bCs/>
                      <w:kern w:val="0"/>
                      <w:sz w:val="21"/>
                      <w:szCs w:val="21"/>
                    </w:rPr>
                  </w:pPr>
                </w:p>
              </w:tc>
            </w:tr>
            <w:tr w14:paraId="3D70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noWrap w:val="0"/>
                  <w:vAlign w:val="center"/>
                </w:tcPr>
                <w:p w14:paraId="12641EA0">
                  <w:pPr>
                    <w:rPr>
                      <w:bCs/>
                      <w:kern w:val="0"/>
                      <w:sz w:val="21"/>
                      <w:szCs w:val="21"/>
                    </w:rPr>
                  </w:pPr>
                </w:p>
              </w:tc>
              <w:tc>
                <w:tcPr>
                  <w:tcW w:w="3148" w:type="pct"/>
                  <w:noWrap w:val="0"/>
                  <w:vAlign w:val="center"/>
                </w:tcPr>
                <w:p w14:paraId="2A849448">
                  <w:pPr>
                    <w:rPr>
                      <w:bCs/>
                      <w:kern w:val="0"/>
                      <w:sz w:val="21"/>
                      <w:szCs w:val="21"/>
                    </w:rPr>
                  </w:pPr>
                  <w:r>
                    <w:rPr>
                      <w:bCs/>
                      <w:kern w:val="0"/>
                      <w:sz w:val="21"/>
                      <w:szCs w:val="21"/>
                    </w:rPr>
                    <w:t>自然保护区内已设置的矿产权要按照有关规定逐步退出。</w:t>
                  </w:r>
                </w:p>
              </w:tc>
              <w:tc>
                <w:tcPr>
                  <w:tcW w:w="666" w:type="pct"/>
                  <w:vMerge w:val="continue"/>
                  <w:noWrap w:val="0"/>
                  <w:vAlign w:val="center"/>
                </w:tcPr>
                <w:p w14:paraId="13AB7E34">
                  <w:pPr>
                    <w:rPr>
                      <w:bCs/>
                      <w:kern w:val="0"/>
                      <w:sz w:val="21"/>
                      <w:szCs w:val="21"/>
                    </w:rPr>
                  </w:pPr>
                </w:p>
              </w:tc>
              <w:tc>
                <w:tcPr>
                  <w:tcW w:w="490" w:type="pct"/>
                  <w:vMerge w:val="continue"/>
                  <w:noWrap w:val="0"/>
                  <w:vAlign w:val="center"/>
                </w:tcPr>
                <w:p w14:paraId="2F22CFE8">
                  <w:pPr>
                    <w:rPr>
                      <w:bCs/>
                      <w:kern w:val="0"/>
                      <w:sz w:val="21"/>
                      <w:szCs w:val="21"/>
                    </w:rPr>
                  </w:pPr>
                </w:p>
              </w:tc>
            </w:tr>
          </w:tbl>
          <w:p w14:paraId="6FFD75F3">
            <w:pPr>
              <w:spacing w:line="360" w:lineRule="auto"/>
              <w:ind w:firstLine="480" w:firstLineChars="200"/>
              <w:rPr>
                <w:rFonts w:hint="eastAsia"/>
                <w:bCs/>
                <w:kern w:val="0"/>
                <w:sz w:val="24"/>
              </w:rPr>
            </w:pPr>
            <w:r>
              <w:rPr>
                <w:rFonts w:hint="eastAsia"/>
                <w:bCs/>
                <w:kern w:val="0"/>
                <w:sz w:val="24"/>
              </w:rPr>
              <w:t>综上，拟建项目的建设满足所在区域的环境功能区划，不会触碰区域环境质量底线，且未被列入环境准入负面清单。因此，拟建项目的建设符合国家和地方相关环境保护法律、法规、标准、政策和规范等的要求；本项目建设能够满足“三线一单”要求。</w:t>
            </w:r>
          </w:p>
          <w:p w14:paraId="70CEDCAE">
            <w:pPr>
              <w:spacing w:line="360" w:lineRule="auto"/>
              <w:rPr>
                <w:b/>
                <w:kern w:val="0"/>
                <w:sz w:val="24"/>
              </w:rPr>
            </w:pPr>
            <w:r>
              <w:rPr>
                <w:rFonts w:hint="eastAsia"/>
                <w:b/>
                <w:kern w:val="0"/>
                <w:sz w:val="24"/>
              </w:rPr>
              <w:t>（二）</w:t>
            </w:r>
            <w:r>
              <w:rPr>
                <w:b/>
                <w:kern w:val="0"/>
                <w:sz w:val="24"/>
              </w:rPr>
              <w:t>与相关</w:t>
            </w:r>
            <w:r>
              <w:rPr>
                <w:rFonts w:hint="eastAsia"/>
                <w:b/>
                <w:kern w:val="0"/>
                <w:sz w:val="24"/>
              </w:rPr>
              <w:t>法规、</w:t>
            </w:r>
            <w:r>
              <w:rPr>
                <w:b/>
                <w:kern w:val="0"/>
                <w:sz w:val="24"/>
              </w:rPr>
              <w:t>政策</w:t>
            </w:r>
            <w:r>
              <w:rPr>
                <w:rFonts w:hint="eastAsia"/>
                <w:b/>
                <w:kern w:val="0"/>
                <w:sz w:val="24"/>
              </w:rPr>
              <w:t>及生态环境保护规划的符合性分析</w:t>
            </w:r>
          </w:p>
          <w:p w14:paraId="0D84CFEF">
            <w:pPr>
              <w:spacing w:line="360" w:lineRule="auto"/>
              <w:ind w:firstLine="482" w:firstLineChars="200"/>
              <w:rPr>
                <w:rFonts w:hint="eastAsia"/>
                <w:b/>
                <w:kern w:val="0"/>
                <w:sz w:val="24"/>
              </w:rPr>
            </w:pPr>
            <w:r>
              <w:rPr>
                <w:rFonts w:hint="eastAsia"/>
                <w:b/>
                <w:kern w:val="0"/>
                <w:sz w:val="24"/>
              </w:rPr>
              <w:t>1、本项目与《安徽省低挥发性有机物含量原辅材料替代工作方案》（皖环发〔2024〕1号）的相符性分析</w:t>
            </w:r>
          </w:p>
          <w:p w14:paraId="0FC517BC">
            <w:pPr>
              <w:widowControl/>
              <w:numPr>
                <w:ilvl w:val="0"/>
                <w:numId w:val="2"/>
              </w:numPr>
              <w:jc w:val="center"/>
              <w:rPr>
                <w:rFonts w:hint="eastAsia"/>
                <w:b/>
                <w:kern w:val="0"/>
                <w:szCs w:val="21"/>
              </w:rPr>
            </w:pPr>
            <w:r>
              <w:rPr>
                <w:rFonts w:hint="eastAsia"/>
                <w:b/>
                <w:kern w:val="0"/>
                <w:szCs w:val="21"/>
              </w:rPr>
              <w:t>《安徽省低挥发性有机物含量原辅材料替代工作方案》（皖环发〔2024〕1号）相符性一览表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213"/>
              <w:gridCol w:w="2670"/>
              <w:gridCol w:w="925"/>
            </w:tblGrid>
            <w:tr w14:paraId="62FD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14:paraId="2309EBD8">
                  <w:pPr>
                    <w:adjustRightInd w:val="0"/>
                    <w:snapToGrid w:val="0"/>
                    <w:jc w:val="center"/>
                    <w:rPr>
                      <w:b/>
                      <w:bCs/>
                      <w:szCs w:val="21"/>
                    </w:rPr>
                  </w:pPr>
                  <w:r>
                    <w:rPr>
                      <w:rFonts w:hint="eastAsia"/>
                      <w:b/>
                      <w:bCs/>
                      <w:szCs w:val="21"/>
                    </w:rPr>
                    <w:t>序号</w:t>
                  </w:r>
                </w:p>
              </w:tc>
              <w:tc>
                <w:tcPr>
                  <w:tcW w:w="2495" w:type="pct"/>
                  <w:noWrap w:val="0"/>
                  <w:vAlign w:val="center"/>
                </w:tcPr>
                <w:p w14:paraId="4CE5A858">
                  <w:pPr>
                    <w:adjustRightInd w:val="0"/>
                    <w:snapToGrid w:val="0"/>
                    <w:jc w:val="center"/>
                    <w:rPr>
                      <w:b/>
                      <w:bCs/>
                      <w:szCs w:val="21"/>
                    </w:rPr>
                  </w:pPr>
                  <w:r>
                    <w:rPr>
                      <w:b/>
                      <w:bCs/>
                      <w:szCs w:val="21"/>
                    </w:rPr>
                    <w:t>工作方案要求</w:t>
                  </w:r>
                </w:p>
              </w:tc>
              <w:tc>
                <w:tcPr>
                  <w:tcW w:w="1581" w:type="pct"/>
                  <w:noWrap w:val="0"/>
                  <w:vAlign w:val="center"/>
                </w:tcPr>
                <w:p w14:paraId="300E79F2">
                  <w:pPr>
                    <w:adjustRightInd w:val="0"/>
                    <w:snapToGrid w:val="0"/>
                    <w:jc w:val="center"/>
                    <w:rPr>
                      <w:b/>
                      <w:bCs/>
                      <w:szCs w:val="21"/>
                    </w:rPr>
                  </w:pPr>
                  <w:r>
                    <w:rPr>
                      <w:rFonts w:hint="eastAsia"/>
                      <w:b/>
                      <w:bCs/>
                      <w:szCs w:val="21"/>
                    </w:rPr>
                    <w:t>本项目情况</w:t>
                  </w:r>
                </w:p>
              </w:tc>
              <w:tc>
                <w:tcPr>
                  <w:tcW w:w="548" w:type="pct"/>
                  <w:noWrap w:val="0"/>
                  <w:vAlign w:val="center"/>
                </w:tcPr>
                <w:p w14:paraId="0B1898F0">
                  <w:pPr>
                    <w:adjustRightInd w:val="0"/>
                    <w:snapToGrid w:val="0"/>
                    <w:jc w:val="center"/>
                    <w:rPr>
                      <w:b/>
                      <w:bCs/>
                      <w:szCs w:val="21"/>
                    </w:rPr>
                  </w:pPr>
                  <w:r>
                    <w:rPr>
                      <w:rFonts w:hint="eastAsia"/>
                      <w:b/>
                      <w:bCs/>
                      <w:szCs w:val="21"/>
                    </w:rPr>
                    <w:t>相符性</w:t>
                  </w:r>
                </w:p>
              </w:tc>
            </w:tr>
            <w:tr w14:paraId="4C56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14:paraId="4ADC9757">
                  <w:pPr>
                    <w:adjustRightInd w:val="0"/>
                    <w:snapToGrid w:val="0"/>
                    <w:jc w:val="center"/>
                    <w:rPr>
                      <w:szCs w:val="21"/>
                    </w:rPr>
                  </w:pPr>
                  <w:r>
                    <w:rPr>
                      <w:szCs w:val="21"/>
                    </w:rPr>
                    <w:t>1</w:t>
                  </w:r>
                </w:p>
              </w:tc>
              <w:tc>
                <w:tcPr>
                  <w:tcW w:w="2495" w:type="pct"/>
                  <w:noWrap w:val="0"/>
                  <w:vAlign w:val="center"/>
                </w:tcPr>
                <w:p w14:paraId="249D3E1C">
                  <w:pPr>
                    <w:adjustRightInd w:val="0"/>
                    <w:snapToGrid w:val="0"/>
                    <w:jc w:val="left"/>
                    <w:rPr>
                      <w:szCs w:val="21"/>
                    </w:rPr>
                  </w:pPr>
                  <w:r>
                    <w:rPr>
                      <w:rFonts w:hint="eastAsia"/>
                      <w:szCs w:val="21"/>
                    </w:rPr>
                    <w:t>加强替代管理。工业涂装、包装印刷、竹木加工、家具制造、汽车修理与维护、鞋和皮革制品制造等重点行业企业，要按照《低挥发性有机物含量原辅材料源头替代技术指引（试行）》要求，开展低VOCs原辅材料和生产方式替代，优化管控台账及档案管理，持续提升环境管理水平。</w:t>
                  </w:r>
                </w:p>
              </w:tc>
              <w:tc>
                <w:tcPr>
                  <w:tcW w:w="1581" w:type="pct"/>
                  <w:noWrap w:val="0"/>
                  <w:vAlign w:val="center"/>
                </w:tcPr>
                <w:p w14:paraId="476942D6">
                  <w:pPr>
                    <w:adjustRightInd w:val="0"/>
                    <w:snapToGrid w:val="0"/>
                    <w:jc w:val="left"/>
                    <w:rPr>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含量水性漆产品，防锈漆即用状态下VOCs含量为176克/升，并建立原辅材料台账</w:t>
                  </w:r>
                </w:p>
              </w:tc>
              <w:tc>
                <w:tcPr>
                  <w:tcW w:w="548" w:type="pct"/>
                  <w:noWrap w:val="0"/>
                  <w:vAlign w:val="center"/>
                </w:tcPr>
                <w:p w14:paraId="2DCC6682">
                  <w:pPr>
                    <w:adjustRightInd w:val="0"/>
                    <w:snapToGrid w:val="0"/>
                    <w:jc w:val="center"/>
                    <w:rPr>
                      <w:szCs w:val="21"/>
                    </w:rPr>
                  </w:pPr>
                  <w:r>
                    <w:rPr>
                      <w:rFonts w:hint="eastAsia"/>
                      <w:szCs w:val="21"/>
                    </w:rPr>
                    <w:t>符合</w:t>
                  </w:r>
                </w:p>
              </w:tc>
            </w:tr>
            <w:tr w14:paraId="1957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14:paraId="1D82855E">
                  <w:pPr>
                    <w:adjustRightInd w:val="0"/>
                    <w:snapToGrid w:val="0"/>
                    <w:jc w:val="center"/>
                    <w:rPr>
                      <w:szCs w:val="21"/>
                    </w:rPr>
                  </w:pPr>
                  <w:r>
                    <w:rPr>
                      <w:rFonts w:hint="eastAsia"/>
                      <w:szCs w:val="21"/>
                    </w:rPr>
                    <w:t>2</w:t>
                  </w:r>
                </w:p>
              </w:tc>
              <w:tc>
                <w:tcPr>
                  <w:tcW w:w="2495" w:type="pct"/>
                  <w:noWrap w:val="0"/>
                  <w:vAlign w:val="center"/>
                </w:tcPr>
                <w:p w14:paraId="74C9DC8E">
                  <w:pPr>
                    <w:adjustRightInd w:val="0"/>
                    <w:snapToGrid w:val="0"/>
                    <w:jc w:val="left"/>
                    <w:rPr>
                      <w:rFonts w:hint="eastAsia"/>
                      <w:szCs w:val="21"/>
                    </w:rPr>
                  </w:pPr>
                  <w:r>
                    <w:rPr>
                      <w:rFonts w:hint="eastAsia"/>
                      <w:szCs w:val="21"/>
                    </w:rPr>
                    <w:t>严格项目准入。禁止建设生产和使用高VOCs含量的溶剂型涂料、油墨、胶黏剂等项目，全省工业涂装、包装印刷等重点行业和涂料、油墨等生产企业的新（改、扩）建项目需满足低（无）VOCs含量限值要求。</w:t>
                  </w:r>
                </w:p>
              </w:tc>
              <w:tc>
                <w:tcPr>
                  <w:tcW w:w="1581" w:type="pct"/>
                  <w:noWrap w:val="0"/>
                  <w:vAlign w:val="center"/>
                </w:tcPr>
                <w:p w14:paraId="4A3A484D">
                  <w:pPr>
                    <w:adjustRightInd w:val="0"/>
                    <w:snapToGrid w:val="0"/>
                    <w:jc w:val="left"/>
                    <w:rPr>
                      <w:rFonts w:hint="eastAsia"/>
                      <w:szCs w:val="21"/>
                    </w:rPr>
                  </w:pPr>
                  <w:r>
                    <w:rPr>
                      <w:rFonts w:hint="eastAsia"/>
                      <w:szCs w:val="21"/>
                    </w:rPr>
                    <w:t>本项目使用的防锈漆为低VOCs含量水性漆产品，防锈漆即用状态下VOCs含量为176克/升，水性漆VOC含量见附件3</w:t>
                  </w:r>
                </w:p>
              </w:tc>
              <w:tc>
                <w:tcPr>
                  <w:tcW w:w="548" w:type="pct"/>
                  <w:noWrap w:val="0"/>
                  <w:vAlign w:val="center"/>
                </w:tcPr>
                <w:p w14:paraId="5DC598D9">
                  <w:pPr>
                    <w:adjustRightInd w:val="0"/>
                    <w:snapToGrid w:val="0"/>
                    <w:jc w:val="center"/>
                    <w:rPr>
                      <w:rFonts w:hint="eastAsia"/>
                      <w:szCs w:val="21"/>
                    </w:rPr>
                  </w:pPr>
                  <w:r>
                    <w:rPr>
                      <w:rFonts w:hint="eastAsia"/>
                      <w:szCs w:val="21"/>
                    </w:rPr>
                    <w:t>符合</w:t>
                  </w:r>
                </w:p>
              </w:tc>
            </w:tr>
          </w:tbl>
          <w:p w14:paraId="3F375CC5">
            <w:pPr>
              <w:adjustRightInd w:val="0"/>
              <w:snapToGrid w:val="0"/>
              <w:spacing w:line="360" w:lineRule="auto"/>
              <w:ind w:firstLine="422" w:firstLineChars="200"/>
              <w:rPr>
                <w:rFonts w:hint="eastAsia"/>
                <w:b/>
                <w:bCs/>
                <w:szCs w:val="21"/>
              </w:rPr>
            </w:pPr>
            <w:r>
              <w:rPr>
                <w:rFonts w:hint="eastAsia"/>
                <w:b/>
                <w:kern w:val="0"/>
                <w:szCs w:val="21"/>
              </w:rPr>
              <w:t>3、</w:t>
            </w:r>
            <w:r>
              <w:rPr>
                <w:rFonts w:hint="eastAsia"/>
                <w:b/>
                <w:bCs/>
                <w:szCs w:val="21"/>
              </w:rPr>
              <w:t>本项目与《</w:t>
            </w:r>
            <w:r>
              <w:rPr>
                <w:b/>
                <w:bCs/>
                <w:szCs w:val="21"/>
              </w:rPr>
              <w:t>2020年挥发性有机物治理攻坚方案</w:t>
            </w:r>
            <w:r>
              <w:rPr>
                <w:rFonts w:hint="eastAsia"/>
                <w:b/>
                <w:bCs/>
                <w:szCs w:val="21"/>
              </w:rPr>
              <w:t>》的相符性分析</w:t>
            </w:r>
          </w:p>
          <w:p w14:paraId="07DB444A">
            <w:pPr>
              <w:adjustRightInd w:val="0"/>
              <w:snapToGrid w:val="0"/>
              <w:spacing w:line="360" w:lineRule="auto"/>
              <w:ind w:firstLine="420" w:firstLineChars="200"/>
              <w:rPr>
                <w:szCs w:val="21"/>
              </w:rPr>
            </w:pPr>
            <w:r>
              <w:rPr>
                <w:rFonts w:hint="eastAsia"/>
                <w:szCs w:val="21"/>
              </w:rPr>
              <w:t>2020年6月23日，生态环境部</w:t>
            </w:r>
            <w:r>
              <w:rPr>
                <w:szCs w:val="21"/>
              </w:rPr>
              <w:t>办公厅印发了</w:t>
            </w:r>
            <w:r>
              <w:rPr>
                <w:rFonts w:hint="eastAsia"/>
                <w:szCs w:val="21"/>
              </w:rPr>
              <w:t>《</w:t>
            </w:r>
            <w:r>
              <w:rPr>
                <w:szCs w:val="21"/>
              </w:rPr>
              <w:t>关于印发《2020年挥发性有机物治理攻坚方案》的通知</w:t>
            </w:r>
            <w:r>
              <w:rPr>
                <w:rFonts w:hint="eastAsia"/>
                <w:szCs w:val="21"/>
              </w:rPr>
              <w:t>》，本项目与之相符性对照情况如下表</w:t>
            </w:r>
            <w:r>
              <w:rPr>
                <w:szCs w:val="21"/>
              </w:rPr>
              <w:t>所示</w:t>
            </w:r>
            <w:r>
              <w:rPr>
                <w:rFonts w:hint="eastAsia"/>
                <w:szCs w:val="21"/>
              </w:rPr>
              <w:t>：</w:t>
            </w:r>
          </w:p>
          <w:p w14:paraId="7E6421AF">
            <w:pPr>
              <w:widowControl/>
              <w:numPr>
                <w:ilvl w:val="0"/>
                <w:numId w:val="2"/>
              </w:numPr>
              <w:jc w:val="center"/>
              <w:rPr>
                <w:b/>
                <w:kern w:val="0"/>
                <w:szCs w:val="21"/>
              </w:rPr>
            </w:pPr>
            <w:r>
              <w:rPr>
                <w:b/>
                <w:kern w:val="0"/>
                <w:szCs w:val="21"/>
              </w:rPr>
              <w:t>本项目与</w:t>
            </w:r>
            <w:r>
              <w:rPr>
                <w:rFonts w:hint="eastAsia"/>
                <w:b/>
                <w:kern w:val="0"/>
                <w:szCs w:val="21"/>
              </w:rPr>
              <w:t>《</w:t>
            </w:r>
            <w:r>
              <w:rPr>
                <w:b/>
                <w:kern w:val="0"/>
                <w:szCs w:val="21"/>
              </w:rPr>
              <w:t>2020年挥发性有机物治理攻坚方案</w:t>
            </w:r>
            <w:r>
              <w:rPr>
                <w:rFonts w:hint="eastAsia"/>
                <w:b/>
                <w:kern w:val="0"/>
                <w:szCs w:val="21"/>
              </w:rPr>
              <w:t>》</w:t>
            </w:r>
            <w:r>
              <w:rPr>
                <w:b/>
                <w:kern w:val="0"/>
                <w:szCs w:val="21"/>
              </w:rPr>
              <w:t>相符性一览表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4481"/>
              <w:gridCol w:w="2570"/>
              <w:gridCol w:w="784"/>
            </w:tblGrid>
            <w:tr w14:paraId="59C7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362" w:type="pct"/>
                  <w:noWrap w:val="0"/>
                  <w:vAlign w:val="center"/>
                </w:tcPr>
                <w:p w14:paraId="73EE95A7">
                  <w:pPr>
                    <w:adjustRightInd w:val="0"/>
                    <w:snapToGrid w:val="0"/>
                    <w:jc w:val="center"/>
                    <w:rPr>
                      <w:rFonts w:hint="eastAsia"/>
                      <w:b/>
                      <w:bCs/>
                      <w:szCs w:val="21"/>
                    </w:rPr>
                  </w:pPr>
                  <w:r>
                    <w:rPr>
                      <w:rFonts w:hint="eastAsia"/>
                      <w:b/>
                      <w:bCs/>
                      <w:szCs w:val="21"/>
                    </w:rPr>
                    <w:t>序号</w:t>
                  </w:r>
                </w:p>
              </w:tc>
              <w:tc>
                <w:tcPr>
                  <w:tcW w:w="2652" w:type="pct"/>
                  <w:noWrap w:val="0"/>
                  <w:vAlign w:val="center"/>
                </w:tcPr>
                <w:p w14:paraId="2B9C3597">
                  <w:pPr>
                    <w:adjustRightInd w:val="0"/>
                    <w:snapToGrid w:val="0"/>
                    <w:jc w:val="center"/>
                    <w:rPr>
                      <w:b/>
                      <w:bCs/>
                      <w:szCs w:val="21"/>
                    </w:rPr>
                  </w:pPr>
                  <w:r>
                    <w:rPr>
                      <w:rFonts w:hint="eastAsia"/>
                      <w:b/>
                      <w:bCs/>
                      <w:szCs w:val="21"/>
                    </w:rPr>
                    <w:t>行动方案要求</w:t>
                  </w:r>
                </w:p>
              </w:tc>
              <w:tc>
                <w:tcPr>
                  <w:tcW w:w="1521" w:type="pct"/>
                  <w:noWrap w:val="0"/>
                  <w:vAlign w:val="center"/>
                </w:tcPr>
                <w:p w14:paraId="5E0EA46E">
                  <w:pPr>
                    <w:adjustRightInd w:val="0"/>
                    <w:snapToGrid w:val="0"/>
                    <w:jc w:val="center"/>
                    <w:rPr>
                      <w:b/>
                      <w:bCs/>
                      <w:szCs w:val="21"/>
                    </w:rPr>
                  </w:pPr>
                  <w:r>
                    <w:rPr>
                      <w:rFonts w:hint="eastAsia"/>
                      <w:b/>
                      <w:bCs/>
                      <w:szCs w:val="21"/>
                    </w:rPr>
                    <w:t>本项目情况</w:t>
                  </w:r>
                </w:p>
              </w:tc>
              <w:tc>
                <w:tcPr>
                  <w:tcW w:w="464" w:type="pct"/>
                  <w:noWrap w:val="0"/>
                  <w:vAlign w:val="center"/>
                </w:tcPr>
                <w:p w14:paraId="162D0159">
                  <w:pPr>
                    <w:adjustRightInd w:val="0"/>
                    <w:snapToGrid w:val="0"/>
                    <w:jc w:val="center"/>
                    <w:rPr>
                      <w:b/>
                      <w:bCs/>
                      <w:szCs w:val="21"/>
                    </w:rPr>
                  </w:pPr>
                  <w:r>
                    <w:rPr>
                      <w:rFonts w:hint="eastAsia"/>
                      <w:b/>
                      <w:bCs/>
                      <w:szCs w:val="21"/>
                    </w:rPr>
                    <w:t>相符性</w:t>
                  </w:r>
                </w:p>
              </w:tc>
            </w:tr>
            <w:tr w14:paraId="1AB6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2" w:type="pct"/>
                  <w:noWrap w:val="0"/>
                  <w:vAlign w:val="center"/>
                </w:tcPr>
                <w:p w14:paraId="0953A97E">
                  <w:pPr>
                    <w:adjustRightInd w:val="0"/>
                    <w:snapToGrid w:val="0"/>
                    <w:jc w:val="center"/>
                    <w:rPr>
                      <w:rFonts w:hint="eastAsia"/>
                      <w:szCs w:val="21"/>
                    </w:rPr>
                  </w:pPr>
                  <w:r>
                    <w:rPr>
                      <w:rFonts w:hint="eastAsia"/>
                      <w:szCs w:val="21"/>
                    </w:rPr>
                    <w:t>1</w:t>
                  </w:r>
                </w:p>
              </w:tc>
              <w:tc>
                <w:tcPr>
                  <w:tcW w:w="2652" w:type="pct"/>
                  <w:noWrap w:val="0"/>
                  <w:vAlign w:val="center"/>
                </w:tcPr>
                <w:p w14:paraId="08CBCD5D">
                  <w:pPr>
                    <w:adjustRightInd w:val="0"/>
                    <w:snapToGrid w:val="0"/>
                    <w:jc w:val="left"/>
                    <w:rPr>
                      <w:szCs w:val="21"/>
                    </w:rPr>
                  </w:pPr>
                  <w:r>
                    <w:rPr>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w:t>
                  </w:r>
                </w:p>
              </w:tc>
              <w:tc>
                <w:tcPr>
                  <w:tcW w:w="1521" w:type="pct"/>
                  <w:noWrap w:val="0"/>
                  <w:vAlign w:val="center"/>
                </w:tcPr>
                <w:p w14:paraId="1DD36469">
                  <w:pPr>
                    <w:adjustRightInd w:val="0"/>
                    <w:snapToGrid w:val="0"/>
                    <w:jc w:val="left"/>
                    <w:rPr>
                      <w:rFonts w:hint="eastAsia"/>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w:t>
                  </w:r>
                  <w:r>
                    <w:rPr>
                      <w:rFonts w:hint="eastAsia"/>
                      <w:szCs w:val="21"/>
                      <w:lang w:eastAsia="zh-CN"/>
                    </w:rPr>
                    <w:t>水性漆</w:t>
                  </w:r>
                  <w:r>
                    <w:rPr>
                      <w:rFonts w:hint="eastAsia"/>
                      <w:szCs w:val="21"/>
                    </w:rPr>
                    <w:t>，并建立原辅材料台账</w:t>
                  </w:r>
                </w:p>
              </w:tc>
              <w:tc>
                <w:tcPr>
                  <w:tcW w:w="464" w:type="pct"/>
                  <w:noWrap w:val="0"/>
                  <w:vAlign w:val="center"/>
                </w:tcPr>
                <w:p w14:paraId="54582D7C">
                  <w:pPr>
                    <w:adjustRightInd w:val="0"/>
                    <w:snapToGrid w:val="0"/>
                    <w:jc w:val="center"/>
                    <w:rPr>
                      <w:rFonts w:hint="eastAsia"/>
                      <w:szCs w:val="21"/>
                    </w:rPr>
                  </w:pPr>
                  <w:r>
                    <w:rPr>
                      <w:rFonts w:hint="eastAsia"/>
                      <w:szCs w:val="21"/>
                    </w:rPr>
                    <w:t>符合</w:t>
                  </w:r>
                </w:p>
              </w:tc>
            </w:tr>
            <w:tr w14:paraId="6E20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62" w:type="pct"/>
                  <w:noWrap w:val="0"/>
                  <w:vAlign w:val="center"/>
                </w:tcPr>
                <w:p w14:paraId="3F48BDF6">
                  <w:pPr>
                    <w:adjustRightInd w:val="0"/>
                    <w:snapToGrid w:val="0"/>
                    <w:jc w:val="center"/>
                    <w:rPr>
                      <w:rFonts w:hint="eastAsia"/>
                      <w:szCs w:val="21"/>
                    </w:rPr>
                  </w:pPr>
                  <w:r>
                    <w:rPr>
                      <w:rFonts w:hint="eastAsia"/>
                      <w:szCs w:val="21"/>
                    </w:rPr>
                    <w:t>2</w:t>
                  </w:r>
                </w:p>
              </w:tc>
              <w:tc>
                <w:tcPr>
                  <w:tcW w:w="2652" w:type="pct"/>
                  <w:noWrap w:val="0"/>
                  <w:vAlign w:val="center"/>
                </w:tcPr>
                <w:p w14:paraId="54B6E8C7">
                  <w:pPr>
                    <w:adjustRightInd w:val="0"/>
                    <w:snapToGrid w:val="0"/>
                    <w:jc w:val="left"/>
                    <w:rPr>
                      <w:szCs w:val="21"/>
                    </w:rPr>
                  </w:pPr>
                  <w:r>
                    <w:rPr>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交有资质的单位处置；处置单位在贮存、清洗、破碎等环节应按要求对VOCs无组织排放废气进行收集、处理。高VOCs含量废水的集输、储存和处理环节，应加盖密闭</w:t>
                  </w:r>
                </w:p>
              </w:tc>
              <w:tc>
                <w:tcPr>
                  <w:tcW w:w="1521" w:type="pct"/>
                  <w:noWrap w:val="0"/>
                  <w:vAlign w:val="center"/>
                </w:tcPr>
                <w:p w14:paraId="48A66163">
                  <w:pPr>
                    <w:adjustRightInd w:val="0"/>
                    <w:snapToGrid w:val="0"/>
                    <w:jc w:val="left"/>
                    <w:rPr>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w:t>
                  </w:r>
                  <w:r>
                    <w:rPr>
                      <w:rFonts w:hint="eastAsia"/>
                      <w:szCs w:val="21"/>
                      <w:lang w:eastAsia="zh-CN"/>
                    </w:rPr>
                    <w:t>水性漆</w:t>
                  </w:r>
                  <w:r>
                    <w:rPr>
                      <w:rFonts w:hint="eastAsia"/>
                      <w:szCs w:val="21"/>
                    </w:rPr>
                    <w:t>，且存储在封闭的原料仓库内，喷漆晾干工序在全封闭喷漆房内进行，喷漆晾干产生的有机废气采用两级活性炭（活性炭纤维+活性炭颗粒）吸附处理，无储罐，废活性炭封闭收集后暂存于危废间，定期交由有资质单位处理</w:t>
                  </w:r>
                </w:p>
              </w:tc>
              <w:tc>
                <w:tcPr>
                  <w:tcW w:w="464" w:type="pct"/>
                  <w:noWrap w:val="0"/>
                  <w:vAlign w:val="center"/>
                </w:tcPr>
                <w:p w14:paraId="28243E2E">
                  <w:pPr>
                    <w:adjustRightInd w:val="0"/>
                    <w:snapToGrid w:val="0"/>
                    <w:jc w:val="center"/>
                    <w:rPr>
                      <w:rFonts w:hint="eastAsia"/>
                      <w:szCs w:val="21"/>
                    </w:rPr>
                  </w:pPr>
                  <w:r>
                    <w:rPr>
                      <w:rFonts w:hint="eastAsia"/>
                      <w:szCs w:val="21"/>
                    </w:rPr>
                    <w:t>符合</w:t>
                  </w:r>
                </w:p>
              </w:tc>
            </w:tr>
            <w:tr w14:paraId="2C57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62" w:type="pct"/>
                  <w:noWrap w:val="0"/>
                  <w:vAlign w:val="center"/>
                </w:tcPr>
                <w:p w14:paraId="33D6120B">
                  <w:pPr>
                    <w:adjustRightInd w:val="0"/>
                    <w:snapToGrid w:val="0"/>
                    <w:jc w:val="center"/>
                    <w:rPr>
                      <w:rFonts w:hint="eastAsia"/>
                      <w:szCs w:val="21"/>
                    </w:rPr>
                  </w:pPr>
                  <w:r>
                    <w:rPr>
                      <w:rFonts w:hint="eastAsia"/>
                      <w:szCs w:val="21"/>
                    </w:rPr>
                    <w:t>3</w:t>
                  </w:r>
                </w:p>
              </w:tc>
              <w:tc>
                <w:tcPr>
                  <w:tcW w:w="2652" w:type="pct"/>
                  <w:noWrap w:val="0"/>
                  <w:vAlign w:val="center"/>
                </w:tcPr>
                <w:p w14:paraId="7A613EEA">
                  <w:pPr>
                    <w:adjustRightInd w:val="0"/>
                    <w:snapToGrid w:val="0"/>
                    <w:jc w:val="left"/>
                    <w:rPr>
                      <w:szCs w:val="21"/>
                    </w:rPr>
                  </w:pPr>
                  <w:r>
                    <w:rPr>
                      <w:szCs w:val="21"/>
                    </w:rPr>
                    <w:t>按照“应收尽收”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w:t>
                  </w:r>
                </w:p>
              </w:tc>
              <w:tc>
                <w:tcPr>
                  <w:tcW w:w="1521" w:type="pct"/>
                  <w:noWrap w:val="0"/>
                  <w:vAlign w:val="center"/>
                </w:tcPr>
                <w:p w14:paraId="5990CA48">
                  <w:pPr>
                    <w:adjustRightInd w:val="0"/>
                    <w:snapToGrid w:val="0"/>
                    <w:jc w:val="left"/>
                    <w:rPr>
                      <w:szCs w:val="21"/>
                    </w:rPr>
                  </w:pPr>
                  <w:r>
                    <w:rPr>
                      <w:rFonts w:hint="eastAsia"/>
                      <w:szCs w:val="21"/>
                    </w:rPr>
                    <w:t>本项目喷漆晾干工序在密闭喷漆房内进行，喷漆晾干产生的有机废气，经负压收集后，经过滤棉+两级活性炭吸附装置处理后，通过一根</w:t>
                  </w:r>
                  <w:r>
                    <w:rPr>
                      <w:rFonts w:hint="eastAsia"/>
                      <w:szCs w:val="21"/>
                      <w:lang w:eastAsia="zh-CN"/>
                    </w:rPr>
                    <w:t>17m</w:t>
                  </w:r>
                  <w:r>
                    <w:rPr>
                      <w:rFonts w:hint="eastAsia"/>
                      <w:szCs w:val="21"/>
                    </w:rPr>
                    <w:t>高DA001排气筒排放。密闭式喷漆房有机废气捕集效率为95%以上，两级活性炭（活性炭纤维+活性炭颗粒）吸附装置处理效率90%。</w:t>
                  </w:r>
                </w:p>
              </w:tc>
              <w:tc>
                <w:tcPr>
                  <w:tcW w:w="464" w:type="pct"/>
                  <w:noWrap w:val="0"/>
                  <w:vAlign w:val="center"/>
                </w:tcPr>
                <w:p w14:paraId="0884E144">
                  <w:pPr>
                    <w:adjustRightInd w:val="0"/>
                    <w:snapToGrid w:val="0"/>
                    <w:jc w:val="center"/>
                    <w:rPr>
                      <w:rFonts w:hint="eastAsia"/>
                      <w:szCs w:val="21"/>
                    </w:rPr>
                  </w:pPr>
                  <w:r>
                    <w:rPr>
                      <w:rFonts w:hint="eastAsia"/>
                      <w:szCs w:val="21"/>
                    </w:rPr>
                    <w:t>符合</w:t>
                  </w:r>
                </w:p>
              </w:tc>
            </w:tr>
          </w:tbl>
          <w:p w14:paraId="7E763579">
            <w:pPr>
              <w:adjustRightInd w:val="0"/>
              <w:snapToGrid w:val="0"/>
              <w:spacing w:line="360" w:lineRule="auto"/>
              <w:ind w:firstLine="482" w:firstLineChars="200"/>
              <w:rPr>
                <w:rFonts w:hint="eastAsia"/>
                <w:b/>
                <w:bCs/>
                <w:sz w:val="24"/>
              </w:rPr>
            </w:pPr>
            <w:r>
              <w:rPr>
                <w:rFonts w:hint="eastAsia"/>
                <w:b/>
                <w:bCs/>
                <w:sz w:val="24"/>
              </w:rPr>
              <w:t>4、本项目与《</w:t>
            </w:r>
            <w:r>
              <w:rPr>
                <w:b/>
                <w:bCs/>
                <w:sz w:val="24"/>
              </w:rPr>
              <w:t>重点行业挥发性有机物综合治理方案</w:t>
            </w:r>
            <w:r>
              <w:rPr>
                <w:rFonts w:hint="eastAsia"/>
                <w:b/>
                <w:bCs/>
                <w:sz w:val="24"/>
              </w:rPr>
              <w:t>》的相符性分析</w:t>
            </w:r>
          </w:p>
          <w:p w14:paraId="5AFF43CE">
            <w:pPr>
              <w:adjustRightInd w:val="0"/>
              <w:snapToGrid w:val="0"/>
              <w:spacing w:line="360" w:lineRule="auto"/>
              <w:ind w:firstLine="480" w:firstLineChars="200"/>
              <w:rPr>
                <w:sz w:val="24"/>
              </w:rPr>
            </w:pPr>
            <w:r>
              <w:rPr>
                <w:rFonts w:hint="eastAsia"/>
                <w:sz w:val="24"/>
              </w:rPr>
              <w:t>2019年6月26日，生态环境部</w:t>
            </w:r>
            <w:r>
              <w:rPr>
                <w:sz w:val="24"/>
              </w:rPr>
              <w:t>办公厅印发了</w:t>
            </w:r>
            <w:r>
              <w:rPr>
                <w:rFonts w:hint="eastAsia"/>
                <w:sz w:val="24"/>
              </w:rPr>
              <w:t>《</w:t>
            </w:r>
            <w:r>
              <w:rPr>
                <w:sz w:val="24"/>
              </w:rPr>
              <w:t>关于印发《重点行业挥发性有机物综合治理方案》的通知</w:t>
            </w:r>
            <w:r>
              <w:rPr>
                <w:rFonts w:hint="eastAsia"/>
                <w:sz w:val="24"/>
              </w:rPr>
              <w:t>》，本项目与之相符性对照情况如下表</w:t>
            </w:r>
            <w:r>
              <w:rPr>
                <w:sz w:val="24"/>
              </w:rPr>
              <w:t>所示</w:t>
            </w:r>
            <w:r>
              <w:rPr>
                <w:rFonts w:hint="eastAsia"/>
                <w:sz w:val="24"/>
              </w:rPr>
              <w:t>：</w:t>
            </w:r>
          </w:p>
          <w:p w14:paraId="087CA125">
            <w:pPr>
              <w:widowControl/>
              <w:numPr>
                <w:ilvl w:val="0"/>
                <w:numId w:val="2"/>
              </w:numPr>
              <w:jc w:val="center"/>
              <w:rPr>
                <w:b/>
                <w:kern w:val="0"/>
                <w:szCs w:val="21"/>
              </w:rPr>
            </w:pPr>
            <w:r>
              <w:rPr>
                <w:rFonts w:hint="eastAsia"/>
                <w:b/>
                <w:kern w:val="0"/>
                <w:szCs w:val="21"/>
              </w:rPr>
              <w:t>《</w:t>
            </w:r>
            <w:r>
              <w:rPr>
                <w:b/>
                <w:bCs/>
                <w:szCs w:val="21"/>
              </w:rPr>
              <w:t>重点行业挥发性有机物综合治理方案</w:t>
            </w:r>
            <w:r>
              <w:rPr>
                <w:rFonts w:hint="eastAsia"/>
                <w:b/>
                <w:kern w:val="0"/>
                <w:szCs w:val="21"/>
              </w:rPr>
              <w:t>》</w:t>
            </w:r>
            <w:r>
              <w:rPr>
                <w:b/>
                <w:kern w:val="0"/>
                <w:szCs w:val="21"/>
              </w:rPr>
              <w:t>相符性一览表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4481"/>
              <w:gridCol w:w="2570"/>
              <w:gridCol w:w="784"/>
            </w:tblGrid>
            <w:tr w14:paraId="0E12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362" w:type="pct"/>
                  <w:noWrap w:val="0"/>
                  <w:vAlign w:val="center"/>
                </w:tcPr>
                <w:p w14:paraId="2EBF8E28">
                  <w:pPr>
                    <w:adjustRightInd w:val="0"/>
                    <w:snapToGrid w:val="0"/>
                    <w:jc w:val="center"/>
                    <w:rPr>
                      <w:rFonts w:hint="eastAsia"/>
                      <w:b/>
                      <w:bCs/>
                      <w:szCs w:val="21"/>
                    </w:rPr>
                  </w:pPr>
                  <w:r>
                    <w:rPr>
                      <w:rFonts w:hint="eastAsia"/>
                      <w:b/>
                      <w:bCs/>
                      <w:szCs w:val="21"/>
                    </w:rPr>
                    <w:t>序号</w:t>
                  </w:r>
                </w:p>
              </w:tc>
              <w:tc>
                <w:tcPr>
                  <w:tcW w:w="2652" w:type="pct"/>
                  <w:noWrap w:val="0"/>
                  <w:vAlign w:val="center"/>
                </w:tcPr>
                <w:p w14:paraId="4452B6EA">
                  <w:pPr>
                    <w:adjustRightInd w:val="0"/>
                    <w:snapToGrid w:val="0"/>
                    <w:jc w:val="center"/>
                    <w:rPr>
                      <w:b/>
                      <w:bCs/>
                      <w:szCs w:val="21"/>
                    </w:rPr>
                  </w:pPr>
                  <w:r>
                    <w:rPr>
                      <w:rFonts w:hint="eastAsia"/>
                      <w:b/>
                      <w:bCs/>
                      <w:szCs w:val="21"/>
                    </w:rPr>
                    <w:t>行动方案要求</w:t>
                  </w:r>
                </w:p>
              </w:tc>
              <w:tc>
                <w:tcPr>
                  <w:tcW w:w="1521" w:type="pct"/>
                  <w:noWrap w:val="0"/>
                  <w:vAlign w:val="center"/>
                </w:tcPr>
                <w:p w14:paraId="1EED5AB1">
                  <w:pPr>
                    <w:adjustRightInd w:val="0"/>
                    <w:snapToGrid w:val="0"/>
                    <w:jc w:val="center"/>
                    <w:rPr>
                      <w:b/>
                      <w:bCs/>
                      <w:szCs w:val="21"/>
                    </w:rPr>
                  </w:pPr>
                  <w:r>
                    <w:rPr>
                      <w:rFonts w:hint="eastAsia"/>
                      <w:b/>
                      <w:bCs/>
                      <w:szCs w:val="21"/>
                    </w:rPr>
                    <w:t>本项目情况</w:t>
                  </w:r>
                </w:p>
              </w:tc>
              <w:tc>
                <w:tcPr>
                  <w:tcW w:w="464" w:type="pct"/>
                  <w:noWrap w:val="0"/>
                  <w:vAlign w:val="center"/>
                </w:tcPr>
                <w:p w14:paraId="2106EE96">
                  <w:pPr>
                    <w:adjustRightInd w:val="0"/>
                    <w:snapToGrid w:val="0"/>
                    <w:jc w:val="center"/>
                    <w:rPr>
                      <w:b/>
                      <w:bCs/>
                      <w:szCs w:val="21"/>
                    </w:rPr>
                  </w:pPr>
                  <w:r>
                    <w:rPr>
                      <w:rFonts w:hint="eastAsia"/>
                      <w:b/>
                      <w:bCs/>
                      <w:szCs w:val="21"/>
                    </w:rPr>
                    <w:t>相符性</w:t>
                  </w:r>
                </w:p>
              </w:tc>
            </w:tr>
            <w:tr w14:paraId="04AD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2" w:type="pct"/>
                  <w:noWrap w:val="0"/>
                  <w:vAlign w:val="center"/>
                </w:tcPr>
                <w:p w14:paraId="47CEDB4F">
                  <w:pPr>
                    <w:adjustRightInd w:val="0"/>
                    <w:snapToGrid w:val="0"/>
                    <w:jc w:val="center"/>
                    <w:rPr>
                      <w:rFonts w:hint="eastAsia"/>
                      <w:szCs w:val="21"/>
                    </w:rPr>
                  </w:pPr>
                  <w:r>
                    <w:rPr>
                      <w:rFonts w:hint="eastAsia"/>
                      <w:szCs w:val="21"/>
                    </w:rPr>
                    <w:t>1</w:t>
                  </w:r>
                </w:p>
              </w:tc>
              <w:tc>
                <w:tcPr>
                  <w:tcW w:w="2652" w:type="pct"/>
                  <w:noWrap w:val="0"/>
                  <w:vAlign w:val="center"/>
                </w:tcPr>
                <w:p w14:paraId="6DF13F6B">
                  <w:pPr>
                    <w:adjustRightInd w:val="0"/>
                    <w:snapToGrid w:val="0"/>
                    <w:jc w:val="left"/>
                    <w:rPr>
                      <w:szCs w:val="21"/>
                    </w:rPr>
                  </w:pPr>
                  <w:r>
                    <w:rPr>
                      <w:szCs w:val="21"/>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21" w:type="pct"/>
                  <w:noWrap w:val="0"/>
                  <w:vAlign w:val="center"/>
                </w:tcPr>
                <w:p w14:paraId="16B26145">
                  <w:pPr>
                    <w:adjustRightInd w:val="0"/>
                    <w:snapToGrid w:val="0"/>
                    <w:jc w:val="left"/>
                    <w:rPr>
                      <w:rFonts w:hint="eastAsia"/>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w:t>
                  </w:r>
                  <w:r>
                    <w:rPr>
                      <w:rFonts w:hint="eastAsia"/>
                      <w:szCs w:val="21"/>
                      <w:lang w:eastAsia="zh-CN"/>
                    </w:rPr>
                    <w:t>水性漆</w:t>
                  </w:r>
                  <w:r>
                    <w:rPr>
                      <w:rFonts w:hint="eastAsia"/>
                      <w:szCs w:val="21"/>
                    </w:rPr>
                    <w:t>，防锈漆即用状态下</w:t>
                  </w:r>
                  <w:r>
                    <w:rPr>
                      <w:szCs w:val="21"/>
                    </w:rPr>
                    <w:t>VOCs</w:t>
                  </w:r>
                  <w:r>
                    <w:rPr>
                      <w:rFonts w:hint="eastAsia"/>
                      <w:szCs w:val="21"/>
                    </w:rPr>
                    <w:t>含量为176克</w:t>
                  </w:r>
                  <w:r>
                    <w:rPr>
                      <w:szCs w:val="21"/>
                    </w:rPr>
                    <w:t>/</w:t>
                  </w:r>
                  <w:r>
                    <w:rPr>
                      <w:rFonts w:hint="eastAsia"/>
                      <w:szCs w:val="21"/>
                    </w:rPr>
                    <w:t>升</w:t>
                  </w:r>
                </w:p>
              </w:tc>
              <w:tc>
                <w:tcPr>
                  <w:tcW w:w="464" w:type="pct"/>
                  <w:noWrap w:val="0"/>
                  <w:vAlign w:val="center"/>
                </w:tcPr>
                <w:p w14:paraId="0A9C9BE0">
                  <w:pPr>
                    <w:adjustRightInd w:val="0"/>
                    <w:snapToGrid w:val="0"/>
                    <w:jc w:val="center"/>
                    <w:rPr>
                      <w:rFonts w:hint="eastAsia"/>
                      <w:szCs w:val="21"/>
                    </w:rPr>
                  </w:pPr>
                  <w:r>
                    <w:rPr>
                      <w:rFonts w:hint="eastAsia"/>
                      <w:szCs w:val="21"/>
                    </w:rPr>
                    <w:t>符合</w:t>
                  </w:r>
                </w:p>
              </w:tc>
            </w:tr>
            <w:tr w14:paraId="0F04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2" w:type="pct"/>
                  <w:noWrap w:val="0"/>
                  <w:vAlign w:val="center"/>
                </w:tcPr>
                <w:p w14:paraId="66DA91CF">
                  <w:pPr>
                    <w:adjustRightInd w:val="0"/>
                    <w:snapToGrid w:val="0"/>
                    <w:jc w:val="center"/>
                    <w:rPr>
                      <w:rFonts w:hint="eastAsia"/>
                      <w:szCs w:val="21"/>
                    </w:rPr>
                  </w:pPr>
                  <w:r>
                    <w:rPr>
                      <w:rFonts w:hint="eastAsia"/>
                      <w:szCs w:val="21"/>
                    </w:rPr>
                    <w:t>2</w:t>
                  </w:r>
                </w:p>
              </w:tc>
              <w:tc>
                <w:tcPr>
                  <w:tcW w:w="2652" w:type="pct"/>
                  <w:noWrap w:val="0"/>
                  <w:vAlign w:val="center"/>
                </w:tcPr>
                <w:p w14:paraId="2C049268">
                  <w:pPr>
                    <w:adjustRightInd w:val="0"/>
                    <w:snapToGrid w:val="0"/>
                    <w:jc w:val="left"/>
                    <w:rPr>
                      <w:szCs w:val="21"/>
                    </w:rPr>
                  </w:pPr>
                  <w:r>
                    <w:rPr>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工业涂装行业重点推进使用紧凑式涂装工艺，推广采用辊涂、静电喷涂、高压无气喷涂、空气辅助无气喷涂、热喷涂等涂装技术，鼓励企业采用自动化、智能化喷涂设备替代人工喷涂，减少使用空气喷涂技术。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1521" w:type="pct"/>
                  <w:noWrap w:val="0"/>
                  <w:vAlign w:val="center"/>
                </w:tcPr>
                <w:p w14:paraId="6BEA99EA">
                  <w:pPr>
                    <w:adjustRightInd w:val="0"/>
                    <w:snapToGrid w:val="0"/>
                    <w:jc w:val="left"/>
                    <w:rPr>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w:t>
                  </w:r>
                  <w:r>
                    <w:rPr>
                      <w:rFonts w:hint="eastAsia"/>
                      <w:szCs w:val="21"/>
                      <w:lang w:eastAsia="zh-CN"/>
                    </w:rPr>
                    <w:t>水性漆</w:t>
                  </w:r>
                  <w:r>
                    <w:rPr>
                      <w:rFonts w:hint="eastAsia"/>
                      <w:szCs w:val="21"/>
                    </w:rPr>
                    <w:t>，且存储在封闭的原料仓库内，喷漆晾干工序在全封闭喷漆房内进行，喷漆晾干产生的有机废气采用两级活性炭（活性炭纤维+活性炭颗粒）吸附处理，无储罐，废活性炭封闭收集后暂存于危废间，定期交由有资质单位处理</w:t>
                  </w:r>
                </w:p>
              </w:tc>
              <w:tc>
                <w:tcPr>
                  <w:tcW w:w="464" w:type="pct"/>
                  <w:noWrap w:val="0"/>
                  <w:vAlign w:val="center"/>
                </w:tcPr>
                <w:p w14:paraId="09906202">
                  <w:pPr>
                    <w:adjustRightInd w:val="0"/>
                    <w:snapToGrid w:val="0"/>
                    <w:jc w:val="center"/>
                    <w:rPr>
                      <w:rFonts w:hint="eastAsia"/>
                      <w:szCs w:val="21"/>
                    </w:rPr>
                  </w:pPr>
                  <w:r>
                    <w:rPr>
                      <w:rFonts w:hint="eastAsia"/>
                      <w:szCs w:val="21"/>
                    </w:rPr>
                    <w:t>符合</w:t>
                  </w:r>
                </w:p>
              </w:tc>
            </w:tr>
            <w:tr w14:paraId="4ECE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62" w:type="pct"/>
                  <w:noWrap w:val="0"/>
                  <w:vAlign w:val="center"/>
                </w:tcPr>
                <w:p w14:paraId="13ED7C5A">
                  <w:pPr>
                    <w:adjustRightInd w:val="0"/>
                    <w:snapToGrid w:val="0"/>
                    <w:jc w:val="center"/>
                    <w:rPr>
                      <w:rFonts w:hint="eastAsia"/>
                      <w:szCs w:val="21"/>
                    </w:rPr>
                  </w:pPr>
                  <w:r>
                    <w:rPr>
                      <w:rFonts w:hint="eastAsia"/>
                      <w:szCs w:val="21"/>
                    </w:rPr>
                    <w:t>3</w:t>
                  </w:r>
                </w:p>
              </w:tc>
              <w:tc>
                <w:tcPr>
                  <w:tcW w:w="2652" w:type="pct"/>
                  <w:noWrap w:val="0"/>
                  <w:vAlign w:val="center"/>
                </w:tcPr>
                <w:p w14:paraId="1E326B43">
                  <w:pPr>
                    <w:adjustRightInd w:val="0"/>
                    <w:snapToGrid w:val="0"/>
                    <w:jc w:val="left"/>
                    <w:rPr>
                      <w:szCs w:val="21"/>
                    </w:rPr>
                  </w:pPr>
                  <w:r>
                    <w:rPr>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521" w:type="pct"/>
                  <w:noWrap w:val="0"/>
                  <w:vAlign w:val="center"/>
                </w:tcPr>
                <w:p w14:paraId="06899615">
                  <w:pPr>
                    <w:adjustRightInd w:val="0"/>
                    <w:snapToGrid w:val="0"/>
                    <w:jc w:val="left"/>
                    <w:rPr>
                      <w:szCs w:val="21"/>
                    </w:rPr>
                  </w:pPr>
                  <w:r>
                    <w:rPr>
                      <w:rFonts w:hint="eastAsia"/>
                      <w:szCs w:val="21"/>
                    </w:rPr>
                    <w:t>本项目喷漆晾干工序在密闭喷漆房内进行，喷漆晾干产生的有机废气收集后采用两级活性炭（活性炭纤维+活性炭颗粒）吸附设施处理</w:t>
                  </w:r>
                </w:p>
              </w:tc>
              <w:tc>
                <w:tcPr>
                  <w:tcW w:w="464" w:type="pct"/>
                  <w:noWrap w:val="0"/>
                  <w:vAlign w:val="center"/>
                </w:tcPr>
                <w:p w14:paraId="233D0B0F">
                  <w:pPr>
                    <w:adjustRightInd w:val="0"/>
                    <w:snapToGrid w:val="0"/>
                    <w:jc w:val="center"/>
                    <w:rPr>
                      <w:rFonts w:hint="eastAsia"/>
                      <w:szCs w:val="21"/>
                    </w:rPr>
                  </w:pPr>
                  <w:r>
                    <w:rPr>
                      <w:rFonts w:hint="eastAsia"/>
                      <w:szCs w:val="21"/>
                    </w:rPr>
                    <w:t>符合</w:t>
                  </w:r>
                </w:p>
              </w:tc>
            </w:tr>
          </w:tbl>
          <w:p w14:paraId="2BDBCBC2">
            <w:pPr>
              <w:adjustRightInd w:val="0"/>
              <w:snapToGrid w:val="0"/>
              <w:spacing w:line="360" w:lineRule="auto"/>
              <w:ind w:firstLine="482" w:firstLineChars="200"/>
              <w:rPr>
                <w:b/>
                <w:bCs/>
                <w:sz w:val="24"/>
              </w:rPr>
            </w:pPr>
            <w:r>
              <w:rPr>
                <w:rFonts w:hint="eastAsia"/>
                <w:b/>
                <w:bCs/>
                <w:sz w:val="24"/>
              </w:rPr>
              <w:t>5、本项目与</w:t>
            </w:r>
            <w:r>
              <w:rPr>
                <w:b/>
                <w:bCs/>
                <w:sz w:val="24"/>
              </w:rPr>
              <w:t>《</w:t>
            </w:r>
            <w:r>
              <w:rPr>
                <w:rFonts w:hint="eastAsia"/>
                <w:b/>
                <w:bCs/>
                <w:sz w:val="24"/>
              </w:rPr>
              <w:t>V</w:t>
            </w:r>
            <w:r>
              <w:rPr>
                <w:b/>
                <w:bCs/>
                <w:sz w:val="24"/>
              </w:rPr>
              <w:t>OCs环境整治专项行动方案》的相符性分析</w:t>
            </w:r>
          </w:p>
          <w:p w14:paraId="46C74293">
            <w:pPr>
              <w:adjustRightInd w:val="0"/>
              <w:snapToGrid w:val="0"/>
              <w:spacing w:line="360" w:lineRule="auto"/>
              <w:ind w:firstLine="480" w:firstLineChars="200"/>
              <w:rPr>
                <w:sz w:val="24"/>
              </w:rPr>
            </w:pPr>
            <w:r>
              <w:rPr>
                <w:rFonts w:hint="eastAsia"/>
                <w:sz w:val="24"/>
              </w:rPr>
              <w:t>201</w:t>
            </w:r>
            <w:r>
              <w:rPr>
                <w:sz w:val="24"/>
              </w:rPr>
              <w:t>9年2</w:t>
            </w:r>
            <w:r>
              <w:rPr>
                <w:rFonts w:hint="eastAsia"/>
                <w:sz w:val="24"/>
              </w:rPr>
              <w:t>月，淮北市环境保护局发布</w:t>
            </w:r>
            <w:r>
              <w:rPr>
                <w:sz w:val="24"/>
              </w:rPr>
              <w:t>了</w:t>
            </w:r>
            <w:r>
              <w:rPr>
                <w:rFonts w:hint="eastAsia"/>
                <w:sz w:val="24"/>
              </w:rPr>
              <w:t>《V</w:t>
            </w:r>
            <w:r>
              <w:rPr>
                <w:sz w:val="24"/>
              </w:rPr>
              <w:t>OCs环境整治专项行动方案</w:t>
            </w:r>
            <w:r>
              <w:rPr>
                <w:rFonts w:hint="eastAsia"/>
                <w:sz w:val="24"/>
              </w:rPr>
              <w:t>》，本项目与之相符性对照情况如下表</w:t>
            </w:r>
            <w:r>
              <w:rPr>
                <w:sz w:val="24"/>
              </w:rPr>
              <w:t>所示</w:t>
            </w:r>
            <w:r>
              <w:rPr>
                <w:rFonts w:hint="eastAsia"/>
                <w:sz w:val="24"/>
              </w:rPr>
              <w:t>：</w:t>
            </w:r>
          </w:p>
          <w:p w14:paraId="77A6E0B5">
            <w:pPr>
              <w:widowControl/>
              <w:numPr>
                <w:ilvl w:val="0"/>
                <w:numId w:val="2"/>
              </w:numPr>
              <w:jc w:val="center"/>
              <w:rPr>
                <w:rFonts w:hint="eastAsia"/>
                <w:b/>
                <w:kern w:val="0"/>
                <w:szCs w:val="21"/>
              </w:rPr>
            </w:pPr>
            <w:r>
              <w:rPr>
                <w:rFonts w:hint="eastAsia"/>
                <w:b/>
                <w:kern w:val="0"/>
                <w:szCs w:val="21"/>
              </w:rPr>
              <w:t>《VOCs环境整治专项行动方案》相符性一览表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828"/>
              <w:gridCol w:w="2094"/>
              <w:gridCol w:w="871"/>
            </w:tblGrid>
            <w:tr w14:paraId="14B3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noWrap w:val="0"/>
                  <w:vAlign w:val="center"/>
                </w:tcPr>
                <w:p w14:paraId="78C0C96C">
                  <w:pPr>
                    <w:adjustRightInd w:val="0"/>
                    <w:snapToGrid w:val="0"/>
                    <w:jc w:val="center"/>
                    <w:rPr>
                      <w:b/>
                      <w:bCs/>
                      <w:szCs w:val="21"/>
                    </w:rPr>
                  </w:pPr>
                  <w:r>
                    <w:rPr>
                      <w:rFonts w:hint="eastAsia"/>
                      <w:b/>
                      <w:bCs/>
                      <w:szCs w:val="21"/>
                    </w:rPr>
                    <w:t>序号</w:t>
                  </w:r>
                </w:p>
              </w:tc>
              <w:tc>
                <w:tcPr>
                  <w:tcW w:w="2859" w:type="pct"/>
                  <w:noWrap w:val="0"/>
                  <w:vAlign w:val="center"/>
                </w:tcPr>
                <w:p w14:paraId="6D4A2C81">
                  <w:pPr>
                    <w:adjustRightInd w:val="0"/>
                    <w:snapToGrid w:val="0"/>
                    <w:jc w:val="center"/>
                    <w:rPr>
                      <w:b/>
                      <w:bCs/>
                      <w:szCs w:val="21"/>
                    </w:rPr>
                  </w:pPr>
                  <w:r>
                    <w:rPr>
                      <w:rFonts w:hint="eastAsia"/>
                      <w:b/>
                      <w:bCs/>
                      <w:szCs w:val="21"/>
                    </w:rPr>
                    <w:t>行动方案要求</w:t>
                  </w:r>
                </w:p>
              </w:tc>
              <w:tc>
                <w:tcPr>
                  <w:tcW w:w="1240" w:type="pct"/>
                  <w:noWrap w:val="0"/>
                  <w:vAlign w:val="center"/>
                </w:tcPr>
                <w:p w14:paraId="550FA277">
                  <w:pPr>
                    <w:adjustRightInd w:val="0"/>
                    <w:snapToGrid w:val="0"/>
                    <w:jc w:val="center"/>
                    <w:rPr>
                      <w:b/>
                      <w:bCs/>
                      <w:szCs w:val="21"/>
                    </w:rPr>
                  </w:pPr>
                  <w:r>
                    <w:rPr>
                      <w:rFonts w:hint="eastAsia"/>
                      <w:b/>
                      <w:bCs/>
                      <w:szCs w:val="21"/>
                    </w:rPr>
                    <w:t>本项目情况</w:t>
                  </w:r>
                </w:p>
              </w:tc>
              <w:tc>
                <w:tcPr>
                  <w:tcW w:w="515" w:type="pct"/>
                  <w:noWrap w:val="0"/>
                  <w:vAlign w:val="center"/>
                </w:tcPr>
                <w:p w14:paraId="46B0B313">
                  <w:pPr>
                    <w:adjustRightInd w:val="0"/>
                    <w:snapToGrid w:val="0"/>
                    <w:jc w:val="center"/>
                    <w:rPr>
                      <w:b/>
                      <w:bCs/>
                      <w:szCs w:val="21"/>
                    </w:rPr>
                  </w:pPr>
                  <w:r>
                    <w:rPr>
                      <w:rFonts w:hint="eastAsia"/>
                      <w:b/>
                      <w:bCs/>
                      <w:szCs w:val="21"/>
                    </w:rPr>
                    <w:t>相符性</w:t>
                  </w:r>
                </w:p>
              </w:tc>
            </w:tr>
            <w:tr w14:paraId="5D69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noWrap w:val="0"/>
                  <w:vAlign w:val="center"/>
                </w:tcPr>
                <w:p w14:paraId="33C11B15">
                  <w:pPr>
                    <w:adjustRightInd w:val="0"/>
                    <w:snapToGrid w:val="0"/>
                    <w:jc w:val="center"/>
                    <w:rPr>
                      <w:szCs w:val="21"/>
                    </w:rPr>
                  </w:pPr>
                  <w:r>
                    <w:rPr>
                      <w:rFonts w:hint="eastAsia"/>
                      <w:szCs w:val="21"/>
                    </w:rPr>
                    <w:t>1</w:t>
                  </w:r>
                </w:p>
              </w:tc>
              <w:tc>
                <w:tcPr>
                  <w:tcW w:w="2859" w:type="pct"/>
                  <w:noWrap w:val="0"/>
                  <w:vAlign w:val="center"/>
                </w:tcPr>
                <w:p w14:paraId="6D75C127">
                  <w:pPr>
                    <w:adjustRightInd w:val="0"/>
                    <w:snapToGrid w:val="0"/>
                    <w:jc w:val="left"/>
                    <w:rPr>
                      <w:szCs w:val="21"/>
                    </w:rPr>
                  </w:pPr>
                  <w:r>
                    <w:rPr>
                      <w:rFonts w:hint="eastAsia"/>
                      <w:szCs w:val="21"/>
                    </w:rPr>
                    <w:t>鼓励企业采用多种适用技术组合工艺，提高VOCs治理效率；低温等离子体技术、光催化技术仅适用于处理低浓度有机废气或臭气；采用活性炭吸附技术应配备脱附工艺或定期更换活性炭</w:t>
                  </w:r>
                </w:p>
              </w:tc>
              <w:tc>
                <w:tcPr>
                  <w:tcW w:w="1240" w:type="pct"/>
                  <w:noWrap w:val="0"/>
                  <w:vAlign w:val="center"/>
                </w:tcPr>
                <w:p w14:paraId="0FDC7269">
                  <w:pPr>
                    <w:adjustRightInd w:val="0"/>
                    <w:snapToGrid w:val="0"/>
                    <w:jc w:val="left"/>
                    <w:rPr>
                      <w:rFonts w:hint="eastAsia"/>
                      <w:szCs w:val="21"/>
                    </w:rPr>
                  </w:pPr>
                  <w:r>
                    <w:rPr>
                      <w:rFonts w:hint="eastAsia"/>
                      <w:szCs w:val="21"/>
                    </w:rPr>
                    <w:t>本项目喷漆晾干产生的</w:t>
                  </w:r>
                  <w:r>
                    <w:rPr>
                      <w:szCs w:val="21"/>
                    </w:rPr>
                    <w:t>废气采用</w:t>
                  </w:r>
                  <w:r>
                    <w:rPr>
                      <w:rFonts w:hint="eastAsia"/>
                      <w:szCs w:val="21"/>
                    </w:rPr>
                    <w:t>两级</w:t>
                  </w:r>
                  <w:r>
                    <w:rPr>
                      <w:szCs w:val="21"/>
                    </w:rPr>
                    <w:t>活性炭</w:t>
                  </w:r>
                  <w:r>
                    <w:rPr>
                      <w:rFonts w:hint="eastAsia"/>
                      <w:szCs w:val="21"/>
                    </w:rPr>
                    <w:t>（活性炭纤维+活性炭颗粒）</w:t>
                  </w:r>
                  <w:r>
                    <w:rPr>
                      <w:szCs w:val="21"/>
                    </w:rPr>
                    <w:t>处理</w:t>
                  </w:r>
                </w:p>
              </w:tc>
              <w:tc>
                <w:tcPr>
                  <w:tcW w:w="515" w:type="pct"/>
                  <w:noWrap w:val="0"/>
                  <w:vAlign w:val="center"/>
                </w:tcPr>
                <w:p w14:paraId="791D5DB1">
                  <w:pPr>
                    <w:adjustRightInd w:val="0"/>
                    <w:snapToGrid w:val="0"/>
                    <w:jc w:val="center"/>
                    <w:rPr>
                      <w:szCs w:val="21"/>
                    </w:rPr>
                  </w:pPr>
                  <w:r>
                    <w:rPr>
                      <w:rFonts w:hint="eastAsia"/>
                      <w:szCs w:val="21"/>
                    </w:rPr>
                    <w:t>符合</w:t>
                  </w:r>
                </w:p>
              </w:tc>
            </w:tr>
            <w:tr w14:paraId="33F5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noWrap w:val="0"/>
                  <w:vAlign w:val="center"/>
                </w:tcPr>
                <w:p w14:paraId="1F247F01">
                  <w:pPr>
                    <w:adjustRightInd w:val="0"/>
                    <w:snapToGrid w:val="0"/>
                    <w:jc w:val="center"/>
                    <w:rPr>
                      <w:szCs w:val="21"/>
                    </w:rPr>
                  </w:pPr>
                  <w:r>
                    <w:rPr>
                      <w:rFonts w:hint="eastAsia"/>
                      <w:szCs w:val="21"/>
                    </w:rPr>
                    <w:t>2</w:t>
                  </w:r>
                </w:p>
              </w:tc>
              <w:tc>
                <w:tcPr>
                  <w:tcW w:w="2859" w:type="pct"/>
                  <w:noWrap w:val="0"/>
                  <w:vAlign w:val="center"/>
                </w:tcPr>
                <w:p w14:paraId="1CEC6B2F">
                  <w:pPr>
                    <w:adjustRightInd w:val="0"/>
                    <w:snapToGrid w:val="0"/>
                    <w:jc w:val="left"/>
                    <w:rPr>
                      <w:szCs w:val="21"/>
                    </w:rPr>
                  </w:pPr>
                  <w:r>
                    <w:rPr>
                      <w:rFonts w:hint="eastAsia"/>
                      <w:szCs w:val="21"/>
                    </w:rPr>
                    <w:t>禁止（改、扩）建涉高VOCs含量溶剂型涂料、油墨、胶黏剂等生产和使用的项目</w:t>
                  </w:r>
                </w:p>
              </w:tc>
              <w:tc>
                <w:tcPr>
                  <w:tcW w:w="1240" w:type="pct"/>
                  <w:noWrap w:val="0"/>
                  <w:vAlign w:val="center"/>
                </w:tcPr>
                <w:p w14:paraId="4F7B01FD">
                  <w:pPr>
                    <w:adjustRightInd w:val="0"/>
                    <w:snapToGrid w:val="0"/>
                    <w:jc w:val="left"/>
                    <w:rPr>
                      <w:rFonts w:hint="eastAsia"/>
                      <w:szCs w:val="21"/>
                    </w:rPr>
                  </w:pPr>
                  <w:r>
                    <w:rPr>
                      <w:rFonts w:hint="eastAsia"/>
                      <w:szCs w:val="21"/>
                    </w:rPr>
                    <w:t>本项目</w:t>
                  </w:r>
                  <w:r>
                    <w:rPr>
                      <w:szCs w:val="21"/>
                    </w:rPr>
                    <w:t>使用</w:t>
                  </w:r>
                  <w:r>
                    <w:rPr>
                      <w:rFonts w:hint="eastAsia"/>
                      <w:szCs w:val="21"/>
                    </w:rPr>
                    <w:t>低VOCs含量的防锈漆</w:t>
                  </w:r>
                </w:p>
              </w:tc>
              <w:tc>
                <w:tcPr>
                  <w:tcW w:w="515" w:type="pct"/>
                  <w:noWrap w:val="0"/>
                  <w:vAlign w:val="center"/>
                </w:tcPr>
                <w:p w14:paraId="59AD9326">
                  <w:pPr>
                    <w:adjustRightInd w:val="0"/>
                    <w:snapToGrid w:val="0"/>
                    <w:jc w:val="center"/>
                    <w:rPr>
                      <w:szCs w:val="21"/>
                    </w:rPr>
                  </w:pPr>
                  <w:r>
                    <w:rPr>
                      <w:rFonts w:hint="eastAsia"/>
                      <w:szCs w:val="21"/>
                    </w:rPr>
                    <w:t>符合</w:t>
                  </w:r>
                </w:p>
              </w:tc>
            </w:tr>
            <w:tr w14:paraId="1176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noWrap w:val="0"/>
                  <w:vAlign w:val="center"/>
                </w:tcPr>
                <w:p w14:paraId="415B9EFB">
                  <w:pPr>
                    <w:adjustRightInd w:val="0"/>
                    <w:snapToGrid w:val="0"/>
                    <w:jc w:val="center"/>
                    <w:rPr>
                      <w:szCs w:val="21"/>
                    </w:rPr>
                  </w:pPr>
                  <w:r>
                    <w:rPr>
                      <w:rFonts w:hint="eastAsia"/>
                      <w:szCs w:val="21"/>
                    </w:rPr>
                    <w:t>3</w:t>
                  </w:r>
                </w:p>
              </w:tc>
              <w:tc>
                <w:tcPr>
                  <w:tcW w:w="2859" w:type="pct"/>
                  <w:noWrap w:val="0"/>
                  <w:vAlign w:val="center"/>
                </w:tcPr>
                <w:p w14:paraId="6473C278">
                  <w:pPr>
                    <w:adjustRightInd w:val="0"/>
                    <w:snapToGrid w:val="0"/>
                    <w:jc w:val="left"/>
                    <w:rPr>
                      <w:szCs w:val="21"/>
                    </w:rPr>
                  </w:pPr>
                  <w:r>
                    <w:rPr>
                      <w:rFonts w:hint="eastAsia"/>
                      <w:szCs w:val="21"/>
                    </w:rPr>
                    <w:t>积极推进工业、建筑、汽修等行业使用低（无）VOCs含量原辅材料和产品。汽车原厂涂料、木器涂料、工程机械涂料、工业防腐涂料即用状态下的VOCs含量限值分别不高于580、600、550、550克/升；汽车修补漆全部使用即用状态下VOCs含量不高于540克/升的涂料，中，底色漆和面漆不高于420克/升</w:t>
                  </w:r>
                </w:p>
              </w:tc>
              <w:tc>
                <w:tcPr>
                  <w:tcW w:w="1240" w:type="pct"/>
                  <w:noWrap w:val="0"/>
                  <w:vAlign w:val="center"/>
                </w:tcPr>
                <w:p w14:paraId="202B5EA8">
                  <w:pPr>
                    <w:adjustRightInd w:val="0"/>
                    <w:snapToGrid w:val="0"/>
                    <w:jc w:val="left"/>
                    <w:rPr>
                      <w:szCs w:val="21"/>
                    </w:rPr>
                  </w:pPr>
                  <w:r>
                    <w:rPr>
                      <w:rFonts w:hint="eastAsia"/>
                      <w:szCs w:val="21"/>
                    </w:rPr>
                    <w:t>本项目使用</w:t>
                  </w:r>
                  <w:r>
                    <w:rPr>
                      <w:szCs w:val="21"/>
                    </w:rPr>
                    <w:t>的</w:t>
                  </w:r>
                  <w:r>
                    <w:rPr>
                      <w:rFonts w:hint="eastAsia"/>
                      <w:szCs w:val="21"/>
                    </w:rPr>
                    <w:t>防锈漆</w:t>
                  </w:r>
                  <w:r>
                    <w:rPr>
                      <w:szCs w:val="21"/>
                    </w:rPr>
                    <w:t>为低VOCs</w:t>
                  </w:r>
                  <w:r>
                    <w:rPr>
                      <w:rFonts w:hint="eastAsia"/>
                      <w:szCs w:val="21"/>
                    </w:rPr>
                    <w:t>含量</w:t>
                  </w:r>
                  <w:r>
                    <w:rPr>
                      <w:rFonts w:hint="eastAsia"/>
                      <w:szCs w:val="21"/>
                      <w:lang w:eastAsia="zh-CN"/>
                    </w:rPr>
                    <w:t>水性漆</w:t>
                  </w:r>
                  <w:r>
                    <w:rPr>
                      <w:rFonts w:hint="eastAsia"/>
                      <w:szCs w:val="21"/>
                    </w:rPr>
                    <w:t>，防锈漆即用状态下</w:t>
                  </w:r>
                  <w:r>
                    <w:rPr>
                      <w:szCs w:val="21"/>
                    </w:rPr>
                    <w:t>VOCs</w:t>
                  </w:r>
                  <w:r>
                    <w:rPr>
                      <w:rFonts w:hint="eastAsia"/>
                      <w:szCs w:val="21"/>
                    </w:rPr>
                    <w:t>含量为176克</w:t>
                  </w:r>
                  <w:r>
                    <w:rPr>
                      <w:szCs w:val="21"/>
                    </w:rPr>
                    <w:t>/</w:t>
                  </w:r>
                  <w:r>
                    <w:rPr>
                      <w:rFonts w:hint="eastAsia"/>
                      <w:szCs w:val="21"/>
                    </w:rPr>
                    <w:t>升</w:t>
                  </w:r>
                </w:p>
              </w:tc>
              <w:tc>
                <w:tcPr>
                  <w:tcW w:w="515" w:type="pct"/>
                  <w:noWrap w:val="0"/>
                  <w:vAlign w:val="center"/>
                </w:tcPr>
                <w:p w14:paraId="698ED872">
                  <w:pPr>
                    <w:adjustRightInd w:val="0"/>
                    <w:snapToGrid w:val="0"/>
                    <w:jc w:val="center"/>
                    <w:rPr>
                      <w:szCs w:val="21"/>
                    </w:rPr>
                  </w:pPr>
                  <w:r>
                    <w:rPr>
                      <w:rFonts w:hint="eastAsia"/>
                      <w:szCs w:val="21"/>
                    </w:rPr>
                    <w:t>符合</w:t>
                  </w:r>
                </w:p>
              </w:tc>
            </w:tr>
          </w:tbl>
          <w:p w14:paraId="2C5D4744">
            <w:pPr>
              <w:adjustRightInd w:val="0"/>
              <w:snapToGrid w:val="0"/>
              <w:spacing w:line="360" w:lineRule="auto"/>
              <w:ind w:firstLine="422" w:firstLineChars="200"/>
              <w:rPr>
                <w:rFonts w:hint="eastAsia"/>
                <w:b/>
                <w:bCs/>
                <w:szCs w:val="21"/>
              </w:rPr>
            </w:pPr>
          </w:p>
        </w:tc>
      </w:tr>
    </w:tbl>
    <w:p w14:paraId="4AD6A534">
      <w:pPr>
        <w:spacing w:line="360" w:lineRule="auto"/>
        <w:outlineLvl w:val="0"/>
        <w:rPr>
          <w:rFonts w:eastAsia="黑体"/>
          <w:sz w:val="30"/>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5234C5FC">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8630"/>
      </w:tblGrid>
      <w:tr w14:paraId="10C3E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353" w:type="pct"/>
            <w:noWrap w:val="0"/>
            <w:vAlign w:val="center"/>
          </w:tcPr>
          <w:p w14:paraId="3A8A662E">
            <w:pPr>
              <w:pStyle w:val="21"/>
              <w:adjustRightInd w:val="0"/>
              <w:snapToGrid w:val="0"/>
              <w:spacing w:before="0" w:beforeAutospacing="0" w:after="0" w:afterAutospacing="0"/>
              <w:jc w:val="center"/>
              <w:rPr>
                <w:rFonts w:cs="宋体"/>
                <w:b/>
                <w:bCs/>
                <w:sz w:val="21"/>
                <w:szCs w:val="21"/>
              </w:rPr>
            </w:pPr>
            <w:r>
              <w:rPr>
                <w:rFonts w:hint="eastAsia" w:cs="宋体"/>
                <w:b/>
                <w:bCs/>
                <w:sz w:val="21"/>
                <w:szCs w:val="21"/>
              </w:rPr>
              <w:t>建设内容</w:t>
            </w:r>
          </w:p>
        </w:tc>
        <w:tc>
          <w:tcPr>
            <w:tcW w:w="4646" w:type="pct"/>
            <w:noWrap w:val="0"/>
            <w:vAlign w:val="top"/>
          </w:tcPr>
          <w:p w14:paraId="37B2C789">
            <w:pPr>
              <w:overflowPunct w:val="0"/>
              <w:adjustRightInd w:val="0"/>
              <w:snapToGrid w:val="0"/>
              <w:spacing w:line="360" w:lineRule="auto"/>
              <w:ind w:firstLine="482" w:firstLineChars="200"/>
              <w:rPr>
                <w:rFonts w:hint="eastAsia"/>
                <w:b/>
                <w:sz w:val="24"/>
              </w:rPr>
            </w:pPr>
            <w:r>
              <w:rPr>
                <w:rFonts w:hint="eastAsia"/>
                <w:b/>
                <w:sz w:val="24"/>
              </w:rPr>
              <w:t>2.1项目概况</w:t>
            </w:r>
          </w:p>
          <w:p w14:paraId="3922071F">
            <w:pPr>
              <w:overflowPunct w:val="0"/>
              <w:adjustRightInd w:val="0"/>
              <w:snapToGrid w:val="0"/>
              <w:spacing w:line="360" w:lineRule="auto"/>
              <w:ind w:firstLine="480" w:firstLineChars="200"/>
              <w:rPr>
                <w:rFonts w:hint="eastAsia"/>
                <w:bCs/>
                <w:sz w:val="24"/>
              </w:rPr>
            </w:pPr>
            <w:r>
              <w:rPr>
                <w:rFonts w:hint="eastAsia"/>
                <w:bCs/>
                <w:sz w:val="24"/>
              </w:rPr>
              <w:t>项目名称：铁路混凝土箱型梁预埋件加工及其PCA防腐技术项目</w:t>
            </w:r>
          </w:p>
          <w:p w14:paraId="09C8197B">
            <w:pPr>
              <w:overflowPunct w:val="0"/>
              <w:adjustRightInd w:val="0"/>
              <w:snapToGrid w:val="0"/>
              <w:spacing w:line="360" w:lineRule="auto"/>
              <w:ind w:firstLine="480" w:firstLineChars="200"/>
              <w:rPr>
                <w:rFonts w:hint="eastAsia"/>
                <w:bCs/>
                <w:sz w:val="24"/>
              </w:rPr>
            </w:pPr>
            <w:r>
              <w:rPr>
                <w:rFonts w:hint="eastAsia"/>
                <w:bCs/>
                <w:sz w:val="24"/>
              </w:rPr>
              <w:t>建设单位：淮北飞航科技有限公司</w:t>
            </w:r>
          </w:p>
          <w:p w14:paraId="43216A3B">
            <w:pPr>
              <w:overflowPunct w:val="0"/>
              <w:adjustRightInd w:val="0"/>
              <w:snapToGrid w:val="0"/>
              <w:spacing w:line="360" w:lineRule="auto"/>
              <w:ind w:firstLine="480" w:firstLineChars="200"/>
              <w:rPr>
                <w:rFonts w:hint="eastAsia"/>
                <w:bCs/>
                <w:sz w:val="24"/>
              </w:rPr>
            </w:pPr>
            <w:r>
              <w:rPr>
                <w:rFonts w:hint="eastAsia"/>
                <w:bCs/>
                <w:sz w:val="24"/>
              </w:rPr>
              <w:t>建设地点：安徽省淮北市杜集区石台镇育才路东侧乡村振兴产业园（详见附图1 项目地理位置图）</w:t>
            </w:r>
          </w:p>
          <w:p w14:paraId="5D9D063E">
            <w:pPr>
              <w:overflowPunct w:val="0"/>
              <w:adjustRightInd w:val="0"/>
              <w:snapToGrid w:val="0"/>
              <w:spacing w:line="360" w:lineRule="auto"/>
              <w:ind w:firstLine="480" w:firstLineChars="200"/>
              <w:rPr>
                <w:rFonts w:hint="eastAsia"/>
                <w:bCs/>
                <w:sz w:val="24"/>
              </w:rPr>
            </w:pPr>
            <w:r>
              <w:rPr>
                <w:rFonts w:hint="eastAsia"/>
                <w:bCs/>
                <w:sz w:val="24"/>
              </w:rPr>
              <w:t>周边关系：项目区北侧为安徽相王医药有限公司、西侧为和谐新家园，南侧为空地，东侧为空厂房。（详见附图4 项目周边500m范围概况图）</w:t>
            </w:r>
          </w:p>
          <w:p w14:paraId="0CB4112E">
            <w:pPr>
              <w:overflowPunct w:val="0"/>
              <w:adjustRightInd w:val="0"/>
              <w:snapToGrid w:val="0"/>
              <w:spacing w:line="360" w:lineRule="auto"/>
              <w:ind w:firstLine="480" w:firstLineChars="200"/>
              <w:rPr>
                <w:rFonts w:hint="eastAsia"/>
                <w:bCs/>
                <w:sz w:val="24"/>
              </w:rPr>
            </w:pPr>
            <w:r>
              <w:rPr>
                <w:rFonts w:hint="eastAsia"/>
                <w:bCs/>
                <w:sz w:val="24"/>
              </w:rPr>
              <w:t>建设性质：新建</w:t>
            </w:r>
          </w:p>
          <w:p w14:paraId="4BD16C44">
            <w:pPr>
              <w:overflowPunct w:val="0"/>
              <w:adjustRightInd w:val="0"/>
              <w:snapToGrid w:val="0"/>
              <w:spacing w:line="360" w:lineRule="auto"/>
              <w:ind w:firstLine="480" w:firstLineChars="200"/>
              <w:rPr>
                <w:rFonts w:hint="eastAsia"/>
                <w:bCs/>
                <w:sz w:val="24"/>
              </w:rPr>
            </w:pPr>
            <w:r>
              <w:rPr>
                <w:rFonts w:hint="eastAsia"/>
                <w:bCs/>
                <w:sz w:val="24"/>
              </w:rPr>
              <w:t>项目环评管理类别判定：根据项目备案文件，本项目备案文件国标行业为</w:t>
            </w:r>
            <w:r>
              <w:rPr>
                <w:rFonts w:hint="eastAsia"/>
                <w:sz w:val="24"/>
              </w:rPr>
              <w:t>C3359其他建筑、安全用金属制品制造。</w:t>
            </w:r>
            <w:r>
              <w:rPr>
                <w:rFonts w:hint="eastAsia"/>
                <w:bCs/>
                <w:sz w:val="24"/>
              </w:rPr>
              <w:t>根据《建设项目环境影响评价分类管理名录（2021年版）》可知，本项目（</w:t>
            </w:r>
            <w:r>
              <w:rPr>
                <w:rFonts w:hint="eastAsia"/>
                <w:sz w:val="24"/>
              </w:rPr>
              <w:t>C3359其他建筑、安全用金属制品制造</w:t>
            </w:r>
            <w:r>
              <w:rPr>
                <w:rFonts w:hint="eastAsia"/>
                <w:bCs/>
                <w:sz w:val="24"/>
              </w:rPr>
              <w:t>）属于名录表中的“三十、金属制品业 33”下的“建筑、安全用金属制品制造 335”的报告表项：“其他（仅分割、焊接、组装的除外；年用非溶剂型低VOCs含量涂料10吨以下的除外）”，故项目需编制报告表。</w:t>
            </w:r>
          </w:p>
          <w:p w14:paraId="6A06886E">
            <w:pPr>
              <w:overflowPunct w:val="0"/>
              <w:adjustRightInd w:val="0"/>
              <w:snapToGrid w:val="0"/>
              <w:spacing w:line="360" w:lineRule="auto"/>
              <w:ind w:firstLine="480" w:firstLineChars="200"/>
              <w:rPr>
                <w:rFonts w:hint="eastAsia"/>
                <w:bCs/>
                <w:sz w:val="24"/>
              </w:rPr>
            </w:pPr>
            <w:r>
              <w:rPr>
                <w:rFonts w:hint="eastAsia"/>
                <w:bCs/>
                <w:sz w:val="24"/>
              </w:rPr>
              <w:t>项目排污许可管理类别判定：根据项目备案文件可知，项目主要产品为铁路混凝土箱型梁预埋件，本项目国民经济行业属于</w:t>
            </w:r>
            <w:r>
              <w:rPr>
                <w:rFonts w:hint="eastAsia"/>
                <w:sz w:val="24"/>
              </w:rPr>
              <w:t>C3359其他建筑、安全用金属制品制造</w:t>
            </w:r>
            <w:r>
              <w:rPr>
                <w:rFonts w:hint="eastAsia"/>
                <w:bCs/>
                <w:sz w:val="24"/>
              </w:rPr>
              <w:t>；根据《固定污染源排污许可分类管理名录（2019年版）》可知，</w:t>
            </w:r>
            <w:r>
              <w:rPr>
                <w:rFonts w:hint="eastAsia"/>
                <w:sz w:val="24"/>
                <w:lang w:val="en-US" w:eastAsia="zh-CN"/>
              </w:rPr>
              <w:t>本项目</w:t>
            </w:r>
            <w:r>
              <w:rPr>
                <w:rFonts w:hint="eastAsia"/>
                <w:bCs/>
                <w:sz w:val="24"/>
              </w:rPr>
              <w:t>属于名录表中“二十八、金属制品业33</w:t>
            </w:r>
            <w:r>
              <w:rPr>
                <w:rFonts w:hint="eastAsia"/>
                <w:bCs/>
                <w:sz w:val="24"/>
                <w:lang w:val="en-US" w:eastAsia="zh-CN"/>
              </w:rPr>
              <w:t>-80</w:t>
            </w:r>
            <w:r>
              <w:rPr>
                <w:rFonts w:hint="eastAsia"/>
                <w:bCs/>
                <w:sz w:val="24"/>
              </w:rPr>
              <w:t>”</w:t>
            </w:r>
            <w:r>
              <w:rPr>
                <w:rFonts w:hint="eastAsia"/>
                <w:bCs/>
                <w:sz w:val="24"/>
                <w:lang w:eastAsia="zh-CN"/>
              </w:rPr>
              <w:t>中</w:t>
            </w:r>
            <w:r>
              <w:rPr>
                <w:rFonts w:hint="eastAsia"/>
                <w:bCs/>
                <w:sz w:val="24"/>
              </w:rPr>
              <w:t>的“建筑、安全用金属制品制造335”的“</w:t>
            </w:r>
            <w:r>
              <w:rPr>
                <w:rFonts w:hint="eastAsia"/>
                <w:bCs/>
                <w:sz w:val="24"/>
                <w:lang w:val="en-US" w:eastAsia="zh-CN"/>
              </w:rPr>
              <w:t>其他</w:t>
            </w:r>
            <w:r>
              <w:rPr>
                <w:rFonts w:hint="eastAsia"/>
                <w:bCs/>
                <w:sz w:val="24"/>
              </w:rPr>
              <w:t>”项，因此，本项目排污许可管理类别为“</w:t>
            </w:r>
            <w:r>
              <w:rPr>
                <w:rFonts w:hint="eastAsia"/>
                <w:bCs/>
                <w:sz w:val="24"/>
                <w:lang w:val="en-US" w:eastAsia="zh-CN"/>
              </w:rPr>
              <w:t>登记</w:t>
            </w:r>
            <w:r>
              <w:rPr>
                <w:rFonts w:hint="eastAsia"/>
                <w:bCs/>
                <w:sz w:val="24"/>
              </w:rPr>
              <w:t>管理”。</w:t>
            </w:r>
          </w:p>
          <w:p w14:paraId="4A48EA7D">
            <w:pPr>
              <w:overflowPunct w:val="0"/>
              <w:adjustRightInd w:val="0"/>
              <w:snapToGrid w:val="0"/>
              <w:spacing w:line="360" w:lineRule="auto"/>
              <w:ind w:firstLine="482" w:firstLineChars="200"/>
              <w:rPr>
                <w:b/>
                <w:sz w:val="24"/>
              </w:rPr>
            </w:pPr>
            <w:r>
              <w:rPr>
                <w:b/>
                <w:sz w:val="24"/>
              </w:rPr>
              <w:t>2.</w:t>
            </w:r>
            <w:r>
              <w:rPr>
                <w:rFonts w:hint="eastAsia"/>
                <w:b/>
                <w:sz w:val="24"/>
              </w:rPr>
              <w:t xml:space="preserve">2 </w:t>
            </w:r>
            <w:r>
              <w:rPr>
                <w:b/>
                <w:sz w:val="24"/>
              </w:rPr>
              <w:t>项目建设内容</w:t>
            </w:r>
          </w:p>
          <w:p w14:paraId="1CF3A1A7">
            <w:pPr>
              <w:overflowPunct w:val="0"/>
              <w:adjustRightInd w:val="0"/>
              <w:snapToGrid w:val="0"/>
              <w:spacing w:line="360" w:lineRule="auto"/>
              <w:ind w:firstLine="480" w:firstLineChars="200"/>
              <w:rPr>
                <w:kern w:val="28"/>
                <w:szCs w:val="21"/>
              </w:rPr>
            </w:pPr>
            <w:r>
              <w:rPr>
                <w:kern w:val="28"/>
                <w:sz w:val="24"/>
              </w:rPr>
              <w:t>拟建项目建设内容组成详情见</w:t>
            </w:r>
            <w:r>
              <w:rPr>
                <w:rFonts w:hint="eastAsia"/>
                <w:kern w:val="28"/>
                <w:sz w:val="24"/>
              </w:rPr>
              <w:t>下表</w:t>
            </w:r>
            <w:r>
              <w:rPr>
                <w:kern w:val="28"/>
                <w:sz w:val="24"/>
              </w:rPr>
              <w:t>所示：</w:t>
            </w:r>
          </w:p>
          <w:p w14:paraId="24FCE9F8">
            <w:pPr>
              <w:widowControl/>
              <w:numPr>
                <w:ilvl w:val="0"/>
                <w:numId w:val="2"/>
              </w:numPr>
              <w:jc w:val="center"/>
              <w:rPr>
                <w:b/>
                <w:kern w:val="0"/>
                <w:szCs w:val="21"/>
              </w:rPr>
            </w:pPr>
            <w:r>
              <w:rPr>
                <w:b/>
                <w:kern w:val="0"/>
                <w:szCs w:val="21"/>
              </w:rPr>
              <w:t>项目组成一览表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58"/>
              <w:gridCol w:w="5244"/>
              <w:gridCol w:w="1629"/>
            </w:tblGrid>
            <w:tr w14:paraId="7606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14:paraId="635598EC">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工程</w:t>
                  </w:r>
                </w:p>
                <w:p w14:paraId="05235A09">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类别</w:t>
                  </w:r>
                </w:p>
              </w:tc>
              <w:tc>
                <w:tcPr>
                  <w:tcW w:w="451" w:type="pct"/>
                  <w:noWrap w:val="0"/>
                  <w:vAlign w:val="center"/>
                </w:tcPr>
                <w:p w14:paraId="2C83DB1E">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工程名称</w:t>
                  </w:r>
                </w:p>
              </w:tc>
              <w:tc>
                <w:tcPr>
                  <w:tcW w:w="3120" w:type="pct"/>
                  <w:noWrap w:val="0"/>
                  <w:vAlign w:val="center"/>
                </w:tcPr>
                <w:p w14:paraId="43B47F5C">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工程内容和规模</w:t>
                  </w:r>
                </w:p>
              </w:tc>
              <w:tc>
                <w:tcPr>
                  <w:tcW w:w="969" w:type="pct"/>
                  <w:noWrap w:val="0"/>
                  <w:vAlign w:val="center"/>
                </w:tcPr>
                <w:p w14:paraId="2D4A192F">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14:paraId="3362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458" w:type="pct"/>
                  <w:vMerge w:val="restart"/>
                  <w:noWrap w:val="0"/>
                  <w:vAlign w:val="center"/>
                </w:tcPr>
                <w:p w14:paraId="2C0EC00D">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主体</w:t>
                  </w:r>
                </w:p>
                <w:p w14:paraId="57C67EBC">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451" w:type="pct"/>
                  <w:noWrap w:val="0"/>
                  <w:vAlign w:val="center"/>
                </w:tcPr>
                <w:p w14:paraId="0EB8276E">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标准化厂房</w:t>
                  </w:r>
                </w:p>
              </w:tc>
              <w:tc>
                <w:tcPr>
                  <w:tcW w:w="3120" w:type="pct"/>
                  <w:noWrap w:val="0"/>
                  <w:vAlign w:val="center"/>
                </w:tcPr>
                <w:p w14:paraId="5BBFD566">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面积约9200m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，一层厂房，高度13.56m，布置1</w:t>
                  </w:r>
                  <w:r>
                    <w:rPr>
                      <w:rFonts w:hint="eastAsia" w:cs="Times New Roman"/>
                      <w:kern w:val="0"/>
                      <w:sz w:val="21"/>
                      <w:szCs w:val="21"/>
                      <w:lang w:eastAsia="zh-CN"/>
                    </w:rPr>
                    <w:t>条</w:t>
                  </w:r>
                  <w:r>
                    <w:rPr>
                      <w:rFonts w:hint="eastAsia"/>
                      <w:szCs w:val="21"/>
                    </w:rPr>
                    <w:t>铁路混凝土箱型梁预埋件</w:t>
                  </w:r>
                  <w:r>
                    <w:rPr>
                      <w:rFonts w:hint="eastAsia"/>
                      <w:szCs w:val="21"/>
                      <w:lang w:eastAsia="zh-CN"/>
                    </w:rPr>
                    <w:t>生产线</w:t>
                  </w:r>
                  <w:r>
                    <w:rPr>
                      <w:rFonts w:hint="default" w:ascii="Times New Roman" w:hAnsi="Times New Roman" w:eastAsia="宋体" w:cs="Times New Roman"/>
                      <w:kern w:val="0"/>
                      <w:sz w:val="21"/>
                      <w:szCs w:val="21"/>
                    </w:rPr>
                    <w:t>，主要设备有多元素</w:t>
                  </w:r>
                  <w:r>
                    <w:rPr>
                      <w:rFonts w:hint="eastAsia" w:cs="Times New Roman"/>
                      <w:kern w:val="0"/>
                      <w:sz w:val="21"/>
                      <w:szCs w:val="21"/>
                      <w:lang w:eastAsia="zh-CN"/>
                    </w:rPr>
                    <w:t>粉末</w:t>
                  </w:r>
                  <w:r>
                    <w:rPr>
                      <w:rFonts w:hint="default" w:ascii="Times New Roman" w:hAnsi="Times New Roman" w:eastAsia="宋体" w:cs="Times New Roman"/>
                      <w:kern w:val="0"/>
                      <w:sz w:val="21"/>
                      <w:szCs w:val="21"/>
                    </w:rPr>
                    <w:t>配料装置、</w:t>
                  </w:r>
                  <w:r>
                    <w:rPr>
                      <w:rFonts w:hint="default" w:ascii="Times New Roman" w:hAnsi="Times New Roman" w:eastAsia="宋体" w:cs="Times New Roman"/>
                      <w:sz w:val="21"/>
                      <w:szCs w:val="21"/>
                    </w:rPr>
                    <w:t>等离子弧切料机</w:t>
                  </w:r>
                  <w:r>
                    <w:rPr>
                      <w:rFonts w:hint="default" w:ascii="Times New Roman" w:hAnsi="Times New Roman" w:eastAsia="宋体" w:cs="Times New Roman"/>
                      <w:kern w:val="0"/>
                      <w:sz w:val="21"/>
                      <w:szCs w:val="21"/>
                    </w:rPr>
                    <w:t>、</w:t>
                  </w:r>
                  <w:r>
                    <w:rPr>
                      <w:rFonts w:hint="default" w:ascii="Times New Roman" w:hAnsi="Times New Roman" w:eastAsia="宋体" w:cs="Times New Roman"/>
                      <w:sz w:val="21"/>
                      <w:szCs w:val="21"/>
                    </w:rPr>
                    <w:t>双钩升降式抛丸机、振打式布袋除尘机、液压摆式剪板机</w:t>
                  </w:r>
                  <w:r>
                    <w:rPr>
                      <w:rFonts w:hint="default" w:ascii="Times New Roman" w:hAnsi="Times New Roman" w:eastAsia="宋体" w:cs="Times New Roman"/>
                      <w:kern w:val="0"/>
                      <w:sz w:val="21"/>
                      <w:szCs w:val="21"/>
                    </w:rPr>
                    <w:t>、液压机、数控车床、</w:t>
                  </w:r>
                  <w:r>
                    <w:rPr>
                      <w:rFonts w:hint="default" w:ascii="Times New Roman" w:hAnsi="Times New Roman" w:eastAsia="宋体" w:cs="Times New Roman"/>
                      <w:snapToGrid w:val="0"/>
                      <w:sz w:val="21"/>
                      <w:szCs w:val="21"/>
                    </w:rPr>
                    <w:t>半自动CO</w:t>
                  </w:r>
                  <w:r>
                    <w:rPr>
                      <w:rFonts w:hint="default" w:ascii="Times New Roman" w:hAnsi="Times New Roman" w:eastAsia="宋体" w:cs="Times New Roman"/>
                      <w:snapToGrid w:val="0"/>
                      <w:sz w:val="21"/>
                      <w:szCs w:val="21"/>
                      <w:vertAlign w:val="subscript"/>
                    </w:rPr>
                    <w:t>2</w:t>
                  </w:r>
                  <w:r>
                    <w:rPr>
                      <w:rFonts w:hint="default" w:ascii="Times New Roman" w:hAnsi="Times New Roman" w:eastAsia="宋体" w:cs="Times New Roman"/>
                      <w:snapToGrid w:val="0"/>
                      <w:sz w:val="21"/>
                      <w:szCs w:val="21"/>
                    </w:rPr>
                    <w:t>弧焊机</w:t>
                  </w:r>
                  <w:r>
                    <w:rPr>
                      <w:rFonts w:hint="default" w:ascii="Times New Roman" w:hAnsi="Times New Roman" w:eastAsia="宋体" w:cs="Times New Roman"/>
                      <w:kern w:val="0"/>
                      <w:sz w:val="21"/>
                      <w:szCs w:val="21"/>
                    </w:rPr>
                    <w:t>、</w:t>
                  </w:r>
                  <w:r>
                    <w:rPr>
                      <w:rFonts w:hint="default" w:ascii="Times New Roman" w:hAnsi="Times New Roman" w:eastAsia="宋体" w:cs="Times New Roman"/>
                      <w:sz w:val="21"/>
                      <w:szCs w:val="21"/>
                    </w:rPr>
                    <w:t>光纤激光切割机、</w:t>
                  </w:r>
                  <w:r>
                    <w:rPr>
                      <w:rFonts w:hint="default" w:ascii="Times New Roman" w:hAnsi="Times New Roman" w:eastAsia="宋体" w:cs="Times New Roman"/>
                      <w:kern w:val="0"/>
                      <w:sz w:val="21"/>
                      <w:szCs w:val="21"/>
                    </w:rPr>
                    <w:t>钻床、铣床、</w:t>
                  </w:r>
                  <w:r>
                    <w:rPr>
                      <w:rFonts w:hint="default" w:ascii="Times New Roman" w:hAnsi="Times New Roman" w:eastAsia="宋体" w:cs="Times New Roman"/>
                      <w:bCs/>
                      <w:sz w:val="21"/>
                      <w:szCs w:val="21"/>
                    </w:rPr>
                    <w:t>四方燃气渗锌炉</w:t>
                  </w:r>
                  <w:r>
                    <w:rPr>
                      <w:rFonts w:hint="eastAsia" w:cs="Times New Roman"/>
                      <w:bCs/>
                      <w:sz w:val="21"/>
                      <w:szCs w:val="21"/>
                      <w:lang w:eastAsia="zh-CN"/>
                    </w:rPr>
                    <w:t>、</w:t>
                  </w:r>
                  <w:r>
                    <w:rPr>
                      <w:rFonts w:hint="default" w:ascii="Times New Roman" w:hAnsi="Times New Roman" w:eastAsia="宋体" w:cs="Times New Roman"/>
                      <w:kern w:val="0"/>
                      <w:sz w:val="21"/>
                      <w:szCs w:val="21"/>
                    </w:rPr>
                    <w:t>悬链水洗钝化封闭线等</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可形成年产6500吨铁路混凝土箱型梁预埋件加工生产能力。</w:t>
                  </w:r>
                </w:p>
              </w:tc>
              <w:tc>
                <w:tcPr>
                  <w:tcW w:w="969" w:type="pct"/>
                  <w:vMerge w:val="restart"/>
                  <w:noWrap w:val="0"/>
                  <w:vAlign w:val="center"/>
                </w:tcPr>
                <w:p w14:paraId="6C44EEBB">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租赁厂房</w:t>
                  </w:r>
                </w:p>
              </w:tc>
            </w:tr>
            <w:tr w14:paraId="7EA2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58" w:type="pct"/>
                  <w:vMerge w:val="continue"/>
                  <w:noWrap w:val="0"/>
                  <w:vAlign w:val="center"/>
                </w:tcPr>
                <w:p w14:paraId="65EA0B99">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601650FD">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喷漆房</w:t>
                  </w:r>
                </w:p>
              </w:tc>
              <w:tc>
                <w:tcPr>
                  <w:tcW w:w="3120" w:type="pct"/>
                  <w:noWrap w:val="0"/>
                  <w:vAlign w:val="center"/>
                </w:tcPr>
                <w:p w14:paraId="323BA820">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位于</w:t>
                  </w:r>
                  <w:r>
                    <w:rPr>
                      <w:rFonts w:hint="default" w:ascii="Times New Roman" w:hAnsi="Times New Roman" w:eastAsia="宋体" w:cs="Times New Roman"/>
                      <w:snapToGrid w:val="0"/>
                      <w:kern w:val="0"/>
                      <w:sz w:val="21"/>
                      <w:szCs w:val="21"/>
                    </w:rPr>
                    <w:t>标准化厂房东北角外</w:t>
                  </w:r>
                  <w:r>
                    <w:rPr>
                      <w:rFonts w:hint="default" w:ascii="Times New Roman" w:hAnsi="Times New Roman" w:eastAsia="宋体" w:cs="Times New Roman"/>
                      <w:sz w:val="21"/>
                      <w:szCs w:val="21"/>
                    </w:rPr>
                    <w:t>，</w:t>
                  </w:r>
                  <w:r>
                    <w:rPr>
                      <w:rFonts w:hint="eastAsia" w:cs="Times New Roman"/>
                      <w:sz w:val="21"/>
                      <w:szCs w:val="21"/>
                      <w:lang w:eastAsia="zh-CN"/>
                    </w:rPr>
                    <w:t>建筑</w:t>
                  </w:r>
                  <w:r>
                    <w:rPr>
                      <w:rFonts w:hint="default" w:ascii="Times New Roman" w:hAnsi="Times New Roman" w:eastAsia="宋体" w:cs="Times New Roman"/>
                      <w:sz w:val="21"/>
                      <w:szCs w:val="21"/>
                    </w:rPr>
                    <w:t>面积约</w:t>
                  </w:r>
                  <w:r>
                    <w:rPr>
                      <w:rFonts w:hint="eastAsia" w:cs="Times New Roman"/>
                      <w:sz w:val="21"/>
                      <w:szCs w:val="21"/>
                      <w:lang w:val="en-US" w:eastAsia="zh-CN"/>
                    </w:rPr>
                    <w:t>168</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eastAsia" w:cs="Times New Roman"/>
                      <w:sz w:val="21"/>
                      <w:szCs w:val="21"/>
                      <w:vertAlign w:val="baseline"/>
                      <w:lang w:eastAsia="zh-CN"/>
                    </w:rPr>
                    <w:t>（</w:t>
                  </w:r>
                  <w:r>
                    <w:rPr>
                      <w:rFonts w:hint="eastAsia" w:cs="Times New Roman"/>
                      <w:sz w:val="21"/>
                      <w:szCs w:val="21"/>
                      <w:vertAlign w:val="baseline"/>
                      <w:lang w:val="en-US" w:eastAsia="zh-CN"/>
                    </w:rPr>
                    <w:t>14m</w:t>
                  </w:r>
                  <w:r>
                    <w:rPr>
                      <w:rFonts w:hint="default" w:ascii="Arial" w:hAnsi="Arial" w:cs="Arial"/>
                      <w:sz w:val="21"/>
                      <w:szCs w:val="21"/>
                      <w:vertAlign w:val="baseline"/>
                      <w:lang w:val="en-US" w:eastAsia="zh-CN"/>
                    </w:rPr>
                    <w:t>×</w:t>
                  </w:r>
                  <w:r>
                    <w:rPr>
                      <w:rFonts w:hint="eastAsia" w:cs="Times New Roman"/>
                      <w:sz w:val="21"/>
                      <w:szCs w:val="21"/>
                      <w:vertAlign w:val="baseline"/>
                      <w:lang w:val="en-US" w:eastAsia="zh-CN"/>
                    </w:rPr>
                    <w:t>12m</w:t>
                  </w:r>
                  <w:r>
                    <w:rPr>
                      <w:rFonts w:hint="eastAsia" w:cs="Times New Roman"/>
                      <w:sz w:val="21"/>
                      <w:szCs w:val="21"/>
                      <w:vertAlign w:val="baseline"/>
                      <w:lang w:eastAsia="zh-CN"/>
                    </w:rPr>
                    <w:t>）</w:t>
                  </w:r>
                  <w:r>
                    <w:rPr>
                      <w:rFonts w:hint="default" w:ascii="Times New Roman" w:hAnsi="Times New Roman" w:eastAsia="宋体" w:cs="Times New Roman"/>
                      <w:sz w:val="21"/>
                      <w:szCs w:val="21"/>
                    </w:rPr>
                    <w:t>，</w:t>
                  </w:r>
                  <w:r>
                    <w:rPr>
                      <w:rFonts w:hint="eastAsia" w:cs="Times New Roman"/>
                      <w:sz w:val="21"/>
                      <w:szCs w:val="21"/>
                      <w:lang w:eastAsia="zh-CN"/>
                    </w:rPr>
                    <w:t>高度约</w:t>
                  </w:r>
                  <w:r>
                    <w:rPr>
                      <w:rFonts w:hint="eastAsia" w:cs="Times New Roman"/>
                      <w:sz w:val="21"/>
                      <w:szCs w:val="21"/>
                      <w:lang w:val="en-US" w:eastAsia="zh-CN"/>
                    </w:rPr>
                    <w:t>9m，</w:t>
                  </w:r>
                  <w:r>
                    <w:rPr>
                      <w:rFonts w:hint="default" w:ascii="Times New Roman" w:hAnsi="Times New Roman" w:eastAsia="宋体" w:cs="Times New Roman"/>
                      <w:sz w:val="21"/>
                      <w:szCs w:val="21"/>
                    </w:rPr>
                    <w:t>用于部分产品的喷涂</w:t>
                  </w:r>
                </w:p>
              </w:tc>
              <w:tc>
                <w:tcPr>
                  <w:tcW w:w="969" w:type="pct"/>
                  <w:vMerge w:val="continue"/>
                  <w:noWrap w:val="0"/>
                  <w:vAlign w:val="center"/>
                </w:tcPr>
                <w:p w14:paraId="6C5CD681">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p>
              </w:tc>
            </w:tr>
            <w:tr w14:paraId="67E5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58" w:type="pct"/>
                  <w:vMerge w:val="restart"/>
                  <w:noWrap w:val="0"/>
                  <w:vAlign w:val="center"/>
                </w:tcPr>
                <w:p w14:paraId="1B5B5CCD">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储运</w:t>
                  </w:r>
                </w:p>
                <w:p w14:paraId="2229C98D">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451" w:type="pct"/>
                  <w:noWrap w:val="0"/>
                  <w:vAlign w:val="center"/>
                </w:tcPr>
                <w:p w14:paraId="43385BC5">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原料仓库</w:t>
                  </w:r>
                </w:p>
              </w:tc>
              <w:tc>
                <w:tcPr>
                  <w:tcW w:w="3120" w:type="pct"/>
                  <w:noWrap w:val="0"/>
                  <w:vAlign w:val="center"/>
                </w:tcPr>
                <w:p w14:paraId="6AECD493">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位于标准化厂房东侧，面积约450</w:t>
                  </w:r>
                  <w:r>
                    <w:rPr>
                      <w:rFonts w:hint="default" w:ascii="Times New Roman" w:hAnsi="Times New Roman" w:eastAsia="宋体" w:cs="Times New Roman"/>
                      <w:bCs/>
                      <w:sz w:val="21"/>
                      <w:szCs w:val="21"/>
                    </w:rPr>
                    <w:t>m</w:t>
                  </w:r>
                  <w:r>
                    <w:rPr>
                      <w:rFonts w:hint="default" w:ascii="Times New Roman" w:hAnsi="Times New Roman" w:eastAsia="宋体" w:cs="Times New Roman"/>
                      <w:snapToGrid w:val="0"/>
                      <w:kern w:val="0"/>
                      <w:sz w:val="21"/>
                      <w:szCs w:val="21"/>
                      <w:vertAlign w:val="superscript"/>
                    </w:rPr>
                    <w:t>2</w:t>
                  </w:r>
                  <w:r>
                    <w:rPr>
                      <w:rFonts w:hint="default" w:ascii="Times New Roman" w:hAnsi="Times New Roman" w:eastAsia="宋体" w:cs="Times New Roman"/>
                      <w:snapToGrid w:val="0"/>
                      <w:kern w:val="0"/>
                      <w:sz w:val="21"/>
                      <w:szCs w:val="21"/>
                    </w:rPr>
                    <w:t>，用于原料的储存</w:t>
                  </w:r>
                </w:p>
              </w:tc>
              <w:tc>
                <w:tcPr>
                  <w:tcW w:w="969" w:type="pct"/>
                  <w:vMerge w:val="continue"/>
                  <w:noWrap w:val="0"/>
                  <w:vAlign w:val="center"/>
                </w:tcPr>
                <w:p w14:paraId="5CF05195">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p>
              </w:tc>
            </w:tr>
            <w:tr w14:paraId="2BCD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58" w:type="pct"/>
                  <w:vMerge w:val="continue"/>
                  <w:noWrap w:val="0"/>
                  <w:vAlign w:val="center"/>
                </w:tcPr>
                <w:p w14:paraId="43BC873F">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4FEB6E30">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成品仓库</w:t>
                  </w:r>
                </w:p>
              </w:tc>
              <w:tc>
                <w:tcPr>
                  <w:tcW w:w="3120" w:type="pct"/>
                  <w:noWrap w:val="0"/>
                  <w:vAlign w:val="center"/>
                </w:tcPr>
                <w:p w14:paraId="254F90B3">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位于</w:t>
                  </w:r>
                  <w:r>
                    <w:rPr>
                      <w:rFonts w:hint="default" w:ascii="Times New Roman" w:hAnsi="Times New Roman" w:eastAsia="宋体" w:cs="Times New Roman"/>
                      <w:snapToGrid w:val="0"/>
                      <w:kern w:val="0"/>
                      <w:sz w:val="21"/>
                      <w:szCs w:val="21"/>
                    </w:rPr>
                    <w:t>标准化厂房西侧</w:t>
                  </w:r>
                  <w:r>
                    <w:rPr>
                      <w:rFonts w:hint="default" w:ascii="Times New Roman" w:hAnsi="Times New Roman" w:eastAsia="宋体" w:cs="Times New Roman"/>
                      <w:kern w:val="0"/>
                      <w:sz w:val="21"/>
                      <w:szCs w:val="21"/>
                    </w:rPr>
                    <w:t>，面积约</w:t>
                  </w:r>
                  <w:r>
                    <w:rPr>
                      <w:rFonts w:hint="default" w:ascii="Times New Roman" w:hAnsi="Times New Roman" w:eastAsia="宋体" w:cs="Times New Roman"/>
                      <w:sz w:val="21"/>
                      <w:szCs w:val="21"/>
                    </w:rPr>
                    <w:t>336</w:t>
                  </w: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r>
                    <w:rPr>
                      <w:rFonts w:hint="default" w:ascii="Times New Roman" w:hAnsi="Times New Roman" w:eastAsia="宋体" w:cs="Times New Roman"/>
                      <w:kern w:val="0"/>
                      <w:sz w:val="21"/>
                      <w:szCs w:val="21"/>
                    </w:rPr>
                    <w:t>，用于设备成品的暂存</w:t>
                  </w:r>
                </w:p>
              </w:tc>
              <w:tc>
                <w:tcPr>
                  <w:tcW w:w="969" w:type="pct"/>
                  <w:vMerge w:val="continue"/>
                  <w:noWrap w:val="0"/>
                  <w:vAlign w:val="center"/>
                </w:tcPr>
                <w:p w14:paraId="5ABBC846">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p>
              </w:tc>
            </w:tr>
            <w:tr w14:paraId="3FFB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14:paraId="6DAF3E63">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辅助</w:t>
                  </w:r>
                </w:p>
                <w:p w14:paraId="5BE2A381">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451" w:type="pct"/>
                  <w:noWrap w:val="0"/>
                  <w:vAlign w:val="center"/>
                </w:tcPr>
                <w:p w14:paraId="0B09FAF2">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研发办公楼</w:t>
                  </w:r>
                </w:p>
              </w:tc>
              <w:tc>
                <w:tcPr>
                  <w:tcW w:w="3120" w:type="pct"/>
                  <w:noWrap w:val="0"/>
                  <w:vAlign w:val="center"/>
                </w:tcPr>
                <w:p w14:paraId="175F8A52">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位于</w:t>
                  </w:r>
                  <w:r>
                    <w:rPr>
                      <w:rFonts w:hint="default" w:ascii="Times New Roman" w:hAnsi="Times New Roman" w:eastAsia="宋体" w:cs="Times New Roman"/>
                      <w:snapToGrid w:val="0"/>
                      <w:kern w:val="0"/>
                      <w:sz w:val="21"/>
                      <w:szCs w:val="21"/>
                    </w:rPr>
                    <w:t>标准化厂房西部二层</w:t>
                  </w:r>
                  <w:r>
                    <w:rPr>
                      <w:rFonts w:hint="default" w:ascii="Times New Roman" w:hAnsi="Times New Roman" w:eastAsia="宋体" w:cs="Times New Roman"/>
                      <w:sz w:val="21"/>
                      <w:szCs w:val="21"/>
                    </w:rPr>
                    <w:t>，面积为420</w:t>
                  </w: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r>
                    <w:rPr>
                      <w:rFonts w:hint="default" w:ascii="Times New Roman" w:hAnsi="Times New Roman" w:eastAsia="宋体" w:cs="Times New Roman"/>
                      <w:sz w:val="21"/>
                      <w:szCs w:val="21"/>
                    </w:rPr>
                    <w:t>，用于员工办公及项目研发</w:t>
                  </w:r>
                </w:p>
              </w:tc>
              <w:tc>
                <w:tcPr>
                  <w:tcW w:w="969" w:type="pct"/>
                  <w:vMerge w:val="continue"/>
                  <w:noWrap w:val="0"/>
                  <w:vAlign w:val="center"/>
                </w:tcPr>
                <w:p w14:paraId="323CFE45">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p>
              </w:tc>
            </w:tr>
            <w:tr w14:paraId="5DCD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58" w:type="pct"/>
                  <w:vMerge w:val="restart"/>
                  <w:noWrap w:val="0"/>
                  <w:vAlign w:val="center"/>
                </w:tcPr>
                <w:p w14:paraId="1059F48E">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公用</w:t>
                  </w:r>
                </w:p>
                <w:p w14:paraId="685D375E">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451" w:type="pct"/>
                  <w:noWrap w:val="0"/>
                  <w:vAlign w:val="center"/>
                </w:tcPr>
                <w:p w14:paraId="658C47F8">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供水</w:t>
                  </w:r>
                </w:p>
              </w:tc>
              <w:tc>
                <w:tcPr>
                  <w:tcW w:w="3120" w:type="pct"/>
                  <w:noWrap w:val="0"/>
                  <w:vAlign w:val="center"/>
                </w:tcPr>
                <w:p w14:paraId="2B80310B">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由市政供水管网供给</w:t>
                  </w:r>
                </w:p>
              </w:tc>
              <w:tc>
                <w:tcPr>
                  <w:tcW w:w="969" w:type="pct"/>
                  <w:noWrap w:val="0"/>
                  <w:vAlign w:val="center"/>
                </w:tcPr>
                <w:p w14:paraId="2985AA4E">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依托厂区供水管网</w:t>
                  </w:r>
                </w:p>
              </w:tc>
            </w:tr>
            <w:tr w14:paraId="4F6D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44FAD2CF">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3205B90E">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供电</w:t>
                  </w:r>
                </w:p>
              </w:tc>
              <w:tc>
                <w:tcPr>
                  <w:tcW w:w="3120" w:type="pct"/>
                  <w:noWrap w:val="0"/>
                  <w:vAlign w:val="center"/>
                </w:tcPr>
                <w:p w14:paraId="169A2589">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由市政供电线路统一提供</w:t>
                  </w:r>
                </w:p>
              </w:tc>
              <w:tc>
                <w:tcPr>
                  <w:tcW w:w="969" w:type="pct"/>
                  <w:noWrap w:val="0"/>
                  <w:vAlign w:val="center"/>
                </w:tcPr>
                <w:p w14:paraId="5B132C8B">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依托厂区供电网</w:t>
                  </w:r>
                </w:p>
              </w:tc>
            </w:tr>
            <w:tr w14:paraId="574C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restart"/>
                  <w:noWrap w:val="0"/>
                  <w:vAlign w:val="center"/>
                </w:tcPr>
                <w:p w14:paraId="3A99C9E3">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14:paraId="082307CF">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451" w:type="pct"/>
                  <w:noWrap w:val="0"/>
                  <w:vAlign w:val="center"/>
                </w:tcPr>
                <w:p w14:paraId="119629E0">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废气治理</w:t>
                  </w:r>
                </w:p>
              </w:tc>
              <w:tc>
                <w:tcPr>
                  <w:tcW w:w="3120" w:type="pct"/>
                  <w:noWrap w:val="0"/>
                  <w:vAlign w:val="center"/>
                </w:tcPr>
                <w:p w14:paraId="716E5806">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焊接工位产生的焊接烟尘通过移动式焊烟净化器处理后进行无组织排放；</w:t>
                  </w:r>
                  <w:r>
                    <w:rPr>
                      <w:rFonts w:hint="eastAsia" w:cs="Times New Roman"/>
                      <w:kern w:val="0"/>
                      <w:sz w:val="21"/>
                      <w:szCs w:val="21"/>
                      <w:lang w:val="en-US" w:eastAsia="zh-CN"/>
                    </w:rPr>
                    <w:t>切割下料产生的切割粉尘通过设备自带的除尘器处理后车间内无组织排放；</w:t>
                  </w:r>
                  <w:r>
                    <w:rPr>
                      <w:rFonts w:hint="eastAsia"/>
                      <w:color w:val="auto"/>
                      <w:sz w:val="21"/>
                      <w:szCs w:val="21"/>
                      <w:lang w:val="en-US" w:eastAsia="zh-CN"/>
                    </w:rPr>
                    <w:t>喷漆废气在干式喷漆室经全封闭微负压收集后，封闭废气经配套低氮燃烧器，通过引风管负压收集后，与喷漆废气共用一套“过滤棉+两级活性炭吸附”设施处理，处理完成由一根17m高排气筒（DA001）排放；渗锌废气配套低氮燃烧器，在密闭设备中通过引风管收集，处理完成后由一根17m高排气筒（DA001）排放</w:t>
                  </w:r>
                  <w:r>
                    <w:rPr>
                      <w:rFonts w:hint="eastAsia"/>
                      <w:sz w:val="21"/>
                      <w:szCs w:val="21"/>
                    </w:rPr>
                    <w:t>；抛丸产生的抛丸粉尘经密闭管道收集，收集后经抛丸机自带振打式布袋除尘器处理，处理完成后由一根17m高排气筒（DA002）排放</w:t>
                  </w:r>
                  <w:r>
                    <w:rPr>
                      <w:rFonts w:hint="eastAsia"/>
                      <w:color w:val="auto"/>
                      <w:sz w:val="21"/>
                      <w:szCs w:val="21"/>
                    </w:rPr>
                    <w:t>。</w:t>
                  </w:r>
                </w:p>
              </w:tc>
              <w:tc>
                <w:tcPr>
                  <w:tcW w:w="969" w:type="pct"/>
                  <w:noWrap w:val="0"/>
                  <w:vAlign w:val="center"/>
                </w:tcPr>
                <w:p w14:paraId="7F34C30C">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14:paraId="1916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264BBD0D">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1C843F81">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废水治理</w:t>
                  </w:r>
                </w:p>
              </w:tc>
              <w:tc>
                <w:tcPr>
                  <w:tcW w:w="3120" w:type="pct"/>
                  <w:noWrap w:val="0"/>
                  <w:vAlign w:val="center"/>
                </w:tcPr>
                <w:p w14:paraId="40323433">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本项目无生产废水外排，生活污水依托厂区化粪池处理后满足</w:t>
                  </w:r>
                  <w:r>
                    <w:rPr>
                      <w:rFonts w:hint="default" w:ascii="Times New Roman" w:hAnsi="Times New Roman" w:eastAsia="宋体" w:cs="Times New Roman"/>
                      <w:sz w:val="21"/>
                      <w:szCs w:val="21"/>
                    </w:rPr>
                    <w:t>淮北龙湖污水处理厂</w:t>
                  </w:r>
                  <w:r>
                    <w:rPr>
                      <w:rFonts w:hint="default" w:ascii="Times New Roman" w:hAnsi="Times New Roman" w:eastAsia="宋体" w:cs="Times New Roman"/>
                      <w:kern w:val="0"/>
                      <w:sz w:val="21"/>
                      <w:szCs w:val="21"/>
                    </w:rPr>
                    <w:t>接管标准，通过市政污水管网进入</w:t>
                  </w:r>
                  <w:r>
                    <w:rPr>
                      <w:rFonts w:hint="default" w:ascii="Times New Roman" w:hAnsi="Times New Roman" w:eastAsia="宋体" w:cs="Times New Roman"/>
                      <w:sz w:val="21"/>
                      <w:szCs w:val="21"/>
                    </w:rPr>
                    <w:t>淮北龙湖污水处理</w:t>
                  </w:r>
                  <w:r>
                    <w:rPr>
                      <w:rFonts w:hint="default" w:ascii="Times New Roman" w:hAnsi="Times New Roman" w:eastAsia="宋体" w:cs="Times New Roman"/>
                      <w:kern w:val="0"/>
                      <w:sz w:val="21"/>
                      <w:szCs w:val="21"/>
                    </w:rPr>
                    <w:t>厂深度处理</w:t>
                  </w:r>
                </w:p>
              </w:tc>
              <w:tc>
                <w:tcPr>
                  <w:tcW w:w="969" w:type="pct"/>
                  <w:noWrap w:val="0"/>
                  <w:vAlign w:val="center"/>
                </w:tcPr>
                <w:p w14:paraId="498900AB">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依托厂区厕所、化粪池、污水管网</w:t>
                  </w:r>
                </w:p>
              </w:tc>
            </w:tr>
            <w:tr w14:paraId="6D41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4F3CFC4D">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0914FA9E">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固废处理</w:t>
                  </w:r>
                </w:p>
              </w:tc>
              <w:tc>
                <w:tcPr>
                  <w:tcW w:w="3120" w:type="pct"/>
                  <w:noWrap w:val="0"/>
                  <w:vAlign w:val="center"/>
                </w:tcPr>
                <w:p w14:paraId="2F4A6DED">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生活垃圾实行集中化处理，交由市政环卫部门统一处理；废包装材料、不合格产品、废边角料和布袋收集粉尘等暂存于一般固废间（位于标准化厂房东侧，面积约28m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）；危废集中收集后交由有资质单位处理，危废临时贮存场所</w:t>
                  </w:r>
                  <w:r>
                    <w:rPr>
                      <w:rFonts w:hint="default" w:ascii="Times New Roman" w:hAnsi="Times New Roman" w:eastAsia="宋体" w:cs="Times New Roman"/>
                      <w:bCs/>
                      <w:sz w:val="21"/>
                      <w:szCs w:val="21"/>
                    </w:rPr>
                    <w:t>位于标准化厂房东侧，</w:t>
                  </w:r>
                  <w:r>
                    <w:rPr>
                      <w:rFonts w:hint="default" w:ascii="Times New Roman" w:hAnsi="Times New Roman" w:eastAsia="宋体" w:cs="Times New Roman"/>
                      <w:sz w:val="21"/>
                      <w:szCs w:val="21"/>
                    </w:rPr>
                    <w:t>面积约28m</w:t>
                  </w:r>
                  <w:r>
                    <w:rPr>
                      <w:rFonts w:hint="default" w:ascii="Times New Roman" w:hAnsi="Times New Roman" w:eastAsia="宋体" w:cs="Times New Roman"/>
                      <w:sz w:val="21"/>
                      <w:szCs w:val="21"/>
                      <w:vertAlign w:val="superscript"/>
                    </w:rPr>
                    <w:t>2</w:t>
                  </w:r>
                </w:p>
              </w:tc>
              <w:tc>
                <w:tcPr>
                  <w:tcW w:w="969" w:type="pct"/>
                  <w:noWrap w:val="0"/>
                  <w:vAlign w:val="center"/>
                </w:tcPr>
                <w:p w14:paraId="057097EF">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49A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4BF4BEAE">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1A2EF6B7">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噪声防治</w:t>
                  </w:r>
                </w:p>
              </w:tc>
              <w:tc>
                <w:tcPr>
                  <w:tcW w:w="3120" w:type="pct"/>
                  <w:noWrap w:val="0"/>
                  <w:vAlign w:val="center"/>
                </w:tcPr>
                <w:p w14:paraId="7132A9B1">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等离子火焰切割机、液压机、剪板机、风机、空压机等均安装减振基座</w:t>
                  </w:r>
                </w:p>
              </w:tc>
              <w:tc>
                <w:tcPr>
                  <w:tcW w:w="969" w:type="pct"/>
                  <w:noWrap w:val="0"/>
                  <w:vAlign w:val="center"/>
                </w:tcPr>
                <w:p w14:paraId="76B4C2B5">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14:paraId="2D16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7CD94AE3">
                  <w:pPr>
                    <w:keepNext w:val="0"/>
                    <w:keepLines w:val="0"/>
                    <w:pageBreakBefore w:val="0"/>
                    <w:widowControl/>
                    <w:kinsoku/>
                    <w:wordWrap/>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p>
              </w:tc>
              <w:tc>
                <w:tcPr>
                  <w:tcW w:w="451" w:type="pct"/>
                  <w:noWrap w:val="0"/>
                  <w:vAlign w:val="center"/>
                </w:tcPr>
                <w:p w14:paraId="121088C1">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z w:val="21"/>
                      <w:szCs w:val="21"/>
                    </w:rPr>
                    <w:t>地下水防治</w:t>
                  </w:r>
                </w:p>
              </w:tc>
              <w:tc>
                <w:tcPr>
                  <w:tcW w:w="3120" w:type="pct"/>
                  <w:noWrap w:val="0"/>
                  <w:vAlign w:val="center"/>
                </w:tcPr>
                <w:p w14:paraId="3ED61591">
                  <w:pPr>
                    <w:keepNext w:val="0"/>
                    <w:keepLines w:val="0"/>
                    <w:pageBreakBefore w:val="0"/>
                    <w:kinsoku/>
                    <w:wordWrap/>
                    <w:overflowPunct w:val="0"/>
                    <w:topLinePunct w:val="0"/>
                    <w:autoSpaceDE/>
                    <w:autoSpaceDN/>
                    <w:bidi w:val="0"/>
                    <w:adjustRightInd w:val="0"/>
                    <w:snapToGrid w:val="0"/>
                    <w:ind w:left="0" w:firstLine="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喷漆房</w:t>
                  </w:r>
                  <w:r>
                    <w:rPr>
                      <w:rFonts w:hint="eastAsia"/>
                      <w:lang w:eastAsia="zh-CN"/>
                    </w:rPr>
                    <w:t>、</w:t>
                  </w:r>
                  <w:r>
                    <w:rPr>
                      <w:rFonts w:hint="eastAsia"/>
                      <w:lang w:val="en-US" w:eastAsia="zh-CN"/>
                    </w:rPr>
                    <w:t>封闭区</w:t>
                  </w:r>
                  <w:r>
                    <w:rPr>
                      <w:rFonts w:hint="default" w:ascii="Times New Roman" w:hAnsi="Times New Roman" w:eastAsia="宋体" w:cs="Times New Roman"/>
                      <w:kern w:val="0"/>
                      <w:sz w:val="21"/>
                      <w:szCs w:val="21"/>
                    </w:rPr>
                    <w:t>和危废暂存间等重点防渗区设置防腐防渗措施。</w:t>
                  </w:r>
                  <w:r>
                    <w:rPr>
                      <w:rFonts w:hint="eastAsia" w:cs="Times New Roman"/>
                      <w:kern w:val="0"/>
                      <w:sz w:val="21"/>
                      <w:szCs w:val="21"/>
                      <w:lang w:eastAsia="zh-CN"/>
                    </w:rPr>
                    <w:t>喷漆房</w:t>
                  </w:r>
                  <w:r>
                    <w:rPr>
                      <w:rFonts w:hint="eastAsia"/>
                      <w:lang w:eastAsia="zh-CN"/>
                    </w:rPr>
                    <w:t>、</w:t>
                  </w:r>
                  <w:r>
                    <w:rPr>
                      <w:rFonts w:hint="eastAsia"/>
                      <w:lang w:val="en-US" w:eastAsia="zh-CN"/>
                    </w:rPr>
                    <w:t>封闭区</w:t>
                  </w:r>
                  <w:r>
                    <w:rPr>
                      <w:rFonts w:hint="eastAsia" w:cs="Times New Roman"/>
                      <w:kern w:val="0"/>
                      <w:sz w:val="21"/>
                      <w:szCs w:val="21"/>
                      <w:lang w:eastAsia="zh-CN"/>
                    </w:rPr>
                    <w:t>防渗要求</w:t>
                  </w:r>
                  <w:r>
                    <w:rPr>
                      <w:rFonts w:hint="default" w:ascii="Times New Roman" w:hAnsi="Times New Roman" w:eastAsia="宋体" w:cs="Times New Roman"/>
                      <w:color w:val="auto"/>
                      <w:kern w:val="0"/>
                      <w:sz w:val="21"/>
                      <w:szCs w:val="21"/>
                      <w:lang w:val="en-US" w:eastAsia="zh-CN" w:bidi="ar-SA"/>
                    </w:rPr>
                    <w:t>等效黏土防渗层Mb≥6.0m，渗透系数K≤10</w:t>
                  </w:r>
                  <w:r>
                    <w:rPr>
                      <w:rFonts w:hint="default" w:ascii="Times New Roman" w:hAnsi="Times New Roman" w:eastAsia="宋体" w:cs="Times New Roman"/>
                      <w:color w:val="auto"/>
                      <w:kern w:val="0"/>
                      <w:sz w:val="21"/>
                      <w:szCs w:val="21"/>
                      <w:vertAlign w:val="superscript"/>
                      <w:lang w:val="en-US" w:eastAsia="zh-CN" w:bidi="ar-SA"/>
                    </w:rPr>
                    <w:t>-7</w:t>
                  </w:r>
                  <w:r>
                    <w:rPr>
                      <w:rFonts w:hint="default" w:ascii="Times New Roman" w:hAnsi="Times New Roman" w:eastAsia="宋体" w:cs="Times New Roman"/>
                      <w:color w:val="auto"/>
                      <w:kern w:val="0"/>
                      <w:sz w:val="21"/>
                      <w:szCs w:val="21"/>
                      <w:lang w:val="en-US" w:eastAsia="zh-CN" w:bidi="ar-SA"/>
                    </w:rPr>
                    <w:t>cm/s</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kern w:val="0"/>
                      <w:sz w:val="21"/>
                      <w:szCs w:val="21"/>
                    </w:rPr>
                    <w:t>危废暂存</w:t>
                  </w:r>
                  <w:r>
                    <w:rPr>
                      <w:rFonts w:hint="eastAsia" w:cs="Times New Roman"/>
                      <w:kern w:val="0"/>
                      <w:sz w:val="21"/>
                      <w:szCs w:val="21"/>
                      <w:lang w:eastAsia="zh-CN"/>
                    </w:rPr>
                    <w:t>间</w:t>
                  </w:r>
                  <w:r>
                    <w:rPr>
                      <w:rFonts w:hint="default" w:ascii="Times New Roman" w:hAnsi="Times New Roman" w:eastAsia="宋体" w:cs="Times New Roman"/>
                      <w:kern w:val="0"/>
                      <w:sz w:val="21"/>
                      <w:szCs w:val="21"/>
                    </w:rPr>
                    <w:t>严格按照《危险废物贮存污染物控制标准》（GB18597—2023）的相关要求建设</w:t>
                  </w:r>
                  <w:r>
                    <w:rPr>
                      <w:rFonts w:hint="eastAsia" w:cs="Times New Roman"/>
                      <w:kern w:val="0"/>
                      <w:sz w:val="21"/>
                      <w:szCs w:val="21"/>
                      <w:lang w:eastAsia="zh-CN"/>
                    </w:rPr>
                    <w:t>，要求</w:t>
                  </w:r>
                  <w:r>
                    <w:rPr>
                      <w:rFonts w:hint="default" w:ascii="Times New Roman" w:hAnsi="Times New Roman" w:eastAsia="宋体" w:cs="Times New Roman"/>
                      <w:color w:val="auto"/>
                      <w:kern w:val="0"/>
                      <w:sz w:val="21"/>
                      <w:szCs w:val="21"/>
                      <w:lang w:val="en-US" w:eastAsia="zh-CN" w:bidi="ar-SA"/>
                    </w:rPr>
                    <w:t>等效黏土防渗层Mb≥6.0m，渗透系数K≤10</w:t>
                  </w:r>
                  <w:r>
                    <w:rPr>
                      <w:rFonts w:hint="default" w:ascii="Times New Roman" w:hAnsi="Times New Roman" w:eastAsia="宋体" w:cs="Times New Roman"/>
                      <w:color w:val="auto"/>
                      <w:kern w:val="0"/>
                      <w:sz w:val="21"/>
                      <w:szCs w:val="21"/>
                      <w:vertAlign w:val="superscript"/>
                      <w:lang w:val="en-US" w:eastAsia="zh-CN" w:bidi="ar-SA"/>
                    </w:rPr>
                    <w:t>-10</w:t>
                  </w:r>
                  <w:r>
                    <w:rPr>
                      <w:rFonts w:hint="default" w:ascii="Times New Roman" w:hAnsi="Times New Roman" w:eastAsia="宋体" w:cs="Times New Roman"/>
                      <w:color w:val="auto"/>
                      <w:kern w:val="0"/>
                      <w:sz w:val="21"/>
                      <w:szCs w:val="21"/>
                      <w:lang w:val="en-US" w:eastAsia="zh-CN" w:bidi="ar-SA"/>
                    </w:rPr>
                    <w:t>cm/s</w:t>
                  </w:r>
                  <w:r>
                    <w:rPr>
                      <w:rFonts w:hint="default" w:ascii="Times New Roman" w:hAnsi="Times New Roman" w:eastAsia="宋体" w:cs="Times New Roman"/>
                      <w:kern w:val="0"/>
                      <w:sz w:val="21"/>
                      <w:szCs w:val="21"/>
                    </w:rPr>
                    <w:t>，防止危险废物对地下水造成威胁。车间厂房、一般固废暂存库为一般防渗区，防渗层的防渗性能</w:t>
                  </w:r>
                  <w:r>
                    <w:rPr>
                      <w:rFonts w:hint="eastAsia" w:cs="Times New Roman"/>
                      <w:kern w:val="0"/>
                      <w:sz w:val="21"/>
                      <w:szCs w:val="21"/>
                      <w:lang w:eastAsia="zh-CN"/>
                    </w:rPr>
                    <w:t>要求</w:t>
                  </w:r>
                  <w:r>
                    <w:rPr>
                      <w:rFonts w:hint="default" w:ascii="Times New Roman" w:hAnsi="Times New Roman" w:eastAsia="宋体" w:cs="Times New Roman"/>
                      <w:color w:val="000000"/>
                      <w:kern w:val="0"/>
                      <w:sz w:val="21"/>
                      <w:szCs w:val="21"/>
                      <w:lang w:val="en-US" w:eastAsia="zh-CN" w:bidi="ar-SA"/>
                    </w:rPr>
                    <w:t>等效黏土防渗层Mb≥1.5m，K≤1×10</w:t>
                  </w:r>
                  <w:r>
                    <w:rPr>
                      <w:rFonts w:hint="default" w:ascii="Times New Roman" w:hAnsi="Times New Roman" w:eastAsia="宋体" w:cs="Times New Roman"/>
                      <w:color w:val="000000"/>
                      <w:kern w:val="0"/>
                      <w:sz w:val="21"/>
                      <w:szCs w:val="21"/>
                      <w:vertAlign w:val="superscript"/>
                      <w:lang w:val="en-US" w:eastAsia="zh-CN" w:bidi="ar-SA"/>
                    </w:rPr>
                    <w:t>-7</w:t>
                  </w:r>
                  <w:r>
                    <w:rPr>
                      <w:rFonts w:hint="default" w:ascii="Times New Roman" w:hAnsi="Times New Roman" w:eastAsia="宋体" w:cs="Times New Roman"/>
                      <w:color w:val="000000"/>
                      <w:kern w:val="0"/>
                      <w:sz w:val="21"/>
                      <w:szCs w:val="21"/>
                      <w:lang w:val="en-US" w:eastAsia="zh-CN" w:bidi="ar-SA"/>
                    </w:rPr>
                    <w:t>cm/s</w:t>
                  </w:r>
                  <w:r>
                    <w:rPr>
                      <w:rFonts w:hint="default" w:ascii="Times New Roman" w:hAnsi="Times New Roman" w:eastAsia="宋体" w:cs="Times New Roman"/>
                      <w:kern w:val="0"/>
                      <w:sz w:val="21"/>
                      <w:szCs w:val="21"/>
                    </w:rPr>
                    <w:t>。</w:t>
                  </w:r>
                </w:p>
              </w:tc>
              <w:tc>
                <w:tcPr>
                  <w:tcW w:w="969" w:type="pct"/>
                  <w:noWrap w:val="0"/>
                  <w:vAlign w:val="center"/>
                </w:tcPr>
                <w:p w14:paraId="1E28F6EB">
                  <w:pPr>
                    <w:keepNext w:val="0"/>
                    <w:keepLines w:val="0"/>
                    <w:pageBreakBefore w:val="0"/>
                    <w:kinsoku/>
                    <w:wordWrap/>
                    <w:overflowPunct w:val="0"/>
                    <w:topLinePunct w:val="0"/>
                    <w:autoSpaceDE/>
                    <w:autoSpaceDN/>
                    <w:bidi w:val="0"/>
                    <w:adjustRightInd w:val="0"/>
                    <w:snapToGrid w:val="0"/>
                    <w:ind w:left="0" w:firstLine="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bl>
          <w:p w14:paraId="181FC6A2">
            <w:pPr>
              <w:adjustRightInd w:val="0"/>
              <w:snapToGrid w:val="0"/>
              <w:spacing w:line="360" w:lineRule="auto"/>
              <w:ind w:firstLine="482" w:firstLineChars="200"/>
              <w:rPr>
                <w:rFonts w:hint="eastAsia"/>
                <w:b/>
                <w:bCs/>
                <w:sz w:val="24"/>
              </w:rPr>
            </w:pPr>
            <w:r>
              <w:rPr>
                <w:b/>
                <w:bCs/>
                <w:sz w:val="24"/>
              </w:rPr>
              <w:t>2.3产品方案</w:t>
            </w:r>
            <w:r>
              <w:rPr>
                <w:rFonts w:hint="eastAsia"/>
                <w:b/>
                <w:bCs/>
                <w:sz w:val="24"/>
              </w:rPr>
              <w:t>及质量标准</w:t>
            </w:r>
          </w:p>
          <w:p w14:paraId="12DA08F2">
            <w:pPr>
              <w:adjustRightInd w:val="0"/>
              <w:snapToGrid w:val="0"/>
              <w:spacing w:line="360" w:lineRule="auto"/>
              <w:ind w:firstLine="480" w:firstLineChars="200"/>
              <w:rPr>
                <w:sz w:val="24"/>
              </w:rPr>
            </w:pPr>
            <w:r>
              <w:rPr>
                <w:rFonts w:hint="eastAsia"/>
                <w:sz w:val="24"/>
              </w:rPr>
              <w:t>本项目产能为年产6500吨铁路混凝土箱型梁预埋件加工工及其PCA防腐的生产能力。</w:t>
            </w:r>
          </w:p>
          <w:p w14:paraId="6459E2A5">
            <w:pPr>
              <w:widowControl/>
              <w:numPr>
                <w:ilvl w:val="0"/>
                <w:numId w:val="2"/>
              </w:numPr>
              <w:jc w:val="center"/>
              <w:rPr>
                <w:b/>
                <w:kern w:val="0"/>
                <w:szCs w:val="21"/>
              </w:rPr>
            </w:pPr>
            <w:r>
              <w:rPr>
                <w:b/>
                <w:kern w:val="0"/>
                <w:szCs w:val="21"/>
              </w:rPr>
              <w:t>项目</w:t>
            </w:r>
            <w:r>
              <w:rPr>
                <w:rFonts w:hint="eastAsia"/>
                <w:b/>
                <w:kern w:val="0"/>
                <w:szCs w:val="21"/>
              </w:rPr>
              <w:t>产品方案</w:t>
            </w:r>
            <w:r>
              <w:rPr>
                <w:b/>
                <w:kern w:val="0"/>
                <w:szCs w:val="21"/>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044"/>
              <w:gridCol w:w="2315"/>
              <w:gridCol w:w="1202"/>
              <w:gridCol w:w="1353"/>
              <w:gridCol w:w="1863"/>
            </w:tblGrid>
            <w:tr w14:paraId="1DBA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noWrap w:val="0"/>
                  <w:vAlign w:val="center"/>
                </w:tcPr>
                <w:p w14:paraId="2FBC2C38">
                  <w:pPr>
                    <w:spacing w:line="340" w:lineRule="exact"/>
                    <w:jc w:val="center"/>
                    <w:rPr>
                      <w:b/>
                      <w:szCs w:val="21"/>
                    </w:rPr>
                  </w:pPr>
                  <w:r>
                    <w:rPr>
                      <w:b/>
                      <w:szCs w:val="21"/>
                    </w:rPr>
                    <w:t>序号</w:t>
                  </w:r>
                </w:p>
              </w:tc>
              <w:tc>
                <w:tcPr>
                  <w:tcW w:w="621" w:type="pct"/>
                  <w:noWrap w:val="0"/>
                  <w:vAlign w:val="center"/>
                </w:tcPr>
                <w:p w14:paraId="682048A6">
                  <w:pPr>
                    <w:spacing w:line="340" w:lineRule="exact"/>
                    <w:jc w:val="center"/>
                    <w:rPr>
                      <w:rFonts w:hint="eastAsia"/>
                      <w:b/>
                      <w:szCs w:val="21"/>
                    </w:rPr>
                  </w:pPr>
                  <w:r>
                    <w:rPr>
                      <w:rFonts w:hint="eastAsia"/>
                      <w:b/>
                      <w:szCs w:val="21"/>
                    </w:rPr>
                    <w:t>生产线编号</w:t>
                  </w:r>
                </w:p>
              </w:tc>
              <w:tc>
                <w:tcPr>
                  <w:tcW w:w="1377" w:type="pct"/>
                  <w:noWrap w:val="0"/>
                  <w:vAlign w:val="center"/>
                </w:tcPr>
                <w:p w14:paraId="477AD886">
                  <w:pPr>
                    <w:jc w:val="center"/>
                    <w:rPr>
                      <w:b/>
                      <w:szCs w:val="21"/>
                    </w:rPr>
                  </w:pPr>
                  <w:r>
                    <w:rPr>
                      <w:b/>
                      <w:szCs w:val="21"/>
                    </w:rPr>
                    <w:t>产品名称</w:t>
                  </w:r>
                </w:p>
              </w:tc>
              <w:tc>
                <w:tcPr>
                  <w:tcW w:w="715" w:type="pct"/>
                  <w:noWrap w:val="0"/>
                  <w:vAlign w:val="center"/>
                </w:tcPr>
                <w:p w14:paraId="35A7CACF">
                  <w:pPr>
                    <w:jc w:val="center"/>
                    <w:rPr>
                      <w:b/>
                      <w:szCs w:val="21"/>
                    </w:rPr>
                  </w:pPr>
                  <w:r>
                    <w:rPr>
                      <w:rFonts w:hint="eastAsia"/>
                      <w:b/>
                      <w:szCs w:val="21"/>
                    </w:rPr>
                    <w:t>计量</w:t>
                  </w:r>
                  <w:r>
                    <w:rPr>
                      <w:b/>
                      <w:szCs w:val="21"/>
                    </w:rPr>
                    <w:t>单位</w:t>
                  </w:r>
                </w:p>
              </w:tc>
              <w:tc>
                <w:tcPr>
                  <w:tcW w:w="805" w:type="pct"/>
                  <w:noWrap w:val="0"/>
                  <w:vAlign w:val="center"/>
                </w:tcPr>
                <w:p w14:paraId="2389184E">
                  <w:pPr>
                    <w:jc w:val="center"/>
                    <w:rPr>
                      <w:rFonts w:hint="eastAsia"/>
                      <w:b/>
                      <w:szCs w:val="21"/>
                    </w:rPr>
                  </w:pPr>
                  <w:r>
                    <w:rPr>
                      <w:rFonts w:hint="eastAsia"/>
                      <w:b/>
                      <w:szCs w:val="21"/>
                    </w:rPr>
                    <w:t>年生产能力</w:t>
                  </w:r>
                </w:p>
              </w:tc>
              <w:tc>
                <w:tcPr>
                  <w:tcW w:w="1108" w:type="pct"/>
                  <w:noWrap w:val="0"/>
                  <w:vAlign w:val="center"/>
                </w:tcPr>
                <w:p w14:paraId="3328FFBF">
                  <w:pPr>
                    <w:jc w:val="center"/>
                    <w:rPr>
                      <w:rFonts w:hint="eastAsia"/>
                      <w:b/>
                      <w:szCs w:val="21"/>
                    </w:rPr>
                  </w:pPr>
                  <w:r>
                    <w:rPr>
                      <w:rFonts w:hint="eastAsia"/>
                      <w:b/>
                      <w:szCs w:val="21"/>
                    </w:rPr>
                    <w:t>设计年生产时间</w:t>
                  </w:r>
                </w:p>
              </w:tc>
            </w:tr>
            <w:tr w14:paraId="41F4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noWrap w:val="0"/>
                  <w:vAlign w:val="center"/>
                </w:tcPr>
                <w:p w14:paraId="79D2FA33">
                  <w:pPr>
                    <w:spacing w:line="340" w:lineRule="exact"/>
                    <w:jc w:val="center"/>
                    <w:rPr>
                      <w:bCs/>
                      <w:szCs w:val="21"/>
                    </w:rPr>
                  </w:pPr>
                  <w:r>
                    <w:rPr>
                      <w:bCs/>
                      <w:szCs w:val="21"/>
                    </w:rPr>
                    <w:t>1</w:t>
                  </w:r>
                </w:p>
              </w:tc>
              <w:tc>
                <w:tcPr>
                  <w:tcW w:w="621" w:type="pct"/>
                  <w:noWrap w:val="0"/>
                  <w:vAlign w:val="center"/>
                </w:tcPr>
                <w:p w14:paraId="3AFC7CCD">
                  <w:pPr>
                    <w:widowControl/>
                    <w:jc w:val="center"/>
                    <w:textAlignment w:val="center"/>
                    <w:rPr>
                      <w:bCs/>
                      <w:szCs w:val="21"/>
                    </w:rPr>
                  </w:pPr>
                  <w:r>
                    <w:rPr>
                      <w:kern w:val="0"/>
                      <w:szCs w:val="21"/>
                      <w:lang w:bidi="ar"/>
                    </w:rPr>
                    <w:t>SCX001</w:t>
                  </w:r>
                </w:p>
              </w:tc>
              <w:tc>
                <w:tcPr>
                  <w:tcW w:w="1377" w:type="pct"/>
                  <w:noWrap w:val="0"/>
                  <w:vAlign w:val="center"/>
                </w:tcPr>
                <w:p w14:paraId="04393239">
                  <w:pPr>
                    <w:spacing w:line="340" w:lineRule="exact"/>
                    <w:jc w:val="center"/>
                    <w:rPr>
                      <w:bCs/>
                      <w:szCs w:val="21"/>
                    </w:rPr>
                  </w:pPr>
                  <w:r>
                    <w:rPr>
                      <w:rFonts w:hint="eastAsia"/>
                      <w:szCs w:val="21"/>
                    </w:rPr>
                    <w:t>铁路混凝土箱型梁预埋件</w:t>
                  </w:r>
                </w:p>
              </w:tc>
              <w:tc>
                <w:tcPr>
                  <w:tcW w:w="715" w:type="pct"/>
                  <w:noWrap w:val="0"/>
                  <w:vAlign w:val="center"/>
                </w:tcPr>
                <w:p w14:paraId="518B6DED">
                  <w:pPr>
                    <w:spacing w:line="340" w:lineRule="exact"/>
                    <w:jc w:val="center"/>
                    <w:rPr>
                      <w:rFonts w:hint="eastAsia"/>
                      <w:bCs/>
                      <w:szCs w:val="21"/>
                    </w:rPr>
                  </w:pPr>
                  <w:r>
                    <w:rPr>
                      <w:rFonts w:hint="eastAsia"/>
                      <w:bCs/>
                      <w:szCs w:val="21"/>
                    </w:rPr>
                    <w:t>吨</w:t>
                  </w:r>
                </w:p>
              </w:tc>
              <w:tc>
                <w:tcPr>
                  <w:tcW w:w="805" w:type="pct"/>
                  <w:noWrap w:val="0"/>
                  <w:vAlign w:val="center"/>
                </w:tcPr>
                <w:p w14:paraId="462145A8">
                  <w:pPr>
                    <w:spacing w:line="340" w:lineRule="exact"/>
                    <w:jc w:val="center"/>
                    <w:rPr>
                      <w:rFonts w:hint="eastAsia"/>
                      <w:spacing w:val="4"/>
                      <w:szCs w:val="21"/>
                    </w:rPr>
                  </w:pPr>
                  <w:r>
                    <w:rPr>
                      <w:rFonts w:hint="eastAsia"/>
                      <w:spacing w:val="4"/>
                      <w:szCs w:val="21"/>
                    </w:rPr>
                    <w:t>6500</w:t>
                  </w:r>
                </w:p>
              </w:tc>
              <w:tc>
                <w:tcPr>
                  <w:tcW w:w="1108" w:type="pct"/>
                  <w:noWrap w:val="0"/>
                  <w:vAlign w:val="center"/>
                </w:tcPr>
                <w:p w14:paraId="521E5699">
                  <w:pPr>
                    <w:spacing w:line="340" w:lineRule="exact"/>
                    <w:jc w:val="center"/>
                    <w:rPr>
                      <w:spacing w:val="4"/>
                      <w:szCs w:val="21"/>
                    </w:rPr>
                  </w:pPr>
                  <w:r>
                    <w:rPr>
                      <w:rFonts w:hint="eastAsia"/>
                      <w:spacing w:val="4"/>
                      <w:szCs w:val="21"/>
                    </w:rPr>
                    <w:t>3000h</w:t>
                  </w:r>
                </w:p>
              </w:tc>
            </w:tr>
          </w:tbl>
          <w:p w14:paraId="4DE88EF1">
            <w:pPr>
              <w:adjustRightInd w:val="0"/>
              <w:snapToGrid w:val="0"/>
              <w:spacing w:line="360" w:lineRule="auto"/>
              <w:ind w:firstLine="482" w:firstLineChars="200"/>
              <w:rPr>
                <w:b/>
                <w:bCs/>
                <w:sz w:val="24"/>
              </w:rPr>
            </w:pPr>
            <w:r>
              <w:rPr>
                <w:b/>
                <w:bCs/>
                <w:sz w:val="24"/>
              </w:rPr>
              <w:t>2.4项目主要生产设备</w:t>
            </w:r>
            <w:r>
              <w:rPr>
                <w:rFonts w:hint="eastAsia"/>
                <w:b/>
                <w:bCs/>
                <w:sz w:val="24"/>
              </w:rPr>
              <w:t>及参数</w:t>
            </w:r>
          </w:p>
          <w:p w14:paraId="58737F59">
            <w:pPr>
              <w:widowControl/>
              <w:numPr>
                <w:ilvl w:val="0"/>
                <w:numId w:val="2"/>
              </w:numPr>
              <w:jc w:val="center"/>
              <w:rPr>
                <w:b/>
                <w:kern w:val="0"/>
                <w:szCs w:val="21"/>
              </w:rPr>
            </w:pPr>
            <w:r>
              <w:rPr>
                <w:b/>
                <w:kern w:val="0"/>
                <w:szCs w:val="21"/>
              </w:rPr>
              <w:t>项目主要生产设施及参数一览表</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30"/>
              <w:gridCol w:w="518"/>
              <w:gridCol w:w="555"/>
              <w:gridCol w:w="780"/>
              <w:gridCol w:w="1503"/>
              <w:gridCol w:w="1456"/>
              <w:gridCol w:w="1019"/>
              <w:gridCol w:w="1162"/>
              <w:gridCol w:w="1081"/>
            </w:tblGrid>
            <w:tr w14:paraId="73691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restart"/>
                  <w:noWrap w:val="0"/>
                  <w:tcMar>
                    <w:top w:w="12" w:type="dxa"/>
                    <w:left w:w="12" w:type="dxa"/>
                    <w:right w:w="12" w:type="dxa"/>
                  </w:tcMar>
                  <w:vAlign w:val="center"/>
                </w:tcPr>
                <w:p w14:paraId="2D610558">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序号</w:t>
                  </w:r>
                </w:p>
              </w:tc>
              <w:tc>
                <w:tcPr>
                  <w:tcW w:w="308" w:type="pct"/>
                  <w:vMerge w:val="restart"/>
                  <w:noWrap w:val="0"/>
                  <w:tcMar>
                    <w:top w:w="12" w:type="dxa"/>
                    <w:left w:w="12" w:type="dxa"/>
                    <w:right w:w="12" w:type="dxa"/>
                  </w:tcMar>
                  <w:vAlign w:val="center"/>
                </w:tcPr>
                <w:p w14:paraId="1D4EB453">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生产线编号</w:t>
                  </w:r>
                </w:p>
              </w:tc>
              <w:tc>
                <w:tcPr>
                  <w:tcW w:w="330" w:type="pct"/>
                  <w:vMerge w:val="restart"/>
                  <w:noWrap w:val="0"/>
                  <w:tcMar>
                    <w:top w:w="12" w:type="dxa"/>
                    <w:left w:w="12" w:type="dxa"/>
                    <w:right w:w="12" w:type="dxa"/>
                  </w:tcMar>
                  <w:vAlign w:val="center"/>
                </w:tcPr>
                <w:p w14:paraId="1001A8E7">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生产单元</w:t>
                  </w:r>
                </w:p>
              </w:tc>
              <w:tc>
                <w:tcPr>
                  <w:tcW w:w="464" w:type="pct"/>
                  <w:vMerge w:val="restart"/>
                  <w:noWrap w:val="0"/>
                  <w:tcMar>
                    <w:top w:w="12" w:type="dxa"/>
                    <w:left w:w="12" w:type="dxa"/>
                    <w:right w:w="12" w:type="dxa"/>
                  </w:tcMar>
                  <w:vAlign w:val="center"/>
                </w:tcPr>
                <w:p w14:paraId="51D03F1F">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主要工艺名称</w:t>
                  </w:r>
                </w:p>
              </w:tc>
              <w:tc>
                <w:tcPr>
                  <w:tcW w:w="894" w:type="pct"/>
                  <w:vMerge w:val="restart"/>
                  <w:noWrap w:val="0"/>
                  <w:tcMar>
                    <w:top w:w="12" w:type="dxa"/>
                    <w:left w:w="12" w:type="dxa"/>
                    <w:right w:w="12" w:type="dxa"/>
                  </w:tcMar>
                  <w:vAlign w:val="center"/>
                </w:tcPr>
                <w:p w14:paraId="772A2CD9">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生产设施名称</w:t>
                  </w:r>
                </w:p>
              </w:tc>
              <w:tc>
                <w:tcPr>
                  <w:tcW w:w="2806" w:type="pct"/>
                  <w:gridSpan w:val="4"/>
                  <w:noWrap w:val="0"/>
                  <w:vAlign w:val="top"/>
                </w:tcPr>
                <w:p w14:paraId="0CF51D01">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设施参数</w:t>
                  </w:r>
                </w:p>
              </w:tc>
            </w:tr>
            <w:tr w14:paraId="543D1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51C8B97">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FB66374">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82878A9">
                  <w:pPr>
                    <w:jc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3096AD0F">
                  <w:pPr>
                    <w:jc w:val="center"/>
                    <w:rPr>
                      <w:rFonts w:hint="default" w:ascii="Times New Roman" w:hAnsi="Times New Roman" w:eastAsia="宋体" w:cs="Times New Roman"/>
                      <w:sz w:val="21"/>
                      <w:szCs w:val="21"/>
                    </w:rPr>
                  </w:pPr>
                </w:p>
              </w:tc>
              <w:tc>
                <w:tcPr>
                  <w:tcW w:w="894" w:type="pct"/>
                  <w:vMerge w:val="continue"/>
                  <w:noWrap w:val="0"/>
                  <w:tcMar>
                    <w:top w:w="12" w:type="dxa"/>
                    <w:left w:w="12" w:type="dxa"/>
                    <w:right w:w="12" w:type="dxa"/>
                  </w:tcMar>
                  <w:vAlign w:val="center"/>
                </w:tcPr>
                <w:p w14:paraId="2174B60B">
                  <w:pPr>
                    <w:jc w:val="center"/>
                    <w:rPr>
                      <w:rFonts w:hint="default" w:ascii="Times New Roman" w:hAnsi="Times New Roman" w:eastAsia="宋体" w:cs="Times New Roman"/>
                      <w:sz w:val="21"/>
                      <w:szCs w:val="21"/>
                    </w:rPr>
                  </w:pPr>
                </w:p>
              </w:tc>
              <w:tc>
                <w:tcPr>
                  <w:tcW w:w="866" w:type="pct"/>
                  <w:noWrap w:val="0"/>
                  <w:tcMar>
                    <w:top w:w="12" w:type="dxa"/>
                    <w:left w:w="12" w:type="dxa"/>
                    <w:right w:w="12" w:type="dxa"/>
                  </w:tcMar>
                  <w:vAlign w:val="center"/>
                </w:tcPr>
                <w:p w14:paraId="247A35FD">
                  <w:pPr>
                    <w:widowControl/>
                    <w:jc w:val="center"/>
                    <w:textAlignment w:val="center"/>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参数名称</w:t>
                  </w:r>
                </w:p>
              </w:tc>
              <w:tc>
                <w:tcPr>
                  <w:tcW w:w="606" w:type="pct"/>
                  <w:noWrap w:val="0"/>
                  <w:tcMar>
                    <w:top w:w="12" w:type="dxa"/>
                    <w:left w:w="12" w:type="dxa"/>
                    <w:right w:w="12" w:type="dxa"/>
                  </w:tcMar>
                  <w:vAlign w:val="center"/>
                </w:tcPr>
                <w:p w14:paraId="52C725E8">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计量单位</w:t>
                  </w:r>
                </w:p>
              </w:tc>
              <w:tc>
                <w:tcPr>
                  <w:tcW w:w="691" w:type="pct"/>
                  <w:noWrap w:val="0"/>
                  <w:vAlign w:val="center"/>
                </w:tcPr>
                <w:p w14:paraId="110291B2">
                  <w:pPr>
                    <w:widowControl/>
                    <w:jc w:val="center"/>
                    <w:textAlignment w:val="center"/>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设计值</w:t>
                  </w:r>
                </w:p>
              </w:tc>
              <w:tc>
                <w:tcPr>
                  <w:tcW w:w="643" w:type="pct"/>
                  <w:noWrap w:val="0"/>
                  <w:tcMar>
                    <w:top w:w="12" w:type="dxa"/>
                    <w:left w:w="12" w:type="dxa"/>
                    <w:right w:w="12" w:type="dxa"/>
                  </w:tcMar>
                  <w:vAlign w:val="center"/>
                </w:tcPr>
                <w:p w14:paraId="38E3226A">
                  <w:pPr>
                    <w:widowControl/>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其他设施参数信息</w:t>
                  </w:r>
                </w:p>
              </w:tc>
            </w:tr>
            <w:tr w14:paraId="4A8B5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restart"/>
                  <w:noWrap w:val="0"/>
                  <w:tcMar>
                    <w:top w:w="12" w:type="dxa"/>
                    <w:left w:w="12" w:type="dxa"/>
                    <w:right w:w="12" w:type="dxa"/>
                  </w:tcMar>
                  <w:vAlign w:val="center"/>
                </w:tcPr>
                <w:p w14:paraId="09D4768D">
                  <w:pPr>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1</w:t>
                  </w:r>
                </w:p>
              </w:tc>
              <w:tc>
                <w:tcPr>
                  <w:tcW w:w="308" w:type="pct"/>
                  <w:vMerge w:val="restart"/>
                  <w:noWrap w:val="0"/>
                  <w:tcMar>
                    <w:top w:w="12" w:type="dxa"/>
                    <w:left w:w="12" w:type="dxa"/>
                    <w:right w:w="12" w:type="dxa"/>
                  </w:tcMar>
                  <w:vAlign w:val="center"/>
                </w:tcPr>
                <w:p w14:paraId="481D1A0E">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SCX</w:t>
                  </w:r>
                </w:p>
                <w:p w14:paraId="2156B51D">
                  <w:pPr>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001</w:t>
                  </w:r>
                </w:p>
              </w:tc>
              <w:tc>
                <w:tcPr>
                  <w:tcW w:w="330" w:type="pct"/>
                  <w:vMerge w:val="restart"/>
                  <w:noWrap w:val="0"/>
                  <w:tcMar>
                    <w:top w:w="12" w:type="dxa"/>
                    <w:left w:w="12" w:type="dxa"/>
                    <w:right w:w="12" w:type="dxa"/>
                  </w:tcMar>
                  <w:vAlign w:val="center"/>
                </w:tcPr>
                <w:p w14:paraId="2A27F91A">
                  <w:pPr>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下料</w:t>
                  </w:r>
                </w:p>
              </w:tc>
              <w:tc>
                <w:tcPr>
                  <w:tcW w:w="464" w:type="pct"/>
                  <w:vMerge w:val="restart"/>
                  <w:noWrap w:val="0"/>
                  <w:tcMar>
                    <w:top w:w="12" w:type="dxa"/>
                    <w:left w:w="12" w:type="dxa"/>
                    <w:right w:w="12" w:type="dxa"/>
                  </w:tcMar>
                  <w:vAlign w:val="center"/>
                </w:tcPr>
                <w:p w14:paraId="413195D9">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切割下料</w:t>
                  </w:r>
                </w:p>
              </w:tc>
              <w:tc>
                <w:tcPr>
                  <w:tcW w:w="894" w:type="pct"/>
                  <w:noWrap w:val="0"/>
                  <w:tcMar>
                    <w:top w:w="12" w:type="dxa"/>
                    <w:left w:w="12" w:type="dxa"/>
                    <w:right w:w="12" w:type="dxa"/>
                  </w:tcMar>
                  <w:vAlign w:val="center"/>
                </w:tcPr>
                <w:p w14:paraId="71AFF915">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等离子弧切料机</w:t>
                  </w:r>
                </w:p>
              </w:tc>
              <w:tc>
                <w:tcPr>
                  <w:tcW w:w="866" w:type="pct"/>
                  <w:noWrap w:val="0"/>
                  <w:tcMar>
                    <w:top w:w="12" w:type="dxa"/>
                    <w:left w:w="12" w:type="dxa"/>
                    <w:right w:w="12" w:type="dxa"/>
                  </w:tcMar>
                  <w:vAlign w:val="center"/>
                </w:tcPr>
                <w:p w14:paraId="35C140BA">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w:t>
                  </w:r>
                </w:p>
              </w:tc>
              <w:tc>
                <w:tcPr>
                  <w:tcW w:w="606" w:type="pct"/>
                  <w:noWrap w:val="0"/>
                  <w:tcMar>
                    <w:top w:w="12" w:type="dxa"/>
                    <w:left w:w="12" w:type="dxa"/>
                    <w:right w:w="12" w:type="dxa"/>
                  </w:tcMar>
                  <w:vAlign w:val="center"/>
                </w:tcPr>
                <w:p w14:paraId="28F49AF1">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691" w:type="pct"/>
                  <w:noWrap w:val="0"/>
                  <w:vAlign w:val="center"/>
                </w:tcPr>
                <w:p w14:paraId="3BEDF5A9">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c>
                <w:tcPr>
                  <w:tcW w:w="643" w:type="pct"/>
                  <w:noWrap w:val="0"/>
                  <w:tcMar>
                    <w:top w:w="12" w:type="dxa"/>
                    <w:left w:w="12" w:type="dxa"/>
                    <w:right w:w="12" w:type="dxa"/>
                  </w:tcMar>
                  <w:vAlign w:val="center"/>
                </w:tcPr>
                <w:p w14:paraId="6249598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共2台</w:t>
                  </w:r>
                </w:p>
              </w:tc>
            </w:tr>
            <w:tr w14:paraId="21AA2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62EB6D4">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70433CC">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77C67BF">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045AEFDF">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4D4C686C">
                  <w:pPr>
                    <w:widowControl/>
                    <w:tabs>
                      <w:tab w:val="left" w:pos="509"/>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光纤激光切割机</w:t>
                  </w:r>
                </w:p>
              </w:tc>
              <w:tc>
                <w:tcPr>
                  <w:tcW w:w="866" w:type="pct"/>
                  <w:noWrap w:val="0"/>
                  <w:tcMar>
                    <w:top w:w="12" w:type="dxa"/>
                    <w:left w:w="12" w:type="dxa"/>
                    <w:right w:w="12" w:type="dxa"/>
                  </w:tcMar>
                  <w:vAlign w:val="center"/>
                </w:tcPr>
                <w:p w14:paraId="04A57ACC">
                  <w:pPr>
                    <w:widowControl/>
                    <w:tabs>
                      <w:tab w:val="left" w:pos="389"/>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切割速度</w:t>
                  </w:r>
                </w:p>
              </w:tc>
              <w:tc>
                <w:tcPr>
                  <w:tcW w:w="606" w:type="pct"/>
                  <w:noWrap w:val="0"/>
                  <w:tcMar>
                    <w:top w:w="12" w:type="dxa"/>
                    <w:left w:w="12" w:type="dxa"/>
                    <w:right w:w="12" w:type="dxa"/>
                  </w:tcMar>
                  <w:vAlign w:val="center"/>
                </w:tcPr>
                <w:p w14:paraId="53D39E31">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mm/min</w:t>
                  </w:r>
                </w:p>
              </w:tc>
              <w:tc>
                <w:tcPr>
                  <w:tcW w:w="691" w:type="pct"/>
                  <w:noWrap w:val="0"/>
                  <w:vAlign w:val="center"/>
                </w:tcPr>
                <w:p w14:paraId="32CBD57E">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50-2000</w:t>
                  </w:r>
                </w:p>
              </w:tc>
              <w:tc>
                <w:tcPr>
                  <w:tcW w:w="643" w:type="pct"/>
                  <w:noWrap w:val="0"/>
                  <w:tcMar>
                    <w:top w:w="12" w:type="dxa"/>
                    <w:left w:w="12" w:type="dxa"/>
                    <w:right w:w="12" w:type="dxa"/>
                  </w:tcMar>
                  <w:vAlign w:val="center"/>
                </w:tcPr>
                <w:p w14:paraId="6706078A">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3FB3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0FCBC42">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2F97001">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503A20B5">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17E1EC9C">
                  <w:pPr>
                    <w:widowControl/>
                    <w:jc w:val="center"/>
                    <w:textAlignment w:val="center"/>
                    <w:rPr>
                      <w:rFonts w:hint="default" w:ascii="Times New Roman" w:hAnsi="Times New Roman" w:eastAsia="宋体" w:cs="Times New Roman"/>
                      <w:sz w:val="21"/>
                      <w:szCs w:val="21"/>
                    </w:rPr>
                  </w:pPr>
                </w:p>
              </w:tc>
              <w:tc>
                <w:tcPr>
                  <w:tcW w:w="894" w:type="pct"/>
                  <w:shd w:val="clear" w:color="auto" w:fill="auto"/>
                  <w:noWrap w:val="0"/>
                  <w:tcMar>
                    <w:top w:w="12" w:type="dxa"/>
                    <w:left w:w="12" w:type="dxa"/>
                    <w:right w:w="12" w:type="dxa"/>
                  </w:tcMar>
                  <w:vAlign w:val="center"/>
                </w:tcPr>
                <w:p w14:paraId="39D75645">
                  <w:pPr>
                    <w:widowControl/>
                    <w:tabs>
                      <w:tab w:val="left" w:pos="509"/>
                    </w:tabs>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数控相贯线切割机</w:t>
                  </w:r>
                </w:p>
              </w:tc>
              <w:tc>
                <w:tcPr>
                  <w:tcW w:w="866" w:type="pct"/>
                  <w:shd w:val="clear" w:color="auto" w:fill="auto"/>
                  <w:noWrap w:val="0"/>
                  <w:tcMar>
                    <w:top w:w="12" w:type="dxa"/>
                    <w:left w:w="12" w:type="dxa"/>
                    <w:right w:w="12" w:type="dxa"/>
                  </w:tcMar>
                  <w:vAlign w:val="center"/>
                </w:tcPr>
                <w:p w14:paraId="1E1AEEA8">
                  <w:pPr>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电流</w:t>
                  </w:r>
                </w:p>
              </w:tc>
              <w:tc>
                <w:tcPr>
                  <w:tcW w:w="606" w:type="pct"/>
                  <w:shd w:val="clear" w:color="auto" w:fill="auto"/>
                  <w:noWrap w:val="0"/>
                  <w:tcMar>
                    <w:top w:w="12" w:type="dxa"/>
                    <w:left w:w="12" w:type="dxa"/>
                    <w:right w:w="12" w:type="dxa"/>
                  </w:tcMar>
                  <w:vAlign w:val="center"/>
                </w:tcPr>
                <w:p w14:paraId="3F3DE4DE">
                  <w:pPr>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A</w:t>
                  </w:r>
                </w:p>
              </w:tc>
              <w:tc>
                <w:tcPr>
                  <w:tcW w:w="691" w:type="pct"/>
                  <w:shd w:val="clear" w:color="auto" w:fill="auto"/>
                  <w:noWrap w:val="0"/>
                  <w:vAlign w:val="center"/>
                </w:tcPr>
                <w:p w14:paraId="6492B705">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150</w:t>
                  </w:r>
                </w:p>
              </w:tc>
              <w:tc>
                <w:tcPr>
                  <w:tcW w:w="643" w:type="pct"/>
                  <w:shd w:val="clear" w:color="auto" w:fill="auto"/>
                  <w:noWrap w:val="0"/>
                  <w:tcMar>
                    <w:top w:w="12" w:type="dxa"/>
                    <w:left w:w="12" w:type="dxa"/>
                    <w:right w:w="12" w:type="dxa"/>
                  </w:tcMar>
                  <w:vAlign w:val="center"/>
                </w:tcPr>
                <w:p w14:paraId="6D7974C6">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共1台</w:t>
                  </w:r>
                </w:p>
              </w:tc>
            </w:tr>
            <w:tr w14:paraId="309FC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D9AAF5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96889E5">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79449E36">
                  <w:pPr>
                    <w:widowControl/>
                    <w:jc w:val="center"/>
                    <w:textAlignment w:val="center"/>
                    <w:rPr>
                      <w:rFonts w:hint="default" w:ascii="Times New Roman" w:hAnsi="Times New Roman" w:eastAsia="宋体" w:cs="Times New Roman"/>
                      <w:sz w:val="21"/>
                      <w:szCs w:val="21"/>
                    </w:rPr>
                  </w:pPr>
                </w:p>
              </w:tc>
              <w:tc>
                <w:tcPr>
                  <w:tcW w:w="464" w:type="pct"/>
                  <w:vMerge w:val="restart"/>
                  <w:noWrap w:val="0"/>
                  <w:tcMar>
                    <w:top w:w="12" w:type="dxa"/>
                    <w:left w:w="12" w:type="dxa"/>
                    <w:right w:w="12" w:type="dxa"/>
                  </w:tcMar>
                  <w:vAlign w:val="center"/>
                </w:tcPr>
                <w:p w14:paraId="68986DEA">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加料</w:t>
                  </w:r>
                </w:p>
              </w:tc>
              <w:tc>
                <w:tcPr>
                  <w:tcW w:w="894" w:type="pct"/>
                  <w:shd w:val="clear" w:color="auto" w:fill="auto"/>
                  <w:noWrap w:val="0"/>
                  <w:tcMar>
                    <w:top w:w="12" w:type="dxa"/>
                    <w:left w:w="12" w:type="dxa"/>
                    <w:right w:w="12" w:type="dxa"/>
                  </w:tcMar>
                  <w:vAlign w:val="center"/>
                </w:tcPr>
                <w:p w14:paraId="4E89EC2A">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吸料上料装置</w:t>
                  </w:r>
                </w:p>
              </w:tc>
              <w:tc>
                <w:tcPr>
                  <w:tcW w:w="866" w:type="pct"/>
                  <w:shd w:val="clear" w:color="auto" w:fill="auto"/>
                  <w:noWrap w:val="0"/>
                  <w:tcMar>
                    <w:top w:w="12" w:type="dxa"/>
                    <w:left w:w="12" w:type="dxa"/>
                    <w:right w:w="12" w:type="dxa"/>
                  </w:tcMar>
                  <w:vAlign w:val="center"/>
                </w:tcPr>
                <w:p w14:paraId="35BBE57D">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额定功率</w:t>
                  </w:r>
                </w:p>
              </w:tc>
              <w:tc>
                <w:tcPr>
                  <w:tcW w:w="606" w:type="pct"/>
                  <w:shd w:val="clear" w:color="auto" w:fill="auto"/>
                  <w:noWrap w:val="0"/>
                  <w:tcMar>
                    <w:top w:w="12" w:type="dxa"/>
                    <w:left w:w="12" w:type="dxa"/>
                    <w:right w:w="12" w:type="dxa"/>
                  </w:tcMar>
                  <w:vAlign w:val="center"/>
                </w:tcPr>
                <w:p w14:paraId="2C2242E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KW</w:t>
                  </w:r>
                </w:p>
              </w:tc>
              <w:tc>
                <w:tcPr>
                  <w:tcW w:w="691" w:type="pct"/>
                  <w:shd w:val="clear" w:color="auto" w:fill="auto"/>
                  <w:noWrap w:val="0"/>
                  <w:vAlign w:val="center"/>
                </w:tcPr>
                <w:p w14:paraId="67FDE67A">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w:t>
                  </w:r>
                </w:p>
              </w:tc>
              <w:tc>
                <w:tcPr>
                  <w:tcW w:w="643" w:type="pct"/>
                  <w:shd w:val="clear" w:color="auto" w:fill="auto"/>
                  <w:noWrap w:val="0"/>
                  <w:tcMar>
                    <w:top w:w="12" w:type="dxa"/>
                    <w:left w:w="12" w:type="dxa"/>
                    <w:right w:w="12" w:type="dxa"/>
                  </w:tcMar>
                  <w:vAlign w:val="center"/>
                </w:tcPr>
                <w:p w14:paraId="129DDC26">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共1台</w:t>
                  </w:r>
                </w:p>
              </w:tc>
            </w:tr>
            <w:tr w14:paraId="62667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0B15CFF1">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18454A1">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191FAAF">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3A569FDB">
                  <w:pPr>
                    <w:widowControl/>
                    <w:jc w:val="center"/>
                    <w:textAlignment w:val="center"/>
                    <w:rPr>
                      <w:rFonts w:hint="default" w:ascii="Times New Roman" w:hAnsi="Times New Roman" w:eastAsia="宋体" w:cs="Times New Roman"/>
                      <w:sz w:val="21"/>
                      <w:szCs w:val="21"/>
                    </w:rPr>
                  </w:pPr>
                </w:p>
              </w:tc>
              <w:tc>
                <w:tcPr>
                  <w:tcW w:w="894" w:type="pct"/>
                  <w:shd w:val="clear" w:color="auto" w:fill="auto"/>
                  <w:noWrap w:val="0"/>
                  <w:tcMar>
                    <w:top w:w="12" w:type="dxa"/>
                    <w:left w:w="12" w:type="dxa"/>
                    <w:right w:w="12" w:type="dxa"/>
                  </w:tcMar>
                  <w:vAlign w:val="center"/>
                </w:tcPr>
                <w:p w14:paraId="5A443A1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多元素粉末配料机</w:t>
                  </w:r>
                </w:p>
              </w:tc>
              <w:tc>
                <w:tcPr>
                  <w:tcW w:w="866" w:type="pct"/>
                  <w:shd w:val="clear" w:color="auto" w:fill="auto"/>
                  <w:noWrap w:val="0"/>
                  <w:tcMar>
                    <w:top w:w="12" w:type="dxa"/>
                    <w:left w:w="12" w:type="dxa"/>
                    <w:right w:w="12" w:type="dxa"/>
                  </w:tcMar>
                  <w:vAlign w:val="center"/>
                </w:tcPr>
                <w:p w14:paraId="251816B1">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额定功率</w:t>
                  </w:r>
                </w:p>
              </w:tc>
              <w:tc>
                <w:tcPr>
                  <w:tcW w:w="606" w:type="pct"/>
                  <w:shd w:val="clear" w:color="auto" w:fill="auto"/>
                  <w:noWrap w:val="0"/>
                  <w:tcMar>
                    <w:top w:w="12" w:type="dxa"/>
                    <w:left w:w="12" w:type="dxa"/>
                    <w:right w:w="12" w:type="dxa"/>
                  </w:tcMar>
                  <w:vAlign w:val="center"/>
                </w:tcPr>
                <w:p w14:paraId="2770455E">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KW</w:t>
                  </w:r>
                </w:p>
              </w:tc>
              <w:tc>
                <w:tcPr>
                  <w:tcW w:w="691" w:type="pct"/>
                  <w:shd w:val="clear" w:color="auto" w:fill="auto"/>
                  <w:noWrap w:val="0"/>
                  <w:vAlign w:val="center"/>
                </w:tcPr>
                <w:p w14:paraId="3012DB14">
                  <w:pPr>
                    <w:pStyle w:val="1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643" w:type="pct"/>
                  <w:shd w:val="clear" w:color="auto" w:fill="auto"/>
                  <w:noWrap w:val="0"/>
                  <w:tcMar>
                    <w:top w:w="12" w:type="dxa"/>
                    <w:left w:w="12" w:type="dxa"/>
                    <w:right w:w="12" w:type="dxa"/>
                  </w:tcMar>
                  <w:vAlign w:val="center"/>
                </w:tcPr>
                <w:p w14:paraId="1CE7254D">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共1台</w:t>
                  </w:r>
                </w:p>
              </w:tc>
            </w:tr>
            <w:tr w14:paraId="60D58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BD60643">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7380FF6C">
                  <w:pPr>
                    <w:jc w:val="center"/>
                    <w:rPr>
                      <w:rFonts w:hint="default" w:ascii="Times New Roman" w:hAnsi="Times New Roman" w:eastAsia="宋体" w:cs="Times New Roman"/>
                      <w:sz w:val="21"/>
                      <w:szCs w:val="21"/>
                    </w:rPr>
                  </w:pPr>
                </w:p>
              </w:tc>
              <w:tc>
                <w:tcPr>
                  <w:tcW w:w="330" w:type="pct"/>
                  <w:noWrap w:val="0"/>
                  <w:tcMar>
                    <w:top w:w="12" w:type="dxa"/>
                    <w:left w:w="12" w:type="dxa"/>
                    <w:right w:w="12" w:type="dxa"/>
                  </w:tcMar>
                  <w:vAlign w:val="center"/>
                </w:tcPr>
                <w:p w14:paraId="45579312">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焊接</w:t>
                  </w:r>
                </w:p>
              </w:tc>
              <w:tc>
                <w:tcPr>
                  <w:tcW w:w="464" w:type="pct"/>
                  <w:shd w:val="clear" w:color="auto" w:fill="auto"/>
                  <w:noWrap w:val="0"/>
                  <w:tcMar>
                    <w:top w:w="12" w:type="dxa"/>
                    <w:left w:w="12" w:type="dxa"/>
                    <w:right w:w="12" w:type="dxa"/>
                  </w:tcMar>
                  <w:vAlign w:val="center"/>
                </w:tcPr>
                <w:p w14:paraId="7BDB17A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弧焊</w:t>
                  </w:r>
                </w:p>
              </w:tc>
              <w:tc>
                <w:tcPr>
                  <w:tcW w:w="894" w:type="pct"/>
                  <w:shd w:val="clear" w:color="auto" w:fill="auto"/>
                  <w:noWrap w:val="0"/>
                  <w:tcMar>
                    <w:top w:w="12" w:type="dxa"/>
                    <w:left w:w="12" w:type="dxa"/>
                    <w:right w:w="12" w:type="dxa"/>
                  </w:tcMar>
                  <w:vAlign w:val="center"/>
                </w:tcPr>
                <w:p w14:paraId="4D907B1A">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napToGrid w:val="0"/>
                      <w:sz w:val="21"/>
                      <w:szCs w:val="21"/>
                    </w:rPr>
                    <w:t>半自动CO</w:t>
                  </w:r>
                  <w:r>
                    <w:rPr>
                      <w:rFonts w:hint="default" w:ascii="Times New Roman" w:hAnsi="Times New Roman" w:eastAsia="宋体" w:cs="Times New Roman"/>
                      <w:snapToGrid w:val="0"/>
                      <w:sz w:val="21"/>
                      <w:szCs w:val="21"/>
                      <w:vertAlign w:val="subscript"/>
                    </w:rPr>
                    <w:t>2</w:t>
                  </w:r>
                  <w:r>
                    <w:rPr>
                      <w:rFonts w:hint="default" w:ascii="Times New Roman" w:hAnsi="Times New Roman" w:eastAsia="宋体" w:cs="Times New Roman"/>
                      <w:snapToGrid w:val="0"/>
                      <w:sz w:val="21"/>
                      <w:szCs w:val="21"/>
                    </w:rPr>
                    <w:t>弧焊机</w:t>
                  </w:r>
                </w:p>
              </w:tc>
              <w:tc>
                <w:tcPr>
                  <w:tcW w:w="866" w:type="pct"/>
                  <w:shd w:val="clear" w:color="auto" w:fill="auto"/>
                  <w:noWrap w:val="0"/>
                  <w:tcMar>
                    <w:top w:w="12" w:type="dxa"/>
                    <w:left w:w="12" w:type="dxa"/>
                    <w:right w:w="12" w:type="dxa"/>
                  </w:tcMar>
                  <w:vAlign w:val="center"/>
                </w:tcPr>
                <w:p w14:paraId="0BEE4097">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额定功率</w:t>
                  </w:r>
                </w:p>
              </w:tc>
              <w:tc>
                <w:tcPr>
                  <w:tcW w:w="606" w:type="pct"/>
                  <w:shd w:val="clear" w:color="auto" w:fill="auto"/>
                  <w:noWrap w:val="0"/>
                  <w:tcMar>
                    <w:top w:w="12" w:type="dxa"/>
                    <w:left w:w="12" w:type="dxa"/>
                    <w:right w:w="12" w:type="dxa"/>
                  </w:tcMar>
                  <w:vAlign w:val="center"/>
                </w:tcPr>
                <w:p w14:paraId="4690492E">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KW</w:t>
                  </w:r>
                </w:p>
              </w:tc>
              <w:tc>
                <w:tcPr>
                  <w:tcW w:w="691" w:type="pct"/>
                  <w:shd w:val="clear" w:color="auto" w:fill="auto"/>
                  <w:noWrap w:val="0"/>
                  <w:vAlign w:val="center"/>
                </w:tcPr>
                <w:p w14:paraId="433572E4">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2500</w:t>
                  </w:r>
                </w:p>
              </w:tc>
              <w:tc>
                <w:tcPr>
                  <w:tcW w:w="643" w:type="pct"/>
                  <w:shd w:val="clear" w:color="auto" w:fill="auto"/>
                  <w:noWrap w:val="0"/>
                  <w:tcMar>
                    <w:top w:w="12" w:type="dxa"/>
                    <w:left w:w="12" w:type="dxa"/>
                    <w:right w:w="12" w:type="dxa"/>
                  </w:tcMar>
                  <w:vAlign w:val="center"/>
                </w:tcPr>
                <w:p w14:paraId="7843B275">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共6台</w:t>
                  </w:r>
                </w:p>
              </w:tc>
            </w:tr>
            <w:tr w14:paraId="10CAA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9C88B1D">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72F29869">
                  <w:pPr>
                    <w:jc w:val="center"/>
                    <w:rPr>
                      <w:rFonts w:hint="default" w:ascii="Times New Roman" w:hAnsi="Times New Roman" w:eastAsia="宋体" w:cs="Times New Roman"/>
                      <w:sz w:val="21"/>
                      <w:szCs w:val="21"/>
                    </w:rPr>
                  </w:pPr>
                </w:p>
              </w:tc>
              <w:tc>
                <w:tcPr>
                  <w:tcW w:w="330" w:type="pct"/>
                  <w:vMerge w:val="restart"/>
                  <w:noWrap w:val="0"/>
                  <w:tcMar>
                    <w:top w:w="12" w:type="dxa"/>
                    <w:left w:w="12" w:type="dxa"/>
                    <w:right w:w="12" w:type="dxa"/>
                  </w:tcMar>
                  <w:vAlign w:val="center"/>
                </w:tcPr>
                <w:p w14:paraId="2D1A3F9A">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机加</w:t>
                  </w:r>
                </w:p>
              </w:tc>
              <w:tc>
                <w:tcPr>
                  <w:tcW w:w="464" w:type="pct"/>
                  <w:vMerge w:val="restart"/>
                  <w:noWrap w:val="0"/>
                  <w:tcMar>
                    <w:top w:w="12" w:type="dxa"/>
                    <w:left w:w="12" w:type="dxa"/>
                    <w:right w:w="12" w:type="dxa"/>
                  </w:tcMar>
                  <w:vAlign w:val="center"/>
                </w:tcPr>
                <w:p w14:paraId="6B820DAA">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干式加工</w:t>
                  </w:r>
                </w:p>
              </w:tc>
              <w:tc>
                <w:tcPr>
                  <w:tcW w:w="894" w:type="pct"/>
                  <w:noWrap w:val="0"/>
                  <w:tcMar>
                    <w:top w:w="12" w:type="dxa"/>
                    <w:left w:w="12" w:type="dxa"/>
                    <w:right w:w="12" w:type="dxa"/>
                  </w:tcMar>
                  <w:vAlign w:val="center"/>
                </w:tcPr>
                <w:p w14:paraId="69340D75">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液压摆式剪板机</w:t>
                  </w:r>
                </w:p>
              </w:tc>
              <w:tc>
                <w:tcPr>
                  <w:tcW w:w="866" w:type="pct"/>
                  <w:noWrap w:val="0"/>
                  <w:tcMar>
                    <w:top w:w="12" w:type="dxa"/>
                    <w:left w:w="12" w:type="dxa"/>
                    <w:right w:w="12" w:type="dxa"/>
                  </w:tcMar>
                  <w:vAlign w:val="center"/>
                </w:tcPr>
                <w:p w14:paraId="63AF1664">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剪板尺寸</w:t>
                  </w:r>
                </w:p>
              </w:tc>
              <w:tc>
                <w:tcPr>
                  <w:tcW w:w="606" w:type="pct"/>
                  <w:noWrap w:val="0"/>
                  <w:tcMar>
                    <w:top w:w="12" w:type="dxa"/>
                    <w:left w:w="12" w:type="dxa"/>
                    <w:right w:w="12" w:type="dxa"/>
                  </w:tcMar>
                  <w:vAlign w:val="center"/>
                </w:tcPr>
                <w:p w14:paraId="3734602C">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mmXmm</w:t>
                  </w:r>
                </w:p>
              </w:tc>
              <w:tc>
                <w:tcPr>
                  <w:tcW w:w="691" w:type="pct"/>
                  <w:noWrap w:val="0"/>
                  <w:vAlign w:val="center"/>
                </w:tcPr>
                <w:p w14:paraId="76183ADE">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16*2500</w:t>
                  </w:r>
                </w:p>
              </w:tc>
              <w:tc>
                <w:tcPr>
                  <w:tcW w:w="643" w:type="pct"/>
                  <w:noWrap w:val="0"/>
                  <w:tcMar>
                    <w:top w:w="12" w:type="dxa"/>
                    <w:left w:w="12" w:type="dxa"/>
                    <w:right w:w="12" w:type="dxa"/>
                  </w:tcMar>
                  <w:vAlign w:val="center"/>
                </w:tcPr>
                <w:p w14:paraId="0A4FE7D6">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0C8C1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29C3B7F">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B7B4131">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647A20FF">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12088DE0">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3F6DE154">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钢筋弯箍机</w:t>
                  </w:r>
                </w:p>
              </w:tc>
              <w:tc>
                <w:tcPr>
                  <w:tcW w:w="866" w:type="pct"/>
                  <w:noWrap w:val="0"/>
                  <w:tcMar>
                    <w:top w:w="12" w:type="dxa"/>
                    <w:left w:w="12" w:type="dxa"/>
                    <w:right w:w="12" w:type="dxa"/>
                  </w:tcMar>
                  <w:vAlign w:val="center"/>
                </w:tcPr>
                <w:p w14:paraId="15E02910">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额定功率</w:t>
                  </w:r>
                </w:p>
              </w:tc>
              <w:tc>
                <w:tcPr>
                  <w:tcW w:w="606" w:type="pct"/>
                  <w:noWrap w:val="0"/>
                  <w:tcMar>
                    <w:top w:w="12" w:type="dxa"/>
                    <w:left w:w="12" w:type="dxa"/>
                    <w:right w:w="12" w:type="dxa"/>
                  </w:tcMar>
                  <w:vAlign w:val="center"/>
                </w:tcPr>
                <w:p w14:paraId="11D9816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691" w:type="pct"/>
                  <w:noWrap w:val="0"/>
                  <w:vAlign w:val="center"/>
                </w:tcPr>
                <w:p w14:paraId="2DD61171">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43" w:type="pct"/>
                  <w:noWrap w:val="0"/>
                  <w:tcMar>
                    <w:top w:w="12" w:type="dxa"/>
                    <w:left w:w="12" w:type="dxa"/>
                    <w:right w:w="12" w:type="dxa"/>
                  </w:tcMar>
                  <w:vAlign w:val="center"/>
                </w:tcPr>
                <w:p w14:paraId="5E7368A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共2台</w:t>
                  </w:r>
                </w:p>
              </w:tc>
            </w:tr>
            <w:tr w14:paraId="56AF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4121DF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DB1AF00">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BE66536">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08EAE6FF">
                  <w:pPr>
                    <w:widowControl/>
                    <w:jc w:val="center"/>
                    <w:textAlignment w:val="center"/>
                    <w:rPr>
                      <w:rFonts w:hint="default" w:ascii="Times New Roman" w:hAnsi="Times New Roman" w:eastAsia="宋体" w:cs="Times New Roman"/>
                      <w:sz w:val="21"/>
                      <w:szCs w:val="21"/>
                    </w:rPr>
                  </w:pPr>
                </w:p>
              </w:tc>
              <w:tc>
                <w:tcPr>
                  <w:tcW w:w="894" w:type="pct"/>
                  <w:vMerge w:val="restart"/>
                  <w:noWrap w:val="0"/>
                  <w:tcMar>
                    <w:top w:w="12" w:type="dxa"/>
                    <w:left w:w="12" w:type="dxa"/>
                    <w:right w:w="12" w:type="dxa"/>
                  </w:tcMar>
                  <w:vAlign w:val="center"/>
                </w:tcPr>
                <w:p w14:paraId="32661DCB">
                  <w:pPr>
                    <w:widowControl/>
                    <w:tabs>
                      <w:tab w:val="left" w:pos="533"/>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缩经机</w:t>
                  </w:r>
                </w:p>
              </w:tc>
              <w:tc>
                <w:tcPr>
                  <w:tcW w:w="866" w:type="pct"/>
                  <w:vMerge w:val="restart"/>
                  <w:noWrap w:val="0"/>
                  <w:tcMar>
                    <w:top w:w="12" w:type="dxa"/>
                    <w:left w:w="12" w:type="dxa"/>
                    <w:right w:w="12" w:type="dxa"/>
                  </w:tcMar>
                  <w:vAlign w:val="center"/>
                </w:tcPr>
                <w:p w14:paraId="488B2FB1">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缩经范围</w:t>
                  </w:r>
                </w:p>
              </w:tc>
              <w:tc>
                <w:tcPr>
                  <w:tcW w:w="606" w:type="pct"/>
                  <w:vMerge w:val="restart"/>
                  <w:noWrap w:val="0"/>
                  <w:tcMar>
                    <w:top w:w="12" w:type="dxa"/>
                    <w:left w:w="12" w:type="dxa"/>
                    <w:right w:w="12" w:type="dxa"/>
                  </w:tcMar>
                  <w:vAlign w:val="center"/>
                </w:tcPr>
                <w:p w14:paraId="7D2F18E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691" w:type="pct"/>
                  <w:noWrap w:val="0"/>
                  <w:vAlign w:val="center"/>
                </w:tcPr>
                <w:p w14:paraId="6551BE2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Φ8-36</w:t>
                  </w:r>
                </w:p>
              </w:tc>
              <w:tc>
                <w:tcPr>
                  <w:tcW w:w="643" w:type="pct"/>
                  <w:noWrap w:val="0"/>
                  <w:tcMar>
                    <w:top w:w="12" w:type="dxa"/>
                    <w:left w:w="12" w:type="dxa"/>
                    <w:right w:w="12" w:type="dxa"/>
                  </w:tcMar>
                  <w:vAlign w:val="center"/>
                </w:tcPr>
                <w:p w14:paraId="448E5BF0">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共1台</w:t>
                  </w:r>
                </w:p>
              </w:tc>
            </w:tr>
            <w:tr w14:paraId="38355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A1DFD64">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B56A172">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7FB8FCA">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620EFCBA">
                  <w:pPr>
                    <w:widowControl/>
                    <w:jc w:val="center"/>
                    <w:textAlignment w:val="center"/>
                    <w:rPr>
                      <w:rFonts w:hint="default" w:ascii="Times New Roman" w:hAnsi="Times New Roman" w:eastAsia="宋体" w:cs="Times New Roman"/>
                      <w:sz w:val="21"/>
                      <w:szCs w:val="21"/>
                    </w:rPr>
                  </w:pPr>
                </w:p>
              </w:tc>
              <w:tc>
                <w:tcPr>
                  <w:tcW w:w="894" w:type="pct"/>
                  <w:vMerge w:val="continue"/>
                  <w:noWrap w:val="0"/>
                  <w:tcMar>
                    <w:top w:w="12" w:type="dxa"/>
                    <w:left w:w="12" w:type="dxa"/>
                    <w:right w:w="12" w:type="dxa"/>
                  </w:tcMar>
                  <w:vAlign w:val="center"/>
                </w:tcPr>
                <w:p w14:paraId="6649B303">
                  <w:pPr>
                    <w:widowControl/>
                    <w:jc w:val="center"/>
                    <w:textAlignment w:val="center"/>
                    <w:rPr>
                      <w:rFonts w:hint="default" w:ascii="Times New Roman" w:hAnsi="Times New Roman" w:eastAsia="宋体" w:cs="Times New Roman"/>
                      <w:sz w:val="21"/>
                      <w:szCs w:val="21"/>
                    </w:rPr>
                  </w:pPr>
                </w:p>
              </w:tc>
              <w:tc>
                <w:tcPr>
                  <w:tcW w:w="866" w:type="pct"/>
                  <w:vMerge w:val="continue"/>
                  <w:noWrap w:val="0"/>
                  <w:tcMar>
                    <w:top w:w="12" w:type="dxa"/>
                    <w:left w:w="12" w:type="dxa"/>
                    <w:right w:w="12" w:type="dxa"/>
                  </w:tcMar>
                  <w:vAlign w:val="center"/>
                </w:tcPr>
                <w:p w14:paraId="28D9437E">
                  <w:pPr>
                    <w:widowControl/>
                    <w:jc w:val="center"/>
                    <w:textAlignment w:val="center"/>
                    <w:rPr>
                      <w:rFonts w:hint="default" w:ascii="Times New Roman" w:hAnsi="Times New Roman" w:eastAsia="宋体" w:cs="Times New Roman"/>
                      <w:sz w:val="21"/>
                      <w:szCs w:val="21"/>
                    </w:rPr>
                  </w:pPr>
                </w:p>
              </w:tc>
              <w:tc>
                <w:tcPr>
                  <w:tcW w:w="606" w:type="pct"/>
                  <w:vMerge w:val="continue"/>
                  <w:noWrap w:val="0"/>
                  <w:tcMar>
                    <w:top w:w="12" w:type="dxa"/>
                    <w:left w:w="12" w:type="dxa"/>
                    <w:right w:w="12" w:type="dxa"/>
                  </w:tcMar>
                  <w:vAlign w:val="center"/>
                </w:tcPr>
                <w:p w14:paraId="67C86D53">
                  <w:pPr>
                    <w:widowControl/>
                    <w:jc w:val="center"/>
                    <w:textAlignment w:val="center"/>
                    <w:rPr>
                      <w:rFonts w:hint="default" w:ascii="Times New Roman" w:hAnsi="Times New Roman" w:eastAsia="宋体" w:cs="Times New Roman"/>
                      <w:sz w:val="21"/>
                      <w:szCs w:val="21"/>
                    </w:rPr>
                  </w:pPr>
                </w:p>
              </w:tc>
              <w:tc>
                <w:tcPr>
                  <w:tcW w:w="691" w:type="pct"/>
                  <w:noWrap w:val="0"/>
                  <w:vAlign w:val="center"/>
                </w:tcPr>
                <w:p w14:paraId="79325E47">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Φ12-28</w:t>
                  </w:r>
                </w:p>
              </w:tc>
              <w:tc>
                <w:tcPr>
                  <w:tcW w:w="643" w:type="pct"/>
                  <w:noWrap w:val="0"/>
                  <w:tcMar>
                    <w:top w:w="12" w:type="dxa"/>
                    <w:left w:w="12" w:type="dxa"/>
                    <w:right w:w="12" w:type="dxa"/>
                  </w:tcMar>
                  <w:vAlign w:val="center"/>
                </w:tcPr>
                <w:p w14:paraId="42C9E1AE">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共1台</w:t>
                  </w:r>
                </w:p>
              </w:tc>
            </w:tr>
            <w:tr w14:paraId="1710C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C9D308A">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6E3138B6">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4ECE19C">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73B1CF65">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6DCADB15">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数控卧式车床</w:t>
                  </w:r>
                </w:p>
              </w:tc>
              <w:tc>
                <w:tcPr>
                  <w:tcW w:w="866" w:type="pct"/>
                  <w:noWrap w:val="0"/>
                  <w:tcMar>
                    <w:top w:w="12" w:type="dxa"/>
                    <w:left w:w="12" w:type="dxa"/>
                    <w:right w:w="12" w:type="dxa"/>
                  </w:tcMar>
                  <w:vAlign w:val="center"/>
                </w:tcPr>
                <w:p w14:paraId="0E239066">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回转直径</w:t>
                  </w:r>
                </w:p>
              </w:tc>
              <w:tc>
                <w:tcPr>
                  <w:tcW w:w="606" w:type="pct"/>
                  <w:noWrap w:val="0"/>
                  <w:tcMar>
                    <w:top w:w="12" w:type="dxa"/>
                    <w:left w:w="12" w:type="dxa"/>
                    <w:right w:w="12" w:type="dxa"/>
                  </w:tcMar>
                  <w:vAlign w:val="center"/>
                </w:tcPr>
                <w:p w14:paraId="3AAEC932">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mm</w:t>
                  </w:r>
                </w:p>
              </w:tc>
              <w:tc>
                <w:tcPr>
                  <w:tcW w:w="691" w:type="pct"/>
                  <w:noWrap w:val="0"/>
                  <w:vAlign w:val="center"/>
                </w:tcPr>
                <w:p w14:paraId="11522658">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400</w:t>
                  </w:r>
                </w:p>
              </w:tc>
              <w:tc>
                <w:tcPr>
                  <w:tcW w:w="643" w:type="pct"/>
                  <w:noWrap w:val="0"/>
                  <w:tcMar>
                    <w:top w:w="12" w:type="dxa"/>
                    <w:left w:w="12" w:type="dxa"/>
                    <w:right w:w="12" w:type="dxa"/>
                  </w:tcMar>
                  <w:vAlign w:val="center"/>
                </w:tcPr>
                <w:p w14:paraId="48F76859">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2BB02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E3AB45B">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0D2D756">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594EDCD0">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5FF0420E">
                  <w:pPr>
                    <w:widowControl/>
                    <w:jc w:val="center"/>
                    <w:textAlignment w:val="center"/>
                    <w:rPr>
                      <w:rFonts w:hint="default" w:ascii="Times New Roman" w:hAnsi="Times New Roman" w:eastAsia="宋体" w:cs="Times New Roman"/>
                      <w:sz w:val="21"/>
                      <w:szCs w:val="21"/>
                    </w:rPr>
                  </w:pPr>
                </w:p>
              </w:tc>
              <w:tc>
                <w:tcPr>
                  <w:tcW w:w="894" w:type="pct"/>
                  <w:vMerge w:val="restart"/>
                  <w:noWrap w:val="0"/>
                  <w:tcMar>
                    <w:top w:w="12" w:type="dxa"/>
                    <w:left w:w="12" w:type="dxa"/>
                    <w:right w:w="12" w:type="dxa"/>
                  </w:tcMar>
                  <w:vAlign w:val="center"/>
                </w:tcPr>
                <w:p w14:paraId="1D665EA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普通卧式车床</w:t>
                  </w:r>
                </w:p>
              </w:tc>
              <w:tc>
                <w:tcPr>
                  <w:tcW w:w="866" w:type="pct"/>
                  <w:vMerge w:val="restart"/>
                  <w:noWrap w:val="0"/>
                  <w:tcMar>
                    <w:top w:w="12" w:type="dxa"/>
                    <w:left w:w="12" w:type="dxa"/>
                    <w:right w:w="12" w:type="dxa"/>
                  </w:tcMar>
                  <w:vAlign w:val="center"/>
                </w:tcPr>
                <w:p w14:paraId="203F84BA">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回转直径</w:t>
                  </w:r>
                </w:p>
              </w:tc>
              <w:tc>
                <w:tcPr>
                  <w:tcW w:w="606" w:type="pct"/>
                  <w:noWrap w:val="0"/>
                  <w:tcMar>
                    <w:top w:w="12" w:type="dxa"/>
                    <w:left w:w="12" w:type="dxa"/>
                    <w:right w:w="12" w:type="dxa"/>
                  </w:tcMar>
                  <w:vAlign w:val="center"/>
                </w:tcPr>
                <w:p w14:paraId="753CCCFE">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mm</w:t>
                  </w:r>
                </w:p>
              </w:tc>
              <w:tc>
                <w:tcPr>
                  <w:tcW w:w="691" w:type="pct"/>
                  <w:noWrap w:val="0"/>
                  <w:vAlign w:val="center"/>
                </w:tcPr>
                <w:p w14:paraId="2E9FC4D3">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643" w:type="pct"/>
                  <w:noWrap w:val="0"/>
                  <w:tcMar>
                    <w:top w:w="12" w:type="dxa"/>
                    <w:left w:w="12" w:type="dxa"/>
                    <w:right w:w="12" w:type="dxa"/>
                  </w:tcMar>
                  <w:vAlign w:val="center"/>
                </w:tcPr>
                <w:p w14:paraId="4C7F38B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3128A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110DBFB">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BA363F8">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CBB27BE">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6DF931A7">
                  <w:pPr>
                    <w:widowControl/>
                    <w:jc w:val="center"/>
                    <w:textAlignment w:val="center"/>
                    <w:rPr>
                      <w:rFonts w:hint="default" w:ascii="Times New Roman" w:hAnsi="Times New Roman" w:eastAsia="宋体" w:cs="Times New Roman"/>
                      <w:sz w:val="21"/>
                      <w:szCs w:val="21"/>
                    </w:rPr>
                  </w:pPr>
                </w:p>
              </w:tc>
              <w:tc>
                <w:tcPr>
                  <w:tcW w:w="894" w:type="pct"/>
                  <w:vMerge w:val="continue"/>
                  <w:noWrap w:val="0"/>
                  <w:tcMar>
                    <w:top w:w="12" w:type="dxa"/>
                    <w:left w:w="12" w:type="dxa"/>
                    <w:right w:w="12" w:type="dxa"/>
                  </w:tcMar>
                  <w:vAlign w:val="center"/>
                </w:tcPr>
                <w:p w14:paraId="07AE9C39">
                  <w:pPr>
                    <w:widowControl/>
                    <w:jc w:val="center"/>
                    <w:textAlignment w:val="center"/>
                    <w:rPr>
                      <w:rFonts w:hint="default" w:ascii="Times New Roman" w:hAnsi="Times New Roman" w:eastAsia="宋体" w:cs="Times New Roman"/>
                      <w:sz w:val="21"/>
                      <w:szCs w:val="21"/>
                    </w:rPr>
                  </w:pPr>
                </w:p>
              </w:tc>
              <w:tc>
                <w:tcPr>
                  <w:tcW w:w="866" w:type="pct"/>
                  <w:vMerge w:val="continue"/>
                  <w:noWrap w:val="0"/>
                  <w:tcMar>
                    <w:top w:w="12" w:type="dxa"/>
                    <w:left w:w="12" w:type="dxa"/>
                    <w:right w:w="12" w:type="dxa"/>
                  </w:tcMar>
                  <w:vAlign w:val="center"/>
                </w:tcPr>
                <w:p w14:paraId="5DE8C759">
                  <w:pPr>
                    <w:widowControl/>
                    <w:jc w:val="center"/>
                    <w:textAlignment w:val="center"/>
                    <w:rPr>
                      <w:rFonts w:hint="default" w:ascii="Times New Roman" w:hAnsi="Times New Roman" w:eastAsia="宋体" w:cs="Times New Roman"/>
                      <w:sz w:val="21"/>
                      <w:szCs w:val="21"/>
                    </w:rPr>
                  </w:pPr>
                </w:p>
              </w:tc>
              <w:tc>
                <w:tcPr>
                  <w:tcW w:w="606" w:type="pct"/>
                  <w:noWrap w:val="0"/>
                  <w:tcMar>
                    <w:top w:w="12" w:type="dxa"/>
                    <w:left w:w="12" w:type="dxa"/>
                    <w:right w:w="12" w:type="dxa"/>
                  </w:tcMar>
                  <w:vAlign w:val="center"/>
                </w:tcPr>
                <w:p w14:paraId="418B8477">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mm</w:t>
                  </w:r>
                </w:p>
              </w:tc>
              <w:tc>
                <w:tcPr>
                  <w:tcW w:w="691" w:type="pct"/>
                  <w:noWrap w:val="0"/>
                  <w:vAlign w:val="center"/>
                </w:tcPr>
                <w:p w14:paraId="5563185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w:t>
                  </w:r>
                </w:p>
              </w:tc>
              <w:tc>
                <w:tcPr>
                  <w:tcW w:w="643" w:type="pct"/>
                  <w:noWrap w:val="0"/>
                  <w:tcMar>
                    <w:top w:w="12" w:type="dxa"/>
                    <w:left w:w="12" w:type="dxa"/>
                    <w:right w:w="12" w:type="dxa"/>
                  </w:tcMar>
                  <w:vAlign w:val="center"/>
                </w:tcPr>
                <w:p w14:paraId="42888C3D">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6AE66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E50E1C0">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753446F6">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3D845739">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08A9E9E2">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1814F557">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卧式镗床</w:t>
                  </w:r>
                </w:p>
              </w:tc>
              <w:tc>
                <w:tcPr>
                  <w:tcW w:w="866" w:type="pct"/>
                  <w:noWrap w:val="0"/>
                  <w:tcMar>
                    <w:top w:w="12" w:type="dxa"/>
                    <w:left w:w="12" w:type="dxa"/>
                    <w:right w:w="12" w:type="dxa"/>
                  </w:tcMar>
                  <w:vAlign w:val="center"/>
                </w:tcPr>
                <w:p w14:paraId="2A0C877F">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镗轴直径</w:t>
                  </w:r>
                </w:p>
              </w:tc>
              <w:tc>
                <w:tcPr>
                  <w:tcW w:w="606" w:type="pct"/>
                  <w:noWrap w:val="0"/>
                  <w:tcMar>
                    <w:top w:w="12" w:type="dxa"/>
                    <w:left w:w="12" w:type="dxa"/>
                    <w:right w:w="12" w:type="dxa"/>
                  </w:tcMar>
                  <w:vAlign w:val="center"/>
                </w:tcPr>
                <w:p w14:paraId="1DC8700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mm</w:t>
                  </w:r>
                </w:p>
              </w:tc>
              <w:tc>
                <w:tcPr>
                  <w:tcW w:w="691" w:type="pct"/>
                  <w:noWrap w:val="0"/>
                  <w:vAlign w:val="center"/>
                </w:tcPr>
                <w:p w14:paraId="24271982">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110</w:t>
                  </w:r>
                </w:p>
              </w:tc>
              <w:tc>
                <w:tcPr>
                  <w:tcW w:w="643" w:type="pct"/>
                  <w:noWrap w:val="0"/>
                  <w:tcMar>
                    <w:top w:w="12" w:type="dxa"/>
                    <w:left w:w="12" w:type="dxa"/>
                    <w:right w:w="12" w:type="dxa"/>
                  </w:tcMar>
                  <w:vAlign w:val="center"/>
                </w:tcPr>
                <w:p w14:paraId="02C1E0E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6F4FE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ECC315E">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41E1B20">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72D80338">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7C1219E9">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19F04BD9">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滚丝机</w:t>
                  </w:r>
                </w:p>
              </w:tc>
              <w:tc>
                <w:tcPr>
                  <w:tcW w:w="866" w:type="pct"/>
                  <w:noWrap w:val="0"/>
                  <w:tcMar>
                    <w:top w:w="12" w:type="dxa"/>
                    <w:left w:w="12" w:type="dxa"/>
                    <w:right w:w="12" w:type="dxa"/>
                  </w:tcMar>
                  <w:vAlign w:val="center"/>
                </w:tcPr>
                <w:p w14:paraId="354E34A6">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加工范围</w:t>
                  </w:r>
                </w:p>
              </w:tc>
              <w:tc>
                <w:tcPr>
                  <w:tcW w:w="606" w:type="pct"/>
                  <w:noWrap w:val="0"/>
                  <w:tcMar>
                    <w:top w:w="12" w:type="dxa"/>
                    <w:left w:w="12" w:type="dxa"/>
                    <w:right w:w="12" w:type="dxa"/>
                  </w:tcMar>
                  <w:vAlign w:val="center"/>
                </w:tcPr>
                <w:p w14:paraId="112EBBD3">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691" w:type="pct"/>
                  <w:noWrap w:val="0"/>
                  <w:vAlign w:val="center"/>
                </w:tcPr>
                <w:p w14:paraId="0237BD4A">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Φ6-4</w:t>
                  </w:r>
                </w:p>
              </w:tc>
              <w:tc>
                <w:tcPr>
                  <w:tcW w:w="643" w:type="pct"/>
                  <w:noWrap w:val="0"/>
                  <w:tcMar>
                    <w:top w:w="12" w:type="dxa"/>
                    <w:left w:w="12" w:type="dxa"/>
                    <w:right w:w="12" w:type="dxa"/>
                  </w:tcMar>
                  <w:vAlign w:val="center"/>
                </w:tcPr>
                <w:p w14:paraId="341B88E2">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共2台</w:t>
                  </w:r>
                </w:p>
              </w:tc>
            </w:tr>
            <w:tr w14:paraId="167B5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0AEE885">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66EED73">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235BCD91">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152BB382">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3C18DB7B">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裁砖机</w:t>
                  </w:r>
                </w:p>
              </w:tc>
              <w:tc>
                <w:tcPr>
                  <w:tcW w:w="866" w:type="pct"/>
                  <w:noWrap w:val="0"/>
                  <w:tcMar>
                    <w:top w:w="12" w:type="dxa"/>
                    <w:left w:w="12" w:type="dxa"/>
                    <w:right w:w="12" w:type="dxa"/>
                  </w:tcMar>
                  <w:vAlign w:val="center"/>
                </w:tcPr>
                <w:p w14:paraId="1F0761AD">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加工范围</w:t>
                  </w:r>
                </w:p>
              </w:tc>
              <w:tc>
                <w:tcPr>
                  <w:tcW w:w="606" w:type="pct"/>
                  <w:noWrap w:val="0"/>
                  <w:tcMar>
                    <w:top w:w="12" w:type="dxa"/>
                    <w:left w:w="12" w:type="dxa"/>
                    <w:right w:w="12" w:type="dxa"/>
                  </w:tcMar>
                  <w:vAlign w:val="center"/>
                </w:tcPr>
                <w:p w14:paraId="411CE1AD">
                  <w:pPr>
                    <w:widowControl/>
                    <w:jc w:val="center"/>
                    <w:textAlignment w:val="center"/>
                    <w:rPr>
                      <w:rFonts w:hint="default" w:ascii="Times New Roman" w:hAnsi="Times New Roman" w:eastAsia="宋体" w:cs="Times New Roman"/>
                      <w:sz w:val="21"/>
                      <w:szCs w:val="21"/>
                    </w:rPr>
                  </w:pPr>
                </w:p>
              </w:tc>
              <w:tc>
                <w:tcPr>
                  <w:tcW w:w="691" w:type="pct"/>
                  <w:noWrap w:val="0"/>
                  <w:vAlign w:val="center"/>
                </w:tcPr>
                <w:p w14:paraId="4BCFCEC2">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Φ6-20</w:t>
                  </w:r>
                </w:p>
              </w:tc>
              <w:tc>
                <w:tcPr>
                  <w:tcW w:w="643" w:type="pct"/>
                  <w:noWrap w:val="0"/>
                  <w:tcMar>
                    <w:top w:w="12" w:type="dxa"/>
                    <w:left w:w="12" w:type="dxa"/>
                    <w:right w:w="12" w:type="dxa"/>
                  </w:tcMar>
                  <w:vAlign w:val="center"/>
                </w:tcPr>
                <w:p w14:paraId="63E67E11">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共6台</w:t>
                  </w:r>
                </w:p>
              </w:tc>
            </w:tr>
            <w:tr w14:paraId="546B9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5F6EA22">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5162D29">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BBDE7E3">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52D7DDC1">
                  <w:pPr>
                    <w:widowControl/>
                    <w:jc w:val="center"/>
                    <w:textAlignment w:val="center"/>
                    <w:rPr>
                      <w:rFonts w:hint="default" w:ascii="Times New Roman" w:hAnsi="Times New Roman" w:eastAsia="宋体" w:cs="Times New Roman"/>
                      <w:sz w:val="21"/>
                      <w:szCs w:val="21"/>
                    </w:rPr>
                  </w:pPr>
                </w:p>
              </w:tc>
              <w:tc>
                <w:tcPr>
                  <w:tcW w:w="894" w:type="pct"/>
                  <w:vMerge w:val="restart"/>
                  <w:noWrap w:val="0"/>
                  <w:tcMar>
                    <w:top w:w="12" w:type="dxa"/>
                    <w:left w:w="12" w:type="dxa"/>
                    <w:right w:w="12" w:type="dxa"/>
                  </w:tcMar>
                  <w:vAlign w:val="center"/>
                </w:tcPr>
                <w:p w14:paraId="0A8990BC">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摇臂钻床</w:t>
                  </w:r>
                </w:p>
              </w:tc>
              <w:tc>
                <w:tcPr>
                  <w:tcW w:w="866" w:type="pct"/>
                  <w:vMerge w:val="restart"/>
                  <w:noWrap w:val="0"/>
                  <w:tcMar>
                    <w:top w:w="12" w:type="dxa"/>
                    <w:left w:w="12" w:type="dxa"/>
                    <w:right w:w="12" w:type="dxa"/>
                  </w:tcMar>
                  <w:vAlign w:val="center"/>
                </w:tcPr>
                <w:p w14:paraId="061680AC">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钻头直径</w:t>
                  </w:r>
                </w:p>
              </w:tc>
              <w:tc>
                <w:tcPr>
                  <w:tcW w:w="606" w:type="pct"/>
                  <w:vMerge w:val="restart"/>
                  <w:noWrap w:val="0"/>
                  <w:tcMar>
                    <w:top w:w="12" w:type="dxa"/>
                    <w:left w:w="12" w:type="dxa"/>
                    <w:right w:w="12" w:type="dxa"/>
                  </w:tcMar>
                  <w:vAlign w:val="center"/>
                </w:tcPr>
                <w:p w14:paraId="24E1A072">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691" w:type="pct"/>
                  <w:noWrap w:val="0"/>
                  <w:vAlign w:val="center"/>
                </w:tcPr>
                <w:p w14:paraId="03E99007">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80</w:t>
                  </w:r>
                </w:p>
              </w:tc>
              <w:tc>
                <w:tcPr>
                  <w:tcW w:w="643" w:type="pct"/>
                  <w:noWrap w:val="0"/>
                  <w:tcMar>
                    <w:top w:w="12" w:type="dxa"/>
                    <w:left w:w="12" w:type="dxa"/>
                    <w:right w:w="12" w:type="dxa"/>
                  </w:tcMar>
                  <w:vAlign w:val="center"/>
                </w:tcPr>
                <w:p w14:paraId="6D8DDD83">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68AF1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192F47B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99CFBDA">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5729BA7C">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1F884DD1">
                  <w:pPr>
                    <w:widowControl/>
                    <w:jc w:val="center"/>
                    <w:textAlignment w:val="center"/>
                    <w:rPr>
                      <w:rFonts w:hint="default" w:ascii="Times New Roman" w:hAnsi="Times New Roman" w:eastAsia="宋体" w:cs="Times New Roman"/>
                      <w:sz w:val="21"/>
                      <w:szCs w:val="21"/>
                    </w:rPr>
                  </w:pPr>
                </w:p>
              </w:tc>
              <w:tc>
                <w:tcPr>
                  <w:tcW w:w="894" w:type="pct"/>
                  <w:vMerge w:val="continue"/>
                  <w:noWrap w:val="0"/>
                  <w:tcMar>
                    <w:top w:w="12" w:type="dxa"/>
                    <w:left w:w="12" w:type="dxa"/>
                    <w:right w:w="12" w:type="dxa"/>
                  </w:tcMar>
                  <w:vAlign w:val="center"/>
                </w:tcPr>
                <w:p w14:paraId="4306C968">
                  <w:pPr>
                    <w:widowControl/>
                    <w:jc w:val="center"/>
                    <w:textAlignment w:val="center"/>
                    <w:rPr>
                      <w:rFonts w:hint="default" w:ascii="Times New Roman" w:hAnsi="Times New Roman" w:eastAsia="宋体" w:cs="Times New Roman"/>
                      <w:sz w:val="21"/>
                      <w:szCs w:val="21"/>
                    </w:rPr>
                  </w:pPr>
                </w:p>
              </w:tc>
              <w:tc>
                <w:tcPr>
                  <w:tcW w:w="866" w:type="pct"/>
                  <w:vMerge w:val="continue"/>
                  <w:noWrap w:val="0"/>
                  <w:tcMar>
                    <w:top w:w="12" w:type="dxa"/>
                    <w:left w:w="12" w:type="dxa"/>
                    <w:right w:w="12" w:type="dxa"/>
                  </w:tcMar>
                  <w:vAlign w:val="center"/>
                </w:tcPr>
                <w:p w14:paraId="242FE950">
                  <w:pPr>
                    <w:widowControl/>
                    <w:jc w:val="center"/>
                    <w:textAlignment w:val="center"/>
                    <w:rPr>
                      <w:rFonts w:hint="default" w:ascii="Times New Roman" w:hAnsi="Times New Roman" w:eastAsia="宋体" w:cs="Times New Roman"/>
                      <w:sz w:val="21"/>
                      <w:szCs w:val="21"/>
                    </w:rPr>
                  </w:pPr>
                </w:p>
              </w:tc>
              <w:tc>
                <w:tcPr>
                  <w:tcW w:w="606" w:type="pct"/>
                  <w:vMerge w:val="continue"/>
                  <w:noWrap w:val="0"/>
                  <w:tcMar>
                    <w:top w:w="12" w:type="dxa"/>
                    <w:left w:w="12" w:type="dxa"/>
                    <w:right w:w="12" w:type="dxa"/>
                  </w:tcMar>
                  <w:vAlign w:val="center"/>
                </w:tcPr>
                <w:p w14:paraId="6A79E182">
                  <w:pPr>
                    <w:widowControl/>
                    <w:jc w:val="center"/>
                    <w:textAlignment w:val="center"/>
                    <w:rPr>
                      <w:rFonts w:hint="default" w:ascii="Times New Roman" w:hAnsi="Times New Roman" w:eastAsia="宋体" w:cs="Times New Roman"/>
                      <w:sz w:val="21"/>
                      <w:szCs w:val="21"/>
                    </w:rPr>
                  </w:pPr>
                </w:p>
              </w:tc>
              <w:tc>
                <w:tcPr>
                  <w:tcW w:w="691" w:type="pct"/>
                  <w:noWrap w:val="0"/>
                  <w:vAlign w:val="center"/>
                </w:tcPr>
                <w:p w14:paraId="55DC335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643" w:type="pct"/>
                  <w:noWrap w:val="0"/>
                  <w:tcMar>
                    <w:top w:w="12" w:type="dxa"/>
                    <w:left w:w="12" w:type="dxa"/>
                    <w:right w:w="12" w:type="dxa"/>
                  </w:tcMar>
                  <w:vAlign w:val="center"/>
                </w:tcPr>
                <w:p w14:paraId="619B507B">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共2台</w:t>
                  </w:r>
                </w:p>
              </w:tc>
            </w:tr>
            <w:tr w14:paraId="0C67E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6DFF4213">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4BA5630">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21C477A4">
                  <w:pPr>
                    <w:widowControl/>
                    <w:jc w:val="center"/>
                    <w:textAlignment w:val="center"/>
                    <w:rPr>
                      <w:rFonts w:hint="default" w:ascii="Times New Roman" w:hAnsi="Times New Roman" w:eastAsia="宋体" w:cs="Times New Roman"/>
                      <w:sz w:val="21"/>
                      <w:szCs w:val="21"/>
                    </w:rPr>
                  </w:pPr>
                </w:p>
              </w:tc>
              <w:tc>
                <w:tcPr>
                  <w:tcW w:w="464" w:type="pct"/>
                  <w:vMerge w:val="restart"/>
                  <w:noWrap w:val="0"/>
                  <w:tcMar>
                    <w:top w:w="12" w:type="dxa"/>
                    <w:left w:w="12" w:type="dxa"/>
                    <w:right w:w="12" w:type="dxa"/>
                  </w:tcMar>
                  <w:vAlign w:val="center"/>
                </w:tcPr>
                <w:p w14:paraId="503EF786">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湿式加工</w:t>
                  </w:r>
                </w:p>
              </w:tc>
              <w:tc>
                <w:tcPr>
                  <w:tcW w:w="894" w:type="pct"/>
                  <w:noWrap w:val="0"/>
                  <w:tcMar>
                    <w:top w:w="12" w:type="dxa"/>
                    <w:left w:w="12" w:type="dxa"/>
                    <w:right w:w="12" w:type="dxa"/>
                  </w:tcMar>
                  <w:vAlign w:val="center"/>
                </w:tcPr>
                <w:p w14:paraId="729D71D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数控钻铣</w:t>
                  </w:r>
                </w:p>
              </w:tc>
              <w:tc>
                <w:tcPr>
                  <w:tcW w:w="866" w:type="pct"/>
                  <w:noWrap w:val="0"/>
                  <w:tcMar>
                    <w:top w:w="12" w:type="dxa"/>
                    <w:left w:w="12" w:type="dxa"/>
                    <w:right w:w="12" w:type="dxa"/>
                  </w:tcMar>
                  <w:vAlign w:val="center"/>
                </w:tcPr>
                <w:p w14:paraId="09D820BF">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钻铣直径</w:t>
                  </w:r>
                </w:p>
              </w:tc>
              <w:tc>
                <w:tcPr>
                  <w:tcW w:w="606" w:type="pct"/>
                  <w:noWrap w:val="0"/>
                  <w:tcMar>
                    <w:top w:w="12" w:type="dxa"/>
                    <w:left w:w="12" w:type="dxa"/>
                    <w:right w:w="12" w:type="dxa"/>
                  </w:tcMar>
                  <w:vAlign w:val="center"/>
                </w:tcPr>
                <w:p w14:paraId="5917AF5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mm</w:t>
                  </w:r>
                </w:p>
              </w:tc>
              <w:tc>
                <w:tcPr>
                  <w:tcW w:w="691" w:type="pct"/>
                  <w:noWrap w:val="0"/>
                  <w:vAlign w:val="center"/>
                </w:tcPr>
                <w:p w14:paraId="3AC30D4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643" w:type="pct"/>
                  <w:noWrap w:val="0"/>
                  <w:tcMar>
                    <w:top w:w="12" w:type="dxa"/>
                    <w:left w:w="12" w:type="dxa"/>
                    <w:right w:w="12" w:type="dxa"/>
                  </w:tcMar>
                  <w:vAlign w:val="center"/>
                </w:tcPr>
                <w:p w14:paraId="5F30819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共3台</w:t>
                  </w:r>
                </w:p>
              </w:tc>
            </w:tr>
            <w:tr w14:paraId="40CF2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8D88B3A">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0555527F">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60D28935">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6E4CCB3E">
                  <w:pPr>
                    <w:widowControl/>
                    <w:jc w:val="center"/>
                    <w:textAlignment w:val="center"/>
                    <w:rPr>
                      <w:rFonts w:hint="default" w:ascii="Times New Roman" w:hAnsi="Times New Roman" w:eastAsia="宋体" w:cs="Times New Roman"/>
                      <w:sz w:val="21"/>
                      <w:szCs w:val="21"/>
                    </w:rPr>
                  </w:pPr>
                </w:p>
              </w:tc>
              <w:tc>
                <w:tcPr>
                  <w:tcW w:w="894" w:type="pct"/>
                  <w:vMerge w:val="restart"/>
                  <w:noWrap w:val="0"/>
                  <w:tcMar>
                    <w:top w:w="12" w:type="dxa"/>
                    <w:left w:w="12" w:type="dxa"/>
                    <w:right w:w="12" w:type="dxa"/>
                  </w:tcMar>
                  <w:vAlign w:val="center"/>
                </w:tcPr>
                <w:p w14:paraId="7EE48681">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数控金属带锯床</w:t>
                  </w:r>
                </w:p>
              </w:tc>
              <w:tc>
                <w:tcPr>
                  <w:tcW w:w="866" w:type="pct"/>
                  <w:vMerge w:val="restart"/>
                  <w:noWrap w:val="0"/>
                  <w:tcMar>
                    <w:top w:w="12" w:type="dxa"/>
                    <w:left w:w="12" w:type="dxa"/>
                    <w:right w:w="12" w:type="dxa"/>
                  </w:tcMar>
                  <w:vAlign w:val="center"/>
                </w:tcPr>
                <w:p w14:paraId="416AF02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切削尺寸</w:t>
                  </w:r>
                </w:p>
              </w:tc>
              <w:tc>
                <w:tcPr>
                  <w:tcW w:w="606" w:type="pct"/>
                  <w:vMerge w:val="restart"/>
                  <w:noWrap w:val="0"/>
                  <w:tcMar>
                    <w:top w:w="12" w:type="dxa"/>
                    <w:left w:w="12" w:type="dxa"/>
                    <w:right w:w="12" w:type="dxa"/>
                  </w:tcMar>
                  <w:vAlign w:val="center"/>
                </w:tcPr>
                <w:p w14:paraId="718A6AC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mm</w:t>
                  </w:r>
                </w:p>
              </w:tc>
              <w:tc>
                <w:tcPr>
                  <w:tcW w:w="691" w:type="pct"/>
                  <w:noWrap w:val="0"/>
                  <w:vAlign w:val="center"/>
                </w:tcPr>
                <w:p w14:paraId="074B1AE5">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300</w:t>
                  </w:r>
                </w:p>
              </w:tc>
              <w:tc>
                <w:tcPr>
                  <w:tcW w:w="643" w:type="pct"/>
                  <w:noWrap w:val="0"/>
                  <w:tcMar>
                    <w:top w:w="12" w:type="dxa"/>
                    <w:left w:w="12" w:type="dxa"/>
                    <w:right w:w="12" w:type="dxa"/>
                  </w:tcMar>
                  <w:vAlign w:val="center"/>
                </w:tcPr>
                <w:p w14:paraId="704F5231">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共2台</w:t>
                  </w:r>
                </w:p>
              </w:tc>
            </w:tr>
            <w:tr w14:paraId="1A8A9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515CE7A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B852FAD">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86B4E73">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3DE3382A">
                  <w:pPr>
                    <w:widowControl/>
                    <w:jc w:val="center"/>
                    <w:textAlignment w:val="center"/>
                    <w:rPr>
                      <w:rFonts w:hint="default" w:ascii="Times New Roman" w:hAnsi="Times New Roman" w:eastAsia="宋体" w:cs="Times New Roman"/>
                      <w:sz w:val="21"/>
                      <w:szCs w:val="21"/>
                    </w:rPr>
                  </w:pPr>
                </w:p>
              </w:tc>
              <w:tc>
                <w:tcPr>
                  <w:tcW w:w="894" w:type="pct"/>
                  <w:vMerge w:val="continue"/>
                  <w:noWrap w:val="0"/>
                  <w:tcMar>
                    <w:top w:w="12" w:type="dxa"/>
                    <w:left w:w="12" w:type="dxa"/>
                    <w:right w:w="12" w:type="dxa"/>
                  </w:tcMar>
                  <w:vAlign w:val="center"/>
                </w:tcPr>
                <w:p w14:paraId="48CA1863">
                  <w:pPr>
                    <w:widowControl/>
                    <w:jc w:val="center"/>
                    <w:textAlignment w:val="center"/>
                    <w:rPr>
                      <w:rFonts w:hint="default" w:ascii="Times New Roman" w:hAnsi="Times New Roman" w:eastAsia="宋体" w:cs="Times New Roman"/>
                      <w:sz w:val="21"/>
                      <w:szCs w:val="21"/>
                    </w:rPr>
                  </w:pPr>
                </w:p>
              </w:tc>
              <w:tc>
                <w:tcPr>
                  <w:tcW w:w="866" w:type="pct"/>
                  <w:vMerge w:val="continue"/>
                  <w:noWrap w:val="0"/>
                  <w:tcMar>
                    <w:top w:w="12" w:type="dxa"/>
                    <w:left w:w="12" w:type="dxa"/>
                    <w:right w:w="12" w:type="dxa"/>
                  </w:tcMar>
                  <w:vAlign w:val="center"/>
                </w:tcPr>
                <w:p w14:paraId="0759A5EC">
                  <w:pPr>
                    <w:widowControl/>
                    <w:jc w:val="center"/>
                    <w:textAlignment w:val="center"/>
                    <w:rPr>
                      <w:rFonts w:hint="default" w:ascii="Times New Roman" w:hAnsi="Times New Roman" w:eastAsia="宋体" w:cs="Times New Roman"/>
                      <w:sz w:val="21"/>
                      <w:szCs w:val="21"/>
                    </w:rPr>
                  </w:pPr>
                </w:p>
              </w:tc>
              <w:tc>
                <w:tcPr>
                  <w:tcW w:w="606" w:type="pct"/>
                  <w:vMerge w:val="continue"/>
                  <w:noWrap w:val="0"/>
                  <w:tcMar>
                    <w:top w:w="12" w:type="dxa"/>
                    <w:left w:w="12" w:type="dxa"/>
                    <w:right w:w="12" w:type="dxa"/>
                  </w:tcMar>
                  <w:vAlign w:val="center"/>
                </w:tcPr>
                <w:p w14:paraId="24E9C80E">
                  <w:pPr>
                    <w:widowControl/>
                    <w:jc w:val="center"/>
                    <w:textAlignment w:val="center"/>
                    <w:rPr>
                      <w:rFonts w:hint="default" w:ascii="Times New Roman" w:hAnsi="Times New Roman" w:eastAsia="宋体" w:cs="Times New Roman"/>
                      <w:kern w:val="0"/>
                      <w:sz w:val="21"/>
                      <w:szCs w:val="21"/>
                    </w:rPr>
                  </w:pPr>
                </w:p>
              </w:tc>
              <w:tc>
                <w:tcPr>
                  <w:tcW w:w="691" w:type="pct"/>
                  <w:noWrap w:val="0"/>
                  <w:vAlign w:val="center"/>
                </w:tcPr>
                <w:p w14:paraId="5EAB6ECC">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500</w:t>
                  </w:r>
                </w:p>
              </w:tc>
              <w:tc>
                <w:tcPr>
                  <w:tcW w:w="643" w:type="pct"/>
                  <w:noWrap w:val="0"/>
                  <w:tcMar>
                    <w:top w:w="12" w:type="dxa"/>
                    <w:left w:w="12" w:type="dxa"/>
                    <w:right w:w="12" w:type="dxa"/>
                  </w:tcMar>
                  <w:vAlign w:val="center"/>
                </w:tcPr>
                <w:p w14:paraId="049C12A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0BE3D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1E4D8BB6">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6617A917">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8097E51">
                  <w:pPr>
                    <w:widowControl/>
                    <w:jc w:val="center"/>
                    <w:textAlignment w:val="center"/>
                    <w:rPr>
                      <w:rFonts w:hint="default" w:ascii="Times New Roman" w:hAnsi="Times New Roman" w:eastAsia="宋体" w:cs="Times New Roman"/>
                      <w:sz w:val="21"/>
                      <w:szCs w:val="21"/>
                    </w:rPr>
                  </w:pPr>
                </w:p>
              </w:tc>
              <w:tc>
                <w:tcPr>
                  <w:tcW w:w="464" w:type="pct"/>
                  <w:vMerge w:val="restart"/>
                  <w:noWrap w:val="0"/>
                  <w:tcMar>
                    <w:top w:w="12" w:type="dxa"/>
                    <w:left w:w="12" w:type="dxa"/>
                    <w:right w:w="12" w:type="dxa"/>
                  </w:tcMar>
                  <w:vAlign w:val="center"/>
                </w:tcPr>
                <w:p w14:paraId="5DE29363">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冲压</w:t>
                  </w:r>
                </w:p>
              </w:tc>
              <w:tc>
                <w:tcPr>
                  <w:tcW w:w="894" w:type="pct"/>
                  <w:noWrap w:val="0"/>
                  <w:tcMar>
                    <w:top w:w="12" w:type="dxa"/>
                    <w:left w:w="12" w:type="dxa"/>
                    <w:right w:w="12" w:type="dxa"/>
                  </w:tcMar>
                  <w:vAlign w:val="center"/>
                </w:tcPr>
                <w:p w14:paraId="3947687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机械压力机</w:t>
                  </w:r>
                </w:p>
              </w:tc>
              <w:tc>
                <w:tcPr>
                  <w:tcW w:w="866" w:type="pct"/>
                  <w:vMerge w:val="restart"/>
                  <w:noWrap w:val="0"/>
                  <w:tcMar>
                    <w:top w:w="12" w:type="dxa"/>
                    <w:left w:w="12" w:type="dxa"/>
                    <w:right w:w="12" w:type="dxa"/>
                  </w:tcMar>
                  <w:vAlign w:val="center"/>
                </w:tcPr>
                <w:p w14:paraId="01E52765">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设备吨位</w:t>
                  </w:r>
                </w:p>
              </w:tc>
              <w:tc>
                <w:tcPr>
                  <w:tcW w:w="606" w:type="pct"/>
                  <w:vMerge w:val="restart"/>
                  <w:noWrap w:val="0"/>
                  <w:tcMar>
                    <w:top w:w="12" w:type="dxa"/>
                    <w:left w:w="12" w:type="dxa"/>
                    <w:right w:w="12" w:type="dxa"/>
                  </w:tcMar>
                  <w:vAlign w:val="center"/>
                </w:tcPr>
                <w:p w14:paraId="6EE7359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rPr>
                    <w:t>t</w:t>
                  </w:r>
                </w:p>
              </w:tc>
              <w:tc>
                <w:tcPr>
                  <w:tcW w:w="691" w:type="pct"/>
                  <w:noWrap w:val="0"/>
                  <w:vAlign w:val="center"/>
                </w:tcPr>
                <w:p w14:paraId="2E820E93">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630</w:t>
                  </w:r>
                </w:p>
              </w:tc>
              <w:tc>
                <w:tcPr>
                  <w:tcW w:w="643" w:type="pct"/>
                  <w:noWrap w:val="0"/>
                  <w:tcMar>
                    <w:top w:w="12" w:type="dxa"/>
                    <w:left w:w="12" w:type="dxa"/>
                    <w:right w:w="12" w:type="dxa"/>
                  </w:tcMar>
                  <w:vAlign w:val="center"/>
                </w:tcPr>
                <w:p w14:paraId="4ED36622">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58BCF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3D859CE">
                  <w:pPr>
                    <w:widowControl/>
                    <w:jc w:val="center"/>
                    <w:textAlignment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0D104695">
                  <w:pPr>
                    <w:widowControl/>
                    <w:jc w:val="center"/>
                    <w:textAlignment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3F59A35">
                  <w:pPr>
                    <w:widowControl/>
                    <w:jc w:val="center"/>
                    <w:textAlignment w:val="center"/>
                    <w:rPr>
                      <w:rFonts w:hint="default" w:ascii="Times New Roman" w:hAnsi="Times New Roman" w:eastAsia="宋体" w:cs="Times New Roman"/>
                      <w:sz w:val="21"/>
                      <w:szCs w:val="21"/>
                    </w:rPr>
                  </w:pPr>
                </w:p>
              </w:tc>
              <w:tc>
                <w:tcPr>
                  <w:tcW w:w="464" w:type="pct"/>
                  <w:vMerge w:val="continue"/>
                  <w:noWrap w:val="0"/>
                  <w:tcMar>
                    <w:top w:w="12" w:type="dxa"/>
                    <w:left w:w="12" w:type="dxa"/>
                    <w:right w:w="12" w:type="dxa"/>
                  </w:tcMar>
                  <w:vAlign w:val="center"/>
                </w:tcPr>
                <w:p w14:paraId="08DECE25">
                  <w:pPr>
                    <w:widowControl/>
                    <w:jc w:val="center"/>
                    <w:textAlignment w:val="center"/>
                    <w:rPr>
                      <w:rFonts w:hint="default" w:ascii="Times New Roman" w:hAnsi="Times New Roman" w:eastAsia="宋体" w:cs="Times New Roman"/>
                      <w:sz w:val="21"/>
                      <w:szCs w:val="21"/>
                    </w:rPr>
                  </w:pPr>
                </w:p>
              </w:tc>
              <w:tc>
                <w:tcPr>
                  <w:tcW w:w="894" w:type="pct"/>
                  <w:noWrap w:val="0"/>
                  <w:tcMar>
                    <w:top w:w="12" w:type="dxa"/>
                    <w:left w:w="12" w:type="dxa"/>
                    <w:right w:w="12" w:type="dxa"/>
                  </w:tcMar>
                  <w:vAlign w:val="center"/>
                </w:tcPr>
                <w:p w14:paraId="3D8A128B">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开式可倾压力机</w:t>
                  </w:r>
                </w:p>
              </w:tc>
              <w:tc>
                <w:tcPr>
                  <w:tcW w:w="866" w:type="pct"/>
                  <w:vMerge w:val="continue"/>
                  <w:noWrap w:val="0"/>
                  <w:tcMar>
                    <w:top w:w="12" w:type="dxa"/>
                    <w:left w:w="12" w:type="dxa"/>
                    <w:right w:w="12" w:type="dxa"/>
                  </w:tcMar>
                  <w:vAlign w:val="center"/>
                </w:tcPr>
                <w:p w14:paraId="67E7D364">
                  <w:pPr>
                    <w:widowControl/>
                    <w:jc w:val="center"/>
                    <w:textAlignment w:val="center"/>
                    <w:rPr>
                      <w:rFonts w:hint="default" w:ascii="Times New Roman" w:hAnsi="Times New Roman" w:eastAsia="宋体" w:cs="Times New Roman"/>
                      <w:kern w:val="0"/>
                      <w:sz w:val="21"/>
                      <w:szCs w:val="21"/>
                    </w:rPr>
                  </w:pPr>
                </w:p>
              </w:tc>
              <w:tc>
                <w:tcPr>
                  <w:tcW w:w="606" w:type="pct"/>
                  <w:vMerge w:val="continue"/>
                  <w:noWrap w:val="0"/>
                  <w:tcMar>
                    <w:top w:w="12" w:type="dxa"/>
                    <w:left w:w="12" w:type="dxa"/>
                    <w:right w:w="12" w:type="dxa"/>
                  </w:tcMar>
                  <w:vAlign w:val="center"/>
                </w:tcPr>
                <w:p w14:paraId="6B165FF9">
                  <w:pPr>
                    <w:widowControl/>
                    <w:jc w:val="center"/>
                    <w:textAlignment w:val="center"/>
                    <w:rPr>
                      <w:rFonts w:hint="default" w:ascii="Times New Roman" w:hAnsi="Times New Roman" w:eastAsia="宋体" w:cs="Times New Roman"/>
                      <w:kern w:val="0"/>
                      <w:sz w:val="21"/>
                      <w:szCs w:val="21"/>
                    </w:rPr>
                  </w:pPr>
                </w:p>
              </w:tc>
              <w:tc>
                <w:tcPr>
                  <w:tcW w:w="691" w:type="pct"/>
                  <w:noWrap w:val="0"/>
                  <w:vAlign w:val="center"/>
                </w:tcPr>
                <w:p w14:paraId="128EC2E3">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643" w:type="pct"/>
                  <w:noWrap w:val="0"/>
                  <w:tcMar>
                    <w:top w:w="12" w:type="dxa"/>
                    <w:left w:w="12" w:type="dxa"/>
                    <w:right w:w="12" w:type="dxa"/>
                  </w:tcMar>
                  <w:vAlign w:val="center"/>
                </w:tcPr>
                <w:p w14:paraId="48C84349">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2CDA9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31E5454">
                  <w:pPr>
                    <w:widowControl/>
                    <w:jc w:val="center"/>
                    <w:textAlignment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0D7769D">
                  <w:pPr>
                    <w:widowControl/>
                    <w:jc w:val="center"/>
                    <w:textAlignment w:val="center"/>
                    <w:rPr>
                      <w:rFonts w:hint="default" w:ascii="Times New Roman" w:hAnsi="Times New Roman" w:eastAsia="宋体" w:cs="Times New Roman"/>
                      <w:sz w:val="21"/>
                      <w:szCs w:val="21"/>
                    </w:rPr>
                  </w:pPr>
                </w:p>
              </w:tc>
              <w:tc>
                <w:tcPr>
                  <w:tcW w:w="330" w:type="pct"/>
                  <w:noWrap w:val="0"/>
                  <w:tcMar>
                    <w:top w:w="12" w:type="dxa"/>
                    <w:left w:w="12" w:type="dxa"/>
                    <w:right w:w="12" w:type="dxa"/>
                  </w:tcMar>
                  <w:vAlign w:val="center"/>
                </w:tcPr>
                <w:p w14:paraId="194B8F07">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抛丸</w:t>
                  </w:r>
                </w:p>
              </w:tc>
              <w:tc>
                <w:tcPr>
                  <w:tcW w:w="464" w:type="pct"/>
                  <w:shd w:val="clear" w:color="auto" w:fill="auto"/>
                  <w:noWrap w:val="0"/>
                  <w:tcMar>
                    <w:top w:w="12" w:type="dxa"/>
                    <w:left w:w="12" w:type="dxa"/>
                    <w:right w:w="12" w:type="dxa"/>
                  </w:tcMar>
                  <w:vAlign w:val="center"/>
                </w:tcPr>
                <w:p w14:paraId="47B0830F">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抛丸</w:t>
                  </w:r>
                </w:p>
              </w:tc>
              <w:tc>
                <w:tcPr>
                  <w:tcW w:w="894" w:type="pct"/>
                  <w:shd w:val="clear" w:color="auto" w:fill="auto"/>
                  <w:noWrap w:val="0"/>
                  <w:tcMar>
                    <w:top w:w="12" w:type="dxa"/>
                    <w:left w:w="12" w:type="dxa"/>
                    <w:right w:w="12" w:type="dxa"/>
                  </w:tcMar>
                  <w:vAlign w:val="center"/>
                </w:tcPr>
                <w:p w14:paraId="79185EDD">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双钩升降式</w:t>
                  </w:r>
                </w:p>
              </w:tc>
              <w:tc>
                <w:tcPr>
                  <w:tcW w:w="866" w:type="pct"/>
                  <w:shd w:val="clear" w:color="auto" w:fill="auto"/>
                  <w:noWrap w:val="0"/>
                  <w:tcMar>
                    <w:top w:w="12" w:type="dxa"/>
                    <w:left w:w="12" w:type="dxa"/>
                    <w:right w:w="12" w:type="dxa"/>
                  </w:tcMar>
                  <w:vAlign w:val="center"/>
                </w:tcPr>
                <w:p w14:paraId="67B16789">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额定功率</w:t>
                  </w:r>
                </w:p>
              </w:tc>
              <w:tc>
                <w:tcPr>
                  <w:tcW w:w="606" w:type="pct"/>
                  <w:shd w:val="clear" w:color="auto" w:fill="auto"/>
                  <w:noWrap w:val="0"/>
                  <w:tcMar>
                    <w:top w:w="12" w:type="dxa"/>
                    <w:left w:w="12" w:type="dxa"/>
                    <w:right w:w="12" w:type="dxa"/>
                  </w:tcMar>
                  <w:vAlign w:val="center"/>
                </w:tcPr>
                <w:p w14:paraId="6A8E334E">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KW</w:t>
                  </w:r>
                </w:p>
              </w:tc>
              <w:tc>
                <w:tcPr>
                  <w:tcW w:w="691" w:type="pct"/>
                  <w:shd w:val="clear" w:color="auto" w:fill="auto"/>
                  <w:noWrap w:val="0"/>
                  <w:vAlign w:val="center"/>
                </w:tcPr>
                <w:p w14:paraId="1F3BCDEE">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11</w:t>
                  </w:r>
                </w:p>
              </w:tc>
              <w:tc>
                <w:tcPr>
                  <w:tcW w:w="643" w:type="pct"/>
                  <w:shd w:val="clear" w:color="auto" w:fill="auto"/>
                  <w:noWrap w:val="0"/>
                  <w:tcMar>
                    <w:top w:w="12" w:type="dxa"/>
                    <w:left w:w="12" w:type="dxa"/>
                    <w:right w:w="12" w:type="dxa"/>
                  </w:tcMar>
                  <w:vAlign w:val="center"/>
                </w:tcPr>
                <w:p w14:paraId="4F2CB9AC">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 xml:space="preserve">共2台 </w:t>
                  </w:r>
                </w:p>
              </w:tc>
            </w:tr>
            <w:tr w14:paraId="5A428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7164190">
                  <w:pPr>
                    <w:widowControl/>
                    <w:jc w:val="center"/>
                    <w:textAlignment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1E88533">
                  <w:pPr>
                    <w:widowControl/>
                    <w:jc w:val="center"/>
                    <w:textAlignment w:val="center"/>
                    <w:rPr>
                      <w:rFonts w:hint="default" w:ascii="Times New Roman" w:hAnsi="Times New Roman" w:eastAsia="宋体" w:cs="Times New Roman"/>
                      <w:sz w:val="21"/>
                      <w:szCs w:val="21"/>
                    </w:rPr>
                  </w:pPr>
                </w:p>
              </w:tc>
              <w:tc>
                <w:tcPr>
                  <w:tcW w:w="330" w:type="pct"/>
                  <w:noWrap w:val="0"/>
                  <w:tcMar>
                    <w:top w:w="12" w:type="dxa"/>
                    <w:left w:w="12" w:type="dxa"/>
                    <w:right w:w="12" w:type="dxa"/>
                  </w:tcMar>
                  <w:vAlign w:val="center"/>
                </w:tcPr>
                <w:p w14:paraId="1F661D36">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渗锌</w:t>
                  </w:r>
                </w:p>
              </w:tc>
              <w:tc>
                <w:tcPr>
                  <w:tcW w:w="464" w:type="pct"/>
                  <w:shd w:val="clear" w:color="auto" w:fill="auto"/>
                  <w:noWrap w:val="0"/>
                  <w:tcMar>
                    <w:top w:w="12" w:type="dxa"/>
                    <w:left w:w="12" w:type="dxa"/>
                    <w:right w:w="12" w:type="dxa"/>
                  </w:tcMar>
                  <w:vAlign w:val="center"/>
                </w:tcPr>
                <w:p w14:paraId="313A60B7">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渗锌</w:t>
                  </w:r>
                </w:p>
              </w:tc>
              <w:tc>
                <w:tcPr>
                  <w:tcW w:w="894" w:type="pct"/>
                  <w:shd w:val="clear" w:color="auto" w:fill="auto"/>
                  <w:noWrap w:val="0"/>
                  <w:tcMar>
                    <w:top w:w="12" w:type="dxa"/>
                    <w:left w:w="12" w:type="dxa"/>
                    <w:right w:w="12" w:type="dxa"/>
                  </w:tcMar>
                  <w:vAlign w:val="center"/>
                </w:tcPr>
                <w:p w14:paraId="7FD4C7D1">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z w:val="21"/>
                      <w:szCs w:val="21"/>
                    </w:rPr>
                    <w:t>四方燃气</w:t>
                  </w:r>
                  <w:r>
                    <w:rPr>
                      <w:rFonts w:hint="default" w:ascii="Times New Roman" w:hAnsi="Times New Roman" w:eastAsia="宋体" w:cs="Times New Roman"/>
                      <w:kern w:val="0"/>
                      <w:sz w:val="21"/>
                      <w:szCs w:val="21"/>
                    </w:rPr>
                    <w:t>渗锌炉</w:t>
                  </w:r>
                </w:p>
              </w:tc>
              <w:tc>
                <w:tcPr>
                  <w:tcW w:w="866" w:type="pct"/>
                  <w:shd w:val="clear" w:color="auto" w:fill="auto"/>
                  <w:noWrap w:val="0"/>
                  <w:tcMar>
                    <w:top w:w="12" w:type="dxa"/>
                    <w:left w:w="12" w:type="dxa"/>
                    <w:right w:w="12" w:type="dxa"/>
                  </w:tcMar>
                  <w:vAlign w:val="center"/>
                </w:tcPr>
                <w:p w14:paraId="40843BD9">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额定功率</w:t>
                  </w:r>
                </w:p>
              </w:tc>
              <w:tc>
                <w:tcPr>
                  <w:tcW w:w="606" w:type="pct"/>
                  <w:shd w:val="clear" w:color="auto" w:fill="auto"/>
                  <w:noWrap w:val="0"/>
                  <w:tcMar>
                    <w:top w:w="12" w:type="dxa"/>
                    <w:left w:w="12" w:type="dxa"/>
                    <w:right w:w="12" w:type="dxa"/>
                  </w:tcMar>
                  <w:vAlign w:val="center"/>
                </w:tcPr>
                <w:p w14:paraId="4AF0B28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rPr>
                    <w:t>KW</w:t>
                  </w:r>
                </w:p>
              </w:tc>
              <w:tc>
                <w:tcPr>
                  <w:tcW w:w="691" w:type="pct"/>
                  <w:shd w:val="clear" w:color="auto" w:fill="auto"/>
                  <w:noWrap w:val="0"/>
                  <w:vAlign w:val="center"/>
                </w:tcPr>
                <w:p w14:paraId="04237781">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230×6</w:t>
                  </w:r>
                </w:p>
              </w:tc>
              <w:tc>
                <w:tcPr>
                  <w:tcW w:w="643" w:type="pct"/>
                  <w:shd w:val="clear" w:color="auto" w:fill="auto"/>
                  <w:noWrap w:val="0"/>
                  <w:tcMar>
                    <w:top w:w="12" w:type="dxa"/>
                    <w:left w:w="12" w:type="dxa"/>
                    <w:right w:w="12" w:type="dxa"/>
                  </w:tcMar>
                  <w:vAlign w:val="center"/>
                </w:tcPr>
                <w:p w14:paraId="6AA903D5">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共2台</w:t>
                  </w:r>
                </w:p>
              </w:tc>
            </w:tr>
            <w:tr w14:paraId="7E6C3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E7EC4F9">
                  <w:pPr>
                    <w:widowControl/>
                    <w:jc w:val="center"/>
                    <w:textAlignment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62BE7498">
                  <w:pPr>
                    <w:widowControl/>
                    <w:jc w:val="center"/>
                    <w:textAlignment w:val="center"/>
                    <w:rPr>
                      <w:rFonts w:hint="default" w:ascii="Times New Roman" w:hAnsi="Times New Roman" w:eastAsia="宋体" w:cs="Times New Roman"/>
                      <w:sz w:val="21"/>
                      <w:szCs w:val="21"/>
                    </w:rPr>
                  </w:pPr>
                </w:p>
              </w:tc>
              <w:tc>
                <w:tcPr>
                  <w:tcW w:w="330" w:type="pct"/>
                  <w:noWrap w:val="0"/>
                  <w:tcMar>
                    <w:top w:w="12" w:type="dxa"/>
                    <w:left w:w="12" w:type="dxa"/>
                    <w:right w:w="12" w:type="dxa"/>
                  </w:tcMar>
                  <w:vAlign w:val="center"/>
                </w:tcPr>
                <w:p w14:paraId="2AC80F42">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喷漆</w:t>
                  </w:r>
                </w:p>
              </w:tc>
              <w:tc>
                <w:tcPr>
                  <w:tcW w:w="464" w:type="pct"/>
                  <w:shd w:val="clear" w:color="auto" w:fill="auto"/>
                  <w:noWrap w:val="0"/>
                  <w:tcMar>
                    <w:top w:w="12" w:type="dxa"/>
                    <w:left w:w="12" w:type="dxa"/>
                    <w:right w:w="12" w:type="dxa"/>
                  </w:tcMar>
                  <w:vAlign w:val="center"/>
                </w:tcPr>
                <w:p w14:paraId="07FE9545">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喷漆晾干</w:t>
                  </w:r>
                </w:p>
              </w:tc>
              <w:tc>
                <w:tcPr>
                  <w:tcW w:w="894" w:type="pct"/>
                  <w:shd w:val="clear" w:color="auto" w:fill="auto"/>
                  <w:noWrap w:val="0"/>
                  <w:tcMar>
                    <w:top w:w="12" w:type="dxa"/>
                    <w:left w:w="12" w:type="dxa"/>
                    <w:right w:w="12" w:type="dxa"/>
                  </w:tcMar>
                  <w:vAlign w:val="center"/>
                </w:tcPr>
                <w:p w14:paraId="54A34831">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喷漆房</w:t>
                  </w:r>
                </w:p>
              </w:tc>
              <w:tc>
                <w:tcPr>
                  <w:tcW w:w="866" w:type="pct"/>
                  <w:shd w:val="clear" w:color="auto" w:fill="auto"/>
                  <w:noWrap w:val="0"/>
                  <w:tcMar>
                    <w:top w:w="12" w:type="dxa"/>
                    <w:left w:w="12" w:type="dxa"/>
                    <w:right w:w="12" w:type="dxa"/>
                  </w:tcMar>
                  <w:vAlign w:val="center"/>
                </w:tcPr>
                <w:p w14:paraId="628834B4">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274F6A22">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m*m*m</w:t>
                  </w:r>
                </w:p>
              </w:tc>
              <w:tc>
                <w:tcPr>
                  <w:tcW w:w="691" w:type="pct"/>
                  <w:shd w:val="clear" w:color="auto" w:fill="auto"/>
                  <w:noWrap w:val="0"/>
                  <w:vAlign w:val="center"/>
                </w:tcPr>
                <w:p w14:paraId="67F8E4AC">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16*14*13.56</w:t>
                  </w:r>
                </w:p>
              </w:tc>
              <w:tc>
                <w:tcPr>
                  <w:tcW w:w="643" w:type="pct"/>
                  <w:shd w:val="clear" w:color="auto" w:fill="auto"/>
                  <w:noWrap w:val="0"/>
                  <w:tcMar>
                    <w:top w:w="12" w:type="dxa"/>
                    <w:left w:w="12" w:type="dxa"/>
                    <w:right w:w="12" w:type="dxa"/>
                  </w:tcMar>
                  <w:vAlign w:val="center"/>
                </w:tcPr>
                <w:p w14:paraId="566E41A0">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共1间</w:t>
                  </w:r>
                </w:p>
              </w:tc>
            </w:tr>
            <w:tr w14:paraId="6F2CA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A6847F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8604EC2">
                  <w:pPr>
                    <w:jc w:val="center"/>
                    <w:rPr>
                      <w:rFonts w:hint="default" w:ascii="Times New Roman" w:hAnsi="Times New Roman" w:eastAsia="宋体" w:cs="Times New Roman"/>
                      <w:sz w:val="21"/>
                      <w:szCs w:val="21"/>
                    </w:rPr>
                  </w:pPr>
                </w:p>
              </w:tc>
              <w:tc>
                <w:tcPr>
                  <w:tcW w:w="330" w:type="pct"/>
                  <w:vMerge w:val="restart"/>
                  <w:noWrap w:val="0"/>
                  <w:tcMar>
                    <w:top w:w="12" w:type="dxa"/>
                    <w:left w:w="12" w:type="dxa"/>
                    <w:right w:w="12" w:type="dxa"/>
                  </w:tcMar>
                  <w:vAlign w:val="center"/>
                </w:tcPr>
                <w:p w14:paraId="47DBB196">
                  <w:pPr>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全自动悬链</w:t>
                  </w:r>
                  <w:r>
                    <w:rPr>
                      <w:rFonts w:hint="default" w:ascii="Times New Roman" w:hAnsi="Times New Roman" w:eastAsia="宋体" w:cs="Times New Roman"/>
                      <w:kern w:val="0"/>
                      <w:sz w:val="21"/>
                      <w:szCs w:val="21"/>
                      <w:lang w:bidi="ar"/>
                    </w:rPr>
                    <w:t>钝化封闭</w:t>
                  </w:r>
                  <w:r>
                    <w:rPr>
                      <w:rFonts w:hint="default" w:ascii="Times New Roman" w:hAnsi="Times New Roman" w:eastAsia="宋体" w:cs="Times New Roman"/>
                      <w:kern w:val="0"/>
                      <w:sz w:val="21"/>
                      <w:szCs w:val="21"/>
                      <w:lang w:val="en-US" w:eastAsia="zh-CN" w:bidi="ar"/>
                    </w:rPr>
                    <w:t>线</w:t>
                  </w:r>
                </w:p>
              </w:tc>
              <w:tc>
                <w:tcPr>
                  <w:tcW w:w="464" w:type="pct"/>
                  <w:noWrap w:val="0"/>
                  <w:tcMar>
                    <w:top w:w="12" w:type="dxa"/>
                    <w:left w:w="12" w:type="dxa"/>
                    <w:right w:w="12" w:type="dxa"/>
                  </w:tcMar>
                  <w:vAlign w:val="center"/>
                </w:tcPr>
                <w:p w14:paraId="472D6CBE">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运输</w:t>
                  </w:r>
                </w:p>
              </w:tc>
              <w:tc>
                <w:tcPr>
                  <w:tcW w:w="894" w:type="pct"/>
                  <w:noWrap w:val="0"/>
                  <w:tcMar>
                    <w:top w:w="12" w:type="dxa"/>
                    <w:left w:w="12" w:type="dxa"/>
                    <w:right w:w="12" w:type="dxa"/>
                  </w:tcMar>
                  <w:vAlign w:val="center"/>
                </w:tcPr>
                <w:p w14:paraId="2BD4F482">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悬链</w:t>
                  </w:r>
                </w:p>
              </w:tc>
              <w:tc>
                <w:tcPr>
                  <w:tcW w:w="866" w:type="pct"/>
                  <w:noWrap w:val="0"/>
                  <w:tcMar>
                    <w:top w:w="12" w:type="dxa"/>
                    <w:left w:w="12" w:type="dxa"/>
                    <w:right w:w="12" w:type="dxa"/>
                  </w:tcMar>
                  <w:vAlign w:val="center"/>
                </w:tcPr>
                <w:p w14:paraId="4616E9F8">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输送速度</w:t>
                  </w:r>
                </w:p>
              </w:tc>
              <w:tc>
                <w:tcPr>
                  <w:tcW w:w="606" w:type="pct"/>
                  <w:noWrap w:val="0"/>
                  <w:tcMar>
                    <w:top w:w="12" w:type="dxa"/>
                    <w:left w:w="12" w:type="dxa"/>
                    <w:right w:w="12" w:type="dxa"/>
                  </w:tcMar>
                  <w:vAlign w:val="center"/>
                </w:tcPr>
                <w:p w14:paraId="1B425CD8">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m/min</w:t>
                  </w:r>
                </w:p>
              </w:tc>
              <w:tc>
                <w:tcPr>
                  <w:tcW w:w="691" w:type="pct"/>
                  <w:noWrap w:val="0"/>
                  <w:vAlign w:val="center"/>
                </w:tcPr>
                <w:p w14:paraId="605C4925">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0.3~20</w:t>
                  </w:r>
                </w:p>
              </w:tc>
              <w:tc>
                <w:tcPr>
                  <w:tcW w:w="643" w:type="pct"/>
                  <w:noWrap w:val="0"/>
                  <w:tcMar>
                    <w:top w:w="12" w:type="dxa"/>
                    <w:left w:w="12" w:type="dxa"/>
                    <w:right w:w="12" w:type="dxa"/>
                  </w:tcMar>
                  <w:vAlign w:val="center"/>
                </w:tcPr>
                <w:p w14:paraId="1BD43BAA">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共1套</w:t>
                  </w:r>
                </w:p>
              </w:tc>
            </w:tr>
            <w:tr w14:paraId="30B83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ED59F42">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06527C6">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3E9F419">
                  <w:pPr>
                    <w:jc w:val="center"/>
                    <w:textAlignment w:val="center"/>
                    <w:rPr>
                      <w:rFonts w:hint="default" w:ascii="Times New Roman" w:hAnsi="Times New Roman" w:eastAsia="宋体" w:cs="Times New Roman"/>
                      <w:kern w:val="0"/>
                      <w:sz w:val="21"/>
                      <w:szCs w:val="21"/>
                      <w:lang w:val="en-US" w:eastAsia="zh-CN" w:bidi="ar"/>
                    </w:rPr>
                  </w:pPr>
                </w:p>
              </w:tc>
              <w:tc>
                <w:tcPr>
                  <w:tcW w:w="464" w:type="pct"/>
                  <w:vMerge w:val="restart"/>
                  <w:noWrap w:val="0"/>
                  <w:tcMar>
                    <w:top w:w="12" w:type="dxa"/>
                    <w:left w:w="12" w:type="dxa"/>
                    <w:right w:w="12" w:type="dxa"/>
                  </w:tcMar>
                  <w:vAlign w:val="center"/>
                </w:tcPr>
                <w:p w14:paraId="4890FE3B">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清洗</w:t>
                  </w:r>
                </w:p>
              </w:tc>
              <w:tc>
                <w:tcPr>
                  <w:tcW w:w="894" w:type="pct"/>
                  <w:noWrap w:val="0"/>
                  <w:tcMar>
                    <w:top w:w="12" w:type="dxa"/>
                    <w:left w:w="12" w:type="dxa"/>
                    <w:right w:w="12" w:type="dxa"/>
                  </w:tcMar>
                  <w:vAlign w:val="center"/>
                </w:tcPr>
                <w:p w14:paraId="077A3A17">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水喷淋仓</w:t>
                  </w:r>
                </w:p>
              </w:tc>
              <w:tc>
                <w:tcPr>
                  <w:tcW w:w="866" w:type="pct"/>
                  <w:noWrap w:val="0"/>
                  <w:tcMar>
                    <w:top w:w="12" w:type="dxa"/>
                    <w:left w:w="12" w:type="dxa"/>
                    <w:right w:w="12" w:type="dxa"/>
                  </w:tcMar>
                  <w:vAlign w:val="center"/>
                </w:tcPr>
                <w:p w14:paraId="1FDCB831">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尺寸</w:t>
                  </w:r>
                </w:p>
              </w:tc>
              <w:tc>
                <w:tcPr>
                  <w:tcW w:w="606" w:type="pct"/>
                  <w:noWrap w:val="0"/>
                  <w:tcMar>
                    <w:top w:w="12" w:type="dxa"/>
                    <w:left w:w="12" w:type="dxa"/>
                    <w:right w:w="12" w:type="dxa"/>
                  </w:tcMar>
                  <w:vAlign w:val="center"/>
                </w:tcPr>
                <w:p w14:paraId="778E0912">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m*m*m</w:t>
                  </w:r>
                </w:p>
              </w:tc>
              <w:tc>
                <w:tcPr>
                  <w:tcW w:w="691" w:type="pct"/>
                  <w:noWrap w:val="0"/>
                  <w:vAlign w:val="center"/>
                </w:tcPr>
                <w:p w14:paraId="04D35C09">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6*1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w:t>
                  </w:r>
                </w:p>
              </w:tc>
              <w:tc>
                <w:tcPr>
                  <w:tcW w:w="643" w:type="pct"/>
                  <w:noWrap w:val="0"/>
                  <w:tcMar>
                    <w:top w:w="12" w:type="dxa"/>
                    <w:left w:w="12" w:type="dxa"/>
                    <w:right w:w="12" w:type="dxa"/>
                  </w:tcMar>
                  <w:vAlign w:val="center"/>
                </w:tcPr>
                <w:p w14:paraId="7C281E18">
                  <w:pPr>
                    <w:widowControl/>
                    <w:jc w:val="center"/>
                    <w:textAlignment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sz w:val="21"/>
                      <w:szCs w:val="21"/>
                      <w:lang w:val="en-US" w:eastAsia="zh-CN"/>
                    </w:rPr>
                    <w:t>共3间</w:t>
                  </w:r>
                </w:p>
              </w:tc>
            </w:tr>
            <w:tr w14:paraId="228B9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239B3EA">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27B429FB">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D246415">
                  <w:pPr>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127FEBA8">
                  <w:pPr>
                    <w:widowControl/>
                    <w:jc w:val="center"/>
                    <w:textAlignment w:val="center"/>
                    <w:rPr>
                      <w:rFonts w:hint="default" w:ascii="Times New Roman" w:hAnsi="Times New Roman" w:eastAsia="宋体" w:cs="Times New Roman"/>
                      <w:kern w:val="0"/>
                      <w:sz w:val="21"/>
                      <w:szCs w:val="21"/>
                      <w:lang w:val="en-US" w:eastAsia="zh-CN" w:bidi="ar"/>
                    </w:rPr>
                  </w:pPr>
                </w:p>
              </w:tc>
              <w:tc>
                <w:tcPr>
                  <w:tcW w:w="894" w:type="pct"/>
                  <w:noWrap w:val="0"/>
                  <w:tcMar>
                    <w:top w:w="12" w:type="dxa"/>
                    <w:left w:w="12" w:type="dxa"/>
                    <w:right w:w="12" w:type="dxa"/>
                  </w:tcMar>
                  <w:vAlign w:val="center"/>
                </w:tcPr>
                <w:p w14:paraId="40CDDB44">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喷淋</w:t>
                  </w:r>
                  <w:r>
                    <w:rPr>
                      <w:rFonts w:hint="default" w:ascii="Times New Roman" w:hAnsi="Times New Roman" w:eastAsia="宋体" w:cs="Times New Roman"/>
                      <w:sz w:val="21"/>
                      <w:szCs w:val="21"/>
                      <w:lang w:val="en-US" w:eastAsia="zh-CN"/>
                    </w:rPr>
                    <w:t>循环</w:t>
                  </w:r>
                  <w:r>
                    <w:rPr>
                      <w:rFonts w:hint="default" w:ascii="Times New Roman" w:hAnsi="Times New Roman" w:eastAsia="宋体" w:cs="Times New Roman"/>
                      <w:sz w:val="21"/>
                      <w:szCs w:val="21"/>
                    </w:rPr>
                    <w:t>系统</w:t>
                  </w:r>
                </w:p>
              </w:tc>
              <w:tc>
                <w:tcPr>
                  <w:tcW w:w="866" w:type="pct"/>
                  <w:noWrap w:val="0"/>
                  <w:tcMar>
                    <w:top w:w="12" w:type="dxa"/>
                    <w:left w:w="12" w:type="dxa"/>
                    <w:right w:w="12" w:type="dxa"/>
                  </w:tcMar>
                  <w:vAlign w:val="center"/>
                </w:tcPr>
                <w:p w14:paraId="7EEBBC40">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管径</w:t>
                  </w:r>
                </w:p>
              </w:tc>
              <w:tc>
                <w:tcPr>
                  <w:tcW w:w="606" w:type="pct"/>
                  <w:noWrap w:val="0"/>
                  <w:tcMar>
                    <w:top w:w="12" w:type="dxa"/>
                    <w:left w:w="12" w:type="dxa"/>
                    <w:right w:w="12" w:type="dxa"/>
                  </w:tcMar>
                  <w:vAlign w:val="center"/>
                </w:tcPr>
                <w:p w14:paraId="4141C683">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mm</w:t>
                  </w:r>
                </w:p>
              </w:tc>
              <w:tc>
                <w:tcPr>
                  <w:tcW w:w="691" w:type="pct"/>
                  <w:noWrap w:val="0"/>
                  <w:vAlign w:val="center"/>
                </w:tcPr>
                <w:p w14:paraId="11CBE54B">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643" w:type="pct"/>
                  <w:noWrap w:val="0"/>
                  <w:tcMar>
                    <w:top w:w="12" w:type="dxa"/>
                    <w:left w:w="12" w:type="dxa"/>
                    <w:right w:w="12" w:type="dxa"/>
                  </w:tcMar>
                  <w:vAlign w:val="center"/>
                </w:tcPr>
                <w:p w14:paraId="71A35810">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共3套</w:t>
                  </w:r>
                </w:p>
              </w:tc>
            </w:tr>
            <w:tr w14:paraId="733DA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6C975F9C">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FA1739B">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F499A6F">
                  <w:pPr>
                    <w:jc w:val="center"/>
                    <w:textAlignment w:val="center"/>
                    <w:rPr>
                      <w:rFonts w:hint="default" w:ascii="Times New Roman" w:hAnsi="Times New Roman" w:eastAsia="宋体" w:cs="Times New Roman"/>
                      <w:kern w:val="0"/>
                      <w:sz w:val="21"/>
                      <w:szCs w:val="21"/>
                      <w:lang w:bidi="ar"/>
                    </w:rPr>
                  </w:pPr>
                </w:p>
              </w:tc>
              <w:tc>
                <w:tcPr>
                  <w:tcW w:w="464" w:type="pct"/>
                  <w:vMerge w:val="restart"/>
                  <w:noWrap w:val="0"/>
                  <w:tcMar>
                    <w:top w:w="12" w:type="dxa"/>
                    <w:left w:w="12" w:type="dxa"/>
                    <w:right w:w="12" w:type="dxa"/>
                  </w:tcMar>
                  <w:vAlign w:val="center"/>
                </w:tcPr>
                <w:p w14:paraId="7AFD1C5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钝化</w:t>
                  </w:r>
                </w:p>
              </w:tc>
              <w:tc>
                <w:tcPr>
                  <w:tcW w:w="894" w:type="pct"/>
                  <w:noWrap w:val="0"/>
                  <w:tcMar>
                    <w:top w:w="12" w:type="dxa"/>
                    <w:left w:w="12" w:type="dxa"/>
                    <w:right w:w="12" w:type="dxa"/>
                  </w:tcMar>
                  <w:vAlign w:val="center"/>
                </w:tcPr>
                <w:p w14:paraId="1E3E0FF5">
                  <w:pPr>
                    <w:widowControl/>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val="en-US" w:eastAsia="zh-CN"/>
                    </w:rPr>
                    <w:t>钝化仓</w:t>
                  </w:r>
                </w:p>
              </w:tc>
              <w:tc>
                <w:tcPr>
                  <w:tcW w:w="866" w:type="pct"/>
                  <w:noWrap w:val="0"/>
                  <w:tcMar>
                    <w:top w:w="12" w:type="dxa"/>
                    <w:left w:w="12" w:type="dxa"/>
                    <w:right w:w="12" w:type="dxa"/>
                  </w:tcMar>
                  <w:vAlign w:val="center"/>
                </w:tcPr>
                <w:p w14:paraId="5BE6B675">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bidi="ar"/>
                    </w:rPr>
                    <w:t>尺寸</w:t>
                  </w:r>
                </w:p>
              </w:tc>
              <w:tc>
                <w:tcPr>
                  <w:tcW w:w="606" w:type="pct"/>
                  <w:noWrap w:val="0"/>
                  <w:tcMar>
                    <w:top w:w="12" w:type="dxa"/>
                    <w:left w:w="12" w:type="dxa"/>
                    <w:right w:w="12" w:type="dxa"/>
                  </w:tcMar>
                  <w:vAlign w:val="center"/>
                </w:tcPr>
                <w:p w14:paraId="2EC25094">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bidi="ar"/>
                    </w:rPr>
                    <w:t>m*m*m</w:t>
                  </w:r>
                </w:p>
              </w:tc>
              <w:tc>
                <w:tcPr>
                  <w:tcW w:w="691" w:type="pct"/>
                  <w:noWrap w:val="0"/>
                  <w:vAlign w:val="center"/>
                </w:tcPr>
                <w:p w14:paraId="253B3DAF">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6*1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w:t>
                  </w:r>
                </w:p>
              </w:tc>
              <w:tc>
                <w:tcPr>
                  <w:tcW w:w="643" w:type="pct"/>
                  <w:noWrap w:val="0"/>
                  <w:tcMar>
                    <w:top w:w="12" w:type="dxa"/>
                    <w:left w:w="12" w:type="dxa"/>
                    <w:right w:w="12" w:type="dxa"/>
                  </w:tcMar>
                  <w:vAlign w:val="center"/>
                </w:tcPr>
                <w:p w14:paraId="570B150A">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lang w:val="en-US" w:eastAsia="zh-CN"/>
                    </w:rPr>
                    <w:t>共1间</w:t>
                  </w:r>
                </w:p>
              </w:tc>
            </w:tr>
            <w:tr w14:paraId="1B08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1CBC0947">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A6A4E30">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7E3FFFDB">
                  <w:pPr>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02A0A898">
                  <w:pPr>
                    <w:widowControl/>
                    <w:jc w:val="center"/>
                    <w:textAlignment w:val="center"/>
                    <w:rPr>
                      <w:rFonts w:hint="default" w:ascii="Times New Roman" w:hAnsi="Times New Roman" w:eastAsia="宋体" w:cs="Times New Roman"/>
                      <w:kern w:val="0"/>
                      <w:sz w:val="21"/>
                      <w:szCs w:val="21"/>
                    </w:rPr>
                  </w:pPr>
                </w:p>
              </w:tc>
              <w:tc>
                <w:tcPr>
                  <w:tcW w:w="894" w:type="pct"/>
                  <w:noWrap w:val="0"/>
                  <w:tcMar>
                    <w:top w:w="12" w:type="dxa"/>
                    <w:left w:w="12" w:type="dxa"/>
                    <w:right w:w="12" w:type="dxa"/>
                  </w:tcMar>
                  <w:vAlign w:val="center"/>
                </w:tcPr>
                <w:p w14:paraId="3BCC1562">
                  <w:pPr>
                    <w:widowControl/>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z w:val="21"/>
                      <w:szCs w:val="21"/>
                    </w:rPr>
                    <w:t>喷淋</w:t>
                  </w:r>
                  <w:r>
                    <w:rPr>
                      <w:rFonts w:hint="default" w:ascii="Times New Roman" w:hAnsi="Times New Roman" w:eastAsia="宋体" w:cs="Times New Roman"/>
                      <w:sz w:val="21"/>
                      <w:szCs w:val="21"/>
                      <w:lang w:val="en-US" w:eastAsia="zh-CN"/>
                    </w:rPr>
                    <w:t>循环</w:t>
                  </w:r>
                  <w:r>
                    <w:rPr>
                      <w:rFonts w:hint="default" w:ascii="Times New Roman" w:hAnsi="Times New Roman" w:eastAsia="宋体" w:cs="Times New Roman"/>
                      <w:sz w:val="21"/>
                      <w:szCs w:val="21"/>
                    </w:rPr>
                    <w:t>系统</w:t>
                  </w:r>
                </w:p>
              </w:tc>
              <w:tc>
                <w:tcPr>
                  <w:tcW w:w="866" w:type="pct"/>
                  <w:shd w:val="clear" w:color="auto" w:fill="auto"/>
                  <w:noWrap w:val="0"/>
                  <w:tcMar>
                    <w:top w:w="12" w:type="dxa"/>
                    <w:left w:w="12" w:type="dxa"/>
                    <w:right w:w="12" w:type="dxa"/>
                  </w:tcMar>
                  <w:vAlign w:val="center"/>
                </w:tcPr>
                <w:p w14:paraId="0F19B093">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管径</w:t>
                  </w:r>
                </w:p>
              </w:tc>
              <w:tc>
                <w:tcPr>
                  <w:tcW w:w="606" w:type="pct"/>
                  <w:shd w:val="clear" w:color="auto" w:fill="auto"/>
                  <w:noWrap w:val="0"/>
                  <w:tcMar>
                    <w:top w:w="12" w:type="dxa"/>
                    <w:left w:w="12" w:type="dxa"/>
                    <w:right w:w="12" w:type="dxa"/>
                  </w:tcMar>
                  <w:vAlign w:val="center"/>
                </w:tcPr>
                <w:p w14:paraId="58EBD674">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mm</w:t>
                  </w:r>
                </w:p>
              </w:tc>
              <w:tc>
                <w:tcPr>
                  <w:tcW w:w="691" w:type="pct"/>
                  <w:shd w:val="clear" w:color="auto" w:fill="auto"/>
                  <w:noWrap w:val="0"/>
                  <w:vAlign w:val="center"/>
                </w:tcPr>
                <w:p w14:paraId="13D1F67D">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42</w:t>
                  </w:r>
                </w:p>
              </w:tc>
              <w:tc>
                <w:tcPr>
                  <w:tcW w:w="643" w:type="pct"/>
                  <w:shd w:val="clear" w:color="auto" w:fill="auto"/>
                  <w:noWrap w:val="0"/>
                  <w:tcMar>
                    <w:top w:w="12" w:type="dxa"/>
                    <w:left w:w="12" w:type="dxa"/>
                    <w:right w:w="12" w:type="dxa"/>
                  </w:tcMar>
                  <w:vAlign w:val="center"/>
                </w:tcPr>
                <w:p w14:paraId="58F66AAE">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共1套</w:t>
                  </w:r>
                </w:p>
              </w:tc>
            </w:tr>
            <w:tr w14:paraId="3B476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1DF497FB">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2F9B72D">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79BB8618">
                  <w:pPr>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76CA693A">
                  <w:pPr>
                    <w:widowControl/>
                    <w:jc w:val="center"/>
                    <w:textAlignment w:val="center"/>
                    <w:rPr>
                      <w:rFonts w:hint="default" w:ascii="Times New Roman" w:hAnsi="Times New Roman" w:eastAsia="宋体" w:cs="Times New Roman"/>
                      <w:kern w:val="0"/>
                      <w:sz w:val="21"/>
                      <w:szCs w:val="21"/>
                      <w:lang w:val="en-US" w:eastAsia="zh-CN"/>
                    </w:rPr>
                  </w:pPr>
                </w:p>
              </w:tc>
              <w:tc>
                <w:tcPr>
                  <w:tcW w:w="894" w:type="pct"/>
                  <w:noWrap w:val="0"/>
                  <w:tcMar>
                    <w:top w:w="12" w:type="dxa"/>
                    <w:left w:w="12" w:type="dxa"/>
                    <w:right w:w="12" w:type="dxa"/>
                  </w:tcMar>
                  <w:vAlign w:val="center"/>
                </w:tcPr>
                <w:p w14:paraId="157BA5E7">
                  <w:pPr>
                    <w:widowControl/>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风刀房</w:t>
                  </w:r>
                </w:p>
              </w:tc>
              <w:tc>
                <w:tcPr>
                  <w:tcW w:w="866" w:type="pct"/>
                  <w:shd w:val="clear" w:color="auto" w:fill="auto"/>
                  <w:noWrap w:val="0"/>
                  <w:tcMar>
                    <w:top w:w="12" w:type="dxa"/>
                    <w:left w:w="12" w:type="dxa"/>
                    <w:right w:w="12" w:type="dxa"/>
                  </w:tcMar>
                  <w:vAlign w:val="center"/>
                </w:tcPr>
                <w:p w14:paraId="7E697EB0">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0270FBBA">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bidi="ar"/>
                    </w:rPr>
                    <w:t>m*m*m</w:t>
                  </w:r>
                </w:p>
              </w:tc>
              <w:tc>
                <w:tcPr>
                  <w:tcW w:w="691" w:type="pct"/>
                  <w:shd w:val="clear" w:color="auto" w:fill="auto"/>
                  <w:noWrap w:val="0"/>
                  <w:vAlign w:val="center"/>
                </w:tcPr>
                <w:p w14:paraId="5458A34F">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w:t>
                  </w:r>
                </w:p>
              </w:tc>
              <w:tc>
                <w:tcPr>
                  <w:tcW w:w="643" w:type="pct"/>
                  <w:shd w:val="clear" w:color="auto" w:fill="auto"/>
                  <w:noWrap w:val="0"/>
                  <w:tcMar>
                    <w:top w:w="12" w:type="dxa"/>
                    <w:left w:w="12" w:type="dxa"/>
                    <w:right w:w="12" w:type="dxa"/>
                  </w:tcMar>
                  <w:vAlign w:val="center"/>
                </w:tcPr>
                <w:p w14:paraId="6C70FB00">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共1间</w:t>
                  </w:r>
                </w:p>
              </w:tc>
            </w:tr>
            <w:tr w14:paraId="360B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759AC7A">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0D463C59">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9E0DC8A">
                  <w:pPr>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659C591C">
                  <w:pPr>
                    <w:widowControl/>
                    <w:jc w:val="center"/>
                    <w:textAlignment w:val="center"/>
                    <w:rPr>
                      <w:rFonts w:hint="default" w:ascii="Times New Roman" w:hAnsi="Times New Roman" w:eastAsia="宋体" w:cs="Times New Roman"/>
                      <w:kern w:val="0"/>
                      <w:sz w:val="21"/>
                      <w:szCs w:val="21"/>
                      <w:lang w:val="en-US" w:eastAsia="zh-CN"/>
                    </w:rPr>
                  </w:pPr>
                </w:p>
              </w:tc>
              <w:tc>
                <w:tcPr>
                  <w:tcW w:w="894" w:type="pct"/>
                  <w:noWrap w:val="0"/>
                  <w:tcMar>
                    <w:top w:w="12" w:type="dxa"/>
                    <w:left w:w="12" w:type="dxa"/>
                    <w:right w:w="12" w:type="dxa"/>
                  </w:tcMar>
                  <w:vAlign w:val="center"/>
                </w:tcPr>
                <w:p w14:paraId="622CE7AE">
                  <w:pPr>
                    <w:widowControl/>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z w:val="21"/>
                      <w:szCs w:val="21"/>
                    </w:rPr>
                    <w:t>风机系统</w:t>
                  </w:r>
                </w:p>
              </w:tc>
              <w:tc>
                <w:tcPr>
                  <w:tcW w:w="866" w:type="pct"/>
                  <w:noWrap w:val="0"/>
                  <w:tcMar>
                    <w:top w:w="12" w:type="dxa"/>
                    <w:left w:w="12" w:type="dxa"/>
                    <w:right w:w="12" w:type="dxa"/>
                  </w:tcMar>
                  <w:vAlign w:val="center"/>
                </w:tcPr>
                <w:p w14:paraId="5F37CEB7">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功率</w:t>
                  </w:r>
                </w:p>
              </w:tc>
              <w:tc>
                <w:tcPr>
                  <w:tcW w:w="606" w:type="pct"/>
                  <w:noWrap w:val="0"/>
                  <w:tcMar>
                    <w:top w:w="12" w:type="dxa"/>
                    <w:left w:w="12" w:type="dxa"/>
                    <w:right w:w="12" w:type="dxa"/>
                  </w:tcMar>
                  <w:vAlign w:val="center"/>
                </w:tcPr>
                <w:p w14:paraId="42C2DA31">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KW</w:t>
                  </w:r>
                </w:p>
              </w:tc>
              <w:tc>
                <w:tcPr>
                  <w:tcW w:w="691" w:type="pct"/>
                  <w:noWrap w:val="0"/>
                  <w:vAlign w:val="center"/>
                </w:tcPr>
                <w:p w14:paraId="1C6A1AD4">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4</w:t>
                  </w:r>
                </w:p>
              </w:tc>
              <w:tc>
                <w:tcPr>
                  <w:tcW w:w="643" w:type="pct"/>
                  <w:noWrap w:val="0"/>
                  <w:tcMar>
                    <w:top w:w="12" w:type="dxa"/>
                    <w:left w:w="12" w:type="dxa"/>
                    <w:right w:w="12" w:type="dxa"/>
                  </w:tcMar>
                  <w:vAlign w:val="center"/>
                </w:tcPr>
                <w:p w14:paraId="3B8FC7B8">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lang w:val="en-US" w:eastAsia="zh-CN"/>
                    </w:rPr>
                    <w:t>共1套</w:t>
                  </w:r>
                </w:p>
              </w:tc>
            </w:tr>
            <w:tr w14:paraId="7E0A6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92E7844">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0A81717">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847F633">
                  <w:pPr>
                    <w:widowControl/>
                    <w:jc w:val="center"/>
                    <w:textAlignment w:val="center"/>
                    <w:rPr>
                      <w:rFonts w:hint="default" w:ascii="Times New Roman" w:hAnsi="Times New Roman" w:eastAsia="宋体" w:cs="Times New Roman"/>
                      <w:kern w:val="0"/>
                      <w:sz w:val="21"/>
                      <w:szCs w:val="21"/>
                      <w:lang w:bidi="ar"/>
                    </w:rPr>
                  </w:pPr>
                </w:p>
              </w:tc>
              <w:tc>
                <w:tcPr>
                  <w:tcW w:w="464" w:type="pct"/>
                  <w:vMerge w:val="restart"/>
                  <w:noWrap w:val="0"/>
                  <w:tcMar>
                    <w:top w:w="12" w:type="dxa"/>
                    <w:left w:w="12" w:type="dxa"/>
                    <w:right w:w="12" w:type="dxa"/>
                  </w:tcMar>
                  <w:vAlign w:val="center"/>
                </w:tcPr>
                <w:p w14:paraId="7BFCAE3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封闭</w:t>
                  </w:r>
                </w:p>
              </w:tc>
              <w:tc>
                <w:tcPr>
                  <w:tcW w:w="894" w:type="pct"/>
                  <w:shd w:val="clear" w:color="auto" w:fill="auto"/>
                  <w:noWrap w:val="0"/>
                  <w:tcMar>
                    <w:top w:w="12" w:type="dxa"/>
                    <w:left w:w="12" w:type="dxa"/>
                    <w:right w:w="12" w:type="dxa"/>
                  </w:tcMar>
                  <w:vAlign w:val="center"/>
                </w:tcPr>
                <w:p w14:paraId="15F4C259">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封闭</w:t>
                  </w:r>
                  <w:r>
                    <w:rPr>
                      <w:rFonts w:hint="default" w:ascii="Times New Roman" w:hAnsi="Times New Roman" w:eastAsia="宋体" w:cs="Times New Roman"/>
                      <w:kern w:val="0"/>
                      <w:sz w:val="21"/>
                      <w:szCs w:val="21"/>
                      <w:lang w:val="en-US" w:eastAsia="zh-CN"/>
                    </w:rPr>
                    <w:t>淋漆房</w:t>
                  </w:r>
                </w:p>
              </w:tc>
              <w:tc>
                <w:tcPr>
                  <w:tcW w:w="866" w:type="pct"/>
                  <w:shd w:val="clear" w:color="auto" w:fill="auto"/>
                  <w:noWrap w:val="0"/>
                  <w:tcMar>
                    <w:top w:w="12" w:type="dxa"/>
                    <w:left w:w="12" w:type="dxa"/>
                    <w:right w:w="12" w:type="dxa"/>
                  </w:tcMar>
                  <w:vAlign w:val="center"/>
                </w:tcPr>
                <w:p w14:paraId="6AB496B7">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0D08E41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m*m*m</w:t>
                  </w:r>
                </w:p>
              </w:tc>
              <w:tc>
                <w:tcPr>
                  <w:tcW w:w="691" w:type="pct"/>
                  <w:shd w:val="clear" w:color="auto" w:fill="auto"/>
                  <w:noWrap w:val="0"/>
                  <w:vAlign w:val="center"/>
                </w:tcPr>
                <w:p w14:paraId="597DAA0F">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6*1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w:t>
                  </w:r>
                </w:p>
              </w:tc>
              <w:tc>
                <w:tcPr>
                  <w:tcW w:w="643" w:type="pct"/>
                  <w:shd w:val="clear" w:color="auto" w:fill="auto"/>
                  <w:noWrap w:val="0"/>
                  <w:tcMar>
                    <w:top w:w="12" w:type="dxa"/>
                    <w:left w:w="12" w:type="dxa"/>
                    <w:right w:w="12" w:type="dxa"/>
                  </w:tcMar>
                  <w:vAlign w:val="center"/>
                </w:tcPr>
                <w:p w14:paraId="097083C4">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w:t>
                  </w:r>
                  <w:r>
                    <w:rPr>
                      <w:rFonts w:hint="default" w:ascii="Times New Roman" w:hAnsi="Times New Roman" w:eastAsia="宋体" w:cs="Times New Roman"/>
                      <w:kern w:val="0"/>
                      <w:sz w:val="21"/>
                      <w:szCs w:val="21"/>
                      <w:lang w:val="en-US" w:eastAsia="zh-CN"/>
                    </w:rPr>
                    <w:t>1间</w:t>
                  </w:r>
                </w:p>
              </w:tc>
            </w:tr>
            <w:tr w14:paraId="5CE3C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0EC0F8C">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CFB0645">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3DE475FE">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2FB4D854">
                  <w:pPr>
                    <w:widowControl/>
                    <w:jc w:val="center"/>
                    <w:textAlignment w:val="center"/>
                    <w:rPr>
                      <w:rFonts w:hint="default" w:ascii="Times New Roman" w:hAnsi="Times New Roman" w:eastAsia="宋体" w:cs="Times New Roman"/>
                      <w:kern w:val="0"/>
                      <w:sz w:val="21"/>
                      <w:szCs w:val="21"/>
                    </w:rPr>
                  </w:pPr>
                </w:p>
              </w:tc>
              <w:tc>
                <w:tcPr>
                  <w:tcW w:w="894" w:type="pct"/>
                  <w:shd w:val="clear" w:color="auto" w:fill="auto"/>
                  <w:noWrap w:val="0"/>
                  <w:tcMar>
                    <w:top w:w="12" w:type="dxa"/>
                    <w:left w:w="12" w:type="dxa"/>
                    <w:right w:w="12" w:type="dxa"/>
                  </w:tcMar>
                  <w:vAlign w:val="center"/>
                </w:tcPr>
                <w:p w14:paraId="6CE1CD34">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淋漆槽</w:t>
                  </w:r>
                </w:p>
              </w:tc>
              <w:tc>
                <w:tcPr>
                  <w:tcW w:w="866" w:type="pct"/>
                  <w:shd w:val="clear" w:color="auto" w:fill="auto"/>
                  <w:noWrap w:val="0"/>
                  <w:tcMar>
                    <w:top w:w="12" w:type="dxa"/>
                    <w:left w:w="12" w:type="dxa"/>
                    <w:right w:w="12" w:type="dxa"/>
                  </w:tcMar>
                  <w:vAlign w:val="center"/>
                </w:tcPr>
                <w:p w14:paraId="5F2EADC8">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3D623A6F">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mm</w:t>
                  </w:r>
                  <w:r>
                    <w:rPr>
                      <w:rFonts w:hint="default" w:ascii="Times New Roman" w:hAnsi="Times New Roman" w:eastAsia="宋体" w:cs="Times New Roman"/>
                      <w:kern w:val="0"/>
                      <w:sz w:val="21"/>
                      <w:szCs w:val="21"/>
                      <w:lang w:bidi="ar"/>
                    </w:rPr>
                    <w:t>*</w:t>
                  </w:r>
                  <w:r>
                    <w:rPr>
                      <w:rFonts w:hint="default" w:ascii="Times New Roman" w:hAnsi="Times New Roman" w:eastAsia="宋体" w:cs="Times New Roman"/>
                      <w:sz w:val="21"/>
                      <w:szCs w:val="21"/>
                    </w:rPr>
                    <w:t>mm</w:t>
                  </w:r>
                </w:p>
              </w:tc>
              <w:tc>
                <w:tcPr>
                  <w:tcW w:w="691" w:type="pct"/>
                  <w:shd w:val="clear" w:color="auto" w:fill="auto"/>
                  <w:noWrap w:val="0"/>
                  <w:vAlign w:val="center"/>
                </w:tcPr>
                <w:p w14:paraId="5E343F9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9600*1900</w:t>
                  </w:r>
                </w:p>
              </w:tc>
              <w:tc>
                <w:tcPr>
                  <w:tcW w:w="643" w:type="pct"/>
                  <w:shd w:val="clear" w:color="auto" w:fill="auto"/>
                  <w:noWrap w:val="0"/>
                  <w:tcMar>
                    <w:top w:w="12" w:type="dxa"/>
                    <w:left w:w="12" w:type="dxa"/>
                    <w:right w:w="12" w:type="dxa"/>
                  </w:tcMar>
                  <w:vAlign w:val="center"/>
                </w:tcPr>
                <w:p w14:paraId="08B18243">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共1</w:t>
                  </w:r>
                  <w:r>
                    <w:rPr>
                      <w:rFonts w:hint="default" w:ascii="Times New Roman" w:hAnsi="Times New Roman" w:eastAsia="宋体" w:cs="Times New Roman"/>
                      <w:sz w:val="21"/>
                      <w:szCs w:val="21"/>
                      <w:lang w:val="en-US" w:eastAsia="zh-CN"/>
                    </w:rPr>
                    <w:t>套</w:t>
                  </w:r>
                </w:p>
              </w:tc>
            </w:tr>
            <w:tr w14:paraId="706A0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1D66F29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0B3DA8BC">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9BE751C">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7AFA4347">
                  <w:pPr>
                    <w:widowControl/>
                    <w:jc w:val="center"/>
                    <w:textAlignment w:val="center"/>
                    <w:rPr>
                      <w:rFonts w:hint="default" w:ascii="Times New Roman" w:hAnsi="Times New Roman" w:eastAsia="宋体" w:cs="Times New Roman"/>
                      <w:kern w:val="0"/>
                      <w:sz w:val="21"/>
                      <w:szCs w:val="21"/>
                    </w:rPr>
                  </w:pPr>
                </w:p>
              </w:tc>
              <w:tc>
                <w:tcPr>
                  <w:tcW w:w="894" w:type="pct"/>
                  <w:shd w:val="clear" w:color="auto" w:fill="auto"/>
                  <w:noWrap w:val="0"/>
                  <w:tcMar>
                    <w:top w:w="12" w:type="dxa"/>
                    <w:left w:w="12" w:type="dxa"/>
                    <w:right w:w="12" w:type="dxa"/>
                  </w:tcMar>
                  <w:vAlign w:val="center"/>
                </w:tcPr>
                <w:p w14:paraId="55F8F770">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喷淋循环系统</w:t>
                  </w:r>
                </w:p>
              </w:tc>
              <w:tc>
                <w:tcPr>
                  <w:tcW w:w="866" w:type="pct"/>
                  <w:shd w:val="clear" w:color="auto" w:fill="auto"/>
                  <w:noWrap w:val="0"/>
                  <w:tcMar>
                    <w:top w:w="12" w:type="dxa"/>
                    <w:left w:w="12" w:type="dxa"/>
                    <w:right w:w="12" w:type="dxa"/>
                  </w:tcMar>
                  <w:vAlign w:val="center"/>
                </w:tcPr>
                <w:p w14:paraId="6D1D5C21">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功率</w:t>
                  </w:r>
                </w:p>
              </w:tc>
              <w:tc>
                <w:tcPr>
                  <w:tcW w:w="606" w:type="pct"/>
                  <w:shd w:val="clear" w:color="auto" w:fill="auto"/>
                  <w:noWrap w:val="0"/>
                  <w:tcMar>
                    <w:top w:w="12" w:type="dxa"/>
                    <w:left w:w="12" w:type="dxa"/>
                    <w:right w:w="12" w:type="dxa"/>
                  </w:tcMar>
                  <w:vAlign w:val="center"/>
                </w:tcPr>
                <w:p w14:paraId="44A10BA7">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KW</w:t>
                  </w:r>
                </w:p>
              </w:tc>
              <w:tc>
                <w:tcPr>
                  <w:tcW w:w="691" w:type="pct"/>
                  <w:shd w:val="clear" w:color="auto" w:fill="auto"/>
                  <w:noWrap w:val="0"/>
                  <w:vAlign w:val="center"/>
                </w:tcPr>
                <w:p w14:paraId="0D0A9BF4">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5.5</w:t>
                  </w:r>
                </w:p>
              </w:tc>
              <w:tc>
                <w:tcPr>
                  <w:tcW w:w="643" w:type="pct"/>
                  <w:shd w:val="clear" w:color="auto" w:fill="auto"/>
                  <w:noWrap w:val="0"/>
                  <w:tcMar>
                    <w:top w:w="12" w:type="dxa"/>
                    <w:left w:w="12" w:type="dxa"/>
                    <w:right w:w="12" w:type="dxa"/>
                  </w:tcMar>
                  <w:vAlign w:val="center"/>
                </w:tcPr>
                <w:p w14:paraId="0268BFC7">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共1套</w:t>
                  </w:r>
                </w:p>
              </w:tc>
            </w:tr>
            <w:tr w14:paraId="1D9FE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A3AE7EE">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D0A8F9A">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59F38C50">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4CA74B3D">
                  <w:pPr>
                    <w:widowControl/>
                    <w:jc w:val="center"/>
                    <w:textAlignment w:val="center"/>
                    <w:rPr>
                      <w:rFonts w:hint="default" w:ascii="Times New Roman" w:hAnsi="Times New Roman" w:eastAsia="宋体" w:cs="Times New Roman"/>
                      <w:kern w:val="0"/>
                      <w:sz w:val="21"/>
                      <w:szCs w:val="21"/>
                    </w:rPr>
                  </w:pPr>
                </w:p>
              </w:tc>
              <w:tc>
                <w:tcPr>
                  <w:tcW w:w="894" w:type="pct"/>
                  <w:shd w:val="clear" w:color="auto" w:fill="auto"/>
                  <w:noWrap w:val="0"/>
                  <w:tcMar>
                    <w:top w:w="12" w:type="dxa"/>
                    <w:left w:w="12" w:type="dxa"/>
                    <w:right w:w="12" w:type="dxa"/>
                  </w:tcMar>
                  <w:vAlign w:val="center"/>
                </w:tcPr>
                <w:p w14:paraId="3FF3C9AB">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干式喷房</w:t>
                  </w:r>
                </w:p>
              </w:tc>
              <w:tc>
                <w:tcPr>
                  <w:tcW w:w="866" w:type="pct"/>
                  <w:shd w:val="clear" w:color="auto" w:fill="auto"/>
                  <w:noWrap w:val="0"/>
                  <w:tcMar>
                    <w:top w:w="12" w:type="dxa"/>
                    <w:left w:w="12" w:type="dxa"/>
                    <w:right w:w="12" w:type="dxa"/>
                  </w:tcMar>
                  <w:vAlign w:val="center"/>
                </w:tcPr>
                <w:p w14:paraId="0BED0CEA">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6FB77A9E">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m*m*m</w:t>
                  </w:r>
                </w:p>
              </w:tc>
              <w:tc>
                <w:tcPr>
                  <w:tcW w:w="691" w:type="pct"/>
                  <w:shd w:val="clear" w:color="auto" w:fill="auto"/>
                  <w:noWrap w:val="0"/>
                  <w:vAlign w:val="center"/>
                </w:tcPr>
                <w:p w14:paraId="56181CC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6*1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w:t>
                  </w:r>
                </w:p>
              </w:tc>
              <w:tc>
                <w:tcPr>
                  <w:tcW w:w="643" w:type="pct"/>
                  <w:shd w:val="clear" w:color="auto" w:fill="auto"/>
                  <w:noWrap w:val="0"/>
                  <w:tcMar>
                    <w:top w:w="12" w:type="dxa"/>
                    <w:left w:w="12" w:type="dxa"/>
                    <w:right w:w="12" w:type="dxa"/>
                  </w:tcMar>
                  <w:vAlign w:val="center"/>
                </w:tcPr>
                <w:p w14:paraId="7B7EE2DD">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w:t>
                  </w:r>
                  <w:r>
                    <w:rPr>
                      <w:rFonts w:hint="default" w:ascii="Times New Roman" w:hAnsi="Times New Roman" w:eastAsia="宋体" w:cs="Times New Roman"/>
                      <w:kern w:val="0"/>
                      <w:sz w:val="21"/>
                      <w:szCs w:val="21"/>
                      <w:lang w:val="en-US" w:eastAsia="zh-CN"/>
                    </w:rPr>
                    <w:t>1间</w:t>
                  </w:r>
                </w:p>
              </w:tc>
            </w:tr>
            <w:tr w14:paraId="1476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4CE37A0">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9787BEA">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9B129C7">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4B77A2CD">
                  <w:pPr>
                    <w:widowControl/>
                    <w:jc w:val="center"/>
                    <w:textAlignment w:val="center"/>
                    <w:rPr>
                      <w:rFonts w:hint="default" w:ascii="Times New Roman" w:hAnsi="Times New Roman" w:eastAsia="宋体" w:cs="Times New Roman"/>
                      <w:kern w:val="0"/>
                      <w:sz w:val="21"/>
                      <w:szCs w:val="21"/>
                    </w:rPr>
                  </w:pPr>
                </w:p>
              </w:tc>
              <w:tc>
                <w:tcPr>
                  <w:tcW w:w="894" w:type="pct"/>
                  <w:vMerge w:val="restart"/>
                  <w:shd w:val="clear" w:color="auto" w:fill="auto"/>
                  <w:noWrap w:val="0"/>
                  <w:tcMar>
                    <w:top w:w="12" w:type="dxa"/>
                    <w:left w:w="12" w:type="dxa"/>
                    <w:right w:w="12" w:type="dxa"/>
                  </w:tcMar>
                  <w:vAlign w:val="center"/>
                </w:tcPr>
                <w:p w14:paraId="02D1A74A">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燃气烘干炉</w:t>
                  </w:r>
                </w:p>
              </w:tc>
              <w:tc>
                <w:tcPr>
                  <w:tcW w:w="866" w:type="pct"/>
                  <w:shd w:val="clear" w:color="auto" w:fill="auto"/>
                  <w:noWrap w:val="0"/>
                  <w:tcMar>
                    <w:top w:w="12" w:type="dxa"/>
                    <w:left w:w="12" w:type="dxa"/>
                    <w:right w:w="12" w:type="dxa"/>
                  </w:tcMar>
                  <w:vAlign w:val="center"/>
                </w:tcPr>
                <w:p w14:paraId="11AE8923">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燃烧机发热量</w:t>
                  </w:r>
                </w:p>
              </w:tc>
              <w:tc>
                <w:tcPr>
                  <w:tcW w:w="606" w:type="pct"/>
                  <w:shd w:val="clear" w:color="auto" w:fill="auto"/>
                  <w:noWrap w:val="0"/>
                  <w:tcMar>
                    <w:top w:w="12" w:type="dxa"/>
                    <w:left w:w="12" w:type="dxa"/>
                    <w:right w:w="12" w:type="dxa"/>
                  </w:tcMar>
                  <w:vAlign w:val="center"/>
                </w:tcPr>
                <w:p w14:paraId="4A492635">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KJ/h</w:t>
                  </w:r>
                </w:p>
              </w:tc>
              <w:tc>
                <w:tcPr>
                  <w:tcW w:w="691" w:type="pct"/>
                  <w:shd w:val="clear" w:color="auto" w:fill="auto"/>
                  <w:noWrap w:val="0"/>
                  <w:vAlign w:val="center"/>
                </w:tcPr>
                <w:p w14:paraId="7A3E157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200000</w:t>
                  </w:r>
                </w:p>
              </w:tc>
              <w:tc>
                <w:tcPr>
                  <w:tcW w:w="643" w:type="pct"/>
                  <w:shd w:val="clear" w:color="auto" w:fill="auto"/>
                  <w:noWrap w:val="0"/>
                  <w:tcMar>
                    <w:top w:w="12" w:type="dxa"/>
                    <w:left w:w="12" w:type="dxa"/>
                    <w:right w:w="12" w:type="dxa"/>
                  </w:tcMar>
                  <w:vAlign w:val="center"/>
                </w:tcPr>
                <w:p w14:paraId="44AC7F1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共</w:t>
                  </w:r>
                  <w:r>
                    <w:rPr>
                      <w:rFonts w:hint="default" w:ascii="Times New Roman" w:hAnsi="Times New Roman" w:eastAsia="宋体" w:cs="Times New Roman"/>
                      <w:kern w:val="0"/>
                      <w:sz w:val="21"/>
                      <w:szCs w:val="21"/>
                      <w:lang w:val="en-US" w:eastAsia="zh-CN"/>
                    </w:rPr>
                    <w:t>1间</w:t>
                  </w:r>
                </w:p>
              </w:tc>
            </w:tr>
            <w:tr w14:paraId="42E99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364CFF50">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0AE8DCA">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1C37D22D">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10F02769">
                  <w:pPr>
                    <w:widowControl/>
                    <w:jc w:val="center"/>
                    <w:textAlignment w:val="center"/>
                    <w:rPr>
                      <w:rFonts w:hint="default" w:ascii="Times New Roman" w:hAnsi="Times New Roman" w:eastAsia="宋体" w:cs="Times New Roman"/>
                      <w:kern w:val="0"/>
                      <w:sz w:val="21"/>
                      <w:szCs w:val="21"/>
                    </w:rPr>
                  </w:pPr>
                </w:p>
              </w:tc>
              <w:tc>
                <w:tcPr>
                  <w:tcW w:w="894" w:type="pct"/>
                  <w:vMerge w:val="continue"/>
                  <w:noWrap w:val="0"/>
                  <w:tcMar>
                    <w:top w:w="12" w:type="dxa"/>
                    <w:left w:w="12" w:type="dxa"/>
                    <w:right w:w="12" w:type="dxa"/>
                  </w:tcMar>
                  <w:vAlign w:val="center"/>
                </w:tcPr>
                <w:p w14:paraId="1A84989C">
                  <w:pPr>
                    <w:widowControl/>
                    <w:jc w:val="center"/>
                    <w:textAlignment w:val="center"/>
                    <w:rPr>
                      <w:rFonts w:hint="default" w:ascii="Times New Roman" w:hAnsi="Times New Roman" w:eastAsia="宋体" w:cs="Times New Roman"/>
                      <w:kern w:val="0"/>
                      <w:sz w:val="21"/>
                      <w:szCs w:val="21"/>
                      <w:lang w:val="en-US" w:eastAsia="zh-CN"/>
                    </w:rPr>
                  </w:pPr>
                </w:p>
              </w:tc>
              <w:tc>
                <w:tcPr>
                  <w:tcW w:w="866" w:type="pct"/>
                  <w:shd w:val="clear" w:color="auto" w:fill="auto"/>
                  <w:noWrap w:val="0"/>
                  <w:tcMar>
                    <w:top w:w="12" w:type="dxa"/>
                    <w:left w:w="12" w:type="dxa"/>
                    <w:right w:w="12" w:type="dxa"/>
                  </w:tcMar>
                  <w:vAlign w:val="center"/>
                </w:tcPr>
                <w:p w14:paraId="0F7A3382">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尺寸</w:t>
                  </w:r>
                </w:p>
              </w:tc>
              <w:tc>
                <w:tcPr>
                  <w:tcW w:w="606" w:type="pct"/>
                  <w:shd w:val="clear" w:color="auto" w:fill="auto"/>
                  <w:noWrap w:val="0"/>
                  <w:tcMar>
                    <w:top w:w="12" w:type="dxa"/>
                    <w:left w:w="12" w:type="dxa"/>
                    <w:right w:w="12" w:type="dxa"/>
                  </w:tcMar>
                  <w:vAlign w:val="center"/>
                </w:tcPr>
                <w:p w14:paraId="223FE26E">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m*m*m</w:t>
                  </w:r>
                </w:p>
              </w:tc>
              <w:tc>
                <w:tcPr>
                  <w:tcW w:w="691" w:type="pct"/>
                  <w:shd w:val="clear" w:color="auto" w:fill="auto"/>
                  <w:noWrap w:val="0"/>
                  <w:vAlign w:val="center"/>
                </w:tcPr>
                <w:p w14:paraId="690BA60B">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18</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.4</w:t>
                  </w:r>
                </w:p>
              </w:tc>
              <w:tc>
                <w:tcPr>
                  <w:tcW w:w="643" w:type="pct"/>
                  <w:shd w:val="clear" w:color="auto" w:fill="auto"/>
                  <w:noWrap w:val="0"/>
                  <w:tcMar>
                    <w:top w:w="12" w:type="dxa"/>
                    <w:left w:w="12" w:type="dxa"/>
                    <w:right w:w="12" w:type="dxa"/>
                  </w:tcMar>
                  <w:vAlign w:val="center"/>
                </w:tcPr>
                <w:p w14:paraId="5984B6D8">
                  <w:pPr>
                    <w:widowControl/>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共1套</w:t>
                  </w:r>
                </w:p>
              </w:tc>
            </w:tr>
            <w:tr w14:paraId="62AC5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restart"/>
                  <w:noWrap w:val="0"/>
                  <w:tcMar>
                    <w:top w:w="12" w:type="dxa"/>
                    <w:left w:w="12" w:type="dxa"/>
                    <w:right w:w="12" w:type="dxa"/>
                  </w:tcMar>
                  <w:vAlign w:val="center"/>
                </w:tcPr>
                <w:p w14:paraId="04BAE39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08" w:type="pct"/>
                  <w:vMerge w:val="restart"/>
                  <w:noWrap w:val="0"/>
                  <w:tcMar>
                    <w:top w:w="12" w:type="dxa"/>
                    <w:left w:w="12" w:type="dxa"/>
                    <w:right w:w="12" w:type="dxa"/>
                  </w:tcMar>
                  <w:vAlign w:val="center"/>
                </w:tcPr>
                <w:p w14:paraId="666B76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30" w:type="pct"/>
                  <w:vMerge w:val="restart"/>
                  <w:noWrap w:val="0"/>
                  <w:tcMar>
                    <w:top w:w="12" w:type="dxa"/>
                    <w:left w:w="12" w:type="dxa"/>
                    <w:right w:w="12" w:type="dxa"/>
                  </w:tcMar>
                  <w:vAlign w:val="center"/>
                </w:tcPr>
                <w:p w14:paraId="6A9CB38D">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公用</w:t>
                  </w:r>
                </w:p>
              </w:tc>
              <w:tc>
                <w:tcPr>
                  <w:tcW w:w="464" w:type="pct"/>
                  <w:noWrap w:val="0"/>
                  <w:tcMar>
                    <w:top w:w="12" w:type="dxa"/>
                    <w:left w:w="12" w:type="dxa"/>
                    <w:right w:w="12" w:type="dxa"/>
                  </w:tcMar>
                  <w:vAlign w:val="center"/>
                </w:tcPr>
                <w:p w14:paraId="2173364F">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压缩空气系统</w:t>
                  </w:r>
                </w:p>
              </w:tc>
              <w:tc>
                <w:tcPr>
                  <w:tcW w:w="894" w:type="pct"/>
                  <w:noWrap w:val="0"/>
                  <w:tcMar>
                    <w:top w:w="12" w:type="dxa"/>
                    <w:left w:w="12" w:type="dxa"/>
                    <w:right w:w="12" w:type="dxa"/>
                  </w:tcMar>
                  <w:vAlign w:val="center"/>
                </w:tcPr>
                <w:p w14:paraId="71585FA9">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空气压缩机</w:t>
                  </w:r>
                </w:p>
              </w:tc>
              <w:tc>
                <w:tcPr>
                  <w:tcW w:w="866" w:type="pct"/>
                  <w:noWrap w:val="0"/>
                  <w:tcMar>
                    <w:top w:w="12" w:type="dxa"/>
                    <w:left w:w="12" w:type="dxa"/>
                    <w:right w:w="12" w:type="dxa"/>
                  </w:tcMar>
                  <w:vAlign w:val="center"/>
                </w:tcPr>
                <w:p w14:paraId="3026F762">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容量</w:t>
                  </w:r>
                </w:p>
              </w:tc>
              <w:tc>
                <w:tcPr>
                  <w:tcW w:w="606" w:type="pct"/>
                  <w:noWrap w:val="0"/>
                  <w:tcMar>
                    <w:top w:w="12" w:type="dxa"/>
                    <w:left w:w="12" w:type="dxa"/>
                    <w:right w:w="12" w:type="dxa"/>
                  </w:tcMar>
                  <w:vAlign w:val="center"/>
                </w:tcPr>
                <w:p w14:paraId="32DD3FEA">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p>
              </w:tc>
              <w:tc>
                <w:tcPr>
                  <w:tcW w:w="691" w:type="pct"/>
                  <w:noWrap w:val="0"/>
                  <w:vAlign w:val="center"/>
                </w:tcPr>
                <w:p w14:paraId="4E5F2966">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643" w:type="pct"/>
                  <w:noWrap w:val="0"/>
                  <w:tcMar>
                    <w:top w:w="12" w:type="dxa"/>
                    <w:left w:w="12" w:type="dxa"/>
                    <w:right w:w="12" w:type="dxa"/>
                  </w:tcMar>
                  <w:vAlign w:val="center"/>
                </w:tcPr>
                <w:p w14:paraId="71EC3EEA">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2套</w:t>
                  </w:r>
                </w:p>
              </w:tc>
            </w:tr>
            <w:tr w14:paraId="198D2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21F438CE">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0D8640A7">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61D112CE">
                  <w:pPr>
                    <w:widowControl/>
                    <w:jc w:val="center"/>
                    <w:textAlignment w:val="center"/>
                    <w:rPr>
                      <w:rFonts w:hint="default" w:ascii="Times New Roman" w:hAnsi="Times New Roman" w:eastAsia="宋体" w:cs="Times New Roman"/>
                      <w:kern w:val="0"/>
                      <w:sz w:val="21"/>
                      <w:szCs w:val="21"/>
                      <w:lang w:bidi="ar"/>
                    </w:rPr>
                  </w:pPr>
                </w:p>
              </w:tc>
              <w:tc>
                <w:tcPr>
                  <w:tcW w:w="464" w:type="pct"/>
                  <w:vMerge w:val="restart"/>
                  <w:noWrap w:val="0"/>
                  <w:tcMar>
                    <w:top w:w="12" w:type="dxa"/>
                    <w:left w:w="12" w:type="dxa"/>
                    <w:right w:w="12" w:type="dxa"/>
                  </w:tcMar>
                  <w:vAlign w:val="center"/>
                </w:tcPr>
                <w:p w14:paraId="43C40266">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输送系统</w:t>
                  </w:r>
                </w:p>
              </w:tc>
              <w:tc>
                <w:tcPr>
                  <w:tcW w:w="894" w:type="pct"/>
                  <w:vMerge w:val="restart"/>
                  <w:noWrap w:val="0"/>
                  <w:tcMar>
                    <w:top w:w="12" w:type="dxa"/>
                    <w:left w:w="12" w:type="dxa"/>
                    <w:right w:w="12" w:type="dxa"/>
                  </w:tcMar>
                  <w:vAlign w:val="center"/>
                </w:tcPr>
                <w:p w14:paraId="18BC3054">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起重机</w:t>
                  </w:r>
                </w:p>
              </w:tc>
              <w:tc>
                <w:tcPr>
                  <w:tcW w:w="866" w:type="pct"/>
                  <w:vMerge w:val="restart"/>
                  <w:noWrap w:val="0"/>
                  <w:tcMar>
                    <w:top w:w="12" w:type="dxa"/>
                    <w:left w:w="12" w:type="dxa"/>
                    <w:right w:w="12" w:type="dxa"/>
                  </w:tcMar>
                  <w:vAlign w:val="center"/>
                </w:tcPr>
                <w:p w14:paraId="6EB366D8">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设备吨位</w:t>
                  </w:r>
                </w:p>
              </w:tc>
              <w:tc>
                <w:tcPr>
                  <w:tcW w:w="606" w:type="pct"/>
                  <w:vMerge w:val="restart"/>
                  <w:noWrap w:val="0"/>
                  <w:tcMar>
                    <w:top w:w="12" w:type="dxa"/>
                    <w:left w:w="12" w:type="dxa"/>
                    <w:right w:w="12" w:type="dxa"/>
                  </w:tcMar>
                  <w:vAlign w:val="center"/>
                </w:tcPr>
                <w:p w14:paraId="40BE4EC4">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w:t>
                  </w:r>
                </w:p>
              </w:tc>
              <w:tc>
                <w:tcPr>
                  <w:tcW w:w="691" w:type="pct"/>
                  <w:noWrap w:val="0"/>
                  <w:vAlign w:val="center"/>
                </w:tcPr>
                <w:p w14:paraId="339EE11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643" w:type="pct"/>
                  <w:noWrap w:val="0"/>
                  <w:tcMar>
                    <w:top w:w="12" w:type="dxa"/>
                    <w:left w:w="12" w:type="dxa"/>
                    <w:right w:w="12" w:type="dxa"/>
                  </w:tcMar>
                  <w:vAlign w:val="center"/>
                </w:tcPr>
                <w:p w14:paraId="3F00E9C3">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共3台</w:t>
                  </w:r>
                </w:p>
              </w:tc>
            </w:tr>
            <w:tr w14:paraId="46401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52447F51">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E478E81">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C7256C9">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2473A87E">
                  <w:pPr>
                    <w:widowControl/>
                    <w:jc w:val="center"/>
                    <w:textAlignment w:val="center"/>
                    <w:rPr>
                      <w:rFonts w:hint="default" w:ascii="Times New Roman" w:hAnsi="Times New Roman" w:eastAsia="宋体" w:cs="Times New Roman"/>
                      <w:kern w:val="0"/>
                      <w:sz w:val="21"/>
                      <w:szCs w:val="21"/>
                      <w:lang w:bidi="ar"/>
                    </w:rPr>
                  </w:pPr>
                </w:p>
              </w:tc>
              <w:tc>
                <w:tcPr>
                  <w:tcW w:w="894" w:type="pct"/>
                  <w:vMerge w:val="continue"/>
                  <w:noWrap w:val="0"/>
                  <w:tcMar>
                    <w:top w:w="12" w:type="dxa"/>
                    <w:left w:w="12" w:type="dxa"/>
                    <w:right w:w="12" w:type="dxa"/>
                  </w:tcMar>
                  <w:vAlign w:val="center"/>
                </w:tcPr>
                <w:p w14:paraId="24F56FED">
                  <w:pPr>
                    <w:widowControl/>
                    <w:jc w:val="center"/>
                    <w:textAlignment w:val="center"/>
                    <w:rPr>
                      <w:rFonts w:hint="default" w:ascii="Times New Roman" w:hAnsi="Times New Roman" w:eastAsia="宋体" w:cs="Times New Roman"/>
                      <w:kern w:val="0"/>
                      <w:sz w:val="21"/>
                      <w:szCs w:val="21"/>
                      <w:lang w:bidi="ar"/>
                    </w:rPr>
                  </w:pPr>
                </w:p>
              </w:tc>
              <w:tc>
                <w:tcPr>
                  <w:tcW w:w="866" w:type="pct"/>
                  <w:vMerge w:val="continue"/>
                  <w:noWrap w:val="0"/>
                  <w:tcMar>
                    <w:top w:w="12" w:type="dxa"/>
                    <w:left w:w="12" w:type="dxa"/>
                    <w:right w:w="12" w:type="dxa"/>
                  </w:tcMar>
                  <w:vAlign w:val="center"/>
                </w:tcPr>
                <w:p w14:paraId="53A50550">
                  <w:pPr>
                    <w:widowControl/>
                    <w:jc w:val="center"/>
                    <w:textAlignment w:val="center"/>
                    <w:rPr>
                      <w:rFonts w:hint="default" w:ascii="Times New Roman" w:hAnsi="Times New Roman" w:eastAsia="宋体" w:cs="Times New Roman"/>
                      <w:kern w:val="0"/>
                      <w:sz w:val="21"/>
                      <w:szCs w:val="21"/>
                    </w:rPr>
                  </w:pPr>
                </w:p>
              </w:tc>
              <w:tc>
                <w:tcPr>
                  <w:tcW w:w="606" w:type="pct"/>
                  <w:vMerge w:val="continue"/>
                  <w:noWrap w:val="0"/>
                  <w:tcMar>
                    <w:top w:w="12" w:type="dxa"/>
                    <w:left w:w="12" w:type="dxa"/>
                    <w:right w:w="12" w:type="dxa"/>
                  </w:tcMar>
                  <w:vAlign w:val="center"/>
                </w:tcPr>
                <w:p w14:paraId="5F135EDB">
                  <w:pPr>
                    <w:widowControl/>
                    <w:jc w:val="center"/>
                    <w:textAlignment w:val="center"/>
                    <w:rPr>
                      <w:rFonts w:hint="default" w:ascii="Times New Roman" w:hAnsi="Times New Roman" w:eastAsia="宋体" w:cs="Times New Roman"/>
                      <w:kern w:val="0"/>
                      <w:sz w:val="21"/>
                      <w:szCs w:val="21"/>
                    </w:rPr>
                  </w:pPr>
                </w:p>
              </w:tc>
              <w:tc>
                <w:tcPr>
                  <w:tcW w:w="691" w:type="pct"/>
                  <w:noWrap w:val="0"/>
                  <w:vAlign w:val="center"/>
                </w:tcPr>
                <w:p w14:paraId="36CB205C">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643" w:type="pct"/>
                  <w:noWrap w:val="0"/>
                  <w:tcMar>
                    <w:top w:w="12" w:type="dxa"/>
                    <w:left w:w="12" w:type="dxa"/>
                    <w:right w:w="12" w:type="dxa"/>
                  </w:tcMar>
                  <w:vAlign w:val="center"/>
                </w:tcPr>
                <w:p w14:paraId="381CD77D">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共1台</w:t>
                  </w:r>
                </w:p>
              </w:tc>
            </w:tr>
            <w:tr w14:paraId="5CF66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6D99A16">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4C99340F">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24343AF">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0C8A34D4">
                  <w:pPr>
                    <w:widowControl/>
                    <w:jc w:val="center"/>
                    <w:textAlignment w:val="center"/>
                    <w:rPr>
                      <w:rFonts w:hint="default" w:ascii="Times New Roman" w:hAnsi="Times New Roman" w:eastAsia="宋体" w:cs="Times New Roman"/>
                      <w:kern w:val="0"/>
                      <w:sz w:val="21"/>
                      <w:szCs w:val="21"/>
                      <w:lang w:bidi="ar"/>
                    </w:rPr>
                  </w:pPr>
                </w:p>
              </w:tc>
              <w:tc>
                <w:tcPr>
                  <w:tcW w:w="894" w:type="pct"/>
                  <w:vMerge w:val="continue"/>
                  <w:noWrap w:val="0"/>
                  <w:tcMar>
                    <w:top w:w="12" w:type="dxa"/>
                    <w:left w:w="12" w:type="dxa"/>
                    <w:right w:w="12" w:type="dxa"/>
                  </w:tcMar>
                  <w:vAlign w:val="center"/>
                </w:tcPr>
                <w:p w14:paraId="5872601E">
                  <w:pPr>
                    <w:widowControl/>
                    <w:jc w:val="center"/>
                    <w:textAlignment w:val="center"/>
                    <w:rPr>
                      <w:rFonts w:hint="default" w:ascii="Times New Roman" w:hAnsi="Times New Roman" w:eastAsia="宋体" w:cs="Times New Roman"/>
                      <w:kern w:val="0"/>
                      <w:sz w:val="21"/>
                      <w:szCs w:val="21"/>
                      <w:lang w:bidi="ar"/>
                    </w:rPr>
                  </w:pPr>
                </w:p>
              </w:tc>
              <w:tc>
                <w:tcPr>
                  <w:tcW w:w="866" w:type="pct"/>
                  <w:vMerge w:val="continue"/>
                  <w:noWrap w:val="0"/>
                  <w:tcMar>
                    <w:top w:w="12" w:type="dxa"/>
                    <w:left w:w="12" w:type="dxa"/>
                    <w:right w:w="12" w:type="dxa"/>
                  </w:tcMar>
                  <w:vAlign w:val="center"/>
                </w:tcPr>
                <w:p w14:paraId="5BD86D3B">
                  <w:pPr>
                    <w:widowControl/>
                    <w:jc w:val="center"/>
                    <w:textAlignment w:val="center"/>
                    <w:rPr>
                      <w:rFonts w:hint="default" w:ascii="Times New Roman" w:hAnsi="Times New Roman" w:eastAsia="宋体" w:cs="Times New Roman"/>
                      <w:kern w:val="0"/>
                      <w:sz w:val="21"/>
                      <w:szCs w:val="21"/>
                    </w:rPr>
                  </w:pPr>
                </w:p>
              </w:tc>
              <w:tc>
                <w:tcPr>
                  <w:tcW w:w="606" w:type="pct"/>
                  <w:vMerge w:val="continue"/>
                  <w:noWrap w:val="0"/>
                  <w:tcMar>
                    <w:top w:w="12" w:type="dxa"/>
                    <w:left w:w="12" w:type="dxa"/>
                    <w:right w:w="12" w:type="dxa"/>
                  </w:tcMar>
                  <w:vAlign w:val="center"/>
                </w:tcPr>
                <w:p w14:paraId="2E31AB01">
                  <w:pPr>
                    <w:widowControl/>
                    <w:jc w:val="center"/>
                    <w:textAlignment w:val="center"/>
                    <w:rPr>
                      <w:rFonts w:hint="default" w:ascii="Times New Roman" w:hAnsi="Times New Roman" w:eastAsia="宋体" w:cs="Times New Roman"/>
                      <w:kern w:val="0"/>
                      <w:sz w:val="21"/>
                      <w:szCs w:val="21"/>
                    </w:rPr>
                  </w:pPr>
                </w:p>
              </w:tc>
              <w:tc>
                <w:tcPr>
                  <w:tcW w:w="691" w:type="pct"/>
                  <w:noWrap w:val="0"/>
                  <w:vAlign w:val="center"/>
                </w:tcPr>
                <w:p w14:paraId="62D2A476">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643" w:type="pct"/>
                  <w:noWrap w:val="0"/>
                  <w:tcMar>
                    <w:top w:w="12" w:type="dxa"/>
                    <w:left w:w="12" w:type="dxa"/>
                    <w:right w:w="12" w:type="dxa"/>
                  </w:tcMar>
                  <w:vAlign w:val="center"/>
                </w:tcPr>
                <w:p w14:paraId="2A03DE4E">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共3台</w:t>
                  </w:r>
                </w:p>
              </w:tc>
            </w:tr>
            <w:tr w14:paraId="0DE18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786221CE">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3306DE7F">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45D88BD1">
                  <w:pPr>
                    <w:widowControl/>
                    <w:jc w:val="center"/>
                    <w:textAlignment w:val="center"/>
                    <w:rPr>
                      <w:rFonts w:hint="default" w:ascii="Times New Roman" w:hAnsi="Times New Roman" w:eastAsia="宋体" w:cs="Times New Roman"/>
                      <w:kern w:val="0"/>
                      <w:sz w:val="21"/>
                      <w:szCs w:val="21"/>
                      <w:lang w:bidi="ar"/>
                    </w:rPr>
                  </w:pPr>
                </w:p>
              </w:tc>
              <w:tc>
                <w:tcPr>
                  <w:tcW w:w="464" w:type="pct"/>
                  <w:vMerge w:val="restart"/>
                  <w:noWrap w:val="0"/>
                  <w:tcMar>
                    <w:top w:w="12" w:type="dxa"/>
                    <w:left w:w="12" w:type="dxa"/>
                    <w:right w:w="12" w:type="dxa"/>
                  </w:tcMar>
                  <w:vAlign w:val="center"/>
                </w:tcPr>
                <w:p w14:paraId="5FEF6B59">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废气处理系统</w:t>
                  </w:r>
                </w:p>
              </w:tc>
              <w:tc>
                <w:tcPr>
                  <w:tcW w:w="894" w:type="pct"/>
                  <w:noWrap w:val="0"/>
                  <w:tcMar>
                    <w:top w:w="12" w:type="dxa"/>
                    <w:left w:w="12" w:type="dxa"/>
                    <w:right w:w="12" w:type="dxa"/>
                  </w:tcMar>
                  <w:vAlign w:val="center"/>
                </w:tcPr>
                <w:p w14:paraId="4167914A">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lang w:val="en-US" w:eastAsia="zh-CN"/>
                    </w:rPr>
                    <w:t>抛丸机</w:t>
                  </w:r>
                  <w:r>
                    <w:rPr>
                      <w:rFonts w:hint="default" w:ascii="Times New Roman" w:hAnsi="Times New Roman" w:eastAsia="宋体" w:cs="Times New Roman"/>
                      <w:sz w:val="21"/>
                      <w:szCs w:val="21"/>
                    </w:rPr>
                    <w:t>振打式布袋除尘机</w:t>
                  </w:r>
                </w:p>
              </w:tc>
              <w:tc>
                <w:tcPr>
                  <w:tcW w:w="866" w:type="pct"/>
                  <w:noWrap w:val="0"/>
                  <w:tcMar>
                    <w:top w:w="12" w:type="dxa"/>
                    <w:left w:w="12" w:type="dxa"/>
                    <w:right w:w="12" w:type="dxa"/>
                  </w:tcMar>
                  <w:vAlign w:val="center"/>
                </w:tcPr>
                <w:p w14:paraId="47C72D41">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val="en-US" w:eastAsia="zh-CN" w:bidi="ar"/>
                    </w:rPr>
                    <w:t>风机风量</w:t>
                  </w:r>
                </w:p>
              </w:tc>
              <w:tc>
                <w:tcPr>
                  <w:tcW w:w="606" w:type="pct"/>
                  <w:noWrap w:val="0"/>
                  <w:tcMar>
                    <w:top w:w="12" w:type="dxa"/>
                    <w:left w:w="12" w:type="dxa"/>
                    <w:right w:w="12" w:type="dxa"/>
                  </w:tcMar>
                  <w:vAlign w:val="center"/>
                </w:tcPr>
                <w:p w14:paraId="0404F125">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m</w:t>
                  </w:r>
                  <w:r>
                    <w:rPr>
                      <w:rFonts w:hint="default" w:ascii="Times New Roman" w:hAnsi="Times New Roman" w:eastAsia="宋体" w:cs="Times New Roman"/>
                      <w:kern w:val="0"/>
                      <w:sz w:val="21"/>
                      <w:szCs w:val="21"/>
                      <w:vertAlign w:val="superscript"/>
                      <w:lang w:bidi="ar"/>
                    </w:rPr>
                    <w:t>3</w:t>
                  </w:r>
                  <w:r>
                    <w:rPr>
                      <w:rFonts w:hint="default" w:ascii="Times New Roman" w:hAnsi="Times New Roman" w:eastAsia="宋体" w:cs="Times New Roman"/>
                      <w:kern w:val="0"/>
                      <w:sz w:val="21"/>
                      <w:szCs w:val="21"/>
                      <w:lang w:bidi="ar"/>
                    </w:rPr>
                    <w:t>/h</w:t>
                  </w:r>
                </w:p>
              </w:tc>
              <w:tc>
                <w:tcPr>
                  <w:tcW w:w="691" w:type="pct"/>
                  <w:noWrap w:val="0"/>
                  <w:vAlign w:val="center"/>
                </w:tcPr>
                <w:p w14:paraId="133FD43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val="en-US" w:eastAsia="zh-CN" w:bidi="ar"/>
                    </w:rPr>
                    <w:t>单套4</w:t>
                  </w:r>
                  <w:r>
                    <w:rPr>
                      <w:rFonts w:hint="default" w:ascii="Times New Roman" w:hAnsi="Times New Roman" w:eastAsia="宋体" w:cs="Times New Roman"/>
                      <w:kern w:val="0"/>
                      <w:sz w:val="21"/>
                      <w:szCs w:val="21"/>
                      <w:lang w:bidi="ar"/>
                    </w:rPr>
                    <w:t>000</w:t>
                  </w:r>
                </w:p>
              </w:tc>
              <w:tc>
                <w:tcPr>
                  <w:tcW w:w="643" w:type="pct"/>
                  <w:noWrap w:val="0"/>
                  <w:tcMar>
                    <w:top w:w="12" w:type="dxa"/>
                    <w:left w:w="12" w:type="dxa"/>
                    <w:right w:w="12" w:type="dxa"/>
                  </w:tcMar>
                  <w:vAlign w:val="center"/>
                </w:tcPr>
                <w:p w14:paraId="5594A85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共</w:t>
                  </w:r>
                  <w:r>
                    <w:rPr>
                      <w:rFonts w:hint="default" w:ascii="Times New Roman" w:hAnsi="Times New Roman" w:eastAsia="宋体" w:cs="Times New Roman"/>
                      <w:kern w:val="0"/>
                      <w:sz w:val="21"/>
                      <w:szCs w:val="21"/>
                      <w:lang w:val="en-US" w:eastAsia="zh-CN" w:bidi="ar"/>
                    </w:rPr>
                    <w:t>2</w:t>
                  </w:r>
                  <w:r>
                    <w:rPr>
                      <w:rFonts w:hint="default" w:ascii="Times New Roman" w:hAnsi="Times New Roman" w:eastAsia="宋体" w:cs="Times New Roman"/>
                      <w:kern w:val="0"/>
                      <w:sz w:val="21"/>
                      <w:szCs w:val="21"/>
                      <w:lang w:bidi="ar"/>
                    </w:rPr>
                    <w:t>套</w:t>
                  </w:r>
                </w:p>
              </w:tc>
            </w:tr>
            <w:tr w14:paraId="358BE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0234997A">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8D7E7BA">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5AB6D737">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16BD4C9B">
                  <w:pPr>
                    <w:widowControl/>
                    <w:jc w:val="center"/>
                    <w:textAlignment w:val="center"/>
                    <w:rPr>
                      <w:rFonts w:hint="default" w:ascii="Times New Roman" w:hAnsi="Times New Roman" w:eastAsia="宋体" w:cs="Times New Roman"/>
                      <w:kern w:val="0"/>
                      <w:sz w:val="21"/>
                      <w:szCs w:val="21"/>
                      <w:lang w:bidi="ar"/>
                    </w:rPr>
                  </w:pPr>
                </w:p>
              </w:tc>
              <w:tc>
                <w:tcPr>
                  <w:tcW w:w="894" w:type="pct"/>
                  <w:noWrap w:val="0"/>
                  <w:tcMar>
                    <w:top w:w="12" w:type="dxa"/>
                    <w:left w:w="12" w:type="dxa"/>
                    <w:right w:w="12" w:type="dxa"/>
                  </w:tcMar>
                  <w:vAlign w:val="center"/>
                </w:tcPr>
                <w:p w14:paraId="2D51C8B7">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切割机</w:t>
                  </w:r>
                  <w:r>
                    <w:rPr>
                      <w:rFonts w:hint="default" w:ascii="Times New Roman" w:hAnsi="Times New Roman" w:eastAsia="宋体" w:cs="Times New Roman"/>
                      <w:kern w:val="0"/>
                      <w:sz w:val="21"/>
                      <w:szCs w:val="21"/>
                      <w:lang w:bidi="ar"/>
                    </w:rPr>
                    <w:t>自带布袋除尘器</w:t>
                  </w:r>
                </w:p>
              </w:tc>
              <w:tc>
                <w:tcPr>
                  <w:tcW w:w="866" w:type="pct"/>
                  <w:noWrap w:val="0"/>
                  <w:tcMar>
                    <w:top w:w="12" w:type="dxa"/>
                    <w:left w:w="12" w:type="dxa"/>
                    <w:right w:w="12" w:type="dxa"/>
                  </w:tcMar>
                  <w:vAlign w:val="center"/>
                </w:tcPr>
                <w:p w14:paraId="5D926443">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设计处理能力</w:t>
                  </w:r>
                </w:p>
              </w:tc>
              <w:tc>
                <w:tcPr>
                  <w:tcW w:w="606" w:type="pct"/>
                  <w:noWrap w:val="0"/>
                  <w:tcMar>
                    <w:top w:w="12" w:type="dxa"/>
                    <w:left w:w="12" w:type="dxa"/>
                    <w:right w:w="12" w:type="dxa"/>
                  </w:tcMar>
                  <w:vAlign w:val="center"/>
                </w:tcPr>
                <w:p w14:paraId="44CB3EC8">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m</w:t>
                  </w:r>
                  <w:r>
                    <w:rPr>
                      <w:rFonts w:hint="default" w:ascii="Times New Roman" w:hAnsi="Times New Roman" w:eastAsia="宋体" w:cs="Times New Roman"/>
                      <w:kern w:val="0"/>
                      <w:sz w:val="21"/>
                      <w:szCs w:val="21"/>
                      <w:vertAlign w:val="superscript"/>
                      <w:lang w:bidi="ar"/>
                    </w:rPr>
                    <w:t>3</w:t>
                  </w:r>
                  <w:r>
                    <w:rPr>
                      <w:rFonts w:hint="default" w:ascii="Times New Roman" w:hAnsi="Times New Roman" w:eastAsia="宋体" w:cs="Times New Roman"/>
                      <w:kern w:val="0"/>
                      <w:sz w:val="21"/>
                      <w:szCs w:val="21"/>
                      <w:lang w:bidi="ar"/>
                    </w:rPr>
                    <w:t>/h</w:t>
                  </w:r>
                </w:p>
              </w:tc>
              <w:tc>
                <w:tcPr>
                  <w:tcW w:w="691" w:type="pct"/>
                  <w:noWrap w:val="0"/>
                  <w:vAlign w:val="center"/>
                </w:tcPr>
                <w:p w14:paraId="0C7F2916">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val="en-US" w:eastAsia="zh-CN" w:bidi="ar"/>
                    </w:rPr>
                    <w:t>2</w:t>
                  </w:r>
                  <w:r>
                    <w:rPr>
                      <w:rFonts w:hint="default" w:ascii="Times New Roman" w:hAnsi="Times New Roman" w:eastAsia="宋体" w:cs="Times New Roman"/>
                      <w:kern w:val="0"/>
                      <w:sz w:val="21"/>
                      <w:szCs w:val="21"/>
                      <w:lang w:bidi="ar"/>
                    </w:rPr>
                    <w:t>000</w:t>
                  </w:r>
                </w:p>
              </w:tc>
              <w:tc>
                <w:tcPr>
                  <w:tcW w:w="643" w:type="pct"/>
                  <w:noWrap w:val="0"/>
                  <w:tcMar>
                    <w:top w:w="12" w:type="dxa"/>
                    <w:left w:w="12" w:type="dxa"/>
                    <w:right w:w="12" w:type="dxa"/>
                  </w:tcMar>
                  <w:vAlign w:val="center"/>
                </w:tcPr>
                <w:p w14:paraId="3FA54FFC">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共</w:t>
                  </w:r>
                  <w:r>
                    <w:rPr>
                      <w:rFonts w:hint="default" w:ascii="Times New Roman" w:hAnsi="Times New Roman" w:eastAsia="宋体" w:cs="Times New Roman"/>
                      <w:kern w:val="0"/>
                      <w:sz w:val="21"/>
                      <w:szCs w:val="21"/>
                      <w:lang w:val="en-US" w:eastAsia="zh-CN" w:bidi="ar"/>
                    </w:rPr>
                    <w:t>4</w:t>
                  </w:r>
                  <w:r>
                    <w:rPr>
                      <w:rFonts w:hint="default" w:ascii="Times New Roman" w:hAnsi="Times New Roman" w:eastAsia="宋体" w:cs="Times New Roman"/>
                      <w:kern w:val="0"/>
                      <w:sz w:val="21"/>
                      <w:szCs w:val="21"/>
                      <w:lang w:bidi="ar"/>
                    </w:rPr>
                    <w:t>套</w:t>
                  </w:r>
                </w:p>
              </w:tc>
            </w:tr>
            <w:tr w14:paraId="0B999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4660E09C">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636996DF">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2076A4A4">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715033FF">
                  <w:pPr>
                    <w:widowControl/>
                    <w:jc w:val="center"/>
                    <w:textAlignment w:val="center"/>
                    <w:rPr>
                      <w:rFonts w:hint="default" w:ascii="Times New Roman" w:hAnsi="Times New Roman" w:eastAsia="宋体" w:cs="Times New Roman"/>
                      <w:kern w:val="0"/>
                      <w:sz w:val="21"/>
                      <w:szCs w:val="21"/>
                      <w:lang w:bidi="ar"/>
                    </w:rPr>
                  </w:pPr>
                </w:p>
              </w:tc>
              <w:tc>
                <w:tcPr>
                  <w:tcW w:w="894" w:type="pct"/>
                  <w:noWrap w:val="0"/>
                  <w:tcMar>
                    <w:top w:w="12" w:type="dxa"/>
                    <w:left w:w="12" w:type="dxa"/>
                    <w:right w:w="12" w:type="dxa"/>
                  </w:tcMar>
                  <w:vAlign w:val="center"/>
                </w:tcPr>
                <w:p w14:paraId="523E0983">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移动式焊烟净化器</w:t>
                  </w:r>
                </w:p>
              </w:tc>
              <w:tc>
                <w:tcPr>
                  <w:tcW w:w="866" w:type="pct"/>
                  <w:noWrap w:val="0"/>
                  <w:tcMar>
                    <w:top w:w="12" w:type="dxa"/>
                    <w:left w:w="12" w:type="dxa"/>
                    <w:right w:w="12" w:type="dxa"/>
                  </w:tcMar>
                  <w:vAlign w:val="center"/>
                </w:tcPr>
                <w:p w14:paraId="1A2A2A7E">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设计处理能力</w:t>
                  </w:r>
                </w:p>
              </w:tc>
              <w:tc>
                <w:tcPr>
                  <w:tcW w:w="606" w:type="pct"/>
                  <w:noWrap w:val="0"/>
                  <w:tcMar>
                    <w:top w:w="12" w:type="dxa"/>
                    <w:left w:w="12" w:type="dxa"/>
                    <w:right w:w="12" w:type="dxa"/>
                  </w:tcMar>
                  <w:vAlign w:val="center"/>
                </w:tcPr>
                <w:p w14:paraId="20E597C6">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m</w:t>
                  </w:r>
                  <w:r>
                    <w:rPr>
                      <w:rFonts w:hint="default" w:ascii="Times New Roman" w:hAnsi="Times New Roman" w:eastAsia="宋体" w:cs="Times New Roman"/>
                      <w:kern w:val="0"/>
                      <w:sz w:val="21"/>
                      <w:szCs w:val="21"/>
                      <w:vertAlign w:val="superscript"/>
                      <w:lang w:bidi="ar"/>
                    </w:rPr>
                    <w:t>3</w:t>
                  </w:r>
                  <w:r>
                    <w:rPr>
                      <w:rFonts w:hint="default" w:ascii="Times New Roman" w:hAnsi="Times New Roman" w:eastAsia="宋体" w:cs="Times New Roman"/>
                      <w:kern w:val="0"/>
                      <w:sz w:val="21"/>
                      <w:szCs w:val="21"/>
                      <w:lang w:bidi="ar"/>
                    </w:rPr>
                    <w:t>/h</w:t>
                  </w:r>
                </w:p>
              </w:tc>
              <w:tc>
                <w:tcPr>
                  <w:tcW w:w="691" w:type="pct"/>
                  <w:noWrap w:val="0"/>
                  <w:vAlign w:val="center"/>
                </w:tcPr>
                <w:p w14:paraId="380F83C9">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2000</w:t>
                  </w:r>
                </w:p>
              </w:tc>
              <w:tc>
                <w:tcPr>
                  <w:tcW w:w="643" w:type="pct"/>
                  <w:noWrap w:val="0"/>
                  <w:tcMar>
                    <w:top w:w="12" w:type="dxa"/>
                    <w:left w:w="12" w:type="dxa"/>
                    <w:right w:w="12" w:type="dxa"/>
                  </w:tcMar>
                  <w:vAlign w:val="center"/>
                </w:tcPr>
                <w:p w14:paraId="6F52A426">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共</w:t>
                  </w:r>
                  <w:r>
                    <w:rPr>
                      <w:rFonts w:hint="default" w:ascii="Times New Roman" w:hAnsi="Times New Roman" w:eastAsia="宋体" w:cs="Times New Roman"/>
                      <w:kern w:val="0"/>
                      <w:sz w:val="21"/>
                      <w:szCs w:val="21"/>
                      <w:lang w:val="en-US" w:eastAsia="zh-CN" w:bidi="ar"/>
                    </w:rPr>
                    <w:t>6</w:t>
                  </w:r>
                  <w:r>
                    <w:rPr>
                      <w:rFonts w:hint="default" w:ascii="Times New Roman" w:hAnsi="Times New Roman" w:eastAsia="宋体" w:cs="Times New Roman"/>
                      <w:kern w:val="0"/>
                      <w:sz w:val="21"/>
                      <w:szCs w:val="21"/>
                      <w:lang w:bidi="ar"/>
                    </w:rPr>
                    <w:t>台</w:t>
                  </w:r>
                </w:p>
              </w:tc>
            </w:tr>
            <w:tr w14:paraId="2475A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6731A5B2">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53D93088">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0383DB9E">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3B6163DB">
                  <w:pPr>
                    <w:widowControl/>
                    <w:jc w:val="center"/>
                    <w:textAlignment w:val="center"/>
                    <w:rPr>
                      <w:rFonts w:hint="default" w:ascii="Times New Roman" w:hAnsi="Times New Roman" w:eastAsia="宋体" w:cs="Times New Roman"/>
                      <w:kern w:val="0"/>
                      <w:sz w:val="21"/>
                      <w:szCs w:val="21"/>
                      <w:lang w:bidi="ar"/>
                    </w:rPr>
                  </w:pPr>
                </w:p>
              </w:tc>
              <w:tc>
                <w:tcPr>
                  <w:tcW w:w="894" w:type="pct"/>
                  <w:noWrap w:val="0"/>
                  <w:tcMar>
                    <w:top w:w="12" w:type="dxa"/>
                    <w:left w:w="12" w:type="dxa"/>
                    <w:right w:w="12" w:type="dxa"/>
                  </w:tcMar>
                  <w:vAlign w:val="center"/>
                </w:tcPr>
                <w:p w14:paraId="04CC6ED9">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有机废气处理设施</w:t>
                  </w:r>
                </w:p>
              </w:tc>
              <w:tc>
                <w:tcPr>
                  <w:tcW w:w="866" w:type="pct"/>
                  <w:noWrap w:val="0"/>
                  <w:tcMar>
                    <w:top w:w="12" w:type="dxa"/>
                    <w:left w:w="12" w:type="dxa"/>
                    <w:right w:w="12" w:type="dxa"/>
                  </w:tcMar>
                  <w:vAlign w:val="center"/>
                </w:tcPr>
                <w:p w14:paraId="3055329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设计处理能力</w:t>
                  </w:r>
                </w:p>
              </w:tc>
              <w:tc>
                <w:tcPr>
                  <w:tcW w:w="606" w:type="pct"/>
                  <w:noWrap w:val="0"/>
                  <w:tcMar>
                    <w:top w:w="12" w:type="dxa"/>
                    <w:left w:w="12" w:type="dxa"/>
                    <w:right w:w="12" w:type="dxa"/>
                  </w:tcMar>
                  <w:vAlign w:val="center"/>
                </w:tcPr>
                <w:p w14:paraId="06129D32">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m</w:t>
                  </w:r>
                  <w:r>
                    <w:rPr>
                      <w:rFonts w:hint="default" w:ascii="Times New Roman" w:hAnsi="Times New Roman" w:eastAsia="宋体" w:cs="Times New Roman"/>
                      <w:kern w:val="0"/>
                      <w:sz w:val="21"/>
                      <w:szCs w:val="21"/>
                      <w:vertAlign w:val="superscript"/>
                      <w:lang w:bidi="ar"/>
                    </w:rPr>
                    <w:t>3</w:t>
                  </w:r>
                  <w:r>
                    <w:rPr>
                      <w:rFonts w:hint="default" w:ascii="Times New Roman" w:hAnsi="Times New Roman" w:eastAsia="宋体" w:cs="Times New Roman"/>
                      <w:kern w:val="0"/>
                      <w:sz w:val="21"/>
                      <w:szCs w:val="21"/>
                      <w:lang w:bidi="ar"/>
                    </w:rPr>
                    <w:t>/h</w:t>
                  </w:r>
                </w:p>
              </w:tc>
              <w:tc>
                <w:tcPr>
                  <w:tcW w:w="691" w:type="pct"/>
                  <w:noWrap w:val="0"/>
                  <w:vAlign w:val="center"/>
                </w:tcPr>
                <w:p w14:paraId="5F6255E3">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20000</w:t>
                  </w:r>
                </w:p>
              </w:tc>
              <w:tc>
                <w:tcPr>
                  <w:tcW w:w="643" w:type="pct"/>
                  <w:noWrap w:val="0"/>
                  <w:tcMar>
                    <w:top w:w="12" w:type="dxa"/>
                    <w:left w:w="12" w:type="dxa"/>
                    <w:right w:w="12" w:type="dxa"/>
                  </w:tcMar>
                  <w:vAlign w:val="center"/>
                </w:tcPr>
                <w:p w14:paraId="422F6AA8">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共1套</w:t>
                  </w:r>
                </w:p>
              </w:tc>
            </w:tr>
            <w:tr w14:paraId="22284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689F3B53">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D0A4715">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21D8C8B2">
                  <w:pPr>
                    <w:widowControl/>
                    <w:jc w:val="center"/>
                    <w:textAlignment w:val="center"/>
                    <w:rPr>
                      <w:rFonts w:hint="default" w:ascii="Times New Roman" w:hAnsi="Times New Roman" w:eastAsia="宋体" w:cs="Times New Roman"/>
                      <w:kern w:val="0"/>
                      <w:sz w:val="21"/>
                      <w:szCs w:val="21"/>
                      <w:lang w:bidi="ar"/>
                    </w:rPr>
                  </w:pPr>
                </w:p>
              </w:tc>
              <w:tc>
                <w:tcPr>
                  <w:tcW w:w="464" w:type="pct"/>
                  <w:vMerge w:val="restart"/>
                  <w:noWrap w:val="0"/>
                  <w:tcMar>
                    <w:top w:w="12" w:type="dxa"/>
                    <w:left w:w="12" w:type="dxa"/>
                    <w:right w:w="12" w:type="dxa"/>
                  </w:tcMar>
                  <w:vAlign w:val="center"/>
                </w:tcPr>
                <w:p w14:paraId="16C7EF6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固体废物污染治理设施</w:t>
                  </w:r>
                </w:p>
              </w:tc>
              <w:tc>
                <w:tcPr>
                  <w:tcW w:w="894" w:type="pct"/>
                  <w:noWrap w:val="0"/>
                  <w:tcMar>
                    <w:top w:w="12" w:type="dxa"/>
                    <w:left w:w="12" w:type="dxa"/>
                    <w:right w:w="12" w:type="dxa"/>
                  </w:tcMar>
                  <w:vAlign w:val="center"/>
                </w:tcPr>
                <w:p w14:paraId="168D87E6">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危险废物暂存仓库</w:t>
                  </w:r>
                </w:p>
              </w:tc>
              <w:tc>
                <w:tcPr>
                  <w:tcW w:w="866" w:type="pct"/>
                  <w:vMerge w:val="restart"/>
                  <w:noWrap w:val="0"/>
                  <w:tcMar>
                    <w:top w:w="12" w:type="dxa"/>
                    <w:left w:w="12" w:type="dxa"/>
                    <w:right w:w="12" w:type="dxa"/>
                  </w:tcMar>
                  <w:vAlign w:val="center"/>
                </w:tcPr>
                <w:p w14:paraId="3C08D9CA">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贮存面积</w:t>
                  </w:r>
                </w:p>
              </w:tc>
              <w:tc>
                <w:tcPr>
                  <w:tcW w:w="606" w:type="pct"/>
                  <w:vMerge w:val="restart"/>
                  <w:noWrap w:val="0"/>
                  <w:tcMar>
                    <w:top w:w="12" w:type="dxa"/>
                    <w:left w:w="12" w:type="dxa"/>
                    <w:right w:w="12" w:type="dxa"/>
                  </w:tcMar>
                  <w:vAlign w:val="center"/>
                </w:tcPr>
                <w:p w14:paraId="311F150A">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m</w:t>
                  </w:r>
                  <w:r>
                    <w:rPr>
                      <w:rFonts w:hint="default" w:ascii="Times New Roman" w:hAnsi="Times New Roman" w:eastAsia="宋体" w:cs="Times New Roman"/>
                      <w:kern w:val="0"/>
                      <w:sz w:val="21"/>
                      <w:szCs w:val="21"/>
                      <w:vertAlign w:val="superscript"/>
                      <w:lang w:bidi="ar"/>
                    </w:rPr>
                    <w:t>2</w:t>
                  </w:r>
                </w:p>
              </w:tc>
              <w:tc>
                <w:tcPr>
                  <w:tcW w:w="691" w:type="pct"/>
                  <w:noWrap w:val="0"/>
                  <w:vAlign w:val="center"/>
                </w:tcPr>
                <w:p w14:paraId="4D7EAD74">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28</w:t>
                  </w:r>
                </w:p>
              </w:tc>
              <w:tc>
                <w:tcPr>
                  <w:tcW w:w="643" w:type="pct"/>
                  <w:noWrap w:val="0"/>
                  <w:tcMar>
                    <w:top w:w="12" w:type="dxa"/>
                    <w:left w:w="12" w:type="dxa"/>
                    <w:right w:w="12" w:type="dxa"/>
                  </w:tcMar>
                  <w:vAlign w:val="center"/>
                </w:tcPr>
                <w:p w14:paraId="4E44A062">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 xml:space="preserve">1间 </w:t>
                  </w:r>
                </w:p>
              </w:tc>
            </w:tr>
            <w:tr w14:paraId="1374E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6" w:type="pct"/>
                  <w:vMerge w:val="continue"/>
                  <w:noWrap w:val="0"/>
                  <w:tcMar>
                    <w:top w:w="12" w:type="dxa"/>
                    <w:left w:w="12" w:type="dxa"/>
                    <w:right w:w="12" w:type="dxa"/>
                  </w:tcMar>
                  <w:vAlign w:val="center"/>
                </w:tcPr>
                <w:p w14:paraId="6CEB8D48">
                  <w:pPr>
                    <w:jc w:val="center"/>
                    <w:rPr>
                      <w:rFonts w:hint="default" w:ascii="Times New Roman" w:hAnsi="Times New Roman" w:eastAsia="宋体" w:cs="Times New Roman"/>
                      <w:sz w:val="21"/>
                      <w:szCs w:val="21"/>
                    </w:rPr>
                  </w:pPr>
                </w:p>
              </w:tc>
              <w:tc>
                <w:tcPr>
                  <w:tcW w:w="308" w:type="pct"/>
                  <w:vMerge w:val="continue"/>
                  <w:noWrap w:val="0"/>
                  <w:tcMar>
                    <w:top w:w="12" w:type="dxa"/>
                    <w:left w:w="12" w:type="dxa"/>
                    <w:right w:w="12" w:type="dxa"/>
                  </w:tcMar>
                  <w:vAlign w:val="center"/>
                </w:tcPr>
                <w:p w14:paraId="18ED30A2">
                  <w:pPr>
                    <w:jc w:val="center"/>
                    <w:rPr>
                      <w:rFonts w:hint="default" w:ascii="Times New Roman" w:hAnsi="Times New Roman" w:eastAsia="宋体" w:cs="Times New Roman"/>
                      <w:sz w:val="21"/>
                      <w:szCs w:val="21"/>
                    </w:rPr>
                  </w:pPr>
                </w:p>
              </w:tc>
              <w:tc>
                <w:tcPr>
                  <w:tcW w:w="330" w:type="pct"/>
                  <w:vMerge w:val="continue"/>
                  <w:noWrap w:val="0"/>
                  <w:tcMar>
                    <w:top w:w="12" w:type="dxa"/>
                    <w:left w:w="12" w:type="dxa"/>
                    <w:right w:w="12" w:type="dxa"/>
                  </w:tcMar>
                  <w:vAlign w:val="center"/>
                </w:tcPr>
                <w:p w14:paraId="22F5CC02">
                  <w:pPr>
                    <w:widowControl/>
                    <w:jc w:val="center"/>
                    <w:textAlignment w:val="center"/>
                    <w:rPr>
                      <w:rFonts w:hint="default" w:ascii="Times New Roman" w:hAnsi="Times New Roman" w:eastAsia="宋体" w:cs="Times New Roman"/>
                      <w:kern w:val="0"/>
                      <w:sz w:val="21"/>
                      <w:szCs w:val="21"/>
                      <w:lang w:bidi="ar"/>
                    </w:rPr>
                  </w:pPr>
                </w:p>
              </w:tc>
              <w:tc>
                <w:tcPr>
                  <w:tcW w:w="464" w:type="pct"/>
                  <w:vMerge w:val="continue"/>
                  <w:noWrap w:val="0"/>
                  <w:tcMar>
                    <w:top w:w="12" w:type="dxa"/>
                    <w:left w:w="12" w:type="dxa"/>
                    <w:right w:w="12" w:type="dxa"/>
                  </w:tcMar>
                  <w:vAlign w:val="center"/>
                </w:tcPr>
                <w:p w14:paraId="33D3EE77">
                  <w:pPr>
                    <w:widowControl/>
                    <w:textAlignment w:val="center"/>
                    <w:rPr>
                      <w:rFonts w:hint="default" w:ascii="Times New Roman" w:hAnsi="Times New Roman" w:eastAsia="宋体" w:cs="Times New Roman"/>
                      <w:kern w:val="0"/>
                      <w:sz w:val="21"/>
                      <w:szCs w:val="21"/>
                      <w:lang w:bidi="ar"/>
                    </w:rPr>
                  </w:pPr>
                </w:p>
              </w:tc>
              <w:tc>
                <w:tcPr>
                  <w:tcW w:w="894" w:type="pct"/>
                  <w:noWrap w:val="0"/>
                  <w:tcMar>
                    <w:top w:w="12" w:type="dxa"/>
                    <w:left w:w="12" w:type="dxa"/>
                    <w:right w:w="12" w:type="dxa"/>
                  </w:tcMar>
                  <w:vAlign w:val="center"/>
                </w:tcPr>
                <w:p w14:paraId="2BC793A0">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一般固废暂存仓库</w:t>
                  </w:r>
                </w:p>
              </w:tc>
              <w:tc>
                <w:tcPr>
                  <w:tcW w:w="866" w:type="pct"/>
                  <w:vMerge w:val="continue"/>
                  <w:noWrap w:val="0"/>
                  <w:tcMar>
                    <w:top w:w="12" w:type="dxa"/>
                    <w:left w:w="12" w:type="dxa"/>
                    <w:right w:w="12" w:type="dxa"/>
                  </w:tcMar>
                  <w:vAlign w:val="center"/>
                </w:tcPr>
                <w:p w14:paraId="0233972C">
                  <w:pPr>
                    <w:widowControl/>
                    <w:jc w:val="center"/>
                    <w:textAlignment w:val="center"/>
                    <w:rPr>
                      <w:rFonts w:hint="default" w:ascii="Times New Roman" w:hAnsi="Times New Roman" w:eastAsia="宋体" w:cs="Times New Roman"/>
                      <w:kern w:val="0"/>
                      <w:sz w:val="21"/>
                      <w:szCs w:val="21"/>
                      <w:lang w:bidi="ar"/>
                    </w:rPr>
                  </w:pPr>
                </w:p>
              </w:tc>
              <w:tc>
                <w:tcPr>
                  <w:tcW w:w="606" w:type="pct"/>
                  <w:vMerge w:val="continue"/>
                  <w:noWrap w:val="0"/>
                  <w:tcMar>
                    <w:top w:w="12" w:type="dxa"/>
                    <w:left w:w="12" w:type="dxa"/>
                    <w:right w:w="12" w:type="dxa"/>
                  </w:tcMar>
                  <w:vAlign w:val="center"/>
                </w:tcPr>
                <w:p w14:paraId="275CFE29">
                  <w:pPr>
                    <w:widowControl/>
                    <w:jc w:val="center"/>
                    <w:textAlignment w:val="center"/>
                    <w:rPr>
                      <w:rFonts w:hint="default" w:ascii="Times New Roman" w:hAnsi="Times New Roman" w:eastAsia="宋体" w:cs="Times New Roman"/>
                      <w:kern w:val="0"/>
                      <w:sz w:val="21"/>
                      <w:szCs w:val="21"/>
                      <w:lang w:bidi="ar"/>
                    </w:rPr>
                  </w:pPr>
                </w:p>
              </w:tc>
              <w:tc>
                <w:tcPr>
                  <w:tcW w:w="691" w:type="pct"/>
                  <w:noWrap w:val="0"/>
                  <w:vAlign w:val="center"/>
                </w:tcPr>
                <w:p w14:paraId="4CAF7AA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28</w:t>
                  </w:r>
                </w:p>
              </w:tc>
              <w:tc>
                <w:tcPr>
                  <w:tcW w:w="643" w:type="pct"/>
                  <w:noWrap w:val="0"/>
                  <w:tcMar>
                    <w:top w:w="12" w:type="dxa"/>
                    <w:left w:w="12" w:type="dxa"/>
                    <w:right w:w="12" w:type="dxa"/>
                  </w:tcMar>
                  <w:vAlign w:val="center"/>
                </w:tcPr>
                <w:p w14:paraId="4CD18463">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 xml:space="preserve">1间 </w:t>
                  </w:r>
                </w:p>
              </w:tc>
            </w:tr>
          </w:tbl>
          <w:p w14:paraId="193D7021">
            <w:pPr>
              <w:pStyle w:val="52"/>
              <w:adjustRightInd w:val="0"/>
              <w:spacing w:line="360" w:lineRule="auto"/>
              <w:ind w:firstLine="482" w:firstLineChars="200"/>
              <w:jc w:val="both"/>
              <w:rPr>
                <w:rFonts w:hint="default" w:ascii="Times New Roman" w:hAnsi="Times New Roman" w:eastAsia="宋体" w:cs="Times New Roman"/>
                <w:szCs w:val="24"/>
                <w:lang w:val="en-US" w:eastAsia="zh-CN"/>
              </w:rPr>
            </w:pPr>
            <w:r>
              <w:rPr>
                <w:rFonts w:hint="eastAsia" w:ascii="Times New Roman" w:hAnsi="Times New Roman" w:cs="Times New Roman"/>
                <w:szCs w:val="24"/>
              </w:rPr>
              <w:t>2.5</w:t>
            </w:r>
            <w:r>
              <w:rPr>
                <w:rFonts w:hint="eastAsia" w:ascii="Times New Roman" w:hAnsi="Times New Roman" w:cs="Times New Roman"/>
                <w:szCs w:val="24"/>
                <w:lang w:val="en-US" w:eastAsia="zh-CN"/>
              </w:rPr>
              <w:t>漆料用量核算及分析</w:t>
            </w:r>
          </w:p>
          <w:p w14:paraId="6641556B">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根据《涂装工艺与设备手册》中涂料消耗量计算公式</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本项目喷涂油漆用量按照下式计算</w:t>
            </w:r>
            <w:r>
              <w:rPr>
                <w:rFonts w:ascii="Times New Roman" w:hAnsi="Times New Roman" w:cs="Times New Roman"/>
                <w:sz w:val="24"/>
                <w:szCs w:val="24"/>
              </w:rPr>
              <w:t>：</w:t>
            </w:r>
          </w:p>
          <w:p w14:paraId="72322541">
            <w:pPr>
              <w:spacing w:line="360" w:lineRule="auto"/>
              <w:jc w:val="center"/>
              <w:rPr>
                <w:rFonts w:ascii="Times New Roman" w:hAnsi="Times New Roman" w:cs="Times New Roman"/>
                <w:sz w:val="24"/>
                <w:szCs w:val="24"/>
              </w:rPr>
            </w:pPr>
            <w:r>
              <w:rPr>
                <w:rFonts w:ascii="Times New Roman" w:hAnsi="Times New Roman" w:cs="Times New Roman"/>
                <w:position w:val="-10"/>
                <w:sz w:val="24"/>
                <w:szCs w:val="24"/>
              </w:rPr>
              <w:object>
                <v:shape id="_x0000_i1025" o:spt="75" type="#_x0000_t75" style="height:18pt;width:126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p w14:paraId="308AA381">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其中：m—油漆某组分用量，t/a；</w:t>
            </w:r>
          </w:p>
          <w:p w14:paraId="4B3EAFE6">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ρ—油漆密度，g/cm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02C09478">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δ—涂层厚度，μm；</w:t>
            </w:r>
          </w:p>
          <w:p w14:paraId="43429B21">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S—涂装面积，m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2F8CA653">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η—该油漆组分所占油漆比例；</w:t>
            </w:r>
          </w:p>
          <w:p w14:paraId="4DC5BCF5">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NV—油漆中固体分含量，%；</w:t>
            </w:r>
          </w:p>
          <w:p w14:paraId="3C3F6B0A">
            <w:pPr>
              <w:keepNext w:val="0"/>
              <w:keepLines w:val="0"/>
              <w:pageBreakBefore w:val="0"/>
              <w:widowControl w:val="0"/>
              <w:tabs>
                <w:tab w:val="left" w:pos="5069"/>
              </w:tabs>
              <w:kinsoku/>
              <w:wordWrap/>
              <w:overflowPunct/>
              <w:topLinePunct w:val="0"/>
              <w:autoSpaceDE/>
              <w:autoSpaceDN/>
              <w:bidi w:val="0"/>
              <w:adjustRightInd w:val="0"/>
              <w:snapToGrid w:val="0"/>
              <w:spacing w:line="360" w:lineRule="auto"/>
              <w:ind w:left="840" w:leftChars="400" w:firstLine="0" w:firstLineChars="0"/>
              <w:jc w:val="both"/>
              <w:textAlignment w:val="auto"/>
              <w:rPr>
                <w:rFonts w:ascii="Times New Roman" w:hAnsi="Times New Roman" w:cs="Times New Roman"/>
                <w:sz w:val="24"/>
                <w:szCs w:val="24"/>
              </w:rPr>
            </w:pPr>
            <w:r>
              <w:rPr>
                <w:rFonts w:ascii="Times New Roman" w:hAnsi="Times New Roman" w:cs="Times New Roman"/>
                <w:sz w:val="24"/>
                <w:szCs w:val="24"/>
              </w:rPr>
              <w:t>ε—上漆率。</w:t>
            </w:r>
          </w:p>
          <w:p w14:paraId="43D84C79">
            <w:pPr>
              <w:widowControl/>
              <w:numPr>
                <w:ilvl w:val="0"/>
                <w:numId w:val="2"/>
              </w:numPr>
              <w:jc w:val="center"/>
              <w:rPr>
                <w:rFonts w:ascii="Times New Roman" w:hAnsi="Times New Roman" w:eastAsia="宋体" w:cs="Times New Roman"/>
                <w:b/>
                <w:kern w:val="0"/>
                <w:szCs w:val="21"/>
              </w:rPr>
            </w:pPr>
            <w:r>
              <w:rPr>
                <w:rFonts w:ascii="Times New Roman" w:hAnsi="Times New Roman" w:eastAsia="宋体" w:cs="Times New Roman"/>
                <w:b/>
                <w:kern w:val="0"/>
                <w:szCs w:val="21"/>
              </w:rPr>
              <w:t>项目</w:t>
            </w:r>
            <w:r>
              <w:rPr>
                <w:rFonts w:hint="eastAsia" w:ascii="Times New Roman" w:hAnsi="Times New Roman" w:eastAsia="宋体" w:cs="Times New Roman"/>
                <w:b/>
                <w:kern w:val="0"/>
                <w:szCs w:val="21"/>
                <w:lang w:val="en-US" w:eastAsia="zh-CN"/>
              </w:rPr>
              <w:t>漆料用量核算</w:t>
            </w:r>
            <w:r>
              <w:rPr>
                <w:rFonts w:ascii="Times New Roman" w:hAnsi="Times New Roman" w:eastAsia="宋体" w:cs="Times New Roman"/>
                <w:b/>
                <w:kern w:val="0"/>
                <w:szCs w:val="21"/>
              </w:rPr>
              <w:t>参数汇总一览表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036"/>
              <w:gridCol w:w="1010"/>
              <w:gridCol w:w="914"/>
              <w:gridCol w:w="1279"/>
              <w:gridCol w:w="1172"/>
              <w:gridCol w:w="814"/>
              <w:gridCol w:w="978"/>
            </w:tblGrid>
            <w:tr w14:paraId="6E3C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shd w:val="clear" w:color="auto" w:fill="auto"/>
                  <w:noWrap w:val="0"/>
                  <w:vAlign w:val="center"/>
                </w:tcPr>
                <w:p w14:paraId="1F02C4D1">
                  <w:pPr>
                    <w:keepNext w:val="0"/>
                    <w:keepLines w:val="0"/>
                    <w:pageBreakBefore w:val="0"/>
                    <w:widowControl/>
                    <w:suppressLineNumbers w:val="0"/>
                    <w:kinsoku/>
                    <w:wordWrap/>
                    <w:overflowPunct/>
                    <w:topLinePunct w:val="0"/>
                    <w:autoSpaceDE/>
                    <w:autoSpaceDN/>
                    <w:bidi w:val="0"/>
                    <w:adjustRightInd/>
                    <w:ind w:right="0"/>
                    <w:jc w:val="center"/>
                    <w:textAlignment w:val="center"/>
                    <w:rPr>
                      <w:rFonts w:ascii="Times New Roman" w:hAnsi="Times New Roman"/>
                      <w:b/>
                      <w:bCs/>
                      <w:sz w:val="21"/>
                      <w:szCs w:val="21"/>
                    </w:rPr>
                  </w:pPr>
                  <w:r>
                    <w:rPr>
                      <w:rFonts w:hint="eastAsia" w:ascii="宋体" w:hAnsi="宋体" w:eastAsia="宋体" w:cs="宋体"/>
                      <w:b/>
                      <w:bCs/>
                      <w:i w:val="0"/>
                      <w:iCs w:val="0"/>
                      <w:color w:val="000000"/>
                      <w:kern w:val="0"/>
                      <w:sz w:val="21"/>
                      <w:szCs w:val="21"/>
                      <w:u w:val="none"/>
                      <w:lang w:val="en-US" w:eastAsia="zh-CN" w:bidi="ar"/>
                    </w:rPr>
                    <w:t>喷涂部件</w:t>
                  </w:r>
                </w:p>
              </w:tc>
              <w:tc>
                <w:tcPr>
                  <w:tcW w:w="1036" w:type="dxa"/>
                  <w:shd w:val="clear" w:color="auto" w:fill="auto"/>
                  <w:noWrap w:val="0"/>
                  <w:vAlign w:val="center"/>
                </w:tcPr>
                <w:p w14:paraId="187F9129">
                  <w:pPr>
                    <w:keepNext w:val="0"/>
                    <w:keepLines w:val="0"/>
                    <w:pageBreakBefore w:val="0"/>
                    <w:widowControl/>
                    <w:suppressLineNumbers w:val="0"/>
                    <w:kinsoku/>
                    <w:wordWrap/>
                    <w:overflowPunct/>
                    <w:topLinePunct w:val="0"/>
                    <w:autoSpaceDE/>
                    <w:autoSpaceDN/>
                    <w:bidi w:val="0"/>
                    <w:adjustRightInd/>
                    <w:ind w:right="0"/>
                    <w:jc w:val="center"/>
                    <w:textAlignment w:val="center"/>
                    <w:rPr>
                      <w:rFonts w:ascii="Times New Roman" w:hAnsi="Times New Roman"/>
                      <w:b/>
                      <w:bCs/>
                      <w:sz w:val="21"/>
                      <w:szCs w:val="21"/>
                    </w:rPr>
                  </w:pPr>
                  <w:r>
                    <w:rPr>
                      <w:rFonts w:hint="eastAsia" w:ascii="宋体" w:hAnsi="宋体" w:eastAsia="宋体" w:cs="宋体"/>
                      <w:b/>
                      <w:bCs/>
                      <w:i w:val="0"/>
                      <w:iCs w:val="0"/>
                      <w:color w:val="000000"/>
                      <w:kern w:val="0"/>
                      <w:sz w:val="21"/>
                      <w:szCs w:val="21"/>
                      <w:u w:val="none"/>
                      <w:lang w:val="en-US" w:eastAsia="zh-CN" w:bidi="ar"/>
                    </w:rPr>
                    <w:t>漆料</w:t>
                  </w:r>
                </w:p>
              </w:tc>
              <w:tc>
                <w:tcPr>
                  <w:tcW w:w="1010" w:type="dxa"/>
                  <w:shd w:val="clear" w:color="auto" w:fill="auto"/>
                  <w:noWrap w:val="0"/>
                  <w:vAlign w:val="center"/>
                </w:tcPr>
                <w:p w14:paraId="54EC6C8F">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ascii="Times New Roman" w:hAnsi="Times New Roman"/>
                      <w:b/>
                      <w:bCs/>
                      <w:sz w:val="21"/>
                      <w:szCs w:val="21"/>
                    </w:rPr>
                    <w:t>油漆密度/g/cm</w:t>
                  </w:r>
                  <w:r>
                    <w:rPr>
                      <w:rFonts w:ascii="Times New Roman" w:hAnsi="Times New Roman"/>
                      <w:b/>
                      <w:bCs/>
                      <w:sz w:val="21"/>
                      <w:szCs w:val="21"/>
                      <w:vertAlign w:val="superscript"/>
                    </w:rPr>
                    <w:t>3</w:t>
                  </w:r>
                </w:p>
              </w:tc>
              <w:tc>
                <w:tcPr>
                  <w:tcW w:w="914" w:type="dxa"/>
                  <w:shd w:val="clear" w:color="auto" w:fill="auto"/>
                  <w:noWrap w:val="0"/>
                  <w:vAlign w:val="center"/>
                </w:tcPr>
                <w:p w14:paraId="4983F47B">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ascii="Times New Roman" w:hAnsi="Times New Roman"/>
                      <w:b/>
                      <w:bCs/>
                      <w:sz w:val="21"/>
                      <w:szCs w:val="21"/>
                    </w:rPr>
                    <w:t>涂层厚度/μm</w:t>
                  </w:r>
                </w:p>
              </w:tc>
              <w:tc>
                <w:tcPr>
                  <w:tcW w:w="1279" w:type="dxa"/>
                  <w:shd w:val="clear" w:color="auto" w:fill="auto"/>
                  <w:noWrap w:val="0"/>
                  <w:vAlign w:val="center"/>
                </w:tcPr>
                <w:p w14:paraId="1AB62E26">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ascii="Times New Roman" w:hAnsi="Times New Roman"/>
                      <w:b/>
                      <w:bCs/>
                      <w:sz w:val="21"/>
                      <w:szCs w:val="21"/>
                    </w:rPr>
                    <w:t>涂装面积/m</w:t>
                  </w:r>
                  <w:r>
                    <w:rPr>
                      <w:rFonts w:ascii="Times New Roman" w:hAnsi="Times New Roman"/>
                      <w:b/>
                      <w:bCs/>
                      <w:sz w:val="21"/>
                      <w:szCs w:val="21"/>
                      <w:vertAlign w:val="superscript"/>
                    </w:rPr>
                    <w:t>2</w:t>
                  </w:r>
                </w:p>
              </w:tc>
              <w:tc>
                <w:tcPr>
                  <w:tcW w:w="1172" w:type="dxa"/>
                  <w:shd w:val="clear" w:color="auto" w:fill="auto"/>
                  <w:noWrap w:val="0"/>
                  <w:vAlign w:val="center"/>
                </w:tcPr>
                <w:p w14:paraId="33A9B564">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ascii="Times New Roman" w:hAnsi="Times New Roman"/>
                      <w:b/>
                      <w:bCs/>
                      <w:sz w:val="21"/>
                      <w:szCs w:val="21"/>
                    </w:rPr>
                    <w:t>固体份含量占比/%</w:t>
                  </w:r>
                </w:p>
              </w:tc>
              <w:tc>
                <w:tcPr>
                  <w:tcW w:w="814" w:type="dxa"/>
                  <w:shd w:val="clear" w:color="auto" w:fill="auto"/>
                  <w:noWrap w:val="0"/>
                  <w:vAlign w:val="center"/>
                </w:tcPr>
                <w:p w14:paraId="70953DE2">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hint="eastAsia" w:ascii="Times New Roman" w:hAnsi="Times New Roman"/>
                      <w:b/>
                      <w:bCs/>
                      <w:sz w:val="21"/>
                      <w:szCs w:val="21"/>
                    </w:rPr>
                    <w:t>上漆率/</w:t>
                  </w:r>
                  <w:r>
                    <w:rPr>
                      <w:rFonts w:ascii="Times New Roman" w:hAnsi="Times New Roman"/>
                      <w:b/>
                      <w:bCs/>
                      <w:sz w:val="21"/>
                      <w:szCs w:val="21"/>
                    </w:rPr>
                    <w:t>%</w:t>
                  </w:r>
                </w:p>
              </w:tc>
              <w:tc>
                <w:tcPr>
                  <w:tcW w:w="978" w:type="dxa"/>
                  <w:shd w:val="clear" w:color="auto" w:fill="auto"/>
                  <w:noWrap w:val="0"/>
                  <w:vAlign w:val="center"/>
                </w:tcPr>
                <w:p w14:paraId="1114C700">
                  <w:pPr>
                    <w:pStyle w:val="23"/>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rPr>
                      <w:rFonts w:ascii="Times New Roman" w:hAnsi="Times New Roman"/>
                      <w:b/>
                      <w:bCs/>
                      <w:sz w:val="21"/>
                      <w:szCs w:val="21"/>
                    </w:rPr>
                  </w:pPr>
                  <w:r>
                    <w:rPr>
                      <w:rFonts w:hint="eastAsia" w:ascii="Times New Roman" w:hAnsi="Times New Roman"/>
                      <w:b/>
                      <w:bCs/>
                      <w:sz w:val="21"/>
                      <w:szCs w:val="21"/>
                    </w:rPr>
                    <w:t>油漆用量/t/a</w:t>
                  </w:r>
                </w:p>
              </w:tc>
            </w:tr>
            <w:tr w14:paraId="62B4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shd w:val="clear" w:color="auto" w:fill="auto"/>
                  <w:noWrap w:val="0"/>
                  <w:vAlign w:val="center"/>
                </w:tcPr>
                <w:p w14:paraId="7781B494">
                  <w:pPr>
                    <w:keepNext w:val="0"/>
                    <w:keepLines w:val="0"/>
                    <w:widowControl/>
                    <w:suppressLineNumbers w:val="0"/>
                    <w:jc w:val="center"/>
                    <w:textAlignment w:val="center"/>
                    <w:rPr>
                      <w:rFonts w:ascii="Times New Roman" w:hAnsi="Times New Roman"/>
                      <w:sz w:val="21"/>
                      <w:szCs w:val="21"/>
                    </w:rPr>
                  </w:pPr>
                  <w:r>
                    <w:rPr>
                      <w:rFonts w:hint="eastAsia"/>
                      <w:szCs w:val="21"/>
                      <w:lang w:val="en-US" w:eastAsia="zh-CN"/>
                    </w:rPr>
                    <w:t>喷漆件</w:t>
                  </w:r>
                </w:p>
              </w:tc>
              <w:tc>
                <w:tcPr>
                  <w:tcW w:w="1036" w:type="dxa"/>
                  <w:shd w:val="clear" w:color="auto" w:fill="auto"/>
                  <w:noWrap w:val="0"/>
                  <w:vAlign w:val="center"/>
                </w:tcPr>
                <w:p w14:paraId="11306E2B">
                  <w:pPr>
                    <w:keepNext w:val="0"/>
                    <w:keepLines w:val="0"/>
                    <w:widowControl/>
                    <w:suppressLineNumbers w:val="0"/>
                    <w:jc w:val="center"/>
                    <w:textAlignment w:val="center"/>
                    <w:rPr>
                      <w:rFonts w:ascii="Times New Roman" w:hAnsi="Times New Roman"/>
                      <w:sz w:val="21"/>
                      <w:szCs w:val="21"/>
                    </w:rPr>
                  </w:pPr>
                  <w:r>
                    <w:rPr>
                      <w:rFonts w:hint="eastAsia"/>
                      <w:kern w:val="0"/>
                      <w:szCs w:val="21"/>
                      <w:lang w:bidi="ar"/>
                    </w:rPr>
                    <w:t>水性环氧底漆</w:t>
                  </w:r>
                </w:p>
              </w:tc>
              <w:tc>
                <w:tcPr>
                  <w:tcW w:w="1010" w:type="dxa"/>
                  <w:shd w:val="clear" w:color="auto" w:fill="auto"/>
                  <w:noWrap w:val="0"/>
                  <w:vAlign w:val="center"/>
                </w:tcPr>
                <w:p w14:paraId="3234DF2A">
                  <w:pPr>
                    <w:pStyle w:val="23"/>
                    <w:spacing w:before="0" w:after="0"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2.15</w:t>
                  </w:r>
                </w:p>
              </w:tc>
              <w:tc>
                <w:tcPr>
                  <w:tcW w:w="914" w:type="dxa"/>
                  <w:shd w:val="clear" w:color="auto" w:fill="auto"/>
                  <w:noWrap w:val="0"/>
                  <w:vAlign w:val="center"/>
                </w:tcPr>
                <w:p w14:paraId="44045F00">
                  <w:pPr>
                    <w:pStyle w:val="23"/>
                    <w:spacing w:before="0" w:after="0" w:line="240" w:lineRule="auto"/>
                    <w:ind w:firstLine="0" w:firstLineChars="0"/>
                    <w:jc w:val="center"/>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0</w:t>
                  </w:r>
                </w:p>
              </w:tc>
              <w:tc>
                <w:tcPr>
                  <w:tcW w:w="1279" w:type="dxa"/>
                  <w:shd w:val="clear" w:color="auto" w:fill="auto"/>
                  <w:noWrap w:val="0"/>
                  <w:vAlign w:val="center"/>
                </w:tcPr>
                <w:p w14:paraId="71FB0F4D">
                  <w:pPr>
                    <w:pStyle w:val="23"/>
                    <w:spacing w:before="0" w:after="0"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11024</w:t>
                  </w:r>
                </w:p>
              </w:tc>
              <w:tc>
                <w:tcPr>
                  <w:tcW w:w="1172" w:type="dxa"/>
                  <w:shd w:val="clear" w:color="auto" w:fill="auto"/>
                  <w:noWrap w:val="0"/>
                  <w:vAlign w:val="center"/>
                </w:tcPr>
                <w:p w14:paraId="1AC2348A">
                  <w:pPr>
                    <w:pStyle w:val="23"/>
                    <w:spacing w:before="0" w:after="0"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54</w:t>
                  </w:r>
                </w:p>
              </w:tc>
              <w:tc>
                <w:tcPr>
                  <w:tcW w:w="814" w:type="dxa"/>
                  <w:shd w:val="clear" w:color="auto" w:fill="auto"/>
                  <w:noWrap w:val="0"/>
                  <w:vAlign w:val="center"/>
                </w:tcPr>
                <w:p w14:paraId="3F2BDEF1">
                  <w:pPr>
                    <w:pStyle w:val="23"/>
                    <w:spacing w:before="0" w:after="0" w:line="240" w:lineRule="auto"/>
                    <w:ind w:firstLine="0" w:firstLineChars="0"/>
                    <w:jc w:val="center"/>
                    <w:rPr>
                      <w:rFonts w:ascii="Times New Roman" w:hAnsi="Times New Roman"/>
                      <w:sz w:val="21"/>
                      <w:szCs w:val="21"/>
                    </w:rPr>
                  </w:pPr>
                  <w:r>
                    <w:rPr>
                      <w:rFonts w:hint="eastAsia" w:ascii="Times New Roman" w:hAnsi="Times New Roman"/>
                      <w:sz w:val="21"/>
                      <w:szCs w:val="21"/>
                    </w:rPr>
                    <w:t>7</w:t>
                  </w:r>
                  <w:r>
                    <w:rPr>
                      <w:rFonts w:ascii="Times New Roman" w:hAnsi="Times New Roman"/>
                      <w:sz w:val="21"/>
                      <w:szCs w:val="21"/>
                    </w:rPr>
                    <w:t>0</w:t>
                  </w:r>
                </w:p>
              </w:tc>
              <w:tc>
                <w:tcPr>
                  <w:tcW w:w="978" w:type="dxa"/>
                  <w:shd w:val="clear" w:color="auto" w:fill="auto"/>
                  <w:noWrap w:val="0"/>
                  <w:vAlign w:val="center"/>
                </w:tcPr>
                <w:p w14:paraId="2EE5CF68">
                  <w:pPr>
                    <w:pStyle w:val="23"/>
                    <w:spacing w:before="0" w:after="0" w:line="240" w:lineRule="auto"/>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2.34</w:t>
                  </w:r>
                </w:p>
              </w:tc>
            </w:tr>
            <w:tr w14:paraId="34EB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shd w:val="clear" w:color="auto" w:fill="auto"/>
                  <w:noWrap w:val="0"/>
                  <w:vAlign w:val="center"/>
                </w:tcPr>
                <w:p w14:paraId="718177B4">
                  <w:pPr>
                    <w:keepNext w:val="0"/>
                    <w:keepLines w:val="0"/>
                    <w:widowControl/>
                    <w:suppressLineNumbers w:val="0"/>
                    <w:jc w:val="center"/>
                    <w:textAlignment w:val="center"/>
                    <w:rPr>
                      <w:rFonts w:hint="default" w:eastAsia="宋体"/>
                      <w:szCs w:val="21"/>
                      <w:lang w:val="en-US" w:eastAsia="zh-CN"/>
                    </w:rPr>
                  </w:pPr>
                  <w:r>
                    <w:rPr>
                      <w:rFonts w:hint="eastAsia"/>
                      <w:szCs w:val="21"/>
                      <w:lang w:val="en-US" w:eastAsia="zh-CN"/>
                    </w:rPr>
                    <w:t>钝化封闭件</w:t>
                  </w:r>
                </w:p>
              </w:tc>
              <w:tc>
                <w:tcPr>
                  <w:tcW w:w="1036" w:type="dxa"/>
                  <w:shd w:val="clear" w:color="auto" w:fill="auto"/>
                  <w:noWrap w:val="0"/>
                  <w:vAlign w:val="center"/>
                </w:tcPr>
                <w:p w14:paraId="32BEC03E">
                  <w:pPr>
                    <w:keepNext w:val="0"/>
                    <w:keepLines w:val="0"/>
                    <w:widowControl/>
                    <w:suppressLineNumbers w:val="0"/>
                    <w:jc w:val="center"/>
                    <w:textAlignment w:val="center"/>
                    <w:rPr>
                      <w:rFonts w:hint="eastAsia"/>
                      <w:kern w:val="0"/>
                      <w:szCs w:val="21"/>
                      <w:lang w:bidi="ar"/>
                    </w:rPr>
                  </w:pPr>
                  <w:r>
                    <w:rPr>
                      <w:rFonts w:hint="eastAsia"/>
                      <w:kern w:val="0"/>
                      <w:szCs w:val="21"/>
                      <w:lang w:bidi="ar"/>
                    </w:rPr>
                    <w:t>水性环氧底漆</w:t>
                  </w:r>
                </w:p>
              </w:tc>
              <w:tc>
                <w:tcPr>
                  <w:tcW w:w="1010" w:type="dxa"/>
                  <w:shd w:val="clear" w:color="auto" w:fill="auto"/>
                  <w:noWrap w:val="0"/>
                  <w:vAlign w:val="center"/>
                </w:tcPr>
                <w:p w14:paraId="36D5CBD3">
                  <w:pPr>
                    <w:pStyle w:val="23"/>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2.15</w:t>
                  </w:r>
                </w:p>
              </w:tc>
              <w:tc>
                <w:tcPr>
                  <w:tcW w:w="914" w:type="dxa"/>
                  <w:shd w:val="clear" w:color="auto" w:fill="auto"/>
                  <w:noWrap w:val="0"/>
                  <w:vAlign w:val="center"/>
                </w:tcPr>
                <w:p w14:paraId="390FF872">
                  <w:pPr>
                    <w:pStyle w:val="23"/>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3</w:t>
                  </w:r>
                  <w:r>
                    <w:rPr>
                      <w:rFonts w:ascii="Times New Roman" w:hAnsi="Times New Roman"/>
                      <w:sz w:val="21"/>
                      <w:szCs w:val="21"/>
                    </w:rPr>
                    <w:t>0</w:t>
                  </w:r>
                </w:p>
              </w:tc>
              <w:tc>
                <w:tcPr>
                  <w:tcW w:w="1279" w:type="dxa"/>
                  <w:shd w:val="clear" w:color="auto" w:fill="auto"/>
                  <w:noWrap w:val="0"/>
                  <w:vAlign w:val="center"/>
                </w:tcPr>
                <w:p w14:paraId="1B06396D">
                  <w:pPr>
                    <w:pStyle w:val="23"/>
                    <w:spacing w:before="0" w:after="0" w:line="240" w:lineRule="auto"/>
                    <w:ind w:firstLine="0" w:firstLine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29250</w:t>
                  </w:r>
                </w:p>
              </w:tc>
              <w:tc>
                <w:tcPr>
                  <w:tcW w:w="1172" w:type="dxa"/>
                  <w:shd w:val="clear" w:color="auto" w:fill="auto"/>
                  <w:noWrap w:val="0"/>
                  <w:vAlign w:val="center"/>
                </w:tcPr>
                <w:p w14:paraId="4D8057E6">
                  <w:pPr>
                    <w:pStyle w:val="23"/>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54</w:t>
                  </w:r>
                </w:p>
              </w:tc>
              <w:tc>
                <w:tcPr>
                  <w:tcW w:w="814" w:type="dxa"/>
                  <w:shd w:val="clear" w:color="auto" w:fill="auto"/>
                  <w:noWrap w:val="0"/>
                  <w:vAlign w:val="center"/>
                </w:tcPr>
                <w:p w14:paraId="4A915E0C">
                  <w:pPr>
                    <w:pStyle w:val="23"/>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7</w:t>
                  </w:r>
                  <w:r>
                    <w:rPr>
                      <w:rFonts w:ascii="Times New Roman" w:hAnsi="Times New Roman"/>
                      <w:sz w:val="21"/>
                      <w:szCs w:val="21"/>
                    </w:rPr>
                    <w:t>0</w:t>
                  </w:r>
                </w:p>
              </w:tc>
              <w:tc>
                <w:tcPr>
                  <w:tcW w:w="978" w:type="dxa"/>
                  <w:shd w:val="clear" w:color="auto" w:fill="auto"/>
                  <w:noWrap w:val="0"/>
                  <w:vAlign w:val="center"/>
                </w:tcPr>
                <w:p w14:paraId="3AC925DC">
                  <w:pPr>
                    <w:pStyle w:val="23"/>
                    <w:spacing w:before="0" w:after="0" w:line="240" w:lineRule="auto"/>
                    <w:ind w:firstLine="0" w:firstLine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4.66</w:t>
                  </w:r>
                </w:p>
              </w:tc>
            </w:tr>
          </w:tbl>
          <w:p w14:paraId="7C837E79">
            <w:pPr>
              <w:numPr>
                <w:ilvl w:val="0"/>
                <w:numId w:val="0"/>
              </w:numPr>
              <w:bidi w:val="0"/>
              <w:ind w:leftChars="0"/>
              <w:rPr>
                <w:rFonts w:hint="eastAsia" w:ascii="Times New Roman" w:hAnsi="Times New Roman"/>
                <w:sz w:val="21"/>
                <w:szCs w:val="21"/>
                <w:vertAlign w:val="baseline"/>
                <w:lang w:val="en-US" w:eastAsia="zh-CN"/>
              </w:rPr>
            </w:pPr>
            <w:r>
              <w:rPr>
                <w:rFonts w:hint="eastAsia"/>
                <w:lang w:val="en-US" w:eastAsia="zh-CN"/>
              </w:rPr>
              <w:t>注：根据企业提供的资料，每吨</w:t>
            </w:r>
            <w:r>
              <w:rPr>
                <w:rFonts w:hint="eastAsia"/>
                <w:szCs w:val="21"/>
              </w:rPr>
              <w:t>铁路混凝土箱型梁预埋件</w:t>
            </w:r>
            <w:r>
              <w:rPr>
                <w:rFonts w:hint="eastAsia"/>
                <w:szCs w:val="21"/>
                <w:lang w:val="en-US" w:eastAsia="zh-CN"/>
              </w:rPr>
              <w:t>喷漆件需要喷涂约8.48m</w:t>
            </w:r>
            <w:r>
              <w:rPr>
                <w:rFonts w:hint="eastAsia"/>
                <w:szCs w:val="21"/>
                <w:vertAlign w:val="superscript"/>
                <w:lang w:val="en-US" w:eastAsia="zh-CN"/>
              </w:rPr>
              <w:t>2</w:t>
            </w:r>
            <w:r>
              <w:rPr>
                <w:rFonts w:hint="eastAsia"/>
                <w:szCs w:val="21"/>
                <w:lang w:val="en-US" w:eastAsia="zh-CN"/>
              </w:rPr>
              <w:t>面积的底漆，每年有1300t的产品需要进行喷涂，故</w:t>
            </w:r>
            <w:r>
              <w:rPr>
                <w:rFonts w:hint="eastAsia" w:ascii="Times New Roman" w:hAnsi="Times New Roman"/>
                <w:sz w:val="21"/>
                <w:szCs w:val="21"/>
              </w:rPr>
              <w:t>可明确底漆的涂装面积为</w:t>
            </w:r>
            <w:r>
              <w:rPr>
                <w:rFonts w:hint="eastAsia" w:ascii="Times New Roman" w:hAnsi="Times New Roman"/>
                <w:sz w:val="21"/>
                <w:szCs w:val="21"/>
                <w:lang w:val="en-US" w:eastAsia="zh-CN"/>
              </w:rPr>
              <w:t>11024</w:t>
            </w:r>
            <w:r>
              <w:rPr>
                <w:rFonts w:ascii="Times New Roman" w:hAnsi="Times New Roman"/>
                <w:sz w:val="21"/>
                <w:szCs w:val="21"/>
              </w:rPr>
              <w:t>m</w:t>
            </w:r>
            <w:r>
              <w:rPr>
                <w:rFonts w:ascii="Times New Roman" w:hAnsi="Times New Roman"/>
                <w:sz w:val="21"/>
                <w:szCs w:val="21"/>
                <w:vertAlign w:val="superscript"/>
              </w:rPr>
              <w:t>2</w:t>
            </w:r>
            <w:r>
              <w:rPr>
                <w:rFonts w:hint="eastAsia"/>
                <w:szCs w:val="21"/>
                <w:lang w:val="en-US" w:eastAsia="zh-CN"/>
              </w:rPr>
              <w:t>；</w:t>
            </w:r>
            <w:r>
              <w:rPr>
                <w:rFonts w:hint="eastAsia"/>
                <w:lang w:val="en-US" w:eastAsia="zh-CN"/>
              </w:rPr>
              <w:t>每吨</w:t>
            </w:r>
            <w:r>
              <w:rPr>
                <w:rFonts w:hint="eastAsia"/>
                <w:szCs w:val="21"/>
              </w:rPr>
              <w:t>铁路混凝土箱型梁预埋件</w:t>
            </w:r>
            <w:r>
              <w:rPr>
                <w:rFonts w:hint="eastAsia"/>
                <w:szCs w:val="21"/>
                <w:lang w:val="en-US" w:eastAsia="zh-CN"/>
              </w:rPr>
              <w:t>钝化封闭件需要喷涂约11.25m</w:t>
            </w:r>
            <w:r>
              <w:rPr>
                <w:rFonts w:hint="eastAsia"/>
                <w:szCs w:val="21"/>
                <w:vertAlign w:val="superscript"/>
                <w:lang w:val="en-US" w:eastAsia="zh-CN"/>
              </w:rPr>
              <w:t>2</w:t>
            </w:r>
            <w:r>
              <w:rPr>
                <w:rFonts w:hint="eastAsia"/>
                <w:szCs w:val="21"/>
                <w:lang w:val="en-US" w:eastAsia="zh-CN"/>
              </w:rPr>
              <w:t>面积的底漆，每年有2600t的产品需要进行喷涂，故</w:t>
            </w:r>
            <w:r>
              <w:rPr>
                <w:rFonts w:hint="eastAsia" w:ascii="Times New Roman" w:hAnsi="Times New Roman"/>
                <w:sz w:val="21"/>
                <w:szCs w:val="21"/>
              </w:rPr>
              <w:t>可明确底漆的涂装面积为</w:t>
            </w:r>
            <w:r>
              <w:rPr>
                <w:rFonts w:hint="eastAsia" w:ascii="Times New Roman" w:hAnsi="Times New Roman"/>
                <w:sz w:val="21"/>
                <w:szCs w:val="21"/>
                <w:lang w:val="en-US" w:eastAsia="zh-CN"/>
              </w:rPr>
              <w:t>29250</w:t>
            </w:r>
            <w:r>
              <w:rPr>
                <w:rFonts w:ascii="Times New Roman" w:hAnsi="Times New Roman"/>
                <w:sz w:val="21"/>
                <w:szCs w:val="21"/>
              </w:rPr>
              <w:t>m</w:t>
            </w:r>
            <w:r>
              <w:rPr>
                <w:rFonts w:ascii="Times New Roman" w:hAnsi="Times New Roman"/>
                <w:sz w:val="21"/>
                <w:szCs w:val="21"/>
                <w:vertAlign w:val="superscript"/>
              </w:rPr>
              <w:t>2</w:t>
            </w:r>
            <w:r>
              <w:rPr>
                <w:rFonts w:hint="eastAsia" w:ascii="Times New Roman" w:hAnsi="Times New Roman"/>
                <w:sz w:val="21"/>
                <w:szCs w:val="21"/>
                <w:vertAlign w:val="baseline"/>
                <w:lang w:val="en-US" w:eastAsia="zh-CN"/>
              </w:rPr>
              <w:t>。</w:t>
            </w:r>
          </w:p>
          <w:p w14:paraId="54C985C7">
            <w:pPr>
              <w:pStyle w:val="52"/>
              <w:adjustRightInd w:val="0"/>
              <w:spacing w:line="360" w:lineRule="auto"/>
              <w:ind w:firstLine="482" w:firstLineChars="200"/>
              <w:jc w:val="both"/>
              <w:rPr>
                <w:rFonts w:hint="eastAsia"/>
                <w:lang w:val="en-US" w:eastAsia="zh-CN"/>
              </w:rPr>
            </w:pPr>
            <w:r>
              <w:rPr>
                <w:rFonts w:hint="eastAsia" w:ascii="Times New Roman" w:hAnsi="Times New Roman" w:cs="Times New Roman"/>
                <w:szCs w:val="24"/>
              </w:rPr>
              <w:t>2.</w:t>
            </w:r>
            <w:r>
              <w:rPr>
                <w:rFonts w:hint="eastAsia" w:ascii="Times New Roman" w:hAnsi="Times New Roman" w:cs="Times New Roman"/>
                <w:szCs w:val="24"/>
                <w:lang w:val="en-US" w:eastAsia="zh-CN"/>
              </w:rPr>
              <w:t>6</w:t>
            </w:r>
            <w:r>
              <w:rPr>
                <w:rFonts w:hint="eastAsia" w:ascii="Times New Roman" w:hAnsi="Times New Roman" w:cs="Times New Roman"/>
                <w:szCs w:val="24"/>
              </w:rPr>
              <w:t>主要原辅料及用量</w:t>
            </w:r>
          </w:p>
          <w:p w14:paraId="4C11F070">
            <w:pPr>
              <w:widowControl/>
              <w:numPr>
                <w:ilvl w:val="0"/>
                <w:numId w:val="2"/>
              </w:numPr>
              <w:jc w:val="center"/>
              <w:rPr>
                <w:b/>
                <w:kern w:val="0"/>
                <w:szCs w:val="21"/>
              </w:rPr>
            </w:pPr>
            <w:r>
              <w:rPr>
                <w:b/>
                <w:kern w:val="0"/>
                <w:szCs w:val="21"/>
              </w:rPr>
              <w:t>原辅料使用情况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90"/>
              <w:gridCol w:w="1353"/>
              <w:gridCol w:w="2389"/>
              <w:gridCol w:w="1335"/>
              <w:gridCol w:w="941"/>
              <w:gridCol w:w="810"/>
              <w:gridCol w:w="480"/>
            </w:tblGrid>
            <w:tr w14:paraId="6F79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16F5B1E6">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b/>
                      <w:bCs/>
                      <w:kern w:val="0"/>
                      <w:sz w:val="21"/>
                      <w:szCs w:val="21"/>
                      <w:lang w:bidi="ar"/>
                    </w:rPr>
                    <w:t>序号</w:t>
                  </w:r>
                </w:p>
              </w:tc>
              <w:tc>
                <w:tcPr>
                  <w:tcW w:w="1843" w:type="dxa"/>
                  <w:gridSpan w:val="2"/>
                  <w:noWrap w:val="0"/>
                  <w:vAlign w:val="center"/>
                </w:tcPr>
                <w:p w14:paraId="67FE100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b/>
                      <w:bCs/>
                      <w:kern w:val="0"/>
                      <w:sz w:val="21"/>
                      <w:szCs w:val="21"/>
                      <w:lang w:bidi="ar"/>
                    </w:rPr>
                    <w:t>名称</w:t>
                  </w:r>
                </w:p>
              </w:tc>
              <w:tc>
                <w:tcPr>
                  <w:tcW w:w="2389" w:type="dxa"/>
                  <w:noWrap w:val="0"/>
                  <w:vAlign w:val="center"/>
                </w:tcPr>
                <w:p w14:paraId="7C72D0EE">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rFonts w:hint="eastAsia"/>
                      <w:b/>
                      <w:bCs/>
                      <w:kern w:val="0"/>
                      <w:sz w:val="21"/>
                      <w:szCs w:val="21"/>
                      <w:lang w:bidi="ar"/>
                    </w:rPr>
                    <w:t>成分</w:t>
                  </w:r>
                </w:p>
              </w:tc>
              <w:tc>
                <w:tcPr>
                  <w:tcW w:w="1335" w:type="dxa"/>
                  <w:noWrap w:val="0"/>
                  <w:vAlign w:val="center"/>
                </w:tcPr>
                <w:p w14:paraId="75B085FC">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b/>
                      <w:bCs/>
                      <w:kern w:val="0"/>
                      <w:sz w:val="21"/>
                      <w:szCs w:val="21"/>
                      <w:lang w:bidi="ar"/>
                    </w:rPr>
                    <w:t>年消耗量</w:t>
                  </w:r>
                </w:p>
              </w:tc>
              <w:tc>
                <w:tcPr>
                  <w:tcW w:w="941" w:type="dxa"/>
                  <w:noWrap w:val="0"/>
                  <w:vAlign w:val="center"/>
                </w:tcPr>
                <w:p w14:paraId="6F5E5938">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b/>
                      <w:bCs/>
                      <w:kern w:val="0"/>
                      <w:sz w:val="21"/>
                      <w:szCs w:val="21"/>
                      <w:lang w:bidi="ar"/>
                    </w:rPr>
                    <w:t>单位</w:t>
                  </w:r>
                </w:p>
              </w:tc>
              <w:tc>
                <w:tcPr>
                  <w:tcW w:w="810" w:type="dxa"/>
                  <w:noWrap w:val="0"/>
                  <w:vAlign w:val="center"/>
                </w:tcPr>
                <w:p w14:paraId="6556F723">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rFonts w:hint="eastAsia"/>
                      <w:b/>
                      <w:bCs/>
                      <w:kern w:val="0"/>
                      <w:sz w:val="21"/>
                      <w:szCs w:val="21"/>
                      <w:lang w:bidi="ar"/>
                    </w:rPr>
                    <w:t>物理状态</w:t>
                  </w:r>
                </w:p>
              </w:tc>
              <w:tc>
                <w:tcPr>
                  <w:tcW w:w="480" w:type="dxa"/>
                  <w:noWrap w:val="0"/>
                  <w:vAlign w:val="center"/>
                </w:tcPr>
                <w:p w14:paraId="04FF69B5">
                  <w:pPr>
                    <w:keepNext w:val="0"/>
                    <w:keepLines w:val="0"/>
                    <w:pageBreakBefore w:val="0"/>
                    <w:widowControl/>
                    <w:kinsoku/>
                    <w:wordWrap/>
                    <w:overflowPunct/>
                    <w:topLinePunct w:val="0"/>
                    <w:autoSpaceDE/>
                    <w:autoSpaceDN/>
                    <w:bidi w:val="0"/>
                    <w:adjustRightInd/>
                    <w:snapToGrid/>
                    <w:jc w:val="center"/>
                    <w:textAlignment w:val="center"/>
                    <w:rPr>
                      <w:b/>
                      <w:bCs/>
                      <w:kern w:val="0"/>
                      <w:sz w:val="21"/>
                      <w:szCs w:val="21"/>
                      <w:lang w:bidi="ar"/>
                    </w:rPr>
                  </w:pPr>
                  <w:r>
                    <w:rPr>
                      <w:rFonts w:hint="eastAsia"/>
                      <w:b/>
                      <w:bCs/>
                      <w:kern w:val="0"/>
                      <w:sz w:val="21"/>
                      <w:szCs w:val="21"/>
                      <w:lang w:bidi="ar"/>
                    </w:rPr>
                    <w:t>存储位置</w:t>
                  </w:r>
                </w:p>
              </w:tc>
            </w:tr>
            <w:tr w14:paraId="61D3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7760B17A">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1</w:t>
                  </w:r>
                </w:p>
              </w:tc>
              <w:tc>
                <w:tcPr>
                  <w:tcW w:w="490" w:type="dxa"/>
                  <w:noWrap w:val="0"/>
                  <w:vAlign w:val="center"/>
                </w:tcPr>
                <w:p w14:paraId="6D28E3C9">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原料</w:t>
                  </w:r>
                </w:p>
              </w:tc>
              <w:tc>
                <w:tcPr>
                  <w:tcW w:w="1353" w:type="dxa"/>
                  <w:noWrap w:val="0"/>
                  <w:vAlign w:val="center"/>
                </w:tcPr>
                <w:p w14:paraId="21AC9618">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钢板</w:t>
                  </w:r>
                </w:p>
              </w:tc>
              <w:tc>
                <w:tcPr>
                  <w:tcW w:w="2389" w:type="dxa"/>
                  <w:tcBorders>
                    <w:top w:val="nil"/>
                  </w:tcBorders>
                  <w:noWrap w:val="0"/>
                  <w:vAlign w:val="center"/>
                </w:tcPr>
                <w:p w14:paraId="0BB5BF28">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C：2.2%</w:t>
                  </w:r>
                </w:p>
                <w:p w14:paraId="4BC4256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Si：4%</w:t>
                  </w:r>
                </w:p>
                <w:p w14:paraId="0D358F9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Mn：21%</w:t>
                  </w:r>
                </w:p>
                <w:p w14:paraId="467D9067">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Fe</w:t>
                  </w:r>
                  <w:r>
                    <w:rPr>
                      <w:kern w:val="0"/>
                      <w:sz w:val="21"/>
                      <w:szCs w:val="21"/>
                      <w:lang w:bidi="ar"/>
                    </w:rPr>
                    <w:t>：33%</w:t>
                  </w:r>
                </w:p>
                <w:p w14:paraId="465A4392">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P</w:t>
                  </w:r>
                  <w:r>
                    <w:rPr>
                      <w:kern w:val="0"/>
                      <w:sz w:val="21"/>
                      <w:szCs w:val="21"/>
                      <w:lang w:bidi="ar"/>
                    </w:rPr>
                    <w:t>：</w:t>
                  </w:r>
                  <w:r>
                    <w:rPr>
                      <w:rFonts w:hint="eastAsia"/>
                      <w:kern w:val="0"/>
                      <w:sz w:val="21"/>
                      <w:szCs w:val="21"/>
                      <w:lang w:bidi="ar"/>
                    </w:rPr>
                    <w:t>9%</w:t>
                  </w:r>
                </w:p>
                <w:p w14:paraId="6E76377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S</w:t>
                  </w:r>
                  <w:r>
                    <w:rPr>
                      <w:kern w:val="0"/>
                      <w:sz w:val="21"/>
                      <w:szCs w:val="21"/>
                      <w:lang w:bidi="ar"/>
                    </w:rPr>
                    <w:t>：</w:t>
                  </w:r>
                  <w:r>
                    <w:rPr>
                      <w:rFonts w:hint="eastAsia"/>
                      <w:kern w:val="0"/>
                      <w:sz w:val="21"/>
                      <w:szCs w:val="21"/>
                      <w:lang w:bidi="ar"/>
                    </w:rPr>
                    <w:t>7.2</w:t>
                  </w:r>
                  <w:r>
                    <w:rPr>
                      <w:kern w:val="0"/>
                      <w:sz w:val="21"/>
                      <w:szCs w:val="21"/>
                      <w:lang w:bidi="ar"/>
                    </w:rPr>
                    <w:t>%</w:t>
                  </w:r>
                </w:p>
                <w:p w14:paraId="51BC554B">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N</w:t>
                  </w:r>
                  <w:r>
                    <w:rPr>
                      <w:kern w:val="0"/>
                      <w:sz w:val="21"/>
                      <w:szCs w:val="21"/>
                      <w:lang w:bidi="ar"/>
                    </w:rPr>
                    <w:t>：</w:t>
                  </w:r>
                  <w:r>
                    <w:rPr>
                      <w:rFonts w:hint="eastAsia"/>
                      <w:kern w:val="0"/>
                      <w:sz w:val="21"/>
                      <w:szCs w:val="21"/>
                      <w:lang w:bidi="ar"/>
                    </w:rPr>
                    <w:t>15</w:t>
                  </w:r>
                  <w:r>
                    <w:rPr>
                      <w:kern w:val="0"/>
                      <w:sz w:val="21"/>
                      <w:szCs w:val="21"/>
                      <w:lang w:bidi="ar"/>
                    </w:rPr>
                    <w:t>%</w:t>
                  </w:r>
                </w:p>
                <w:p w14:paraId="43EFB456">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其他</w:t>
                  </w:r>
                  <w:r>
                    <w:rPr>
                      <w:kern w:val="0"/>
                      <w:sz w:val="21"/>
                      <w:szCs w:val="21"/>
                      <w:lang w:bidi="ar"/>
                    </w:rPr>
                    <w:t>：</w:t>
                  </w:r>
                  <w:r>
                    <w:rPr>
                      <w:rFonts w:hint="eastAsia"/>
                      <w:kern w:val="0"/>
                      <w:sz w:val="21"/>
                      <w:szCs w:val="21"/>
                      <w:lang w:bidi="ar"/>
                    </w:rPr>
                    <w:t>8.6</w:t>
                  </w:r>
                  <w:r>
                    <w:rPr>
                      <w:kern w:val="0"/>
                      <w:sz w:val="21"/>
                      <w:szCs w:val="21"/>
                      <w:lang w:bidi="ar"/>
                    </w:rPr>
                    <w:t>%</w:t>
                  </w:r>
                </w:p>
              </w:tc>
              <w:tc>
                <w:tcPr>
                  <w:tcW w:w="1335" w:type="dxa"/>
                  <w:tcBorders>
                    <w:top w:val="nil"/>
                    <w:bottom w:val="single" w:color="auto" w:sz="4" w:space="0"/>
                  </w:tcBorders>
                  <w:noWrap w:val="0"/>
                  <w:vAlign w:val="center"/>
                </w:tcPr>
                <w:p w14:paraId="5E5CBF0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7000</w:t>
                  </w:r>
                </w:p>
              </w:tc>
              <w:tc>
                <w:tcPr>
                  <w:tcW w:w="941" w:type="dxa"/>
                  <w:noWrap w:val="0"/>
                  <w:vAlign w:val="center"/>
                </w:tcPr>
                <w:p w14:paraId="26E5786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吨</w:t>
                  </w:r>
                  <w:r>
                    <w:rPr>
                      <w:kern w:val="0"/>
                      <w:sz w:val="21"/>
                      <w:szCs w:val="21"/>
                      <w:lang w:bidi="ar"/>
                    </w:rPr>
                    <w:t>/年</w:t>
                  </w:r>
                </w:p>
              </w:tc>
              <w:tc>
                <w:tcPr>
                  <w:tcW w:w="810" w:type="dxa"/>
                  <w:noWrap w:val="0"/>
                  <w:vAlign w:val="center"/>
                </w:tcPr>
                <w:p w14:paraId="18B2E7DD">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固态</w:t>
                  </w:r>
                </w:p>
              </w:tc>
              <w:tc>
                <w:tcPr>
                  <w:tcW w:w="480" w:type="dxa"/>
                  <w:noWrap w:val="0"/>
                  <w:vAlign w:val="center"/>
                </w:tcPr>
                <w:p w14:paraId="11475FF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原材料库</w:t>
                  </w:r>
                </w:p>
              </w:tc>
            </w:tr>
            <w:tr w14:paraId="232B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1E049390">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2</w:t>
                  </w:r>
                </w:p>
              </w:tc>
              <w:tc>
                <w:tcPr>
                  <w:tcW w:w="490" w:type="dxa"/>
                  <w:vMerge w:val="restart"/>
                  <w:noWrap w:val="0"/>
                  <w:vAlign w:val="center"/>
                </w:tcPr>
                <w:p w14:paraId="58E0687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辅料</w:t>
                  </w:r>
                </w:p>
              </w:tc>
              <w:tc>
                <w:tcPr>
                  <w:tcW w:w="1353" w:type="dxa"/>
                  <w:noWrap w:val="0"/>
                  <w:vAlign w:val="center"/>
                </w:tcPr>
                <w:p w14:paraId="03E2EF3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碳钢</w:t>
                  </w:r>
                  <w:r>
                    <w:rPr>
                      <w:kern w:val="0"/>
                      <w:sz w:val="21"/>
                      <w:szCs w:val="21"/>
                      <w:lang w:bidi="ar"/>
                    </w:rPr>
                    <w:t>焊丝</w:t>
                  </w:r>
                </w:p>
              </w:tc>
              <w:tc>
                <w:tcPr>
                  <w:tcW w:w="2389" w:type="dxa"/>
                  <w:noWrap w:val="0"/>
                  <w:vAlign w:val="center"/>
                </w:tcPr>
                <w:p w14:paraId="6AE82E67">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Fe</w:t>
                  </w:r>
                  <w:r>
                    <w:rPr>
                      <w:kern w:val="0"/>
                      <w:sz w:val="21"/>
                      <w:szCs w:val="21"/>
                      <w:lang w:bidi="ar"/>
                    </w:rPr>
                    <w:t>≥</w:t>
                  </w:r>
                  <w:r>
                    <w:rPr>
                      <w:rFonts w:hint="eastAsia"/>
                      <w:kern w:val="0"/>
                      <w:sz w:val="21"/>
                      <w:szCs w:val="21"/>
                      <w:lang w:bidi="ar"/>
                    </w:rPr>
                    <w:t>95.82%；</w:t>
                  </w:r>
                </w:p>
                <w:p w14:paraId="5EA94F28">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Mn：1.40-1.85%；Si：0.8-1.15%</w:t>
                  </w:r>
                </w:p>
              </w:tc>
              <w:tc>
                <w:tcPr>
                  <w:tcW w:w="1335" w:type="dxa"/>
                  <w:noWrap w:val="0"/>
                  <w:vAlign w:val="center"/>
                </w:tcPr>
                <w:p w14:paraId="478495B0">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14</w:t>
                  </w:r>
                </w:p>
              </w:tc>
              <w:tc>
                <w:tcPr>
                  <w:tcW w:w="941" w:type="dxa"/>
                  <w:noWrap w:val="0"/>
                  <w:vAlign w:val="center"/>
                </w:tcPr>
                <w:p w14:paraId="06A45B6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7136E90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固态</w:t>
                  </w:r>
                </w:p>
              </w:tc>
              <w:tc>
                <w:tcPr>
                  <w:tcW w:w="480" w:type="dxa"/>
                  <w:vMerge w:val="restart"/>
                  <w:noWrap w:val="0"/>
                  <w:vAlign w:val="center"/>
                </w:tcPr>
                <w:p w14:paraId="1BF34ADC">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辅材仓库</w:t>
                  </w:r>
                </w:p>
              </w:tc>
            </w:tr>
            <w:tr w14:paraId="2E5F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38FF2DE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3</w:t>
                  </w:r>
                </w:p>
              </w:tc>
              <w:tc>
                <w:tcPr>
                  <w:tcW w:w="490" w:type="dxa"/>
                  <w:vMerge w:val="continue"/>
                  <w:noWrap w:val="0"/>
                  <w:vAlign w:val="center"/>
                </w:tcPr>
                <w:p w14:paraId="03E375B6">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21C660DA">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二氧化碳</w:t>
                  </w:r>
                </w:p>
              </w:tc>
              <w:tc>
                <w:tcPr>
                  <w:tcW w:w="2389" w:type="dxa"/>
                  <w:noWrap w:val="0"/>
                  <w:vAlign w:val="center"/>
                </w:tcPr>
                <w:p w14:paraId="076F608E">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二氧化碳</w:t>
                  </w:r>
                </w:p>
              </w:tc>
              <w:tc>
                <w:tcPr>
                  <w:tcW w:w="1335" w:type="dxa"/>
                  <w:noWrap w:val="0"/>
                  <w:vAlign w:val="center"/>
                </w:tcPr>
                <w:p w14:paraId="0DFF790B">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112</w:t>
                  </w:r>
                </w:p>
              </w:tc>
              <w:tc>
                <w:tcPr>
                  <w:tcW w:w="941" w:type="dxa"/>
                  <w:noWrap w:val="0"/>
                  <w:vAlign w:val="center"/>
                </w:tcPr>
                <w:p w14:paraId="2970E06D">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m</w:t>
                  </w:r>
                  <w:r>
                    <w:rPr>
                      <w:kern w:val="0"/>
                      <w:sz w:val="21"/>
                      <w:szCs w:val="21"/>
                      <w:vertAlign w:val="superscript"/>
                      <w:lang w:bidi="ar"/>
                    </w:rPr>
                    <w:t>3</w:t>
                  </w:r>
                  <w:r>
                    <w:rPr>
                      <w:kern w:val="0"/>
                      <w:sz w:val="21"/>
                      <w:szCs w:val="21"/>
                      <w:lang w:bidi="ar"/>
                    </w:rPr>
                    <w:t>/年</w:t>
                  </w:r>
                </w:p>
              </w:tc>
              <w:tc>
                <w:tcPr>
                  <w:tcW w:w="810" w:type="dxa"/>
                  <w:noWrap w:val="0"/>
                  <w:vAlign w:val="center"/>
                </w:tcPr>
                <w:p w14:paraId="69707FFC">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气态</w:t>
                  </w:r>
                </w:p>
              </w:tc>
              <w:tc>
                <w:tcPr>
                  <w:tcW w:w="480" w:type="dxa"/>
                  <w:vMerge w:val="continue"/>
                  <w:noWrap w:val="0"/>
                  <w:vAlign w:val="center"/>
                </w:tcPr>
                <w:p w14:paraId="219ECE61">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6EBC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35F99D96">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4</w:t>
                  </w:r>
                </w:p>
              </w:tc>
              <w:tc>
                <w:tcPr>
                  <w:tcW w:w="490" w:type="dxa"/>
                  <w:vMerge w:val="continue"/>
                  <w:noWrap w:val="0"/>
                  <w:vAlign w:val="center"/>
                </w:tcPr>
                <w:p w14:paraId="0F7FFFB1">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180BED69">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氧气</w:t>
                  </w:r>
                </w:p>
              </w:tc>
              <w:tc>
                <w:tcPr>
                  <w:tcW w:w="2389" w:type="dxa"/>
                  <w:noWrap w:val="0"/>
                  <w:vAlign w:val="center"/>
                </w:tcPr>
                <w:p w14:paraId="3BB5D545">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氧气</w:t>
                  </w:r>
                </w:p>
              </w:tc>
              <w:tc>
                <w:tcPr>
                  <w:tcW w:w="1335" w:type="dxa"/>
                  <w:noWrap w:val="0"/>
                  <w:vAlign w:val="center"/>
                </w:tcPr>
                <w:p w14:paraId="4438B8F0">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56</w:t>
                  </w:r>
                </w:p>
              </w:tc>
              <w:tc>
                <w:tcPr>
                  <w:tcW w:w="941" w:type="dxa"/>
                  <w:noWrap w:val="0"/>
                  <w:vAlign w:val="center"/>
                </w:tcPr>
                <w:p w14:paraId="43F9D2C4">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m</w:t>
                  </w:r>
                  <w:r>
                    <w:rPr>
                      <w:kern w:val="0"/>
                      <w:sz w:val="21"/>
                      <w:szCs w:val="21"/>
                      <w:vertAlign w:val="superscript"/>
                      <w:lang w:bidi="ar"/>
                    </w:rPr>
                    <w:t>3</w:t>
                  </w:r>
                  <w:r>
                    <w:rPr>
                      <w:kern w:val="0"/>
                      <w:sz w:val="21"/>
                      <w:szCs w:val="21"/>
                      <w:lang w:bidi="ar"/>
                    </w:rPr>
                    <w:t>/年</w:t>
                  </w:r>
                </w:p>
              </w:tc>
              <w:tc>
                <w:tcPr>
                  <w:tcW w:w="810" w:type="dxa"/>
                  <w:noWrap w:val="0"/>
                  <w:vAlign w:val="center"/>
                </w:tcPr>
                <w:p w14:paraId="20B76E67">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 xml:space="preserve">气态 </w:t>
                  </w:r>
                </w:p>
              </w:tc>
              <w:tc>
                <w:tcPr>
                  <w:tcW w:w="480" w:type="dxa"/>
                  <w:vMerge w:val="continue"/>
                  <w:noWrap w:val="0"/>
                  <w:vAlign w:val="center"/>
                </w:tcPr>
                <w:p w14:paraId="0E2A644D">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37AC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429919BC">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5</w:t>
                  </w:r>
                </w:p>
              </w:tc>
              <w:tc>
                <w:tcPr>
                  <w:tcW w:w="490" w:type="dxa"/>
                  <w:vMerge w:val="continue"/>
                  <w:noWrap w:val="0"/>
                  <w:vAlign w:val="center"/>
                </w:tcPr>
                <w:p w14:paraId="4AF76A60">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089783D3">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水性环氧底漆</w:t>
                  </w:r>
                </w:p>
              </w:tc>
              <w:tc>
                <w:tcPr>
                  <w:tcW w:w="2389" w:type="dxa"/>
                  <w:noWrap w:val="0"/>
                  <w:vAlign w:val="center"/>
                </w:tcPr>
                <w:p w14:paraId="1ABA3DC9">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防锈颜料 30-40%</w:t>
                  </w:r>
                </w:p>
                <w:p w14:paraId="68963F8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水性环氧乳液 10-20%</w:t>
                  </w:r>
                </w:p>
                <w:p w14:paraId="672C9D43">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hint="eastAsia" w:hAnsi="宋体" w:eastAsia="宋体"/>
                      <w:sz w:val="21"/>
                      <w:szCs w:val="21"/>
                      <w:lang w:bidi="ar"/>
                    </w:rPr>
                    <w:t xml:space="preserve">二丙二醇丁醚 </w:t>
                  </w:r>
                  <w:r>
                    <w:rPr>
                      <w:rFonts w:ascii="Times New Roman" w:hAnsi="Times New Roman" w:eastAsia="宋体"/>
                      <w:sz w:val="21"/>
                      <w:szCs w:val="21"/>
                      <w:lang w:bidi="ar"/>
                    </w:rPr>
                    <w:t>1-2%</w:t>
                  </w:r>
                </w:p>
                <w:p w14:paraId="5D333533">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ascii="Times New Roman" w:hAnsi="Times New Roman" w:eastAsia="宋体"/>
                      <w:sz w:val="21"/>
                      <w:szCs w:val="21"/>
                      <w:lang w:bidi="ar"/>
                    </w:rPr>
                    <w:t>水 25%</w:t>
                  </w:r>
                </w:p>
                <w:p w14:paraId="14827045">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ascii="Times New Roman" w:hAnsi="Times New Roman" w:eastAsia="宋体"/>
                      <w:sz w:val="21"/>
                      <w:szCs w:val="21"/>
                      <w:lang w:bidi="ar"/>
                    </w:rPr>
                    <w:t>功能性助剂 5%</w:t>
                  </w:r>
                </w:p>
                <w:p w14:paraId="5E20005A">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ascii="Times New Roman" w:hAnsi="Times New Roman" w:eastAsia="宋体"/>
                      <w:sz w:val="21"/>
                      <w:szCs w:val="21"/>
                      <w:lang w:bidi="ar"/>
                    </w:rPr>
                    <w:t>消泡剂 0.2-0.5%</w:t>
                  </w:r>
                </w:p>
                <w:p w14:paraId="7B39FFE6">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ascii="Times New Roman" w:hAnsi="Times New Roman" w:eastAsia="宋体"/>
                      <w:sz w:val="21"/>
                      <w:szCs w:val="21"/>
                      <w:lang w:bidi="ar"/>
                    </w:rPr>
                    <w:t>增稠剂 0.2-1%</w:t>
                  </w:r>
                </w:p>
                <w:p w14:paraId="0C1869A6">
                  <w:pPr>
                    <w:pStyle w:val="11"/>
                    <w:keepNext w:val="0"/>
                    <w:keepLines w:val="0"/>
                    <w:pageBreakBefore w:val="0"/>
                    <w:kinsoku/>
                    <w:wordWrap/>
                    <w:overflowPunct/>
                    <w:topLinePunct w:val="0"/>
                    <w:autoSpaceDE/>
                    <w:autoSpaceDN/>
                    <w:bidi w:val="0"/>
                    <w:adjustRightInd/>
                    <w:snapToGrid/>
                    <w:jc w:val="center"/>
                    <w:rPr>
                      <w:rFonts w:ascii="Times New Roman" w:hAnsi="Times New Roman" w:eastAsia="宋体"/>
                      <w:sz w:val="21"/>
                      <w:szCs w:val="21"/>
                      <w:lang w:bidi="ar"/>
                    </w:rPr>
                  </w:pPr>
                  <w:r>
                    <w:rPr>
                      <w:rFonts w:ascii="Times New Roman" w:hAnsi="Times New Roman" w:eastAsia="宋体"/>
                      <w:sz w:val="21"/>
                      <w:szCs w:val="21"/>
                      <w:lang w:bidi="ar"/>
                    </w:rPr>
                    <w:t>分散剂 0.2-0.5%</w:t>
                  </w:r>
                </w:p>
                <w:p w14:paraId="4C87E317">
                  <w:pPr>
                    <w:pStyle w:val="11"/>
                    <w:keepNext w:val="0"/>
                    <w:keepLines w:val="0"/>
                    <w:pageBreakBefore w:val="0"/>
                    <w:kinsoku/>
                    <w:wordWrap/>
                    <w:overflowPunct/>
                    <w:topLinePunct w:val="0"/>
                    <w:autoSpaceDE/>
                    <w:autoSpaceDN/>
                    <w:bidi w:val="0"/>
                    <w:adjustRightInd/>
                    <w:snapToGrid/>
                    <w:jc w:val="center"/>
                    <w:rPr>
                      <w:rFonts w:hint="eastAsia" w:hAnsi="宋体" w:eastAsia="宋体"/>
                      <w:sz w:val="21"/>
                      <w:szCs w:val="21"/>
                      <w:lang w:bidi="ar"/>
                    </w:rPr>
                  </w:pPr>
                  <w:r>
                    <w:rPr>
                      <w:rFonts w:ascii="Times New Roman" w:hAnsi="Times New Roman" w:eastAsia="宋体"/>
                      <w:sz w:val="21"/>
                      <w:szCs w:val="21"/>
                      <w:lang w:bidi="ar"/>
                    </w:rPr>
                    <w:t>填料 1-5%</w:t>
                  </w:r>
                </w:p>
              </w:tc>
              <w:tc>
                <w:tcPr>
                  <w:tcW w:w="1335" w:type="dxa"/>
                  <w:noWrap w:val="0"/>
                  <w:vAlign w:val="center"/>
                </w:tcPr>
                <w:p w14:paraId="62778C41">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7</w:t>
                  </w:r>
                </w:p>
              </w:tc>
              <w:tc>
                <w:tcPr>
                  <w:tcW w:w="941" w:type="dxa"/>
                  <w:noWrap w:val="0"/>
                  <w:vAlign w:val="center"/>
                </w:tcPr>
                <w:p w14:paraId="09E48482">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0E6C85D6">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液态</w:t>
                  </w:r>
                </w:p>
              </w:tc>
              <w:tc>
                <w:tcPr>
                  <w:tcW w:w="480" w:type="dxa"/>
                  <w:vMerge w:val="continue"/>
                  <w:noWrap w:val="0"/>
                  <w:vAlign w:val="center"/>
                </w:tcPr>
                <w:p w14:paraId="3882AB7C">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53B3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0C6D6C41">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6</w:t>
                  </w:r>
                </w:p>
              </w:tc>
              <w:tc>
                <w:tcPr>
                  <w:tcW w:w="490" w:type="dxa"/>
                  <w:vMerge w:val="continue"/>
                  <w:noWrap w:val="0"/>
                  <w:vAlign w:val="center"/>
                </w:tcPr>
                <w:p w14:paraId="343E618A">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40D666A2">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锌粉</w:t>
                  </w:r>
                </w:p>
              </w:tc>
              <w:tc>
                <w:tcPr>
                  <w:tcW w:w="2389" w:type="dxa"/>
                  <w:noWrap w:val="0"/>
                  <w:vAlign w:val="center"/>
                </w:tcPr>
                <w:p w14:paraId="2D85FCC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锌98%</w:t>
                  </w:r>
                </w:p>
                <w:p w14:paraId="67983610">
                  <w:pPr>
                    <w:keepNext w:val="0"/>
                    <w:keepLines w:val="0"/>
                    <w:pageBreakBefore w:val="0"/>
                    <w:widowControl/>
                    <w:kinsoku/>
                    <w:wordWrap/>
                    <w:overflowPunct/>
                    <w:topLinePunct w:val="0"/>
                    <w:autoSpaceDE/>
                    <w:autoSpaceDN/>
                    <w:bidi w:val="0"/>
                    <w:adjustRightInd/>
                    <w:snapToGrid/>
                    <w:jc w:val="center"/>
                    <w:textAlignment w:val="center"/>
                    <w:rPr>
                      <w:sz w:val="21"/>
                      <w:szCs w:val="21"/>
                    </w:rPr>
                  </w:pPr>
                  <w:r>
                    <w:rPr>
                      <w:rFonts w:hint="eastAsia"/>
                      <w:kern w:val="0"/>
                      <w:sz w:val="21"/>
                      <w:szCs w:val="21"/>
                      <w:lang w:bidi="ar"/>
                    </w:rPr>
                    <w:t>其他物质2%</w:t>
                  </w:r>
                </w:p>
              </w:tc>
              <w:tc>
                <w:tcPr>
                  <w:tcW w:w="1335" w:type="dxa"/>
                  <w:noWrap w:val="0"/>
                  <w:vAlign w:val="center"/>
                </w:tcPr>
                <w:p w14:paraId="3084307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105</w:t>
                  </w:r>
                </w:p>
              </w:tc>
              <w:tc>
                <w:tcPr>
                  <w:tcW w:w="941" w:type="dxa"/>
                  <w:noWrap w:val="0"/>
                  <w:vAlign w:val="center"/>
                </w:tcPr>
                <w:p w14:paraId="5121B718">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2F43D23A">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固态</w:t>
                  </w:r>
                </w:p>
              </w:tc>
              <w:tc>
                <w:tcPr>
                  <w:tcW w:w="480" w:type="dxa"/>
                  <w:vMerge w:val="continue"/>
                  <w:noWrap w:val="0"/>
                  <w:vAlign w:val="center"/>
                </w:tcPr>
                <w:p w14:paraId="4093ACEA">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2245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69A5622F">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7</w:t>
                  </w:r>
                </w:p>
              </w:tc>
              <w:tc>
                <w:tcPr>
                  <w:tcW w:w="490" w:type="dxa"/>
                  <w:vMerge w:val="continue"/>
                  <w:noWrap w:val="0"/>
                  <w:vAlign w:val="center"/>
                </w:tcPr>
                <w:p w14:paraId="0143BC88">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3875741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助渗剂</w:t>
                  </w:r>
                </w:p>
              </w:tc>
              <w:tc>
                <w:tcPr>
                  <w:tcW w:w="2389" w:type="dxa"/>
                  <w:noWrap w:val="0"/>
                  <w:vAlign w:val="center"/>
                </w:tcPr>
                <w:p w14:paraId="0C6D7052">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镧矿57%</w:t>
                  </w:r>
                </w:p>
                <w:p w14:paraId="19BDAABB">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锰32%</w:t>
                  </w:r>
                </w:p>
                <w:p w14:paraId="2424637E">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二氧化铝19%</w:t>
                  </w:r>
                </w:p>
              </w:tc>
              <w:tc>
                <w:tcPr>
                  <w:tcW w:w="1335" w:type="dxa"/>
                  <w:noWrap w:val="0"/>
                  <w:vAlign w:val="center"/>
                </w:tcPr>
                <w:p w14:paraId="5248CBA6">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3.5</w:t>
                  </w:r>
                </w:p>
              </w:tc>
              <w:tc>
                <w:tcPr>
                  <w:tcW w:w="941" w:type="dxa"/>
                  <w:noWrap w:val="0"/>
                  <w:vAlign w:val="center"/>
                </w:tcPr>
                <w:p w14:paraId="11D57B4E">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149FE77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固态</w:t>
                  </w:r>
                </w:p>
              </w:tc>
              <w:tc>
                <w:tcPr>
                  <w:tcW w:w="480" w:type="dxa"/>
                  <w:vMerge w:val="continue"/>
                  <w:noWrap w:val="0"/>
                  <w:vAlign w:val="center"/>
                </w:tcPr>
                <w:p w14:paraId="24ADB033">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4051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4E48FB12">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8</w:t>
                  </w:r>
                </w:p>
              </w:tc>
              <w:tc>
                <w:tcPr>
                  <w:tcW w:w="490" w:type="dxa"/>
                  <w:vMerge w:val="continue"/>
                  <w:noWrap w:val="0"/>
                  <w:vAlign w:val="center"/>
                </w:tcPr>
                <w:p w14:paraId="51EF933F">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18B03EE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val="en-US" w:eastAsia="zh-CN" w:bidi="ar"/>
                    </w:rPr>
                    <w:t>钝化</w:t>
                  </w:r>
                  <w:r>
                    <w:rPr>
                      <w:rFonts w:hint="eastAsia"/>
                      <w:kern w:val="0"/>
                      <w:sz w:val="21"/>
                      <w:szCs w:val="21"/>
                      <w:lang w:bidi="ar"/>
                    </w:rPr>
                    <w:t>剂</w:t>
                  </w:r>
                </w:p>
              </w:tc>
              <w:tc>
                <w:tcPr>
                  <w:tcW w:w="2389" w:type="dxa"/>
                  <w:noWrap w:val="0"/>
                  <w:vAlign w:val="center"/>
                </w:tcPr>
                <w:p w14:paraId="33937ECE">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硅酸钾＞50%</w:t>
                  </w:r>
                </w:p>
                <w:p w14:paraId="0EFE5D06">
                  <w:pPr>
                    <w:keepNext w:val="0"/>
                    <w:keepLines w:val="0"/>
                    <w:pageBreakBefore w:val="0"/>
                    <w:widowControl/>
                    <w:kinsoku/>
                    <w:wordWrap/>
                    <w:overflowPunct/>
                    <w:topLinePunct w:val="0"/>
                    <w:autoSpaceDE/>
                    <w:autoSpaceDN/>
                    <w:bidi w:val="0"/>
                    <w:adjustRightInd/>
                    <w:snapToGrid/>
                    <w:jc w:val="center"/>
                    <w:textAlignment w:val="center"/>
                    <w:rPr>
                      <w:sz w:val="21"/>
                      <w:szCs w:val="21"/>
                    </w:rPr>
                  </w:pPr>
                  <w:r>
                    <w:rPr>
                      <w:rFonts w:hint="eastAsia"/>
                      <w:kern w:val="0"/>
                      <w:sz w:val="21"/>
                      <w:szCs w:val="21"/>
                      <w:lang w:bidi="ar"/>
                    </w:rPr>
                    <w:t>硅酸/盐＜40%</w:t>
                  </w:r>
                </w:p>
              </w:tc>
              <w:tc>
                <w:tcPr>
                  <w:tcW w:w="1335" w:type="dxa"/>
                  <w:noWrap w:val="0"/>
                  <w:vAlign w:val="center"/>
                </w:tcPr>
                <w:p w14:paraId="67C0A5EA">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21</w:t>
                  </w:r>
                </w:p>
              </w:tc>
              <w:tc>
                <w:tcPr>
                  <w:tcW w:w="941" w:type="dxa"/>
                  <w:noWrap w:val="0"/>
                  <w:vAlign w:val="center"/>
                </w:tcPr>
                <w:p w14:paraId="4BE36CB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12C20295">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液态</w:t>
                  </w:r>
                </w:p>
              </w:tc>
              <w:tc>
                <w:tcPr>
                  <w:tcW w:w="480" w:type="dxa"/>
                  <w:vMerge w:val="continue"/>
                  <w:noWrap w:val="0"/>
                  <w:vAlign w:val="center"/>
                </w:tcPr>
                <w:p w14:paraId="601DFE6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4D03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00FA89CB">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9</w:t>
                  </w:r>
                </w:p>
              </w:tc>
              <w:tc>
                <w:tcPr>
                  <w:tcW w:w="490" w:type="dxa"/>
                  <w:vMerge w:val="continue"/>
                  <w:noWrap w:val="0"/>
                  <w:vAlign w:val="center"/>
                </w:tcPr>
                <w:p w14:paraId="742BB0F5">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6951AD60">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乳化切削液</w:t>
                  </w:r>
                </w:p>
              </w:tc>
              <w:tc>
                <w:tcPr>
                  <w:tcW w:w="2389" w:type="dxa"/>
                  <w:noWrap w:val="0"/>
                  <w:vAlign w:val="center"/>
                </w:tcPr>
                <w:p w14:paraId="2F27651F">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矿物油</w:t>
                  </w:r>
                </w:p>
              </w:tc>
              <w:tc>
                <w:tcPr>
                  <w:tcW w:w="1335" w:type="dxa"/>
                  <w:noWrap w:val="0"/>
                  <w:vAlign w:val="center"/>
                </w:tcPr>
                <w:p w14:paraId="09E24310">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2.8</w:t>
                  </w:r>
                </w:p>
              </w:tc>
              <w:tc>
                <w:tcPr>
                  <w:tcW w:w="941" w:type="dxa"/>
                  <w:noWrap w:val="0"/>
                  <w:vAlign w:val="center"/>
                </w:tcPr>
                <w:p w14:paraId="49CE322E">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7B9C077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液态</w:t>
                  </w:r>
                </w:p>
              </w:tc>
              <w:tc>
                <w:tcPr>
                  <w:tcW w:w="480" w:type="dxa"/>
                  <w:vMerge w:val="continue"/>
                  <w:noWrap w:val="0"/>
                  <w:vAlign w:val="center"/>
                </w:tcPr>
                <w:p w14:paraId="264BC018">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657F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536E84F9">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10</w:t>
                  </w:r>
                </w:p>
              </w:tc>
              <w:tc>
                <w:tcPr>
                  <w:tcW w:w="490" w:type="dxa"/>
                  <w:vMerge w:val="continue"/>
                  <w:noWrap w:val="0"/>
                  <w:vAlign w:val="center"/>
                </w:tcPr>
                <w:p w14:paraId="08828AC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526F21C3">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kern w:val="0"/>
                      <w:sz w:val="21"/>
                      <w:szCs w:val="21"/>
                      <w:lang w:bidi="ar"/>
                    </w:rPr>
                    <w:t>液压油</w:t>
                  </w:r>
                </w:p>
              </w:tc>
              <w:tc>
                <w:tcPr>
                  <w:tcW w:w="2389" w:type="dxa"/>
                  <w:noWrap w:val="0"/>
                  <w:vAlign w:val="center"/>
                </w:tcPr>
                <w:p w14:paraId="5260A01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矿物油</w:t>
                  </w:r>
                </w:p>
              </w:tc>
              <w:tc>
                <w:tcPr>
                  <w:tcW w:w="1335" w:type="dxa"/>
                  <w:noWrap w:val="0"/>
                  <w:vAlign w:val="center"/>
                </w:tcPr>
                <w:p w14:paraId="5496DEB3">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2.8</w:t>
                  </w:r>
                </w:p>
              </w:tc>
              <w:tc>
                <w:tcPr>
                  <w:tcW w:w="941" w:type="dxa"/>
                  <w:noWrap w:val="0"/>
                  <w:vAlign w:val="center"/>
                </w:tcPr>
                <w:p w14:paraId="2EC2E382">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kern w:val="0"/>
                      <w:sz w:val="21"/>
                      <w:szCs w:val="21"/>
                      <w:lang w:bidi="ar"/>
                    </w:rPr>
                    <w:t>吨/年</w:t>
                  </w:r>
                </w:p>
              </w:tc>
              <w:tc>
                <w:tcPr>
                  <w:tcW w:w="810" w:type="dxa"/>
                  <w:noWrap w:val="0"/>
                  <w:vAlign w:val="center"/>
                </w:tcPr>
                <w:p w14:paraId="4BCF1CF4">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液态</w:t>
                  </w:r>
                </w:p>
              </w:tc>
              <w:tc>
                <w:tcPr>
                  <w:tcW w:w="480" w:type="dxa"/>
                  <w:vMerge w:val="continue"/>
                  <w:noWrap w:val="0"/>
                  <w:vAlign w:val="center"/>
                </w:tcPr>
                <w:p w14:paraId="28AE45B9">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1924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noWrap w:val="0"/>
                  <w:vAlign w:val="center"/>
                </w:tcPr>
                <w:p w14:paraId="339F6206">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11</w:t>
                  </w:r>
                </w:p>
              </w:tc>
              <w:tc>
                <w:tcPr>
                  <w:tcW w:w="490" w:type="dxa"/>
                  <w:vMerge w:val="continue"/>
                  <w:noWrap w:val="0"/>
                  <w:vAlign w:val="center"/>
                </w:tcPr>
                <w:p w14:paraId="12E07FBA">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p>
              </w:tc>
              <w:tc>
                <w:tcPr>
                  <w:tcW w:w="1353" w:type="dxa"/>
                  <w:noWrap w:val="0"/>
                  <w:vAlign w:val="center"/>
                </w:tcPr>
                <w:p w14:paraId="44AD7053">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PAM</w:t>
                  </w:r>
                </w:p>
              </w:tc>
              <w:tc>
                <w:tcPr>
                  <w:tcW w:w="2389" w:type="dxa"/>
                  <w:noWrap w:val="0"/>
                  <w:vAlign w:val="center"/>
                </w:tcPr>
                <w:p w14:paraId="5AB63F92">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Style w:val="29"/>
                      <w:rFonts w:ascii="Arial" w:hAnsi="Arial" w:cs="Arial"/>
                      <w:i w:val="0"/>
                      <w:sz w:val="21"/>
                      <w:szCs w:val="21"/>
                      <w:shd w:val="clear" w:color="auto" w:fill="FFFFFF"/>
                    </w:rPr>
                    <w:t>聚丙烯酰胺</w:t>
                  </w:r>
                </w:p>
              </w:tc>
              <w:tc>
                <w:tcPr>
                  <w:tcW w:w="1335" w:type="dxa"/>
                  <w:noWrap w:val="0"/>
                  <w:vAlign w:val="center"/>
                </w:tcPr>
                <w:p w14:paraId="14208D88">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0.14</w:t>
                  </w:r>
                </w:p>
              </w:tc>
              <w:tc>
                <w:tcPr>
                  <w:tcW w:w="941" w:type="dxa"/>
                  <w:noWrap w:val="0"/>
                  <w:vAlign w:val="center"/>
                </w:tcPr>
                <w:p w14:paraId="417EE4EC">
                  <w:pPr>
                    <w:keepNext w:val="0"/>
                    <w:keepLines w:val="0"/>
                    <w:pageBreakBefore w:val="0"/>
                    <w:widowControl/>
                    <w:kinsoku/>
                    <w:wordWrap/>
                    <w:overflowPunct/>
                    <w:topLinePunct w:val="0"/>
                    <w:autoSpaceDE/>
                    <w:autoSpaceDN/>
                    <w:bidi w:val="0"/>
                    <w:adjustRightInd/>
                    <w:snapToGrid/>
                    <w:jc w:val="center"/>
                    <w:textAlignment w:val="center"/>
                    <w:rPr>
                      <w:kern w:val="0"/>
                      <w:sz w:val="21"/>
                      <w:szCs w:val="21"/>
                      <w:lang w:bidi="ar"/>
                    </w:rPr>
                  </w:pPr>
                  <w:r>
                    <w:rPr>
                      <w:rFonts w:hint="eastAsia"/>
                      <w:kern w:val="0"/>
                      <w:sz w:val="21"/>
                      <w:szCs w:val="21"/>
                      <w:lang w:bidi="ar"/>
                    </w:rPr>
                    <w:t>吨/年</w:t>
                  </w:r>
                </w:p>
              </w:tc>
              <w:tc>
                <w:tcPr>
                  <w:tcW w:w="810" w:type="dxa"/>
                  <w:noWrap w:val="0"/>
                  <w:vAlign w:val="center"/>
                </w:tcPr>
                <w:p w14:paraId="6619864E">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r>
                    <w:rPr>
                      <w:rFonts w:hint="eastAsia"/>
                      <w:kern w:val="0"/>
                      <w:sz w:val="21"/>
                      <w:szCs w:val="21"/>
                      <w:lang w:bidi="ar"/>
                    </w:rPr>
                    <w:t>固态</w:t>
                  </w:r>
                </w:p>
              </w:tc>
              <w:tc>
                <w:tcPr>
                  <w:tcW w:w="480" w:type="dxa"/>
                  <w:vMerge w:val="continue"/>
                  <w:noWrap w:val="0"/>
                  <w:vAlign w:val="center"/>
                </w:tcPr>
                <w:p w14:paraId="741957AA">
                  <w:pPr>
                    <w:keepNext w:val="0"/>
                    <w:keepLines w:val="0"/>
                    <w:pageBreakBefore w:val="0"/>
                    <w:widowControl/>
                    <w:kinsoku/>
                    <w:wordWrap/>
                    <w:overflowPunct/>
                    <w:topLinePunct w:val="0"/>
                    <w:autoSpaceDE/>
                    <w:autoSpaceDN/>
                    <w:bidi w:val="0"/>
                    <w:adjustRightInd/>
                    <w:snapToGrid/>
                    <w:jc w:val="center"/>
                    <w:textAlignment w:val="center"/>
                    <w:rPr>
                      <w:rFonts w:hint="eastAsia"/>
                      <w:kern w:val="0"/>
                      <w:sz w:val="21"/>
                      <w:szCs w:val="21"/>
                      <w:lang w:bidi="ar"/>
                    </w:rPr>
                  </w:pPr>
                </w:p>
              </w:tc>
            </w:tr>
            <w:tr w14:paraId="39A1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shd w:val="clear" w:color="auto" w:fill="auto"/>
                  <w:noWrap w:val="0"/>
                  <w:vAlign w:val="center"/>
                </w:tcPr>
                <w:p w14:paraId="3BBDB295">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12</w:t>
                  </w:r>
                </w:p>
              </w:tc>
              <w:tc>
                <w:tcPr>
                  <w:tcW w:w="490" w:type="dxa"/>
                  <w:vMerge w:val="continue"/>
                  <w:shd w:val="clear" w:color="auto" w:fill="auto"/>
                  <w:noWrap w:val="0"/>
                  <w:vAlign w:val="center"/>
                </w:tcPr>
                <w:p w14:paraId="28E4688F">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kern w:val="0"/>
                      <w:sz w:val="21"/>
                      <w:szCs w:val="21"/>
                      <w:lang w:val="en-US" w:eastAsia="zh-CN" w:bidi="ar"/>
                    </w:rPr>
                  </w:pPr>
                </w:p>
              </w:tc>
              <w:tc>
                <w:tcPr>
                  <w:tcW w:w="1353" w:type="dxa"/>
                  <w:shd w:val="clear" w:color="auto" w:fill="auto"/>
                  <w:noWrap w:val="0"/>
                  <w:vAlign w:val="center"/>
                </w:tcPr>
                <w:p w14:paraId="60E50EC5">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天然气</w:t>
                  </w:r>
                </w:p>
              </w:tc>
              <w:tc>
                <w:tcPr>
                  <w:tcW w:w="2389" w:type="dxa"/>
                  <w:shd w:val="clear" w:color="auto" w:fill="auto"/>
                  <w:noWrap w:val="0"/>
                  <w:vAlign w:val="center"/>
                </w:tcPr>
                <w:p w14:paraId="60F20D16">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eastAsia="宋体" w:cs="Times New Roman"/>
                      <w:i w:val="0"/>
                      <w:kern w:val="2"/>
                      <w:sz w:val="21"/>
                      <w:szCs w:val="21"/>
                      <w:shd w:val="clear" w:color="auto" w:fill="FFFFFF"/>
                      <w:lang w:val="en-US" w:eastAsia="zh-CN" w:bidi="ar-SA"/>
                    </w:rPr>
                  </w:pPr>
                  <w:r>
                    <w:rPr>
                      <w:rStyle w:val="29"/>
                      <w:i w:val="0"/>
                      <w:sz w:val="21"/>
                      <w:szCs w:val="21"/>
                      <w:shd w:val="clear" w:color="auto" w:fill="FFFFFF"/>
                    </w:rPr>
                    <w:t>/</w:t>
                  </w:r>
                </w:p>
              </w:tc>
              <w:tc>
                <w:tcPr>
                  <w:tcW w:w="1335" w:type="dxa"/>
                  <w:shd w:val="clear" w:color="auto" w:fill="auto"/>
                  <w:noWrap w:val="0"/>
                  <w:vAlign w:val="center"/>
                </w:tcPr>
                <w:p w14:paraId="3978DA8E">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420000</w:t>
                  </w:r>
                </w:p>
              </w:tc>
              <w:tc>
                <w:tcPr>
                  <w:tcW w:w="941" w:type="dxa"/>
                  <w:shd w:val="clear" w:color="auto" w:fill="auto"/>
                  <w:noWrap w:val="0"/>
                  <w:vAlign w:val="center"/>
                </w:tcPr>
                <w:p w14:paraId="6540BABF">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m</w:t>
                  </w:r>
                  <w:r>
                    <w:rPr>
                      <w:rFonts w:hint="eastAsia"/>
                      <w:kern w:val="0"/>
                      <w:sz w:val="21"/>
                      <w:szCs w:val="21"/>
                      <w:vertAlign w:val="superscript"/>
                      <w:lang w:val="en-US" w:eastAsia="zh-CN" w:bidi="ar"/>
                    </w:rPr>
                    <w:t>3</w:t>
                  </w:r>
                  <w:r>
                    <w:rPr>
                      <w:rFonts w:hint="eastAsia"/>
                      <w:kern w:val="0"/>
                      <w:sz w:val="21"/>
                      <w:szCs w:val="21"/>
                      <w:lang w:val="en-US" w:eastAsia="zh-CN" w:bidi="ar"/>
                    </w:rPr>
                    <w:t>/年</w:t>
                  </w:r>
                </w:p>
              </w:tc>
              <w:tc>
                <w:tcPr>
                  <w:tcW w:w="810" w:type="dxa"/>
                  <w:shd w:val="clear" w:color="auto" w:fill="auto"/>
                  <w:noWrap w:val="0"/>
                  <w:vAlign w:val="center"/>
                </w:tcPr>
                <w:p w14:paraId="678501DB">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气态</w:t>
                  </w:r>
                </w:p>
              </w:tc>
              <w:tc>
                <w:tcPr>
                  <w:tcW w:w="480" w:type="dxa"/>
                  <w:noWrap w:val="0"/>
                  <w:vAlign w:val="center"/>
                </w:tcPr>
                <w:p w14:paraId="1A44BED4">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kern w:val="0"/>
                      <w:sz w:val="21"/>
                      <w:szCs w:val="21"/>
                      <w:highlight w:val="yellow"/>
                      <w:lang w:eastAsia="zh-CN" w:bidi="ar"/>
                    </w:rPr>
                  </w:pPr>
                  <w:r>
                    <w:rPr>
                      <w:rFonts w:hint="eastAsia"/>
                      <w:kern w:val="0"/>
                      <w:sz w:val="21"/>
                      <w:szCs w:val="21"/>
                      <w:highlight w:val="none"/>
                      <w:lang w:eastAsia="zh-CN" w:bidi="ar"/>
                    </w:rPr>
                    <w:t>管道</w:t>
                  </w:r>
                </w:p>
              </w:tc>
            </w:tr>
          </w:tbl>
          <w:p w14:paraId="080CE494">
            <w:pPr>
              <w:widowControl/>
              <w:numPr>
                <w:ilvl w:val="0"/>
                <w:numId w:val="2"/>
              </w:numPr>
              <w:jc w:val="center"/>
              <w:rPr>
                <w:rFonts w:hint="eastAsia"/>
                <w:b/>
                <w:kern w:val="0"/>
                <w:szCs w:val="21"/>
              </w:rPr>
            </w:pPr>
            <w:r>
              <w:rPr>
                <w:rFonts w:hint="eastAsia"/>
                <w:b/>
                <w:kern w:val="0"/>
                <w:szCs w:val="21"/>
              </w:rPr>
              <w:t>原辅材料理化性质一览表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925"/>
              <w:gridCol w:w="2994"/>
              <w:gridCol w:w="981"/>
              <w:gridCol w:w="1854"/>
            </w:tblGrid>
            <w:tr w14:paraId="5C9A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14:paraId="2DC169B3">
                  <w:pPr>
                    <w:tabs>
                      <w:tab w:val="left" w:pos="825"/>
                    </w:tabs>
                    <w:jc w:val="center"/>
                    <w:rPr>
                      <w:b/>
                      <w:szCs w:val="21"/>
                    </w:rPr>
                  </w:pPr>
                  <w:r>
                    <w:rPr>
                      <w:b/>
                      <w:szCs w:val="21"/>
                    </w:rPr>
                    <w:t>名称</w:t>
                  </w:r>
                </w:p>
              </w:tc>
              <w:tc>
                <w:tcPr>
                  <w:tcW w:w="1925" w:type="dxa"/>
                  <w:noWrap w:val="0"/>
                  <w:vAlign w:val="center"/>
                </w:tcPr>
                <w:p w14:paraId="3374509D">
                  <w:pPr>
                    <w:tabs>
                      <w:tab w:val="left" w:pos="825"/>
                    </w:tabs>
                    <w:jc w:val="center"/>
                    <w:rPr>
                      <w:rFonts w:hint="eastAsia"/>
                      <w:b/>
                      <w:szCs w:val="21"/>
                    </w:rPr>
                  </w:pPr>
                  <w:r>
                    <w:rPr>
                      <w:rFonts w:hint="eastAsia"/>
                      <w:b/>
                      <w:szCs w:val="21"/>
                    </w:rPr>
                    <w:t>主要成分</w:t>
                  </w:r>
                </w:p>
              </w:tc>
              <w:tc>
                <w:tcPr>
                  <w:tcW w:w="2994" w:type="dxa"/>
                  <w:noWrap w:val="0"/>
                  <w:vAlign w:val="center"/>
                </w:tcPr>
                <w:p w14:paraId="6AFCC4CA">
                  <w:pPr>
                    <w:tabs>
                      <w:tab w:val="left" w:pos="825"/>
                    </w:tabs>
                    <w:jc w:val="center"/>
                    <w:rPr>
                      <w:b/>
                      <w:szCs w:val="21"/>
                    </w:rPr>
                  </w:pPr>
                  <w:r>
                    <w:rPr>
                      <w:b/>
                      <w:szCs w:val="21"/>
                    </w:rPr>
                    <w:t>理化特性</w:t>
                  </w:r>
                </w:p>
              </w:tc>
              <w:tc>
                <w:tcPr>
                  <w:tcW w:w="981" w:type="dxa"/>
                  <w:noWrap w:val="0"/>
                  <w:vAlign w:val="center"/>
                </w:tcPr>
                <w:p w14:paraId="1B011A26">
                  <w:pPr>
                    <w:tabs>
                      <w:tab w:val="left" w:pos="825"/>
                    </w:tabs>
                    <w:jc w:val="center"/>
                    <w:rPr>
                      <w:b/>
                      <w:szCs w:val="21"/>
                    </w:rPr>
                  </w:pPr>
                  <w:r>
                    <w:rPr>
                      <w:rFonts w:hint="eastAsia"/>
                      <w:b/>
                      <w:szCs w:val="21"/>
                    </w:rPr>
                    <w:t>危险</w:t>
                  </w:r>
                  <w:r>
                    <w:rPr>
                      <w:b/>
                      <w:szCs w:val="21"/>
                    </w:rPr>
                    <w:t>特性</w:t>
                  </w:r>
                </w:p>
              </w:tc>
              <w:tc>
                <w:tcPr>
                  <w:tcW w:w="1854" w:type="dxa"/>
                  <w:noWrap w:val="0"/>
                  <w:vAlign w:val="center"/>
                </w:tcPr>
                <w:p w14:paraId="2C7CC198">
                  <w:pPr>
                    <w:tabs>
                      <w:tab w:val="left" w:pos="825"/>
                    </w:tabs>
                    <w:jc w:val="center"/>
                    <w:rPr>
                      <w:b/>
                      <w:szCs w:val="21"/>
                    </w:rPr>
                  </w:pPr>
                  <w:r>
                    <w:rPr>
                      <w:b/>
                      <w:szCs w:val="21"/>
                    </w:rPr>
                    <w:t>毒理特性</w:t>
                  </w:r>
                </w:p>
              </w:tc>
            </w:tr>
            <w:tr w14:paraId="000E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50" w:type="dxa"/>
                  <w:noWrap w:val="0"/>
                  <w:vAlign w:val="center"/>
                </w:tcPr>
                <w:p w14:paraId="68E729C8">
                  <w:pPr>
                    <w:tabs>
                      <w:tab w:val="left" w:pos="825"/>
                    </w:tabs>
                    <w:jc w:val="center"/>
                    <w:rPr>
                      <w:rFonts w:hint="eastAsia"/>
                      <w:szCs w:val="21"/>
                    </w:rPr>
                  </w:pPr>
                  <w:r>
                    <w:rPr>
                      <w:rFonts w:hint="eastAsia"/>
                      <w:kern w:val="0"/>
                      <w:szCs w:val="21"/>
                      <w:lang w:bidi="ar"/>
                    </w:rPr>
                    <w:t>水性环氧底漆</w:t>
                  </w:r>
                </w:p>
              </w:tc>
              <w:tc>
                <w:tcPr>
                  <w:tcW w:w="1925" w:type="dxa"/>
                  <w:noWrap w:val="0"/>
                  <w:vAlign w:val="center"/>
                </w:tcPr>
                <w:p w14:paraId="640D02FB">
                  <w:pPr>
                    <w:widowControl/>
                    <w:jc w:val="center"/>
                    <w:textAlignment w:val="center"/>
                    <w:rPr>
                      <w:rFonts w:hint="eastAsia"/>
                      <w:kern w:val="0"/>
                      <w:szCs w:val="21"/>
                      <w:lang w:bidi="ar"/>
                    </w:rPr>
                  </w:pPr>
                  <w:r>
                    <w:rPr>
                      <w:rFonts w:hint="eastAsia"/>
                      <w:kern w:val="0"/>
                      <w:szCs w:val="21"/>
                      <w:lang w:bidi="ar"/>
                    </w:rPr>
                    <w:t>防锈颜料 30-40%</w:t>
                  </w:r>
                </w:p>
                <w:p w14:paraId="1DF5929E">
                  <w:pPr>
                    <w:widowControl/>
                    <w:jc w:val="center"/>
                    <w:textAlignment w:val="center"/>
                    <w:rPr>
                      <w:kern w:val="0"/>
                      <w:szCs w:val="21"/>
                      <w:lang w:bidi="ar"/>
                    </w:rPr>
                  </w:pPr>
                  <w:r>
                    <w:rPr>
                      <w:rFonts w:hint="eastAsia"/>
                      <w:kern w:val="0"/>
                      <w:szCs w:val="21"/>
                      <w:lang w:bidi="ar"/>
                    </w:rPr>
                    <w:t>水性环氧乳液 10-20%</w:t>
                  </w:r>
                </w:p>
                <w:p w14:paraId="1EC2DC33">
                  <w:pPr>
                    <w:widowControl/>
                    <w:jc w:val="center"/>
                    <w:textAlignment w:val="center"/>
                    <w:rPr>
                      <w:szCs w:val="21"/>
                    </w:rPr>
                  </w:pPr>
                  <w:r>
                    <w:rPr>
                      <w:rFonts w:hint="eastAsia" w:ascii="宋体" w:hAnsi="宋体"/>
                      <w:szCs w:val="20"/>
                      <w:lang w:bidi="ar"/>
                    </w:rPr>
                    <w:t>二丙二醇丁醚</w:t>
                  </w:r>
                  <w:r>
                    <w:rPr>
                      <w:rFonts w:hint="eastAsia" w:hAnsi="宋体"/>
                      <w:szCs w:val="20"/>
                      <w:lang w:bidi="ar"/>
                    </w:rPr>
                    <w:t xml:space="preserve"> </w:t>
                  </w:r>
                  <w:r>
                    <w:rPr>
                      <w:szCs w:val="20"/>
                      <w:lang w:bidi="ar"/>
                    </w:rPr>
                    <w:t>1-2%</w:t>
                  </w:r>
                </w:p>
              </w:tc>
              <w:tc>
                <w:tcPr>
                  <w:tcW w:w="2994" w:type="dxa"/>
                  <w:noWrap w:val="0"/>
                  <w:vAlign w:val="center"/>
                </w:tcPr>
                <w:p w14:paraId="131CFF4A">
                  <w:pPr>
                    <w:tabs>
                      <w:tab w:val="left" w:pos="825"/>
                    </w:tabs>
                    <w:jc w:val="center"/>
                    <w:rPr>
                      <w:szCs w:val="21"/>
                      <w:shd w:val="clear" w:color="auto" w:fill="FFFFFF"/>
                    </w:rPr>
                  </w:pPr>
                  <w:r>
                    <w:rPr>
                      <w:rFonts w:hint="eastAsia"/>
                      <w:szCs w:val="21"/>
                      <w:shd w:val="clear" w:color="auto" w:fill="FFFFFF"/>
                    </w:rPr>
                    <w:t>灰色无光液体，轻微刺激性气味，密度</w:t>
                  </w:r>
                  <w:r>
                    <w:rPr>
                      <w:rFonts w:hint="eastAsia"/>
                      <w:szCs w:val="21"/>
                      <w:shd w:val="clear" w:color="auto" w:fill="FFFFFF"/>
                      <w:lang w:eastAsia="zh-CN"/>
                    </w:rPr>
                    <w:t>为</w:t>
                  </w:r>
                  <w:r>
                    <w:rPr>
                      <w:rFonts w:hint="eastAsia"/>
                      <w:szCs w:val="21"/>
                      <w:shd w:val="clear" w:color="auto" w:fill="FFFFFF"/>
                    </w:rPr>
                    <w:t>2.1</w:t>
                  </w:r>
                  <w:r>
                    <w:rPr>
                      <w:rFonts w:hint="eastAsia"/>
                      <w:szCs w:val="21"/>
                      <w:shd w:val="clear" w:color="auto" w:fill="FFFFFF"/>
                      <w:lang w:val="en-US" w:eastAsia="zh-CN"/>
                    </w:rPr>
                    <w:t>0~2.20g/m</w:t>
                  </w:r>
                  <w:r>
                    <w:rPr>
                      <w:rFonts w:hint="eastAsia"/>
                      <w:szCs w:val="21"/>
                      <w:shd w:val="clear" w:color="auto" w:fill="FFFFFF"/>
                      <w:vertAlign w:val="superscript"/>
                      <w:lang w:val="en-US" w:eastAsia="zh-CN"/>
                    </w:rPr>
                    <w:t>3</w:t>
                  </w:r>
                  <w:r>
                    <w:rPr>
                      <w:rFonts w:hint="eastAsia"/>
                      <w:szCs w:val="21"/>
                      <w:shd w:val="clear" w:color="auto" w:fill="FFFFFF"/>
                    </w:rPr>
                    <w:t>，水可稀释，闪点：不燃物，稳定</w:t>
                  </w:r>
                </w:p>
              </w:tc>
              <w:tc>
                <w:tcPr>
                  <w:tcW w:w="981" w:type="dxa"/>
                  <w:noWrap w:val="0"/>
                  <w:vAlign w:val="center"/>
                </w:tcPr>
                <w:p w14:paraId="038FE054">
                  <w:pPr>
                    <w:tabs>
                      <w:tab w:val="left" w:pos="825"/>
                    </w:tabs>
                    <w:jc w:val="center"/>
                    <w:rPr>
                      <w:szCs w:val="21"/>
                    </w:rPr>
                  </w:pPr>
                  <w:r>
                    <w:rPr>
                      <w:szCs w:val="21"/>
                    </w:rPr>
                    <w:t>易燃</w:t>
                  </w:r>
                </w:p>
              </w:tc>
              <w:tc>
                <w:tcPr>
                  <w:tcW w:w="1854" w:type="dxa"/>
                  <w:noWrap w:val="0"/>
                  <w:vAlign w:val="center"/>
                </w:tcPr>
                <w:p w14:paraId="0CC3F8BB">
                  <w:pPr>
                    <w:widowControl/>
                    <w:jc w:val="center"/>
                    <w:textAlignment w:val="center"/>
                    <w:rPr>
                      <w:rFonts w:hint="eastAsia"/>
                      <w:kern w:val="0"/>
                      <w:szCs w:val="21"/>
                      <w:lang w:bidi="ar"/>
                    </w:rPr>
                  </w:pPr>
                  <w:r>
                    <w:rPr>
                      <w:rFonts w:hint="eastAsia"/>
                      <w:kern w:val="0"/>
                      <w:szCs w:val="21"/>
                      <w:lang w:bidi="ar"/>
                    </w:rPr>
                    <w:t>LD</w:t>
                  </w:r>
                  <w:r>
                    <w:rPr>
                      <w:rFonts w:hint="eastAsia"/>
                      <w:kern w:val="0"/>
                      <w:szCs w:val="21"/>
                      <w:vertAlign w:val="subscript"/>
                      <w:lang w:bidi="ar"/>
                    </w:rPr>
                    <w:t>50</w:t>
                  </w:r>
                  <w:r>
                    <w:rPr>
                      <w:rFonts w:hint="eastAsia"/>
                      <w:kern w:val="0"/>
                      <w:szCs w:val="21"/>
                      <w:lang w:bidi="ar"/>
                    </w:rPr>
                    <w:t>：3700mg/kg（鼠经口）</w:t>
                  </w:r>
                </w:p>
                <w:p w14:paraId="474FC400">
                  <w:pPr>
                    <w:widowControl/>
                    <w:jc w:val="center"/>
                    <w:textAlignment w:val="center"/>
                    <w:rPr>
                      <w:rFonts w:eastAsia="仿宋_GB2312"/>
                    </w:rPr>
                  </w:pPr>
                  <w:r>
                    <w:rPr>
                      <w:rFonts w:hint="eastAsia"/>
                      <w:kern w:val="0"/>
                      <w:szCs w:val="21"/>
                      <w:lang w:bidi="ar"/>
                    </w:rPr>
                    <w:t>LD</w:t>
                  </w:r>
                  <w:r>
                    <w:rPr>
                      <w:rFonts w:hint="eastAsia"/>
                      <w:kern w:val="0"/>
                      <w:szCs w:val="21"/>
                      <w:vertAlign w:val="subscript"/>
                      <w:lang w:bidi="ar"/>
                    </w:rPr>
                    <w:t>50</w:t>
                  </w:r>
                  <w:r>
                    <w:rPr>
                      <w:rFonts w:hint="eastAsia"/>
                      <w:kern w:val="0"/>
                      <w:szCs w:val="21"/>
                      <w:lang w:bidi="ar"/>
                    </w:rPr>
                    <w:t>：＞2000mg/kg（大鼠经皮）</w:t>
                  </w:r>
                </w:p>
              </w:tc>
            </w:tr>
            <w:tr w14:paraId="28D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50" w:type="dxa"/>
                  <w:noWrap w:val="0"/>
                  <w:vAlign w:val="center"/>
                </w:tcPr>
                <w:p w14:paraId="1CA1C855">
                  <w:pPr>
                    <w:tabs>
                      <w:tab w:val="left" w:pos="825"/>
                    </w:tabs>
                    <w:jc w:val="center"/>
                    <w:rPr>
                      <w:rFonts w:hint="eastAsia"/>
                      <w:szCs w:val="21"/>
                      <w:shd w:val="clear" w:color="auto" w:fill="FFFFFF"/>
                    </w:rPr>
                  </w:pPr>
                  <w:r>
                    <w:rPr>
                      <w:rFonts w:hint="eastAsia"/>
                      <w:kern w:val="0"/>
                      <w:szCs w:val="21"/>
                      <w:lang w:bidi="ar"/>
                    </w:rPr>
                    <w:t>助渗剂</w:t>
                  </w:r>
                </w:p>
              </w:tc>
              <w:tc>
                <w:tcPr>
                  <w:tcW w:w="1925" w:type="dxa"/>
                  <w:noWrap w:val="0"/>
                  <w:vAlign w:val="center"/>
                </w:tcPr>
                <w:p w14:paraId="2EC6C383">
                  <w:pPr>
                    <w:widowControl/>
                    <w:jc w:val="center"/>
                    <w:textAlignment w:val="center"/>
                    <w:rPr>
                      <w:rFonts w:hint="eastAsia"/>
                      <w:kern w:val="0"/>
                      <w:szCs w:val="21"/>
                      <w:lang w:bidi="ar"/>
                    </w:rPr>
                  </w:pPr>
                  <w:r>
                    <w:rPr>
                      <w:rFonts w:hint="eastAsia"/>
                      <w:kern w:val="0"/>
                      <w:szCs w:val="21"/>
                      <w:lang w:bidi="ar"/>
                    </w:rPr>
                    <w:t>镧矿57%</w:t>
                  </w:r>
                </w:p>
                <w:p w14:paraId="38DE6E13">
                  <w:pPr>
                    <w:widowControl/>
                    <w:jc w:val="center"/>
                    <w:textAlignment w:val="center"/>
                    <w:rPr>
                      <w:rFonts w:hint="eastAsia"/>
                      <w:kern w:val="0"/>
                      <w:szCs w:val="21"/>
                      <w:lang w:bidi="ar"/>
                    </w:rPr>
                  </w:pPr>
                  <w:r>
                    <w:rPr>
                      <w:rFonts w:hint="eastAsia"/>
                      <w:kern w:val="0"/>
                      <w:szCs w:val="21"/>
                      <w:lang w:bidi="ar"/>
                    </w:rPr>
                    <w:t>锰32%</w:t>
                  </w:r>
                </w:p>
                <w:p w14:paraId="5E63E6A2">
                  <w:pPr>
                    <w:widowControl/>
                    <w:jc w:val="center"/>
                    <w:textAlignment w:val="center"/>
                    <w:rPr>
                      <w:rFonts w:hint="eastAsia"/>
                      <w:kern w:val="0"/>
                      <w:szCs w:val="21"/>
                      <w:lang w:bidi="ar"/>
                    </w:rPr>
                  </w:pPr>
                  <w:r>
                    <w:rPr>
                      <w:rFonts w:hint="eastAsia"/>
                      <w:kern w:val="0"/>
                      <w:szCs w:val="21"/>
                      <w:lang w:bidi="ar"/>
                    </w:rPr>
                    <w:t>二氧化铝19%</w:t>
                  </w:r>
                </w:p>
              </w:tc>
              <w:tc>
                <w:tcPr>
                  <w:tcW w:w="2994" w:type="dxa"/>
                  <w:noWrap w:val="0"/>
                  <w:vAlign w:val="center"/>
                </w:tcPr>
                <w:p w14:paraId="253A6EAA">
                  <w:pPr>
                    <w:tabs>
                      <w:tab w:val="left" w:pos="825"/>
                    </w:tabs>
                    <w:jc w:val="center"/>
                    <w:rPr>
                      <w:rFonts w:hint="eastAsia"/>
                      <w:szCs w:val="21"/>
                      <w:shd w:val="clear" w:color="auto" w:fill="FFFFFF"/>
                    </w:rPr>
                  </w:pPr>
                  <w:r>
                    <w:rPr>
                      <w:rFonts w:hint="eastAsia"/>
                      <w:szCs w:val="21"/>
                      <w:shd w:val="clear" w:color="auto" w:fill="FFFFFF"/>
                    </w:rPr>
                    <w:t>浅灰色粉末，主要为金属镧和锰，稳定</w:t>
                  </w:r>
                </w:p>
              </w:tc>
              <w:tc>
                <w:tcPr>
                  <w:tcW w:w="981" w:type="dxa"/>
                  <w:noWrap w:val="0"/>
                  <w:vAlign w:val="center"/>
                </w:tcPr>
                <w:p w14:paraId="74595D70">
                  <w:pPr>
                    <w:tabs>
                      <w:tab w:val="left" w:pos="825"/>
                    </w:tabs>
                    <w:jc w:val="center"/>
                    <w:rPr>
                      <w:rFonts w:hint="eastAsia"/>
                      <w:szCs w:val="21"/>
                    </w:rPr>
                  </w:pPr>
                  <w:r>
                    <w:rPr>
                      <w:rFonts w:hint="eastAsia"/>
                      <w:szCs w:val="21"/>
                    </w:rPr>
                    <w:t>不燃</w:t>
                  </w:r>
                </w:p>
              </w:tc>
              <w:tc>
                <w:tcPr>
                  <w:tcW w:w="1854" w:type="dxa"/>
                  <w:noWrap w:val="0"/>
                  <w:vAlign w:val="center"/>
                </w:tcPr>
                <w:p w14:paraId="4CF1D707">
                  <w:pPr>
                    <w:widowControl/>
                    <w:jc w:val="center"/>
                    <w:textAlignment w:val="center"/>
                    <w:rPr>
                      <w:rFonts w:hint="eastAsia"/>
                      <w:kern w:val="0"/>
                      <w:szCs w:val="21"/>
                      <w:lang w:bidi="ar"/>
                    </w:rPr>
                  </w:pPr>
                  <w:r>
                    <w:rPr>
                      <w:rFonts w:hint="eastAsia"/>
                      <w:kern w:val="0"/>
                      <w:szCs w:val="21"/>
                      <w:lang w:bidi="ar"/>
                    </w:rPr>
                    <w:t>无毒</w:t>
                  </w:r>
                </w:p>
              </w:tc>
            </w:tr>
            <w:tr w14:paraId="33F1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50" w:type="dxa"/>
                  <w:noWrap w:val="0"/>
                  <w:vAlign w:val="center"/>
                </w:tcPr>
                <w:p w14:paraId="10713C61">
                  <w:pPr>
                    <w:tabs>
                      <w:tab w:val="left" w:pos="825"/>
                    </w:tabs>
                    <w:jc w:val="center"/>
                    <w:rPr>
                      <w:rFonts w:hint="eastAsia"/>
                      <w:szCs w:val="21"/>
                      <w:shd w:val="clear" w:color="auto" w:fill="FFFFFF"/>
                    </w:rPr>
                  </w:pPr>
                  <w:r>
                    <w:rPr>
                      <w:rFonts w:hint="eastAsia"/>
                      <w:szCs w:val="21"/>
                      <w:shd w:val="clear" w:color="auto" w:fill="FFFFFF"/>
                    </w:rPr>
                    <w:t>锌粉</w:t>
                  </w:r>
                </w:p>
              </w:tc>
              <w:tc>
                <w:tcPr>
                  <w:tcW w:w="1925" w:type="dxa"/>
                  <w:noWrap w:val="0"/>
                  <w:vAlign w:val="center"/>
                </w:tcPr>
                <w:p w14:paraId="7AB1BCA7">
                  <w:pPr>
                    <w:widowControl/>
                    <w:jc w:val="center"/>
                    <w:textAlignment w:val="center"/>
                    <w:rPr>
                      <w:rFonts w:hint="eastAsia"/>
                      <w:kern w:val="0"/>
                      <w:szCs w:val="21"/>
                      <w:lang w:bidi="ar"/>
                    </w:rPr>
                  </w:pPr>
                  <w:r>
                    <w:rPr>
                      <w:rFonts w:hint="eastAsia"/>
                      <w:kern w:val="0"/>
                      <w:szCs w:val="21"/>
                      <w:lang w:bidi="ar"/>
                    </w:rPr>
                    <w:t>锌98%</w:t>
                  </w:r>
                </w:p>
                <w:p w14:paraId="2B2DEB01">
                  <w:pPr>
                    <w:widowControl/>
                    <w:jc w:val="center"/>
                    <w:textAlignment w:val="center"/>
                    <w:rPr>
                      <w:rFonts w:hint="eastAsia"/>
                      <w:kern w:val="0"/>
                      <w:szCs w:val="21"/>
                      <w:lang w:bidi="ar"/>
                    </w:rPr>
                  </w:pPr>
                  <w:r>
                    <w:rPr>
                      <w:rFonts w:hint="eastAsia"/>
                      <w:kern w:val="0"/>
                      <w:szCs w:val="21"/>
                      <w:lang w:bidi="ar"/>
                    </w:rPr>
                    <w:t>其他物质2%</w:t>
                  </w:r>
                </w:p>
              </w:tc>
              <w:tc>
                <w:tcPr>
                  <w:tcW w:w="2994" w:type="dxa"/>
                  <w:noWrap w:val="0"/>
                  <w:vAlign w:val="center"/>
                </w:tcPr>
                <w:p w14:paraId="42ADEEF4">
                  <w:pPr>
                    <w:tabs>
                      <w:tab w:val="left" w:pos="825"/>
                    </w:tabs>
                    <w:jc w:val="center"/>
                    <w:rPr>
                      <w:rFonts w:hint="eastAsia"/>
                      <w:szCs w:val="21"/>
                      <w:shd w:val="clear" w:color="auto" w:fill="FFFFFF"/>
                    </w:rPr>
                  </w:pPr>
                  <w:r>
                    <w:rPr>
                      <w:rFonts w:hint="eastAsia"/>
                      <w:szCs w:val="21"/>
                      <w:shd w:val="clear" w:color="auto" w:fill="FFFFFF"/>
                    </w:rPr>
                    <w:t xml:space="preserve"> 浅灰色的细小粉末。熔点(℃): 419.6，沸点(℃): 907，相对密度(水=1): 7.13，引燃温度(℃): 500，</w:t>
                  </w:r>
                </w:p>
                <w:p w14:paraId="6B09288F">
                  <w:pPr>
                    <w:tabs>
                      <w:tab w:val="left" w:pos="825"/>
                    </w:tabs>
                    <w:jc w:val="center"/>
                    <w:rPr>
                      <w:rFonts w:hint="eastAsia"/>
                      <w:szCs w:val="21"/>
                      <w:shd w:val="clear" w:color="auto" w:fill="FFFFFF"/>
                    </w:rPr>
                  </w:pPr>
                  <w:r>
                    <w:rPr>
                      <w:rFonts w:hint="eastAsia"/>
                      <w:szCs w:val="21"/>
                      <w:shd w:val="clear" w:color="auto" w:fill="FFFFFF"/>
                    </w:rPr>
                    <w:t>爆炸下限%(V/V): 212~284mg/m</w:t>
                  </w:r>
                  <w:r>
                    <w:rPr>
                      <w:rFonts w:hint="eastAsia"/>
                      <w:szCs w:val="21"/>
                      <w:shd w:val="clear" w:color="auto" w:fill="FFFFFF"/>
                      <w:vertAlign w:val="superscript"/>
                    </w:rPr>
                    <w:t>3</w:t>
                  </w:r>
                  <w:r>
                    <w:rPr>
                      <w:rFonts w:hint="eastAsia"/>
                      <w:szCs w:val="21"/>
                      <w:shd w:val="clear" w:color="auto" w:fill="FFFFFF"/>
                    </w:rPr>
                    <w:t>，溶解性: 溶于酸、碱。主要用作催化剂、还原剂和用于有机合成，也用于制备有色金属合金</w:t>
                  </w:r>
                </w:p>
              </w:tc>
              <w:tc>
                <w:tcPr>
                  <w:tcW w:w="981" w:type="dxa"/>
                  <w:noWrap w:val="0"/>
                  <w:vAlign w:val="center"/>
                </w:tcPr>
                <w:p w14:paraId="3A1F0EC2">
                  <w:pPr>
                    <w:tabs>
                      <w:tab w:val="left" w:pos="825"/>
                    </w:tabs>
                    <w:jc w:val="center"/>
                    <w:rPr>
                      <w:rFonts w:hint="eastAsia"/>
                      <w:szCs w:val="21"/>
                    </w:rPr>
                  </w:pPr>
                  <w:r>
                    <w:rPr>
                      <w:rFonts w:hint="eastAsia"/>
                      <w:szCs w:val="21"/>
                    </w:rPr>
                    <w:t>不燃</w:t>
                  </w:r>
                </w:p>
              </w:tc>
              <w:tc>
                <w:tcPr>
                  <w:tcW w:w="1854" w:type="dxa"/>
                  <w:noWrap w:val="0"/>
                  <w:vAlign w:val="center"/>
                </w:tcPr>
                <w:p w14:paraId="64E293A4">
                  <w:pPr>
                    <w:widowControl/>
                    <w:jc w:val="center"/>
                    <w:textAlignment w:val="center"/>
                    <w:rPr>
                      <w:rFonts w:hint="eastAsia"/>
                      <w:kern w:val="0"/>
                      <w:szCs w:val="21"/>
                      <w:lang w:bidi="ar"/>
                    </w:rPr>
                  </w:pPr>
                  <w:r>
                    <w:rPr>
                      <w:rFonts w:hint="eastAsia"/>
                      <w:kern w:val="0"/>
                      <w:szCs w:val="21"/>
                      <w:lang w:bidi="ar"/>
                    </w:rPr>
                    <w:t>无毒</w:t>
                  </w:r>
                </w:p>
              </w:tc>
            </w:tr>
            <w:tr w14:paraId="154A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50" w:type="dxa"/>
                  <w:noWrap w:val="0"/>
                  <w:vAlign w:val="center"/>
                </w:tcPr>
                <w:p w14:paraId="61021034">
                  <w:pPr>
                    <w:tabs>
                      <w:tab w:val="left" w:pos="825"/>
                    </w:tabs>
                    <w:jc w:val="center"/>
                    <w:rPr>
                      <w:rFonts w:hint="eastAsia"/>
                      <w:szCs w:val="21"/>
                      <w:shd w:val="clear" w:color="auto" w:fill="FFFFFF"/>
                    </w:rPr>
                  </w:pPr>
                  <w:r>
                    <w:rPr>
                      <w:rFonts w:hint="eastAsia"/>
                      <w:szCs w:val="21"/>
                      <w:shd w:val="clear" w:color="auto" w:fill="FFFFFF"/>
                    </w:rPr>
                    <w:t>封闭剂</w:t>
                  </w:r>
                </w:p>
              </w:tc>
              <w:tc>
                <w:tcPr>
                  <w:tcW w:w="1925" w:type="dxa"/>
                  <w:noWrap w:val="0"/>
                  <w:vAlign w:val="center"/>
                </w:tcPr>
                <w:p w14:paraId="6D1AEA69">
                  <w:pPr>
                    <w:widowControl/>
                    <w:jc w:val="center"/>
                    <w:textAlignment w:val="center"/>
                    <w:rPr>
                      <w:rFonts w:hint="eastAsia"/>
                      <w:kern w:val="0"/>
                      <w:szCs w:val="21"/>
                      <w:lang w:bidi="ar"/>
                    </w:rPr>
                  </w:pPr>
                  <w:r>
                    <w:rPr>
                      <w:rFonts w:hint="eastAsia"/>
                      <w:kern w:val="0"/>
                      <w:szCs w:val="21"/>
                      <w:lang w:bidi="ar"/>
                    </w:rPr>
                    <w:t>硅酸钾＞50%</w:t>
                  </w:r>
                </w:p>
                <w:p w14:paraId="3D68092C">
                  <w:pPr>
                    <w:widowControl/>
                    <w:jc w:val="center"/>
                    <w:textAlignment w:val="center"/>
                    <w:rPr>
                      <w:rFonts w:hint="eastAsia"/>
                      <w:kern w:val="0"/>
                      <w:szCs w:val="21"/>
                      <w:lang w:bidi="ar"/>
                    </w:rPr>
                  </w:pPr>
                  <w:r>
                    <w:rPr>
                      <w:rFonts w:hint="eastAsia"/>
                      <w:kern w:val="0"/>
                      <w:szCs w:val="21"/>
                      <w:lang w:bidi="ar"/>
                    </w:rPr>
                    <w:t>硅酸/盐＜40%</w:t>
                  </w:r>
                </w:p>
              </w:tc>
              <w:tc>
                <w:tcPr>
                  <w:tcW w:w="2994" w:type="dxa"/>
                  <w:noWrap w:val="0"/>
                  <w:vAlign w:val="center"/>
                </w:tcPr>
                <w:p w14:paraId="4AFD5B19">
                  <w:pPr>
                    <w:tabs>
                      <w:tab w:val="left" w:pos="825"/>
                    </w:tabs>
                    <w:jc w:val="center"/>
                    <w:rPr>
                      <w:szCs w:val="21"/>
                      <w:shd w:val="clear" w:color="auto" w:fill="FFFFFF"/>
                    </w:rPr>
                  </w:pPr>
                  <w:r>
                    <w:rPr>
                      <w:rFonts w:hint="eastAsia"/>
                      <w:szCs w:val="21"/>
                      <w:shd w:val="clear" w:color="auto" w:fill="FFFFFF"/>
                    </w:rPr>
                    <w:t>沸点：105℃，密度1.3，无色无味透明液体，pH约10.5，稳定</w:t>
                  </w:r>
                </w:p>
              </w:tc>
              <w:tc>
                <w:tcPr>
                  <w:tcW w:w="981" w:type="dxa"/>
                  <w:noWrap w:val="0"/>
                  <w:vAlign w:val="center"/>
                </w:tcPr>
                <w:p w14:paraId="1674CFAE">
                  <w:pPr>
                    <w:tabs>
                      <w:tab w:val="left" w:pos="825"/>
                    </w:tabs>
                    <w:jc w:val="center"/>
                    <w:rPr>
                      <w:rFonts w:hint="eastAsia"/>
                      <w:szCs w:val="21"/>
                    </w:rPr>
                  </w:pPr>
                  <w:r>
                    <w:rPr>
                      <w:rFonts w:hint="eastAsia"/>
                      <w:szCs w:val="21"/>
                    </w:rPr>
                    <w:t>不燃</w:t>
                  </w:r>
                </w:p>
              </w:tc>
              <w:tc>
                <w:tcPr>
                  <w:tcW w:w="1854" w:type="dxa"/>
                  <w:noWrap w:val="0"/>
                  <w:vAlign w:val="center"/>
                </w:tcPr>
                <w:p w14:paraId="261B765F">
                  <w:pPr>
                    <w:widowControl/>
                    <w:jc w:val="center"/>
                    <w:textAlignment w:val="center"/>
                    <w:rPr>
                      <w:rFonts w:hint="eastAsia"/>
                      <w:kern w:val="0"/>
                      <w:szCs w:val="21"/>
                      <w:lang w:bidi="ar"/>
                    </w:rPr>
                  </w:pPr>
                  <w:r>
                    <w:rPr>
                      <w:rFonts w:hint="eastAsia"/>
                      <w:kern w:val="0"/>
                      <w:szCs w:val="21"/>
                      <w:lang w:bidi="ar"/>
                    </w:rPr>
                    <w:t>无毒</w:t>
                  </w:r>
                </w:p>
              </w:tc>
            </w:tr>
            <w:tr w14:paraId="0DEE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50" w:type="dxa"/>
                  <w:noWrap w:val="0"/>
                  <w:vAlign w:val="center"/>
                </w:tcPr>
                <w:p w14:paraId="6BD199A6">
                  <w:pPr>
                    <w:tabs>
                      <w:tab w:val="left" w:pos="825"/>
                    </w:tabs>
                    <w:jc w:val="center"/>
                    <w:rPr>
                      <w:rFonts w:hint="eastAsia"/>
                      <w:szCs w:val="21"/>
                      <w:shd w:val="clear" w:color="auto" w:fill="FFFFFF"/>
                    </w:rPr>
                  </w:pPr>
                  <w:r>
                    <w:rPr>
                      <w:rFonts w:hint="eastAsia"/>
                      <w:szCs w:val="21"/>
                      <w:shd w:val="clear" w:color="auto" w:fill="FFFFFF"/>
                    </w:rPr>
                    <w:t>天然气</w:t>
                  </w:r>
                </w:p>
              </w:tc>
              <w:tc>
                <w:tcPr>
                  <w:tcW w:w="1925" w:type="dxa"/>
                  <w:noWrap w:val="0"/>
                  <w:vAlign w:val="center"/>
                </w:tcPr>
                <w:p w14:paraId="37D804E2">
                  <w:pPr>
                    <w:widowControl/>
                    <w:jc w:val="center"/>
                    <w:textAlignment w:val="center"/>
                    <w:rPr>
                      <w:rFonts w:hint="eastAsia"/>
                      <w:kern w:val="0"/>
                      <w:szCs w:val="21"/>
                      <w:lang w:bidi="ar"/>
                    </w:rPr>
                  </w:pPr>
                  <w:r>
                    <w:rPr>
                      <w:rFonts w:hint="eastAsia"/>
                      <w:kern w:val="0"/>
                      <w:szCs w:val="21"/>
                      <w:lang w:bidi="ar"/>
                    </w:rPr>
                    <w:t>天然气的主要成分是甲烷，占比通常在85%至99%之间，此外还含有少量乙烷、丙烷、丁烷等烷烃类气体，以及非烃类成分如硫化氢、二氧化碳、氮气等</w:t>
                  </w:r>
                </w:p>
              </w:tc>
              <w:tc>
                <w:tcPr>
                  <w:tcW w:w="2994" w:type="dxa"/>
                  <w:noWrap w:val="0"/>
                  <w:vAlign w:val="center"/>
                </w:tcPr>
                <w:p w14:paraId="543BDA2F">
                  <w:pPr>
                    <w:tabs>
                      <w:tab w:val="left" w:pos="825"/>
                    </w:tabs>
                    <w:jc w:val="center"/>
                    <w:rPr>
                      <w:rFonts w:hint="eastAsia"/>
                      <w:szCs w:val="21"/>
                      <w:shd w:val="clear" w:color="auto" w:fill="FFFFFF"/>
                    </w:rPr>
                  </w:pPr>
                  <w:r>
                    <w:rPr>
                      <w:rFonts w:hint="eastAsia"/>
                      <w:szCs w:val="21"/>
                      <w:shd w:val="clear" w:color="auto" w:fill="FFFFFF"/>
                    </w:rPr>
                    <w:t>天然气常温下为无色、无味气体，密度比空气轻（0.55-0.71</w:t>
                  </w:r>
                  <w:r>
                    <w:rPr>
                      <w:rFonts w:hint="eastAsia"/>
                      <w:szCs w:val="21"/>
                      <w:shd w:val="clear" w:color="auto" w:fill="FFFFFF"/>
                      <w:lang w:val="en-US" w:eastAsia="zh-CN"/>
                    </w:rPr>
                    <w:t xml:space="preserve"> </w:t>
                  </w:r>
                  <w:r>
                    <w:rPr>
                      <w:rFonts w:hint="eastAsia"/>
                      <w:szCs w:val="21"/>
                      <w:shd w:val="clear" w:color="auto" w:fill="FFFFFF"/>
                    </w:rPr>
                    <w:t>kg/m</w:t>
                  </w:r>
                  <w:r>
                    <w:rPr>
                      <w:rFonts w:hint="eastAsia"/>
                      <w:szCs w:val="21"/>
                      <w:shd w:val="clear" w:color="auto" w:fill="FFFFFF"/>
                      <w:vertAlign w:val="superscript"/>
                      <w:lang w:val="en-US" w:eastAsia="zh-CN"/>
                    </w:rPr>
                    <w:t>3</w:t>
                  </w:r>
                  <w:r>
                    <w:rPr>
                      <w:rFonts w:hint="eastAsia"/>
                      <w:szCs w:val="21"/>
                      <w:shd w:val="clear" w:color="auto" w:fill="FFFFFF"/>
                    </w:rPr>
                    <w:t>），沸点-161.5℃，熔点-182.5℃，临界温度-82.6℃，临界压力4.59MPa。天然气微溶于水，易溶于乙醇、乙醚等有机溶剂，与强氧化剂（如氯气、液氧）接触可能发生剧烈反应</w:t>
                  </w:r>
                </w:p>
              </w:tc>
              <w:tc>
                <w:tcPr>
                  <w:tcW w:w="981" w:type="dxa"/>
                  <w:noWrap w:val="0"/>
                  <w:vAlign w:val="center"/>
                </w:tcPr>
                <w:p w14:paraId="14168C11">
                  <w:pPr>
                    <w:tabs>
                      <w:tab w:val="left" w:pos="825"/>
                    </w:tabs>
                    <w:jc w:val="center"/>
                    <w:rPr>
                      <w:rFonts w:hint="eastAsia"/>
                      <w:szCs w:val="21"/>
                    </w:rPr>
                  </w:pPr>
                  <w:r>
                    <w:rPr>
                      <w:rFonts w:hint="eastAsia"/>
                      <w:szCs w:val="21"/>
                      <w:shd w:val="clear" w:color="auto" w:fill="FFFFFF"/>
                    </w:rPr>
                    <w:t>易燃且爆炸极限为5%-15%</w:t>
                  </w:r>
                </w:p>
              </w:tc>
              <w:tc>
                <w:tcPr>
                  <w:tcW w:w="1854" w:type="dxa"/>
                  <w:noWrap w:val="0"/>
                  <w:vAlign w:val="center"/>
                </w:tcPr>
                <w:p w14:paraId="62347873">
                  <w:pPr>
                    <w:widowControl/>
                    <w:jc w:val="center"/>
                    <w:textAlignment w:val="center"/>
                    <w:rPr>
                      <w:rFonts w:hint="eastAsia"/>
                      <w:kern w:val="0"/>
                      <w:szCs w:val="21"/>
                      <w:lang w:bidi="ar"/>
                    </w:rPr>
                  </w:pPr>
                  <w:r>
                    <w:rPr>
                      <w:rFonts w:hint="eastAsia"/>
                      <w:kern w:val="0"/>
                      <w:szCs w:val="21"/>
                      <w:lang w:bidi="ar"/>
                    </w:rPr>
                    <w:t>甲烷本身无毒，但高浓度（&gt;25%）会因缺氧导致窒息，引发头晕、呼吸加速甚至昏迷。天然气中的硫化氢等杂质具有毒性，燃烧不充分时可能产生一氧化碳，导致中毒</w:t>
                  </w:r>
                </w:p>
              </w:tc>
            </w:tr>
          </w:tbl>
          <w:p w14:paraId="15A59ADD">
            <w:pPr>
              <w:overflowPunct w:val="0"/>
              <w:adjustRightInd w:val="0"/>
              <w:snapToGrid w:val="0"/>
              <w:spacing w:line="360" w:lineRule="auto"/>
              <w:ind w:firstLine="482" w:firstLineChars="200"/>
              <w:rPr>
                <w:b/>
                <w:sz w:val="24"/>
              </w:rPr>
            </w:pPr>
            <w:r>
              <w:rPr>
                <w:b/>
                <w:sz w:val="24"/>
              </w:rPr>
              <w:t>2.</w:t>
            </w:r>
            <w:r>
              <w:rPr>
                <w:rFonts w:hint="eastAsia"/>
                <w:b/>
                <w:sz w:val="24"/>
                <w:lang w:val="en-US" w:eastAsia="zh-CN"/>
              </w:rPr>
              <w:t>7</w:t>
            </w:r>
            <w:r>
              <w:rPr>
                <w:b/>
                <w:sz w:val="24"/>
              </w:rPr>
              <w:t>劳动定员及工作制度</w:t>
            </w:r>
          </w:p>
          <w:p w14:paraId="6027A282">
            <w:pPr>
              <w:adjustRightInd w:val="0"/>
              <w:snapToGrid w:val="0"/>
              <w:spacing w:line="360" w:lineRule="auto"/>
              <w:ind w:firstLine="480" w:firstLineChars="200"/>
              <w:rPr>
                <w:sz w:val="24"/>
              </w:rPr>
            </w:pPr>
            <w:r>
              <w:rPr>
                <w:sz w:val="24"/>
              </w:rPr>
              <w:t>本项目劳动定员</w:t>
            </w:r>
            <w:r>
              <w:rPr>
                <w:rFonts w:hint="eastAsia"/>
                <w:sz w:val="24"/>
              </w:rPr>
              <w:t>100</w:t>
            </w:r>
            <w:r>
              <w:rPr>
                <w:sz w:val="24"/>
              </w:rPr>
              <w:t>人，</w:t>
            </w:r>
            <w:r>
              <w:rPr>
                <w:rFonts w:hint="eastAsia"/>
                <w:sz w:val="24"/>
              </w:rPr>
              <w:t>单</w:t>
            </w:r>
            <w:r>
              <w:rPr>
                <w:sz w:val="24"/>
              </w:rPr>
              <w:t>班制，</w:t>
            </w:r>
            <w:r>
              <w:rPr>
                <w:rFonts w:hint="eastAsia"/>
                <w:sz w:val="24"/>
              </w:rPr>
              <w:t>每天</w:t>
            </w:r>
            <w:r>
              <w:rPr>
                <w:sz w:val="24"/>
              </w:rPr>
              <w:t>工作</w:t>
            </w:r>
            <w:r>
              <w:rPr>
                <w:rFonts w:hint="eastAsia"/>
                <w:sz w:val="24"/>
              </w:rPr>
              <w:t>10</w:t>
            </w:r>
            <w:r>
              <w:rPr>
                <w:sz w:val="24"/>
              </w:rPr>
              <w:t>小时，年工作300天</w:t>
            </w:r>
            <w:r>
              <w:rPr>
                <w:rFonts w:hint="eastAsia"/>
                <w:sz w:val="24"/>
                <w:lang w:eastAsia="zh-CN"/>
              </w:rPr>
              <w:t>，</w:t>
            </w:r>
            <w:r>
              <w:rPr>
                <w:rFonts w:hint="eastAsia"/>
                <w:sz w:val="24"/>
                <w:lang w:val="en-US" w:eastAsia="zh-CN"/>
              </w:rPr>
              <w:t>年工作时长3000h</w:t>
            </w:r>
            <w:r>
              <w:rPr>
                <w:sz w:val="24"/>
              </w:rPr>
              <w:t>。</w:t>
            </w:r>
          </w:p>
          <w:p w14:paraId="2241CF0B">
            <w:pPr>
              <w:overflowPunct w:val="0"/>
              <w:adjustRightInd w:val="0"/>
              <w:snapToGrid w:val="0"/>
              <w:spacing w:line="360" w:lineRule="auto"/>
              <w:ind w:firstLine="482" w:firstLineChars="200"/>
              <w:rPr>
                <w:b/>
                <w:sz w:val="24"/>
              </w:rPr>
            </w:pPr>
            <w:r>
              <w:rPr>
                <w:rFonts w:hint="eastAsia"/>
                <w:b/>
                <w:sz w:val="24"/>
              </w:rPr>
              <w:t>2.</w:t>
            </w:r>
            <w:r>
              <w:rPr>
                <w:rFonts w:hint="eastAsia"/>
                <w:b/>
                <w:sz w:val="24"/>
                <w:lang w:val="en-US" w:eastAsia="zh-CN"/>
              </w:rPr>
              <w:t>8</w:t>
            </w:r>
            <w:r>
              <w:rPr>
                <w:rFonts w:hint="eastAsia"/>
                <w:b/>
                <w:sz w:val="24"/>
              </w:rPr>
              <w:t>水平衡分析</w:t>
            </w:r>
          </w:p>
          <w:p w14:paraId="73B1BABB">
            <w:pPr>
              <w:adjustRightInd w:val="0"/>
              <w:snapToGrid w:val="0"/>
              <w:spacing w:line="360" w:lineRule="auto"/>
              <w:ind w:firstLine="480" w:firstLineChars="200"/>
              <w:rPr>
                <w:sz w:val="24"/>
              </w:rPr>
            </w:pPr>
            <w:r>
              <w:rPr>
                <w:sz w:val="24"/>
              </w:rPr>
              <w:t>本项目废水主要为</w:t>
            </w:r>
            <w:r>
              <w:rPr>
                <w:rFonts w:hint="eastAsia"/>
                <w:sz w:val="24"/>
                <w:lang w:val="en-US" w:eastAsia="zh-CN"/>
              </w:rPr>
              <w:t>钝化</w:t>
            </w:r>
            <w:r>
              <w:rPr>
                <w:rFonts w:hint="eastAsia"/>
                <w:sz w:val="24"/>
              </w:rPr>
              <w:t>封闭工序</w:t>
            </w:r>
            <w:r>
              <w:rPr>
                <w:rFonts w:hint="eastAsia"/>
                <w:sz w:val="24"/>
                <w:lang w:val="en-US" w:eastAsia="zh-CN"/>
              </w:rPr>
              <w:t>水喷淋</w:t>
            </w:r>
            <w:r>
              <w:rPr>
                <w:rFonts w:hint="eastAsia"/>
                <w:sz w:val="24"/>
              </w:rPr>
              <w:t>清洗用水</w:t>
            </w:r>
            <w:r>
              <w:rPr>
                <w:sz w:val="24"/>
              </w:rPr>
              <w:t>、生活污水。</w:t>
            </w:r>
          </w:p>
          <w:p w14:paraId="2649D39D">
            <w:pPr>
              <w:adjustRightInd w:val="0"/>
              <w:snapToGrid w:val="0"/>
              <w:spacing w:line="360" w:lineRule="auto"/>
              <w:ind w:firstLine="480" w:firstLineChars="200"/>
              <w:rPr>
                <w:sz w:val="24"/>
              </w:rPr>
            </w:pPr>
            <w:r>
              <w:rPr>
                <w:sz w:val="24"/>
              </w:rPr>
              <w:t>①</w:t>
            </w:r>
            <w:r>
              <w:rPr>
                <w:rFonts w:hint="eastAsia"/>
                <w:sz w:val="24"/>
                <w:lang w:val="en-US" w:eastAsia="zh-CN"/>
              </w:rPr>
              <w:t>水喷淋</w:t>
            </w:r>
            <w:r>
              <w:rPr>
                <w:rFonts w:hint="eastAsia"/>
                <w:sz w:val="24"/>
              </w:rPr>
              <w:t>清洗用水</w:t>
            </w:r>
          </w:p>
          <w:p w14:paraId="7C27D8BB">
            <w:pPr>
              <w:adjustRightInd w:val="0"/>
              <w:snapToGrid w:val="0"/>
              <w:spacing w:line="360" w:lineRule="auto"/>
              <w:ind w:firstLine="480" w:firstLineChars="200"/>
              <w:rPr>
                <w:sz w:val="24"/>
              </w:rPr>
            </w:pPr>
            <w:r>
              <w:rPr>
                <w:rFonts w:hint="eastAsia"/>
                <w:sz w:val="24"/>
                <w:lang w:val="en-US" w:eastAsia="zh-CN"/>
              </w:rPr>
              <w:t>钝化</w:t>
            </w:r>
            <w:r>
              <w:rPr>
                <w:rFonts w:hint="eastAsia"/>
                <w:sz w:val="24"/>
              </w:rPr>
              <w:t>封闭工序</w:t>
            </w:r>
            <w:r>
              <w:rPr>
                <w:rFonts w:hint="eastAsia"/>
                <w:sz w:val="24"/>
                <w:lang w:val="en-US" w:eastAsia="zh-CN"/>
              </w:rPr>
              <w:t>水喷淋过程需要定期补充喷淋循环水，根据</w:t>
            </w:r>
            <w:r>
              <w:rPr>
                <w:rFonts w:hint="eastAsia"/>
                <w:sz w:val="24"/>
              </w:rPr>
              <w:t>企业提供资料，</w:t>
            </w:r>
            <w:r>
              <w:rPr>
                <w:rFonts w:hint="eastAsia"/>
                <w:sz w:val="24"/>
                <w:lang w:val="en-US" w:eastAsia="zh-CN"/>
              </w:rPr>
              <w:t>一套水喷淋循环系统的效率为10m</w:t>
            </w:r>
            <w:r>
              <w:rPr>
                <w:rFonts w:hint="eastAsia"/>
                <w:sz w:val="24"/>
                <w:vertAlign w:val="superscript"/>
                <w:lang w:val="en-US" w:eastAsia="zh-CN"/>
              </w:rPr>
              <w:t>3</w:t>
            </w:r>
            <w:r>
              <w:rPr>
                <w:rFonts w:hint="eastAsia"/>
                <w:sz w:val="24"/>
                <w:lang w:val="en-US" w:eastAsia="zh-CN"/>
              </w:rPr>
              <w:t>/h，共3套，</w:t>
            </w:r>
            <w:r>
              <w:rPr>
                <w:rFonts w:hint="eastAsia"/>
                <w:sz w:val="24"/>
              </w:rPr>
              <w:t>每天</w:t>
            </w:r>
            <w:r>
              <w:rPr>
                <w:sz w:val="24"/>
              </w:rPr>
              <w:t>工作</w:t>
            </w:r>
            <w:r>
              <w:rPr>
                <w:rFonts w:hint="eastAsia"/>
                <w:sz w:val="24"/>
              </w:rPr>
              <w:t>10</w:t>
            </w:r>
            <w:r>
              <w:rPr>
                <w:sz w:val="24"/>
              </w:rPr>
              <w:t>小时，</w:t>
            </w:r>
            <w:r>
              <w:rPr>
                <w:rFonts w:hint="eastAsia"/>
                <w:sz w:val="24"/>
                <w:lang w:val="en-US" w:eastAsia="zh-CN"/>
              </w:rPr>
              <w:t>则日循环水量为</w:t>
            </w:r>
            <w:r>
              <w:rPr>
                <w:rFonts w:hint="eastAsia"/>
                <w:color w:val="auto"/>
                <w:sz w:val="24"/>
                <w:lang w:val="en-US" w:eastAsia="zh-CN"/>
              </w:rPr>
              <w:t>30</w:t>
            </w:r>
            <w:r>
              <w:rPr>
                <w:rFonts w:hint="eastAsia"/>
                <w:color w:val="auto"/>
                <w:sz w:val="24"/>
                <w:szCs w:val="21"/>
              </w:rPr>
              <w:t>m</w:t>
            </w:r>
            <w:r>
              <w:rPr>
                <w:rFonts w:hint="eastAsia"/>
                <w:color w:val="auto"/>
                <w:sz w:val="24"/>
                <w:szCs w:val="21"/>
                <w:vertAlign w:val="superscript"/>
              </w:rPr>
              <w:t>3</w:t>
            </w:r>
            <w:r>
              <w:rPr>
                <w:color w:val="auto"/>
                <w:sz w:val="24"/>
              </w:rPr>
              <w:t>/h*</w:t>
            </w:r>
            <w:r>
              <w:rPr>
                <w:rFonts w:hint="eastAsia"/>
                <w:color w:val="auto"/>
                <w:sz w:val="24"/>
                <w:lang w:val="en-US" w:eastAsia="zh-CN"/>
              </w:rPr>
              <w:t>10h/d</w:t>
            </w:r>
            <w:r>
              <w:rPr>
                <w:color w:val="auto"/>
                <w:sz w:val="24"/>
              </w:rPr>
              <w:t>=</w:t>
            </w:r>
            <w:r>
              <w:rPr>
                <w:rFonts w:hint="eastAsia"/>
                <w:color w:val="auto"/>
                <w:sz w:val="24"/>
                <w:lang w:val="en-US" w:eastAsia="zh-CN"/>
              </w:rPr>
              <w:t>30</w:t>
            </w:r>
            <w:r>
              <w:rPr>
                <w:color w:val="auto"/>
                <w:sz w:val="24"/>
              </w:rPr>
              <w:t>0m</w:t>
            </w:r>
            <w:r>
              <w:rPr>
                <w:color w:val="auto"/>
                <w:sz w:val="24"/>
                <w:vertAlign w:val="superscript"/>
              </w:rPr>
              <w:t>3</w:t>
            </w:r>
            <w:r>
              <w:rPr>
                <w:color w:val="auto"/>
                <w:sz w:val="24"/>
              </w:rPr>
              <w:t>/</w:t>
            </w:r>
            <w:r>
              <w:rPr>
                <w:rFonts w:hint="eastAsia"/>
                <w:color w:val="auto"/>
                <w:sz w:val="24"/>
                <w:lang w:val="en-US" w:eastAsia="zh-CN"/>
              </w:rPr>
              <w:t>d</w:t>
            </w:r>
            <w:r>
              <w:rPr>
                <w:rFonts w:hint="eastAsia"/>
                <w:color w:val="auto"/>
                <w:sz w:val="24"/>
                <w:lang w:eastAsia="zh-CN"/>
              </w:rPr>
              <w:t>，</w:t>
            </w:r>
            <w:r>
              <w:rPr>
                <w:rFonts w:hint="eastAsia"/>
                <w:sz w:val="24"/>
              </w:rPr>
              <w:t>由于</w:t>
            </w:r>
            <w:r>
              <w:rPr>
                <w:rFonts w:hint="eastAsia"/>
                <w:sz w:val="24"/>
                <w:lang w:val="en-US" w:eastAsia="zh-CN"/>
              </w:rPr>
              <w:t>每日</w:t>
            </w:r>
            <w:r>
              <w:rPr>
                <w:rFonts w:hint="eastAsia"/>
                <w:sz w:val="24"/>
              </w:rPr>
              <w:t>蒸发损耗</w:t>
            </w:r>
            <w:r>
              <w:rPr>
                <w:rFonts w:hint="eastAsia"/>
                <w:sz w:val="24"/>
                <w:lang w:val="en-US" w:eastAsia="zh-CN"/>
              </w:rPr>
              <w:t>量为循环水量的1%</w:t>
            </w:r>
            <w:r>
              <w:rPr>
                <w:rFonts w:hint="eastAsia"/>
                <w:sz w:val="24"/>
              </w:rPr>
              <w:t>，</w:t>
            </w:r>
            <w:r>
              <w:rPr>
                <w:rFonts w:hint="eastAsia"/>
                <w:sz w:val="24"/>
                <w:lang w:val="en-US" w:eastAsia="zh-CN"/>
              </w:rPr>
              <w:t>则循环系统</w:t>
            </w:r>
            <w:r>
              <w:rPr>
                <w:rFonts w:hint="eastAsia"/>
                <w:sz w:val="24"/>
              </w:rPr>
              <w:t>日补水量为</w:t>
            </w:r>
            <w:r>
              <w:rPr>
                <w:rFonts w:hint="eastAsia"/>
                <w:sz w:val="24"/>
                <w:lang w:val="en-US" w:eastAsia="zh-CN"/>
              </w:rPr>
              <w:t>3</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rFonts w:hint="eastAsia"/>
                <w:sz w:val="24"/>
              </w:rPr>
              <w:t>（</w:t>
            </w:r>
            <w:r>
              <w:rPr>
                <w:rFonts w:hint="eastAsia"/>
                <w:sz w:val="24"/>
                <w:lang w:val="en-US" w:eastAsia="zh-CN"/>
              </w:rPr>
              <w:t>900</w:t>
            </w:r>
            <w:r>
              <w:rPr>
                <w:rFonts w:hint="eastAsia"/>
                <w:sz w:val="24"/>
              </w:rPr>
              <w:t>m</w:t>
            </w:r>
            <w:r>
              <w:rPr>
                <w:rFonts w:hint="eastAsia"/>
                <w:sz w:val="24"/>
                <w:vertAlign w:val="superscript"/>
              </w:rPr>
              <w:t>3</w:t>
            </w:r>
            <w:r>
              <w:rPr>
                <w:rFonts w:hint="eastAsia"/>
                <w:sz w:val="24"/>
              </w:rPr>
              <w:t>/a）</w:t>
            </w:r>
            <w:r>
              <w:rPr>
                <w:rFonts w:hint="eastAsia"/>
                <w:sz w:val="24"/>
                <w:lang w:eastAsia="zh-CN"/>
              </w:rPr>
              <w:t>；</w:t>
            </w:r>
            <w:r>
              <w:rPr>
                <w:rFonts w:hint="eastAsia"/>
                <w:sz w:val="24"/>
                <w:lang w:val="en-US" w:eastAsia="zh-CN"/>
              </w:rPr>
              <w:t>钝化</w:t>
            </w:r>
            <w:r>
              <w:rPr>
                <w:rFonts w:hint="eastAsia"/>
                <w:sz w:val="24"/>
              </w:rPr>
              <w:t>封闭工序</w:t>
            </w:r>
            <w:r>
              <w:rPr>
                <w:rFonts w:hint="eastAsia"/>
                <w:sz w:val="24"/>
                <w:lang w:val="en-US" w:eastAsia="zh-CN"/>
              </w:rPr>
              <w:t>水喷淋</w:t>
            </w:r>
            <w:r>
              <w:rPr>
                <w:rFonts w:hint="eastAsia"/>
                <w:sz w:val="24"/>
              </w:rPr>
              <w:t>清洗</w:t>
            </w:r>
            <w:r>
              <w:rPr>
                <w:rFonts w:hint="eastAsia"/>
                <w:sz w:val="24"/>
                <w:lang w:val="en-US" w:eastAsia="zh-CN"/>
              </w:rPr>
              <w:t>废水</w:t>
            </w:r>
            <w:r>
              <w:rPr>
                <w:rFonts w:hint="eastAsia"/>
                <w:sz w:val="24"/>
              </w:rPr>
              <w:t>主要污染物为悬浮物，</w:t>
            </w:r>
            <w:r>
              <w:rPr>
                <w:rFonts w:hint="eastAsia"/>
                <w:sz w:val="24"/>
                <w:lang w:val="en-US" w:eastAsia="zh-CN"/>
              </w:rPr>
              <w:t>水喷淋</w:t>
            </w:r>
            <w:r>
              <w:rPr>
                <w:rFonts w:hint="eastAsia"/>
                <w:sz w:val="24"/>
              </w:rPr>
              <w:t>清洗</w:t>
            </w:r>
            <w:r>
              <w:rPr>
                <w:rFonts w:hint="eastAsia"/>
                <w:sz w:val="24"/>
                <w:lang w:val="en-US" w:eastAsia="zh-CN"/>
              </w:rPr>
              <w:t>废水</w:t>
            </w:r>
            <w:r>
              <w:rPr>
                <w:rFonts w:hint="eastAsia"/>
                <w:sz w:val="24"/>
              </w:rPr>
              <w:t>循环使用，不外排，定期打捞沉淀物。</w:t>
            </w:r>
          </w:p>
          <w:p w14:paraId="012F5C9F">
            <w:pPr>
              <w:adjustRightInd w:val="0"/>
              <w:snapToGrid w:val="0"/>
              <w:spacing w:line="360" w:lineRule="auto"/>
              <w:ind w:firstLine="480" w:firstLineChars="200"/>
              <w:rPr>
                <w:sz w:val="24"/>
              </w:rPr>
            </w:pPr>
            <w:r>
              <w:rPr>
                <w:rFonts w:hint="eastAsia"/>
                <w:sz w:val="24"/>
              </w:rPr>
              <w:t>②</w:t>
            </w:r>
            <w:r>
              <w:rPr>
                <w:sz w:val="24"/>
              </w:rPr>
              <w:t>生活污水</w:t>
            </w:r>
          </w:p>
          <w:p w14:paraId="13D905C8">
            <w:pPr>
              <w:adjustRightInd w:val="0"/>
              <w:snapToGrid w:val="0"/>
              <w:spacing w:line="360" w:lineRule="auto"/>
              <w:ind w:firstLine="480" w:firstLineChars="200"/>
              <w:rPr>
                <w:rFonts w:hint="eastAsia"/>
                <w:sz w:val="24"/>
                <w:lang w:val="zh-CN"/>
              </w:rPr>
            </w:pPr>
            <w:r>
              <w:rPr>
                <w:sz w:val="24"/>
              </w:rPr>
              <w:t>本项目</w:t>
            </w:r>
            <w:r>
              <w:rPr>
                <w:rFonts w:hint="eastAsia"/>
                <w:sz w:val="24"/>
              </w:rPr>
              <w:t>劳动定员100</w:t>
            </w:r>
            <w:r>
              <w:rPr>
                <w:sz w:val="24"/>
              </w:rPr>
              <w:t>人，年工作时间300天，不设食堂、宿舍</w:t>
            </w:r>
            <w:r>
              <w:rPr>
                <w:rFonts w:hint="eastAsia"/>
                <w:sz w:val="24"/>
              </w:rPr>
              <w:t>，用水以60L/人·d计，则新增生活用水6m</w:t>
            </w:r>
            <w:r>
              <w:rPr>
                <w:rFonts w:hint="eastAsia"/>
                <w:sz w:val="24"/>
                <w:vertAlign w:val="superscript"/>
              </w:rPr>
              <w:t>3</w:t>
            </w:r>
            <w:r>
              <w:rPr>
                <w:rFonts w:hint="eastAsia"/>
                <w:sz w:val="24"/>
              </w:rPr>
              <w:t>/d，合1800m</w:t>
            </w:r>
            <w:r>
              <w:rPr>
                <w:rFonts w:hint="eastAsia"/>
                <w:sz w:val="24"/>
                <w:vertAlign w:val="superscript"/>
              </w:rPr>
              <w:t>3</w:t>
            </w:r>
            <w:r>
              <w:rPr>
                <w:rFonts w:hint="eastAsia"/>
                <w:sz w:val="24"/>
              </w:rPr>
              <w:t>/a，生活用水产污系数均按80%计，则本项目生活污水产生量4.8m</w:t>
            </w:r>
            <w:r>
              <w:rPr>
                <w:rFonts w:hint="eastAsia"/>
                <w:sz w:val="24"/>
                <w:vertAlign w:val="superscript"/>
              </w:rPr>
              <w:t>3</w:t>
            </w:r>
            <w:r>
              <w:rPr>
                <w:rFonts w:hint="eastAsia"/>
                <w:sz w:val="24"/>
              </w:rPr>
              <w:t>/d（1440m</w:t>
            </w:r>
            <w:r>
              <w:rPr>
                <w:rFonts w:hint="eastAsia"/>
                <w:sz w:val="24"/>
                <w:vertAlign w:val="superscript"/>
              </w:rPr>
              <w:t>3</w:t>
            </w:r>
            <w:r>
              <w:rPr>
                <w:rFonts w:hint="eastAsia"/>
                <w:sz w:val="24"/>
              </w:rPr>
              <w:t>/a）。</w:t>
            </w:r>
          </w:p>
          <w:p w14:paraId="76CD939D">
            <w:pPr>
              <w:adjustRightInd w:val="0"/>
              <w:snapToGrid w:val="0"/>
              <w:spacing w:line="360" w:lineRule="auto"/>
              <w:ind w:firstLine="480" w:firstLineChars="200"/>
              <w:rPr>
                <w:sz w:val="24"/>
                <w:lang w:val="zh-CN"/>
              </w:rPr>
            </w:pPr>
            <w:r>
              <w:rPr>
                <w:sz w:val="24"/>
                <w:lang w:val="zh-CN"/>
              </w:rPr>
              <w:t>本项目水平衡见下图。</w:t>
            </w:r>
          </w:p>
          <w:p w14:paraId="4DF02D1B">
            <w:pPr>
              <w:adjustRightInd w:val="0"/>
              <w:snapToGrid w:val="0"/>
              <w:spacing w:line="360" w:lineRule="auto"/>
              <w:jc w:val="center"/>
              <w:rPr>
                <w:b/>
                <w:bCs/>
                <w:szCs w:val="21"/>
              </w:rPr>
            </w:pPr>
            <w:r>
              <w:rPr>
                <w:b/>
                <w:bCs/>
                <w:szCs w:val="21"/>
              </w:rPr>
              <w:drawing>
                <wp:inline distT="0" distB="0" distL="114300" distR="114300">
                  <wp:extent cx="4320540" cy="3388995"/>
                  <wp:effectExtent l="0" t="0" r="0" b="0"/>
                  <wp:docPr id="1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wps"/>
                          <pic:cNvPicPr>
                            <a:picLocks noChangeAspect="1"/>
                          </pic:cNvPicPr>
                        </pic:nvPicPr>
                        <pic:blipFill>
                          <a:blip r:embed="rId11"/>
                          <a:stretch>
                            <a:fillRect/>
                          </a:stretch>
                        </pic:blipFill>
                        <pic:spPr>
                          <a:xfrm>
                            <a:off x="0" y="0"/>
                            <a:ext cx="4320540" cy="3388995"/>
                          </a:xfrm>
                          <a:prstGeom prst="rect">
                            <a:avLst/>
                          </a:prstGeom>
                        </pic:spPr>
                      </pic:pic>
                    </a:graphicData>
                  </a:graphic>
                </wp:inline>
              </w:drawing>
            </w:r>
          </w:p>
          <w:p w14:paraId="61C7B8B1">
            <w:pPr>
              <w:adjustRightInd w:val="0"/>
              <w:snapToGrid w:val="0"/>
              <w:spacing w:line="360" w:lineRule="auto"/>
              <w:jc w:val="center"/>
              <w:rPr>
                <w:b/>
                <w:szCs w:val="21"/>
              </w:rPr>
            </w:pPr>
            <w:r>
              <w:rPr>
                <w:b/>
                <w:bCs/>
                <w:szCs w:val="21"/>
              </w:rPr>
              <w:t>图</w:t>
            </w:r>
            <w:r>
              <w:rPr>
                <w:rFonts w:hint="eastAsia"/>
                <w:b/>
                <w:bCs/>
                <w:szCs w:val="21"/>
              </w:rPr>
              <w:t>2</w:t>
            </w:r>
            <w:r>
              <w:rPr>
                <w:b/>
                <w:bCs/>
                <w:szCs w:val="21"/>
              </w:rPr>
              <w:t xml:space="preserve"> 本项目水平衡图 （单位：m</w:t>
            </w:r>
            <w:r>
              <w:rPr>
                <w:b/>
                <w:bCs/>
                <w:szCs w:val="21"/>
                <w:vertAlign w:val="superscript"/>
              </w:rPr>
              <w:t>3</w:t>
            </w:r>
            <w:r>
              <w:rPr>
                <w:b/>
                <w:bCs/>
                <w:szCs w:val="21"/>
              </w:rPr>
              <w:t>/d）</w:t>
            </w:r>
          </w:p>
          <w:p w14:paraId="3633975A">
            <w:pPr>
              <w:adjustRightInd w:val="0"/>
              <w:snapToGrid w:val="0"/>
              <w:spacing w:line="360" w:lineRule="auto"/>
              <w:ind w:firstLine="482" w:firstLineChars="200"/>
              <w:rPr>
                <w:b/>
                <w:sz w:val="24"/>
              </w:rPr>
            </w:pPr>
            <w:r>
              <w:rPr>
                <w:b/>
                <w:sz w:val="24"/>
              </w:rPr>
              <w:t>2.</w:t>
            </w:r>
            <w:r>
              <w:rPr>
                <w:rFonts w:hint="eastAsia"/>
                <w:b/>
                <w:sz w:val="24"/>
                <w:lang w:val="en-US" w:eastAsia="zh-CN"/>
              </w:rPr>
              <w:t>9</w:t>
            </w:r>
            <w:r>
              <w:rPr>
                <w:b/>
                <w:sz w:val="24"/>
              </w:rPr>
              <w:t>总平面布置</w:t>
            </w:r>
          </w:p>
          <w:p w14:paraId="7AAE0669">
            <w:pPr>
              <w:adjustRightInd w:val="0"/>
              <w:snapToGrid w:val="0"/>
              <w:spacing w:line="360" w:lineRule="auto"/>
              <w:ind w:firstLine="480" w:firstLineChars="200"/>
              <w:rPr>
                <w:sz w:val="24"/>
              </w:rPr>
            </w:pPr>
            <w:r>
              <w:rPr>
                <w:sz w:val="24"/>
              </w:rPr>
              <w:t>本项目位于</w:t>
            </w:r>
            <w:r>
              <w:rPr>
                <w:rFonts w:hint="eastAsia"/>
                <w:sz w:val="24"/>
              </w:rPr>
              <w:t>安徽省淮北市杜集区石台镇育才路东侧乡村振兴产业园</w:t>
            </w:r>
            <w:r>
              <w:rPr>
                <w:sz w:val="24"/>
              </w:rPr>
              <w:t>。项目区</w:t>
            </w:r>
            <w:r>
              <w:rPr>
                <w:rFonts w:hint="eastAsia"/>
                <w:sz w:val="24"/>
              </w:rPr>
              <w:t>西</w:t>
            </w:r>
            <w:r>
              <w:rPr>
                <w:sz w:val="24"/>
              </w:rPr>
              <w:t>侧为</w:t>
            </w:r>
            <w:r>
              <w:rPr>
                <w:rFonts w:hint="eastAsia"/>
                <w:sz w:val="24"/>
              </w:rPr>
              <w:t>和谐新家园</w:t>
            </w:r>
            <w:r>
              <w:rPr>
                <w:sz w:val="24"/>
              </w:rPr>
              <w:t>、南侧为</w:t>
            </w:r>
            <w:r>
              <w:rPr>
                <w:rFonts w:hint="eastAsia"/>
                <w:sz w:val="24"/>
              </w:rPr>
              <w:t>空地</w:t>
            </w:r>
            <w:r>
              <w:rPr>
                <w:sz w:val="24"/>
              </w:rPr>
              <w:t>、</w:t>
            </w:r>
            <w:r>
              <w:rPr>
                <w:rFonts w:hint="eastAsia"/>
                <w:sz w:val="24"/>
              </w:rPr>
              <w:t>北</w:t>
            </w:r>
            <w:r>
              <w:rPr>
                <w:sz w:val="24"/>
              </w:rPr>
              <w:t>侧</w:t>
            </w:r>
            <w:r>
              <w:rPr>
                <w:rFonts w:hint="eastAsia"/>
                <w:sz w:val="24"/>
              </w:rPr>
              <w:t>为安徽相王医药有限公司东侧为空厂房。</w:t>
            </w:r>
          </w:p>
          <w:p w14:paraId="7FDD6F87">
            <w:pPr>
              <w:adjustRightInd w:val="0"/>
              <w:snapToGrid w:val="0"/>
              <w:spacing w:line="360" w:lineRule="auto"/>
              <w:ind w:firstLine="480" w:firstLineChars="200"/>
              <w:rPr>
                <w:rFonts w:ascii="宋体" w:hAnsi="宋体" w:cs="宋体"/>
                <w:bCs/>
                <w:szCs w:val="21"/>
              </w:rPr>
            </w:pPr>
            <w:r>
              <w:rPr>
                <w:sz w:val="24"/>
              </w:rPr>
              <w:t>本项目</w:t>
            </w:r>
            <w:r>
              <w:rPr>
                <w:rFonts w:hint="eastAsia"/>
                <w:sz w:val="24"/>
              </w:rPr>
              <w:t>标准化厂房</w:t>
            </w:r>
            <w:r>
              <w:rPr>
                <w:sz w:val="24"/>
              </w:rPr>
              <w:t>北侧为</w:t>
            </w:r>
            <w:r>
              <w:rPr>
                <w:rFonts w:hint="eastAsia"/>
                <w:sz w:val="24"/>
              </w:rPr>
              <w:t>辅料仓房及办公区</w:t>
            </w:r>
            <w:r>
              <w:rPr>
                <w:sz w:val="24"/>
              </w:rPr>
              <w:t>，</w:t>
            </w:r>
            <w:r>
              <w:rPr>
                <w:rFonts w:hint="eastAsia"/>
                <w:sz w:val="24"/>
              </w:rPr>
              <w:t>辅料仓房东侧为成品仓库，成品库东侧为高分子管件加工区，厂房北侧设置</w:t>
            </w:r>
            <w:r>
              <w:rPr>
                <w:rFonts w:hint="eastAsia"/>
                <w:kern w:val="0"/>
                <w:sz w:val="24"/>
              </w:rPr>
              <w:t>悬链水洗钝化封闭线，多元素粉末配料机及双钩升降式抛丸机</w:t>
            </w:r>
            <w:r>
              <w:rPr>
                <w:rFonts w:hint="eastAsia"/>
                <w:sz w:val="24"/>
              </w:rPr>
              <w:t>，厂房中部为半成品库，下料机及焊接区域；一般固废间</w:t>
            </w:r>
            <w:r>
              <w:rPr>
                <w:sz w:val="24"/>
              </w:rPr>
              <w:t>以及</w:t>
            </w:r>
            <w:r>
              <w:rPr>
                <w:rFonts w:hint="eastAsia"/>
                <w:sz w:val="24"/>
              </w:rPr>
              <w:t>危废暂存间位于标准化厂房的东侧；封闭式喷漆房位于标准化厂房东北角</w:t>
            </w:r>
            <w:r>
              <w:rPr>
                <w:sz w:val="24"/>
              </w:rPr>
              <w:t>（详见附图</w:t>
            </w:r>
            <w:r>
              <w:rPr>
                <w:rFonts w:hint="eastAsia"/>
                <w:sz w:val="24"/>
              </w:rPr>
              <w:t>2</w:t>
            </w:r>
            <w:r>
              <w:rPr>
                <w:sz w:val="24"/>
              </w:rPr>
              <w:t>项目区总平面</w:t>
            </w:r>
            <w:r>
              <w:rPr>
                <w:rFonts w:hint="eastAsia"/>
                <w:sz w:val="24"/>
              </w:rPr>
              <w:t>布局</w:t>
            </w:r>
            <w:r>
              <w:rPr>
                <w:sz w:val="24"/>
              </w:rPr>
              <w:t>图）。</w:t>
            </w:r>
          </w:p>
        </w:tc>
      </w:tr>
      <w:tr w14:paraId="64117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53" w:type="pct"/>
            <w:noWrap w:val="0"/>
            <w:vAlign w:val="center"/>
          </w:tcPr>
          <w:p w14:paraId="430E5C7E">
            <w:pPr>
              <w:pStyle w:val="21"/>
              <w:adjustRightInd w:val="0"/>
              <w:snapToGrid w:val="0"/>
              <w:spacing w:before="0" w:beforeAutospacing="0" w:after="0" w:afterAutospacing="0"/>
              <w:jc w:val="center"/>
              <w:rPr>
                <w:rFonts w:cs="宋体"/>
                <w:b/>
                <w:bCs/>
                <w:sz w:val="21"/>
                <w:szCs w:val="21"/>
              </w:rPr>
            </w:pPr>
            <w:r>
              <w:rPr>
                <w:rFonts w:hint="eastAsia" w:cs="宋体"/>
                <w:b/>
                <w:bCs/>
                <w:sz w:val="21"/>
                <w:szCs w:val="21"/>
              </w:rPr>
              <w:t>工艺流程和产排污环节</w:t>
            </w:r>
          </w:p>
        </w:tc>
        <w:tc>
          <w:tcPr>
            <w:tcW w:w="4646" w:type="pct"/>
            <w:noWrap w:val="0"/>
            <w:vAlign w:val="top"/>
          </w:tcPr>
          <w:p w14:paraId="5EB84366">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一、施工期工艺流程及产污环节</w:t>
            </w:r>
          </w:p>
          <w:p w14:paraId="553B1F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本项目租赁淮北市杜集区石台镇育才路东侧乡村振兴产业园</w:t>
            </w:r>
            <w:r>
              <w:rPr>
                <w:rFonts w:hint="eastAsia" w:ascii="Times New Roman" w:hAnsi="Times New Roman" w:eastAsia="宋体" w:cs="Times New Roman"/>
                <w:color w:val="auto"/>
                <w:sz w:val="24"/>
                <w:lang w:val="en-US" w:eastAsia="zh-CN"/>
              </w:rPr>
              <w:t>现有标准化厂房</w:t>
            </w:r>
            <w:r>
              <w:rPr>
                <w:rFonts w:hint="default" w:ascii="Times New Roman" w:hAnsi="Times New Roman" w:eastAsia="宋体" w:cs="Times New Roman"/>
                <w:color w:val="auto"/>
                <w:sz w:val="24"/>
              </w:rPr>
              <w:t>，目前厂房、供水、供电、排水、道路等基础工程已经全部建成。本项目的公用、辅助工程等设施均依托现有设施，该项目主要进行设备的安装及调试，施工期产生的污染物主要为施工垃圾、施工人员生活污水及设备安装、调试产生的噪声等。</w:t>
            </w:r>
          </w:p>
          <w:p w14:paraId="409E5FA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rPr>
            </w:pPr>
            <w:r>
              <w:rPr>
                <w:rFonts w:hint="default" w:ascii="Times New Roman" w:hAnsi="Times New Roman" w:eastAsia="宋体" w:cs="Times New Roman"/>
                <w:b/>
                <w:color w:val="auto"/>
                <w:sz w:val="24"/>
              </w:rPr>
              <w:t>二、运营期工艺流程及产污环节：</w:t>
            </w:r>
          </w:p>
          <w:p w14:paraId="57305036">
            <w:pPr>
              <w:adjustRightInd w:val="0"/>
              <w:snapToGrid w:val="0"/>
              <w:spacing w:line="360" w:lineRule="auto"/>
              <w:ind w:firstLine="480" w:firstLineChars="200"/>
              <w:rPr>
                <w:rFonts w:hint="eastAsia" w:eastAsia="宋体"/>
                <w:lang w:eastAsia="zh-CN"/>
              </w:rPr>
            </w:pPr>
            <w:r>
              <w:rPr>
                <w:rFonts w:hint="default" w:ascii="Times New Roman" w:hAnsi="Times New Roman" w:eastAsia="宋体" w:cs="Times New Roman"/>
                <w:color w:val="auto"/>
                <w:sz w:val="24"/>
              </w:rPr>
              <w:t>本项目主要进行铁路混凝土箱型梁预埋件的生产，具体生产工艺流程及产污环节如下</w:t>
            </w:r>
            <w:r>
              <w:rPr>
                <w:rFonts w:hint="eastAsia" w:ascii="Times New Roman" w:hAnsi="Times New Roman" w:eastAsia="宋体" w:cs="Times New Roman"/>
                <w:color w:val="auto"/>
                <w:sz w:val="24"/>
                <w:lang w:eastAsia="zh-CN"/>
              </w:rPr>
              <w:t>：</w:t>
            </w:r>
          </w:p>
          <w:p w14:paraId="44C7E730">
            <w:pPr>
              <w:overflowPunct w:val="0"/>
              <w:adjustRightInd w:val="0"/>
              <w:snapToGrid w:val="0"/>
              <w:spacing w:line="360" w:lineRule="auto"/>
              <w:jc w:val="center"/>
              <w:rPr>
                <w:b/>
                <w:bCs/>
              </w:rPr>
            </w:pPr>
            <w:r>
              <w:rPr>
                <w:b/>
                <w:bCs/>
              </w:rPr>
              <w:drawing>
                <wp:inline distT="0" distB="0" distL="114300" distR="114300">
                  <wp:extent cx="5165725" cy="5732780"/>
                  <wp:effectExtent l="0" t="0" r="0" b="0"/>
                  <wp:docPr id="13" name="ECB019B1-382A-4266-B25C-5B523AA43C14-2" descr="C:/Users/Administrator/AppData/Local/Temp/wps.cpwEw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Administrator/AppData/Local/Temp/wps.cpwEwdwps"/>
                          <pic:cNvPicPr>
                            <a:picLocks noChangeAspect="1"/>
                          </pic:cNvPicPr>
                        </pic:nvPicPr>
                        <pic:blipFill>
                          <a:blip r:embed="rId12"/>
                          <a:stretch>
                            <a:fillRect/>
                          </a:stretch>
                        </pic:blipFill>
                        <pic:spPr>
                          <a:xfrm>
                            <a:off x="0" y="0"/>
                            <a:ext cx="5165725" cy="5732780"/>
                          </a:xfrm>
                          <a:prstGeom prst="rect">
                            <a:avLst/>
                          </a:prstGeom>
                        </pic:spPr>
                      </pic:pic>
                    </a:graphicData>
                  </a:graphic>
                </wp:inline>
              </w:drawing>
            </w:r>
          </w:p>
          <w:p w14:paraId="744D7A50">
            <w:pPr>
              <w:overflowPunct w:val="0"/>
              <w:adjustRightInd w:val="0"/>
              <w:snapToGrid w:val="0"/>
              <w:spacing w:line="360" w:lineRule="auto"/>
              <w:jc w:val="center"/>
              <w:rPr>
                <w:b/>
                <w:bCs/>
              </w:rPr>
            </w:pPr>
            <w:r>
              <w:rPr>
                <w:b/>
                <w:bCs/>
              </w:rPr>
              <w:t>图</w:t>
            </w:r>
            <w:r>
              <w:rPr>
                <w:rFonts w:hint="eastAsia"/>
                <w:b/>
                <w:bCs/>
              </w:rPr>
              <w:t>3</w:t>
            </w:r>
            <w:r>
              <w:rPr>
                <w:b/>
                <w:bCs/>
              </w:rPr>
              <w:t xml:space="preserve"> 本项目工艺流程及产污</w:t>
            </w:r>
            <w:r>
              <w:rPr>
                <w:rFonts w:hint="eastAsia"/>
                <w:b/>
                <w:bCs/>
              </w:rPr>
              <w:t>节点图</w:t>
            </w:r>
          </w:p>
          <w:p w14:paraId="50A3DC40">
            <w:pPr>
              <w:overflowPunct w:val="0"/>
              <w:adjustRightInd w:val="0"/>
              <w:snapToGrid w:val="0"/>
              <w:spacing w:line="360" w:lineRule="auto"/>
              <w:ind w:firstLine="482" w:firstLineChars="200"/>
              <w:rPr>
                <w:rFonts w:hint="eastAsia" w:ascii="Times New Roman" w:hAnsi="Times New Roman"/>
                <w:b/>
                <w:bCs/>
                <w:sz w:val="24"/>
              </w:rPr>
            </w:pPr>
            <w:r>
              <w:rPr>
                <w:rFonts w:hint="eastAsia" w:ascii="Times New Roman" w:hAnsi="Times New Roman"/>
                <w:b/>
                <w:bCs/>
                <w:sz w:val="24"/>
              </w:rPr>
              <w:t>工艺流程说明：</w:t>
            </w:r>
          </w:p>
          <w:p w14:paraId="34E7E121">
            <w:pPr>
              <w:overflowPunct w:val="0"/>
              <w:adjustRightInd w:val="0"/>
              <w:snapToGrid w:val="0"/>
              <w:spacing w:line="360" w:lineRule="auto"/>
              <w:ind w:firstLine="480" w:firstLineChars="200"/>
              <w:rPr>
                <w:rFonts w:hint="eastAsia"/>
                <w:sz w:val="24"/>
                <w:szCs w:val="32"/>
              </w:rPr>
            </w:pPr>
            <w:r>
              <w:rPr>
                <w:rFonts w:hint="eastAsia"/>
                <w:sz w:val="24"/>
                <w:szCs w:val="32"/>
              </w:rPr>
              <w:t>（1）</w:t>
            </w:r>
            <w:r>
              <w:rPr>
                <w:rFonts w:hint="eastAsia"/>
                <w:sz w:val="24"/>
                <w:szCs w:val="32"/>
                <w:lang w:val="en-US" w:eastAsia="zh-CN"/>
              </w:rPr>
              <w:t>切割</w:t>
            </w:r>
            <w:r>
              <w:rPr>
                <w:rFonts w:hint="eastAsia"/>
                <w:sz w:val="24"/>
                <w:szCs w:val="32"/>
              </w:rPr>
              <w:t>下料：本项目原料钢板等通过光纤激光切割机、等离子弧切料机等设备进行下料。此工序产生</w:t>
            </w:r>
            <w:r>
              <w:rPr>
                <w:rFonts w:hint="eastAsia"/>
                <w:sz w:val="24"/>
                <w:szCs w:val="32"/>
                <w:lang w:val="en-US" w:eastAsia="zh-CN"/>
              </w:rPr>
              <w:t>废</w:t>
            </w:r>
            <w:r>
              <w:rPr>
                <w:rFonts w:hint="eastAsia"/>
                <w:sz w:val="24"/>
                <w:szCs w:val="32"/>
              </w:rPr>
              <w:t>边角料（S1）、切割粉尘（G1）。</w:t>
            </w:r>
          </w:p>
          <w:p w14:paraId="7ECBC858">
            <w:pPr>
              <w:overflowPunct w:val="0"/>
              <w:adjustRightInd w:val="0"/>
              <w:snapToGrid w:val="0"/>
              <w:spacing w:line="360" w:lineRule="auto"/>
              <w:ind w:firstLine="480" w:firstLineChars="200"/>
              <w:rPr>
                <w:rFonts w:hint="eastAsia"/>
                <w:sz w:val="24"/>
                <w:szCs w:val="32"/>
              </w:rPr>
            </w:pPr>
            <w:r>
              <w:rPr>
                <w:rFonts w:hint="eastAsia"/>
                <w:sz w:val="24"/>
                <w:szCs w:val="32"/>
              </w:rPr>
              <w:t>（2）精加工：利用高精度的加工机械对工件进一步加工，根据不同工件要求选择包括车削、钻孔、冲剪、滚丝、弯筋等加工。此工序产生废乳化切削液（S</w:t>
            </w:r>
            <w:r>
              <w:rPr>
                <w:rFonts w:hint="eastAsia"/>
                <w:sz w:val="24"/>
                <w:szCs w:val="32"/>
                <w:lang w:val="en-US" w:eastAsia="zh-CN"/>
              </w:rPr>
              <w:t>2</w:t>
            </w:r>
            <w:r>
              <w:rPr>
                <w:rFonts w:hint="eastAsia"/>
                <w:sz w:val="24"/>
                <w:szCs w:val="32"/>
              </w:rPr>
              <w:t>）、废液压油（S</w:t>
            </w:r>
            <w:r>
              <w:rPr>
                <w:rFonts w:hint="eastAsia"/>
                <w:sz w:val="24"/>
                <w:szCs w:val="32"/>
                <w:lang w:val="en-US" w:eastAsia="zh-CN"/>
              </w:rPr>
              <w:t>3</w:t>
            </w:r>
            <w:r>
              <w:rPr>
                <w:rFonts w:hint="eastAsia"/>
                <w:sz w:val="24"/>
                <w:szCs w:val="32"/>
              </w:rPr>
              <w:t>）、废润滑油（S4）</w:t>
            </w:r>
            <w:r>
              <w:rPr>
                <w:rFonts w:hint="eastAsia"/>
                <w:sz w:val="24"/>
                <w:szCs w:val="32"/>
                <w:lang w:eastAsia="zh-CN"/>
              </w:rPr>
              <w:t>、</w:t>
            </w:r>
            <w:r>
              <w:rPr>
                <w:rFonts w:hint="eastAsia"/>
                <w:sz w:val="24"/>
                <w:szCs w:val="32"/>
              </w:rPr>
              <w:t>废金属屑（S</w:t>
            </w:r>
            <w:r>
              <w:rPr>
                <w:rFonts w:hint="eastAsia"/>
                <w:sz w:val="24"/>
                <w:szCs w:val="32"/>
                <w:lang w:val="en-US" w:eastAsia="zh-CN"/>
              </w:rPr>
              <w:t>5</w:t>
            </w:r>
            <w:r>
              <w:rPr>
                <w:rFonts w:hint="eastAsia"/>
                <w:sz w:val="24"/>
                <w:szCs w:val="32"/>
              </w:rPr>
              <w:t>）。</w:t>
            </w:r>
          </w:p>
          <w:p w14:paraId="118F821A">
            <w:pPr>
              <w:overflowPunct w:val="0"/>
              <w:adjustRightInd w:val="0"/>
              <w:snapToGrid w:val="0"/>
              <w:spacing w:line="360" w:lineRule="auto"/>
              <w:ind w:firstLine="480" w:firstLineChars="200"/>
              <w:rPr>
                <w:rFonts w:hint="eastAsia"/>
                <w:sz w:val="24"/>
                <w:szCs w:val="32"/>
              </w:rPr>
            </w:pPr>
            <w:r>
              <w:rPr>
                <w:rFonts w:hint="eastAsia"/>
                <w:sz w:val="24"/>
                <w:szCs w:val="32"/>
              </w:rPr>
              <w:t>（3）焊接：根据产品设计，对不同工件进行焊接组合，本项目主要采用二氧化碳气体保护焊。此工序产生焊接烟尘（G2）。</w:t>
            </w:r>
          </w:p>
          <w:p w14:paraId="7A53DB09">
            <w:pPr>
              <w:overflowPunct w:val="0"/>
              <w:adjustRightInd w:val="0"/>
              <w:snapToGrid w:val="0"/>
              <w:spacing w:line="360" w:lineRule="auto"/>
              <w:ind w:firstLine="480" w:firstLineChars="200"/>
              <w:rPr>
                <w:rFonts w:hint="eastAsia"/>
                <w:sz w:val="24"/>
                <w:szCs w:val="32"/>
              </w:rPr>
            </w:pPr>
            <w:r>
              <w:rPr>
                <w:rFonts w:hint="eastAsia"/>
                <w:sz w:val="24"/>
                <w:szCs w:val="32"/>
              </w:rPr>
              <w:t>（4）检验：对以上机加工后的工件进行厚度、孔径、孔距等检测。此工序会产生不合格品（S</w:t>
            </w:r>
            <w:r>
              <w:rPr>
                <w:rFonts w:hint="eastAsia"/>
                <w:sz w:val="24"/>
                <w:szCs w:val="32"/>
                <w:lang w:val="en-US" w:eastAsia="zh-CN"/>
              </w:rPr>
              <w:t>6</w:t>
            </w:r>
            <w:r>
              <w:rPr>
                <w:rFonts w:hint="eastAsia"/>
                <w:sz w:val="24"/>
                <w:szCs w:val="32"/>
              </w:rPr>
              <w:t>）。</w:t>
            </w:r>
          </w:p>
          <w:p w14:paraId="2840E414">
            <w:pPr>
              <w:overflowPunct w:val="0"/>
              <w:adjustRightInd w:val="0"/>
              <w:snapToGrid w:val="0"/>
              <w:spacing w:line="360" w:lineRule="auto"/>
              <w:ind w:firstLine="480" w:firstLineChars="200"/>
              <w:rPr>
                <w:rFonts w:hint="eastAsia"/>
                <w:sz w:val="24"/>
                <w:szCs w:val="32"/>
              </w:rPr>
            </w:pPr>
            <w:r>
              <w:rPr>
                <w:rFonts w:hint="eastAsia"/>
                <w:sz w:val="24"/>
                <w:szCs w:val="32"/>
              </w:rPr>
              <w:t>（5）抛丸：采用压缩空气为动力，以形成高速喷射束将钢丸喷射到需要处理的工件表面，使工件的外表面发生外形或形状的变化，由于钢丸对工件表面的冲击和切削作用，使工件的表面获得一定的清洁度和不同粗糙度，并使工件表面的机械性能得到改善，提高工件抗疲劳性。此工序产生</w:t>
            </w:r>
            <w:r>
              <w:rPr>
                <w:rFonts w:hint="eastAsia"/>
                <w:sz w:val="24"/>
                <w:szCs w:val="32"/>
                <w:lang w:val="en-US" w:eastAsia="zh-CN"/>
              </w:rPr>
              <w:t>抛丸</w:t>
            </w:r>
            <w:r>
              <w:rPr>
                <w:rFonts w:hint="eastAsia"/>
                <w:sz w:val="24"/>
                <w:szCs w:val="32"/>
              </w:rPr>
              <w:t>粉尘</w:t>
            </w:r>
            <w:r>
              <w:rPr>
                <w:rFonts w:hint="eastAsia"/>
                <w:sz w:val="24"/>
                <w:szCs w:val="32"/>
                <w:lang w:eastAsia="zh-CN"/>
              </w:rPr>
              <w:t>（</w:t>
            </w:r>
            <w:r>
              <w:rPr>
                <w:rFonts w:hint="eastAsia"/>
                <w:sz w:val="24"/>
                <w:szCs w:val="32"/>
                <w:lang w:val="en-US" w:eastAsia="zh-CN"/>
              </w:rPr>
              <w:t>G3</w:t>
            </w:r>
            <w:r>
              <w:rPr>
                <w:rFonts w:hint="eastAsia"/>
                <w:sz w:val="24"/>
                <w:szCs w:val="32"/>
                <w:lang w:eastAsia="zh-CN"/>
              </w:rPr>
              <w:t>）</w:t>
            </w:r>
            <w:r>
              <w:rPr>
                <w:rFonts w:hint="eastAsia"/>
                <w:sz w:val="24"/>
                <w:szCs w:val="32"/>
              </w:rPr>
              <w:t>、废钢丸</w:t>
            </w:r>
            <w:r>
              <w:rPr>
                <w:rFonts w:hint="eastAsia"/>
                <w:sz w:val="24"/>
                <w:szCs w:val="32"/>
                <w:lang w:eastAsia="zh-CN"/>
              </w:rPr>
              <w:t>（</w:t>
            </w:r>
            <w:r>
              <w:rPr>
                <w:rFonts w:hint="eastAsia"/>
                <w:sz w:val="24"/>
                <w:szCs w:val="32"/>
                <w:lang w:val="en-US" w:eastAsia="zh-CN"/>
              </w:rPr>
              <w:t>S7</w:t>
            </w:r>
            <w:r>
              <w:rPr>
                <w:rFonts w:hint="eastAsia"/>
                <w:sz w:val="24"/>
                <w:szCs w:val="32"/>
                <w:lang w:eastAsia="zh-CN"/>
              </w:rPr>
              <w:t>）</w:t>
            </w:r>
            <w:r>
              <w:rPr>
                <w:rFonts w:hint="eastAsia"/>
                <w:sz w:val="24"/>
                <w:szCs w:val="32"/>
              </w:rPr>
              <w:t>。</w:t>
            </w:r>
          </w:p>
          <w:p w14:paraId="033B79D0">
            <w:pPr>
              <w:overflowPunct w:val="0"/>
              <w:adjustRightInd w:val="0"/>
              <w:snapToGrid w:val="0"/>
              <w:spacing w:line="360" w:lineRule="auto"/>
              <w:ind w:firstLine="480" w:firstLineChars="200"/>
              <w:rPr>
                <w:rFonts w:hint="eastAsia"/>
                <w:sz w:val="24"/>
                <w:szCs w:val="32"/>
              </w:rPr>
            </w:pPr>
            <w:r>
              <w:rPr>
                <w:rFonts w:hint="eastAsia"/>
                <w:sz w:val="24"/>
                <w:szCs w:val="32"/>
              </w:rPr>
              <w:t>（</w:t>
            </w:r>
            <w:r>
              <w:rPr>
                <w:rFonts w:hint="eastAsia"/>
                <w:sz w:val="24"/>
                <w:szCs w:val="32"/>
                <w:lang w:val="en-US" w:eastAsia="zh-CN"/>
              </w:rPr>
              <w:t>6</w:t>
            </w:r>
            <w:r>
              <w:rPr>
                <w:rFonts w:hint="eastAsia"/>
                <w:sz w:val="24"/>
                <w:szCs w:val="32"/>
              </w:rPr>
              <w:t>）渗锌：本项目采用是的粉末渗锌工艺，将锌粉</w:t>
            </w:r>
            <w:r>
              <w:rPr>
                <w:rFonts w:hint="eastAsia"/>
                <w:sz w:val="24"/>
                <w:szCs w:val="32"/>
                <w:lang w:val="en-US" w:eastAsia="zh-CN"/>
              </w:rPr>
              <w:t>和助渗剂等辅料通过四方燃气渗锌炉自动投料到炉中，通过燃气加热</w:t>
            </w:r>
            <w:r>
              <w:rPr>
                <w:rFonts w:hint="eastAsia"/>
                <w:sz w:val="24"/>
                <w:szCs w:val="32"/>
              </w:rPr>
              <w:t>到420℃左右，活性锌原子则由钢铁制件的表面向内部渗透，同时铁原子则由内向外扩散，在制件表层形成一个均匀的锌-铁化合物即渗锌层。项目采用稀土为助渗剂</w:t>
            </w:r>
            <w:r>
              <w:rPr>
                <w:rFonts w:hint="eastAsia"/>
                <w:sz w:val="24"/>
                <w:szCs w:val="32"/>
                <w:lang w:eastAsia="zh-CN"/>
              </w:rPr>
              <w:t>，</w:t>
            </w:r>
            <w:r>
              <w:rPr>
                <w:rFonts w:hint="eastAsia"/>
                <w:sz w:val="24"/>
                <w:szCs w:val="32"/>
                <w:lang w:val="en-US" w:eastAsia="zh-CN"/>
              </w:rPr>
              <w:t>该工序全部在渗锌炉内全密闭完成</w:t>
            </w:r>
            <w:r>
              <w:rPr>
                <w:rFonts w:hint="eastAsia"/>
                <w:sz w:val="24"/>
                <w:szCs w:val="32"/>
              </w:rPr>
              <w:t>。具体工艺如下。</w:t>
            </w:r>
          </w:p>
          <w:p w14:paraId="243211C9">
            <w:pPr>
              <w:overflowPunct w:val="0"/>
              <w:adjustRightInd w:val="0"/>
              <w:snapToGrid w:val="0"/>
              <w:spacing w:line="360" w:lineRule="auto"/>
              <w:ind w:firstLine="480" w:firstLineChars="200"/>
              <w:rPr>
                <w:rFonts w:hint="eastAsia"/>
                <w:sz w:val="24"/>
                <w:szCs w:val="32"/>
              </w:rPr>
            </w:pPr>
            <w:r>
              <w:rPr>
                <w:rFonts w:hint="eastAsia"/>
                <w:sz w:val="24"/>
                <w:szCs w:val="32"/>
              </w:rPr>
              <w:t>①装炉：将工件放置于四方燃气渗锌炉</w:t>
            </w:r>
            <w:r>
              <w:rPr>
                <w:rFonts w:hint="eastAsia"/>
                <w:sz w:val="24"/>
                <w:szCs w:val="32"/>
                <w:lang w:val="en-US" w:eastAsia="zh-CN"/>
              </w:rPr>
              <w:t>炉胆</w:t>
            </w:r>
            <w:r>
              <w:rPr>
                <w:rFonts w:hint="eastAsia"/>
                <w:sz w:val="24"/>
                <w:szCs w:val="32"/>
              </w:rPr>
              <w:t>中，加盖密闭</w:t>
            </w:r>
            <w:r>
              <w:rPr>
                <w:rFonts w:hint="eastAsia"/>
                <w:sz w:val="24"/>
                <w:szCs w:val="32"/>
                <w:lang w:eastAsia="zh-CN"/>
              </w:rPr>
              <w:t>；</w:t>
            </w:r>
            <w:r>
              <w:rPr>
                <w:rFonts w:hint="eastAsia"/>
                <w:sz w:val="24"/>
                <w:szCs w:val="32"/>
              </w:rPr>
              <w:t>设备通过变频螺旋输送实现精准</w:t>
            </w:r>
            <w:r>
              <w:rPr>
                <w:rFonts w:hint="eastAsia"/>
                <w:sz w:val="24"/>
                <w:szCs w:val="32"/>
                <w:lang w:val="en-US" w:eastAsia="zh-CN"/>
              </w:rPr>
              <w:t>投加</w:t>
            </w:r>
            <w:r>
              <w:rPr>
                <w:rFonts w:hint="eastAsia"/>
                <w:sz w:val="24"/>
                <w:szCs w:val="32"/>
              </w:rPr>
              <w:t>锌粉</w:t>
            </w:r>
            <w:r>
              <w:rPr>
                <w:rFonts w:hint="eastAsia"/>
                <w:sz w:val="24"/>
                <w:szCs w:val="32"/>
                <w:lang w:val="en-US" w:eastAsia="zh-CN"/>
              </w:rPr>
              <w:t>和助渗剂等辅料</w:t>
            </w:r>
            <w:r>
              <w:rPr>
                <w:rFonts w:hint="eastAsia"/>
                <w:sz w:val="24"/>
                <w:szCs w:val="32"/>
              </w:rPr>
              <w:t>，通过称重系统实现精准配料精度控制（单次配料50～200公斤）。</w:t>
            </w:r>
          </w:p>
          <w:p w14:paraId="322177D9">
            <w:pPr>
              <w:overflowPunct w:val="0"/>
              <w:adjustRightInd w:val="0"/>
              <w:snapToGrid w:val="0"/>
              <w:spacing w:line="360" w:lineRule="auto"/>
              <w:ind w:firstLine="480" w:firstLineChars="200"/>
              <w:rPr>
                <w:rFonts w:hint="eastAsia" w:eastAsia="宋体"/>
                <w:sz w:val="24"/>
                <w:szCs w:val="32"/>
                <w:lang w:val="en-US" w:eastAsia="zh-CN"/>
              </w:rPr>
            </w:pPr>
            <w:r>
              <w:rPr>
                <w:rFonts w:hint="eastAsia"/>
                <w:sz w:val="24"/>
                <w:szCs w:val="32"/>
              </w:rPr>
              <w:t>②加热：渗锌炉采用燃气加热，加热到420℃</w:t>
            </w:r>
            <w:r>
              <w:rPr>
                <w:rFonts w:hint="eastAsia"/>
                <w:sz w:val="24"/>
                <w:szCs w:val="32"/>
                <w:lang w:val="en-US" w:eastAsia="zh-CN"/>
              </w:rPr>
              <w:t>左右</w:t>
            </w:r>
            <w:r>
              <w:rPr>
                <w:rFonts w:hint="eastAsia"/>
                <w:sz w:val="24"/>
                <w:szCs w:val="32"/>
              </w:rPr>
              <w:t>，然后开始计时保温，达到保温时间后</w:t>
            </w:r>
            <w:r>
              <w:rPr>
                <w:rFonts w:hint="eastAsia"/>
                <w:sz w:val="24"/>
                <w:szCs w:val="32"/>
                <w:lang w:val="en-US" w:eastAsia="zh-CN"/>
              </w:rPr>
              <w:t>停止加热</w:t>
            </w:r>
            <w:r>
              <w:rPr>
                <w:rFonts w:hint="eastAsia"/>
                <w:sz w:val="24"/>
                <w:szCs w:val="32"/>
              </w:rPr>
              <w:t>。加热过程中活性金属原子由表及里地向钢铁制件渗透，这就在钢铁制件的表层形成锌铁金属化合物。加热及保温耗时约2h。设备配备传动翻转系统，由电机驱动炉胆轴带动炉胆旋转（转速通常为3-5转/分钟），配合循环风机实现炉内气体均匀分布</w:t>
            </w:r>
            <w:r>
              <w:rPr>
                <w:rFonts w:hint="eastAsia"/>
                <w:sz w:val="24"/>
                <w:szCs w:val="32"/>
                <w:lang w:eastAsia="zh-CN"/>
              </w:rPr>
              <w:t>。加热系统采用多区独立控温技术，通过温控仪表设定温度曲线并实时监测各区域热平衡状态，确保渗层厚度的均匀性。</w:t>
            </w:r>
            <w:r>
              <w:rPr>
                <w:rFonts w:hint="eastAsia"/>
                <w:sz w:val="24"/>
                <w:szCs w:val="32"/>
              </w:rPr>
              <w:t>根据企业提供的技术参数</w:t>
            </w:r>
            <w:r>
              <w:rPr>
                <w:rFonts w:hint="eastAsia"/>
                <w:sz w:val="24"/>
                <w:szCs w:val="32"/>
                <w:lang w:val="en-US" w:eastAsia="zh-CN"/>
              </w:rPr>
              <w:t>资料</w:t>
            </w:r>
            <w:r>
              <w:rPr>
                <w:rFonts w:hint="eastAsia"/>
                <w:sz w:val="24"/>
                <w:szCs w:val="32"/>
              </w:rPr>
              <w:t>，加热过程约有17%的渗锌剂在工件表面形成渗层。此工序中</w:t>
            </w:r>
            <w:r>
              <w:rPr>
                <w:rFonts w:hint="eastAsia"/>
                <w:sz w:val="24"/>
                <w:szCs w:val="32"/>
                <w:lang w:val="en-US" w:eastAsia="zh-CN"/>
              </w:rPr>
              <w:t>会</w:t>
            </w:r>
            <w:r>
              <w:rPr>
                <w:rFonts w:hint="eastAsia"/>
                <w:sz w:val="24"/>
                <w:szCs w:val="32"/>
              </w:rPr>
              <w:t>产生</w:t>
            </w:r>
            <w:r>
              <w:rPr>
                <w:rFonts w:hint="eastAsia"/>
                <w:sz w:val="24"/>
                <w:szCs w:val="32"/>
                <w:lang w:val="en-US" w:eastAsia="zh-CN"/>
              </w:rPr>
              <w:t>渗锌废气（G4）。</w:t>
            </w:r>
          </w:p>
          <w:p w14:paraId="07F3268F">
            <w:pPr>
              <w:overflowPunct w:val="0"/>
              <w:adjustRightInd w:val="0"/>
              <w:snapToGrid w:val="0"/>
              <w:spacing w:line="360" w:lineRule="auto"/>
              <w:ind w:firstLine="480" w:firstLineChars="200"/>
              <w:rPr>
                <w:rFonts w:hint="eastAsia"/>
                <w:sz w:val="24"/>
                <w:szCs w:val="32"/>
              </w:rPr>
            </w:pPr>
            <w:r>
              <w:rPr>
                <w:rFonts w:hint="eastAsia"/>
                <w:sz w:val="24"/>
                <w:szCs w:val="32"/>
              </w:rPr>
              <w:t>③</w:t>
            </w:r>
            <w:r>
              <w:rPr>
                <w:rFonts w:hint="eastAsia"/>
                <w:sz w:val="24"/>
                <w:szCs w:val="32"/>
                <w:lang w:val="en-US" w:eastAsia="zh-CN"/>
              </w:rPr>
              <w:t>冷却</w:t>
            </w:r>
            <w:r>
              <w:rPr>
                <w:rFonts w:hint="eastAsia"/>
                <w:sz w:val="24"/>
                <w:szCs w:val="32"/>
              </w:rPr>
              <w:t>：渗锌结束后，系统自动开启冷却程序，待温度降至100℃以下时触发卸料装置分离工件与渗锌剂，实现连续化生产。</w:t>
            </w:r>
            <w:r>
              <w:rPr>
                <w:rFonts w:hint="eastAsia"/>
                <w:sz w:val="24"/>
                <w:szCs w:val="32"/>
                <w:lang w:val="en-US" w:eastAsia="zh-CN"/>
              </w:rPr>
              <w:t>此工序会产生</w:t>
            </w:r>
            <w:r>
              <w:rPr>
                <w:rFonts w:hint="eastAsia"/>
                <w:sz w:val="24"/>
                <w:szCs w:val="32"/>
              </w:rPr>
              <w:t>废渗锌剂</w:t>
            </w:r>
            <w:r>
              <w:rPr>
                <w:rFonts w:hint="eastAsia"/>
                <w:sz w:val="24"/>
                <w:szCs w:val="32"/>
                <w:lang w:eastAsia="zh-CN"/>
              </w:rPr>
              <w:t>（</w:t>
            </w:r>
            <w:r>
              <w:rPr>
                <w:rFonts w:hint="eastAsia"/>
                <w:sz w:val="24"/>
                <w:szCs w:val="32"/>
                <w:lang w:val="en-US" w:eastAsia="zh-CN"/>
              </w:rPr>
              <w:t>S8</w:t>
            </w:r>
            <w:r>
              <w:rPr>
                <w:rFonts w:hint="eastAsia"/>
                <w:sz w:val="24"/>
                <w:szCs w:val="32"/>
                <w:lang w:eastAsia="zh-CN"/>
              </w:rPr>
              <w:t>）</w:t>
            </w:r>
            <w:r>
              <w:rPr>
                <w:rFonts w:hint="eastAsia"/>
                <w:sz w:val="24"/>
                <w:szCs w:val="32"/>
              </w:rPr>
              <w:t>。</w:t>
            </w:r>
          </w:p>
          <w:p w14:paraId="43FDB192">
            <w:pPr>
              <w:overflowPunct w:val="0"/>
              <w:adjustRightInd w:val="0"/>
              <w:snapToGrid w:val="0"/>
              <w:spacing w:line="360" w:lineRule="auto"/>
              <w:ind w:firstLine="480" w:firstLineChars="200"/>
              <w:rPr>
                <w:rFonts w:hint="eastAsia"/>
                <w:sz w:val="24"/>
                <w:szCs w:val="32"/>
              </w:rPr>
            </w:pPr>
            <w:r>
              <w:rPr>
                <w:rFonts w:hint="eastAsia"/>
                <w:sz w:val="24"/>
                <w:szCs w:val="32"/>
                <w:lang w:eastAsia="zh-CN"/>
              </w:rPr>
              <w:t>（</w:t>
            </w:r>
            <w:r>
              <w:rPr>
                <w:rFonts w:hint="eastAsia"/>
                <w:sz w:val="24"/>
                <w:szCs w:val="32"/>
                <w:lang w:val="en-US" w:eastAsia="zh-CN"/>
              </w:rPr>
              <w:t>7</w:t>
            </w:r>
            <w:r>
              <w:rPr>
                <w:rFonts w:hint="eastAsia"/>
                <w:sz w:val="24"/>
                <w:szCs w:val="32"/>
                <w:lang w:eastAsia="zh-CN"/>
              </w:rPr>
              <w:t>）</w:t>
            </w:r>
            <w:r>
              <w:rPr>
                <w:rFonts w:hint="eastAsia"/>
                <w:sz w:val="24"/>
                <w:szCs w:val="32"/>
                <w:lang w:val="en-US" w:eastAsia="zh-CN"/>
              </w:rPr>
              <w:t>成品出炉：项目全年有40%的工件在渗锌结束后，出炉直接作为成品</w:t>
            </w:r>
            <w:r>
              <w:rPr>
                <w:rFonts w:hint="eastAsia"/>
                <w:sz w:val="24"/>
                <w:szCs w:val="32"/>
              </w:rPr>
              <w:t>。</w:t>
            </w:r>
          </w:p>
          <w:p w14:paraId="5D689D7B">
            <w:pPr>
              <w:overflowPunct w:val="0"/>
              <w:adjustRightInd w:val="0"/>
              <w:snapToGrid w:val="0"/>
              <w:spacing w:line="360" w:lineRule="auto"/>
              <w:ind w:firstLine="480" w:firstLineChars="200"/>
              <w:rPr>
                <w:rFonts w:hint="default" w:eastAsia="宋体"/>
                <w:sz w:val="24"/>
                <w:szCs w:val="32"/>
                <w:lang w:val="en-US" w:eastAsia="zh-CN"/>
              </w:rPr>
            </w:pPr>
            <w:r>
              <w:rPr>
                <w:rFonts w:hint="eastAsia"/>
                <w:sz w:val="24"/>
                <w:szCs w:val="32"/>
                <w:lang w:eastAsia="zh-CN"/>
              </w:rPr>
              <w:t>（</w:t>
            </w:r>
            <w:r>
              <w:rPr>
                <w:rFonts w:hint="eastAsia"/>
                <w:sz w:val="24"/>
                <w:szCs w:val="32"/>
                <w:lang w:val="en-US" w:eastAsia="zh-CN"/>
              </w:rPr>
              <w:t>8</w:t>
            </w:r>
            <w:r>
              <w:rPr>
                <w:rFonts w:hint="eastAsia"/>
                <w:sz w:val="24"/>
                <w:szCs w:val="32"/>
                <w:lang w:eastAsia="zh-CN"/>
              </w:rPr>
              <w:t>）</w:t>
            </w:r>
            <w:r>
              <w:rPr>
                <w:rFonts w:hint="eastAsia"/>
                <w:sz w:val="24"/>
                <w:szCs w:val="32"/>
                <w:lang w:val="en-US" w:eastAsia="zh-CN"/>
              </w:rPr>
              <w:t>喷漆：项目全年有20%的工件在渗锌结束后进行喷漆处理。</w:t>
            </w:r>
            <w:r>
              <w:rPr>
                <w:rFonts w:hint="eastAsia"/>
                <w:sz w:val="24"/>
                <w:szCs w:val="32"/>
              </w:rPr>
              <w:t>项目设置1间密闭喷漆房，</w:t>
            </w:r>
            <w:r>
              <w:rPr>
                <w:rFonts w:hint="eastAsia"/>
                <w:sz w:val="24"/>
                <w:szCs w:val="32"/>
                <w:lang w:val="en-US" w:eastAsia="zh-CN"/>
              </w:rPr>
              <w:t>人工</w:t>
            </w:r>
            <w:r>
              <w:rPr>
                <w:rFonts w:hint="eastAsia"/>
                <w:sz w:val="24"/>
                <w:szCs w:val="32"/>
              </w:rPr>
              <w:t>喷漆后自然晾干。此工序主要产生</w:t>
            </w:r>
            <w:r>
              <w:rPr>
                <w:rFonts w:hint="eastAsia"/>
                <w:sz w:val="24"/>
                <w:szCs w:val="32"/>
                <w:lang w:val="en-US" w:eastAsia="zh-CN"/>
              </w:rPr>
              <w:t>喷漆废气（G5）、废漆桶（S9）、漆渣（S10）。</w:t>
            </w:r>
          </w:p>
          <w:p w14:paraId="77764203">
            <w:pPr>
              <w:overflowPunct w:val="0"/>
              <w:adjustRightInd w:val="0"/>
              <w:snapToGrid w:val="0"/>
              <w:spacing w:line="360" w:lineRule="auto"/>
              <w:ind w:firstLine="480" w:firstLineChars="200"/>
              <w:rPr>
                <w:rFonts w:hint="eastAsia"/>
                <w:sz w:val="24"/>
                <w:szCs w:val="32"/>
                <w:lang w:val="en-US" w:eastAsia="zh-CN"/>
              </w:rPr>
            </w:pPr>
            <w:r>
              <w:rPr>
                <w:rFonts w:hint="eastAsia"/>
                <w:sz w:val="24"/>
                <w:szCs w:val="32"/>
                <w:lang w:eastAsia="zh-CN"/>
              </w:rPr>
              <w:t>（</w:t>
            </w:r>
            <w:r>
              <w:rPr>
                <w:rFonts w:hint="eastAsia"/>
                <w:sz w:val="24"/>
                <w:szCs w:val="32"/>
                <w:lang w:val="en-US" w:eastAsia="zh-CN"/>
              </w:rPr>
              <w:t>9</w:t>
            </w:r>
            <w:r>
              <w:rPr>
                <w:rFonts w:hint="eastAsia"/>
                <w:sz w:val="24"/>
                <w:szCs w:val="32"/>
                <w:lang w:eastAsia="zh-CN"/>
              </w:rPr>
              <w:t>）</w:t>
            </w:r>
            <w:r>
              <w:rPr>
                <w:rFonts w:hint="eastAsia"/>
                <w:sz w:val="24"/>
                <w:szCs w:val="32"/>
                <w:lang w:val="en-US" w:eastAsia="zh-CN"/>
              </w:rPr>
              <w:t>钝化</w:t>
            </w:r>
            <w:r>
              <w:rPr>
                <w:rFonts w:hint="eastAsia"/>
                <w:sz w:val="24"/>
                <w:szCs w:val="32"/>
              </w:rPr>
              <w:t>封闭：</w:t>
            </w:r>
            <w:r>
              <w:rPr>
                <w:rFonts w:hint="eastAsia"/>
                <w:sz w:val="24"/>
                <w:szCs w:val="32"/>
                <w:lang w:val="en-US" w:eastAsia="zh-CN"/>
              </w:rPr>
              <w:t>项目全年有20%的工件在渗锌结束后进行钝化</w:t>
            </w:r>
            <w:r>
              <w:rPr>
                <w:rFonts w:hint="eastAsia"/>
                <w:sz w:val="24"/>
                <w:szCs w:val="32"/>
              </w:rPr>
              <w:t>封闭</w:t>
            </w:r>
            <w:r>
              <w:rPr>
                <w:rFonts w:hint="eastAsia"/>
                <w:sz w:val="24"/>
                <w:szCs w:val="32"/>
                <w:lang w:val="en-US" w:eastAsia="zh-CN"/>
              </w:rPr>
              <w:t>处理。</w:t>
            </w:r>
          </w:p>
          <w:p w14:paraId="06709B9C">
            <w:pPr>
              <w:overflowPunct w:val="0"/>
              <w:adjustRightInd w:val="0"/>
              <w:snapToGrid w:val="0"/>
              <w:spacing w:line="360" w:lineRule="auto"/>
              <w:ind w:firstLine="480" w:firstLineChars="200"/>
              <w:rPr>
                <w:rFonts w:hint="eastAsia"/>
                <w:sz w:val="24"/>
                <w:szCs w:val="32"/>
                <w:lang w:eastAsia="zh-CN"/>
              </w:rPr>
            </w:pPr>
            <w:r>
              <w:rPr>
                <w:rFonts w:hint="default" w:ascii="Times New Roman" w:hAnsi="Times New Roman" w:cs="Times New Roman"/>
                <w:sz w:val="24"/>
                <w:szCs w:val="32"/>
                <w:lang w:val="en-US" w:eastAsia="zh-CN"/>
              </w:rPr>
              <w:t>①</w:t>
            </w:r>
            <w:r>
              <w:rPr>
                <w:rFonts w:hint="eastAsia"/>
                <w:sz w:val="24"/>
                <w:szCs w:val="32"/>
                <w:lang w:val="en-US" w:eastAsia="zh-CN"/>
              </w:rPr>
              <w:t>清洗：渗锌后的工件通过全自动悬链线进行运输，首先进入密闭清洗仓，进行三级喷淋清洗，清洗仓内</w:t>
            </w:r>
            <w:r>
              <w:rPr>
                <w:rFonts w:hint="eastAsia"/>
                <w:sz w:val="24"/>
                <w:szCs w:val="32"/>
              </w:rPr>
              <w:t>清洗水循环使用，定期补水，</w:t>
            </w:r>
            <w:r>
              <w:rPr>
                <w:rFonts w:hint="eastAsia"/>
                <w:sz w:val="24"/>
                <w:szCs w:val="32"/>
                <w:lang w:val="en-US" w:eastAsia="zh-CN"/>
              </w:rPr>
              <w:t>此过程仓底会产生清洗</w:t>
            </w:r>
            <w:r>
              <w:rPr>
                <w:rFonts w:hint="eastAsia"/>
                <w:sz w:val="24"/>
                <w:szCs w:val="32"/>
              </w:rPr>
              <w:t>沉淀物</w:t>
            </w:r>
            <w:r>
              <w:rPr>
                <w:rFonts w:hint="eastAsia"/>
                <w:sz w:val="24"/>
                <w:szCs w:val="32"/>
                <w:lang w:eastAsia="zh-CN"/>
              </w:rPr>
              <w:t>（</w:t>
            </w:r>
            <w:r>
              <w:rPr>
                <w:rFonts w:hint="eastAsia"/>
                <w:sz w:val="24"/>
                <w:szCs w:val="32"/>
                <w:lang w:val="en-US" w:eastAsia="zh-CN"/>
              </w:rPr>
              <w:t>S11</w:t>
            </w:r>
            <w:r>
              <w:rPr>
                <w:rFonts w:hint="eastAsia"/>
                <w:sz w:val="24"/>
                <w:szCs w:val="32"/>
                <w:lang w:eastAsia="zh-CN"/>
              </w:rPr>
              <w:t>）。</w:t>
            </w:r>
          </w:p>
          <w:p w14:paraId="536117B3">
            <w:pPr>
              <w:overflowPunct w:val="0"/>
              <w:adjustRightInd w:val="0"/>
              <w:snapToGrid w:val="0"/>
              <w:spacing w:line="360" w:lineRule="auto"/>
              <w:ind w:firstLine="480" w:firstLineChars="200"/>
              <w:rPr>
                <w:rFonts w:hint="default" w:eastAsia="宋体"/>
                <w:sz w:val="24"/>
                <w:szCs w:val="32"/>
                <w:lang w:val="en-US" w:eastAsia="zh-CN"/>
              </w:rPr>
            </w:pPr>
            <w:r>
              <w:rPr>
                <w:rFonts w:hint="default" w:ascii="Times New Roman" w:hAnsi="Times New Roman" w:cs="Times New Roman"/>
                <w:sz w:val="24"/>
                <w:szCs w:val="32"/>
                <w:lang w:val="en-US" w:eastAsia="zh-CN"/>
              </w:rPr>
              <w:t>②</w:t>
            </w:r>
            <w:r>
              <w:rPr>
                <w:rFonts w:hint="eastAsia"/>
                <w:sz w:val="24"/>
                <w:szCs w:val="32"/>
                <w:lang w:val="en-US" w:eastAsia="zh-CN"/>
              </w:rPr>
              <w:t>钝化：清洗后的工件通过全自动悬链线进入钝化舱，喷淋钝化剂</w:t>
            </w:r>
            <w:r>
              <w:rPr>
                <w:rFonts w:hint="eastAsia"/>
                <w:sz w:val="24"/>
                <w:szCs w:val="32"/>
              </w:rPr>
              <w:t>（硅酸盐，</w:t>
            </w:r>
            <w:r>
              <w:rPr>
                <w:rFonts w:hint="eastAsia"/>
                <w:sz w:val="24"/>
                <w:szCs w:val="32"/>
                <w:lang w:val="en-US" w:eastAsia="zh-CN"/>
              </w:rPr>
              <w:t>喷淋10</w:t>
            </w:r>
            <w:r>
              <w:rPr>
                <w:rFonts w:hint="eastAsia"/>
                <w:sz w:val="24"/>
                <w:szCs w:val="32"/>
              </w:rPr>
              <w:t>~</w:t>
            </w:r>
            <w:r>
              <w:rPr>
                <w:rFonts w:hint="eastAsia"/>
                <w:sz w:val="24"/>
                <w:szCs w:val="32"/>
                <w:lang w:val="en-US" w:eastAsia="zh-CN"/>
              </w:rPr>
              <w:t>15秒，钝化液循环使用，定时添加</w:t>
            </w:r>
            <w:r>
              <w:rPr>
                <w:rFonts w:hint="eastAsia"/>
                <w:sz w:val="24"/>
                <w:szCs w:val="32"/>
              </w:rPr>
              <w:t>）</w:t>
            </w:r>
            <w:r>
              <w:rPr>
                <w:rFonts w:hint="eastAsia"/>
                <w:sz w:val="24"/>
                <w:szCs w:val="32"/>
                <w:lang w:val="en-US" w:eastAsia="zh-CN"/>
              </w:rPr>
              <w:t>，</w:t>
            </w:r>
            <w:r>
              <w:rPr>
                <w:rFonts w:hint="eastAsia"/>
                <w:sz w:val="24"/>
                <w:szCs w:val="32"/>
              </w:rPr>
              <w:t>在金属表面</w:t>
            </w:r>
            <w:r>
              <w:rPr>
                <w:rFonts w:ascii="Segoe UI" w:hAnsi="Segoe UI" w:eastAsia="Segoe UI" w:cs="Segoe UI"/>
                <w:i w:val="0"/>
                <w:iCs w:val="0"/>
                <w:caps w:val="0"/>
                <w:spacing w:val="0"/>
                <w:sz w:val="24"/>
                <w:szCs w:val="24"/>
                <w:shd w:val="clear" w:fill="FFFFFF"/>
              </w:rPr>
              <w:t>通过纳米二氧化硅与有机硅氧烷的协同作用形成类陶瓷膜层</w:t>
            </w:r>
            <w:r>
              <w:rPr>
                <w:rFonts w:hint="eastAsia"/>
                <w:sz w:val="24"/>
                <w:szCs w:val="32"/>
              </w:rPr>
              <w:t>，</w:t>
            </w:r>
            <w:r>
              <w:rPr>
                <w:rFonts w:ascii="Segoe UI" w:hAnsi="Segoe UI" w:eastAsia="Segoe UI" w:cs="Segoe UI"/>
                <w:i w:val="0"/>
                <w:iCs w:val="0"/>
                <w:caps w:val="0"/>
                <w:spacing w:val="0"/>
                <w:sz w:val="24"/>
                <w:szCs w:val="24"/>
                <w:shd w:val="clear" w:fill="FFFFFF"/>
              </w:rPr>
              <w:t>结合渗锌层本身的电化学保护，可实现与传统六价铬钝化相当的防腐性能</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i w:val="0"/>
                <w:iCs w:val="0"/>
                <w:caps w:val="0"/>
                <w:spacing w:val="0"/>
                <w:sz w:val="24"/>
                <w:szCs w:val="24"/>
                <w:shd w:val="clear" w:fill="FFFFFF"/>
                <w:lang w:val="en-US" w:eastAsia="zh-CN"/>
              </w:rPr>
              <w:t>且更加环保。钝化后的工件</w:t>
            </w:r>
            <w:r>
              <w:rPr>
                <w:rFonts w:hint="eastAsia"/>
                <w:sz w:val="24"/>
                <w:szCs w:val="32"/>
                <w:lang w:val="en-US" w:eastAsia="zh-CN"/>
              </w:rPr>
              <w:t>通过全自动悬链线</w:t>
            </w:r>
            <w:r>
              <w:rPr>
                <w:rFonts w:hint="eastAsia" w:ascii="Segoe UI" w:hAnsi="Segoe UI" w:eastAsia="宋体" w:cs="Segoe UI"/>
                <w:i w:val="0"/>
                <w:iCs w:val="0"/>
                <w:caps w:val="0"/>
                <w:spacing w:val="0"/>
                <w:sz w:val="24"/>
                <w:szCs w:val="24"/>
                <w:shd w:val="clear" w:fill="FFFFFF"/>
                <w:lang w:val="en-US" w:eastAsia="zh-CN"/>
              </w:rPr>
              <w:t>进入风刀房进行风干处理。</w:t>
            </w:r>
          </w:p>
          <w:p w14:paraId="3699929E">
            <w:pPr>
              <w:overflowPunct w:val="0"/>
              <w:adjustRightInd w:val="0"/>
              <w:snapToGrid w:val="0"/>
              <w:spacing w:line="360" w:lineRule="auto"/>
              <w:ind w:firstLine="480" w:firstLineChars="200"/>
              <w:rPr>
                <w:rFonts w:hint="eastAsia"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cs="Times New Roman"/>
                <w:sz w:val="24"/>
                <w:szCs w:val="32"/>
              </w:rPr>
              <w:t>③</w:t>
            </w:r>
            <w:r>
              <w:rPr>
                <w:rFonts w:hint="eastAsia" w:ascii="Times New Roman" w:hAnsi="Times New Roman" w:cs="Times New Roman"/>
                <w:sz w:val="24"/>
                <w:szCs w:val="32"/>
                <w:lang w:val="en-US" w:eastAsia="zh-CN"/>
              </w:rPr>
              <w:t>封</w:t>
            </w:r>
            <w:r>
              <w:rPr>
                <w:rFonts w:hint="default" w:ascii="Times New Roman" w:hAnsi="Times New Roman" w:cs="Times New Roman"/>
                <w:sz w:val="24"/>
                <w:szCs w:val="32"/>
                <w:lang w:val="en-US" w:eastAsia="zh-CN"/>
              </w:rPr>
              <w:t>闭：风干后的工件通过全自动悬链线</w:t>
            </w:r>
            <w:r>
              <w:rPr>
                <w:rFonts w:hint="default" w:ascii="Times New Roman" w:hAnsi="Times New Roman" w:eastAsia="宋体" w:cs="Times New Roman"/>
                <w:i w:val="0"/>
                <w:iCs w:val="0"/>
                <w:caps w:val="0"/>
                <w:spacing w:val="0"/>
                <w:sz w:val="24"/>
                <w:szCs w:val="24"/>
                <w:shd w:val="clear" w:fill="FFFFFF"/>
                <w:lang w:val="en-US" w:eastAsia="zh-CN"/>
              </w:rPr>
              <w:t>进入封闭漆（水性环氧底漆）喷淋房，进行封闭漆的喷淋</w:t>
            </w:r>
            <w:r>
              <w:rPr>
                <w:rFonts w:hint="eastAsia" w:ascii="Times New Roman" w:hAnsi="Times New Roman" w:eastAsia="宋体"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水性环氧底漆</w:t>
            </w:r>
            <w:r>
              <w:rPr>
                <w:rFonts w:hint="eastAsia" w:ascii="Times New Roman" w:hAnsi="Times New Roman" w:eastAsia="宋体" w:cs="Times New Roman"/>
                <w:i w:val="0"/>
                <w:iCs w:val="0"/>
                <w:caps w:val="0"/>
                <w:spacing w:val="0"/>
                <w:sz w:val="24"/>
                <w:szCs w:val="24"/>
                <w:shd w:val="clear" w:fill="FFFFFF"/>
                <w:lang w:val="en-US" w:eastAsia="zh-CN"/>
              </w:rPr>
              <w:t>，喷淋25~40秒，漆循环使用，定时添加）</w:t>
            </w:r>
            <w:r>
              <w:rPr>
                <w:rFonts w:hint="default" w:ascii="Times New Roman" w:hAnsi="Times New Roman" w:eastAsia="宋体" w:cs="Times New Roman"/>
                <w:i w:val="0"/>
                <w:iCs w:val="0"/>
                <w:caps w:val="0"/>
                <w:spacing w:val="0"/>
                <w:sz w:val="24"/>
                <w:szCs w:val="24"/>
                <w:shd w:val="clear" w:fill="FFFFFF"/>
                <w:lang w:val="en-US" w:eastAsia="zh-CN"/>
              </w:rPr>
              <w:t>，</w:t>
            </w:r>
            <w:r>
              <w:rPr>
                <w:rFonts w:ascii="Segoe UI" w:hAnsi="Segoe UI" w:eastAsia="Segoe UI" w:cs="Segoe UI"/>
                <w:i w:val="0"/>
                <w:iCs w:val="0"/>
                <w:caps w:val="0"/>
                <w:spacing w:val="0"/>
                <w:sz w:val="24"/>
                <w:szCs w:val="24"/>
                <w:shd w:val="clear" w:fill="FFFFFF"/>
              </w:rPr>
              <w:t>封闭</w:t>
            </w:r>
            <w:r>
              <w:rPr>
                <w:rFonts w:hint="default" w:ascii="Times New Roman" w:hAnsi="Times New Roman" w:eastAsia="宋体" w:cs="Times New Roman"/>
                <w:i w:val="0"/>
                <w:iCs w:val="0"/>
                <w:caps w:val="0"/>
                <w:spacing w:val="0"/>
                <w:sz w:val="24"/>
                <w:szCs w:val="24"/>
                <w:shd w:val="clear" w:fill="FFFFFF"/>
                <w:lang w:val="en-US" w:eastAsia="zh-CN"/>
              </w:rPr>
              <w:t>漆</w:t>
            </w:r>
            <w:r>
              <w:rPr>
                <w:rFonts w:ascii="Segoe UI" w:hAnsi="Segoe UI" w:eastAsia="Segoe UI" w:cs="Segoe UI"/>
                <w:i w:val="0"/>
                <w:iCs w:val="0"/>
                <w:caps w:val="0"/>
                <w:spacing w:val="0"/>
                <w:sz w:val="24"/>
                <w:szCs w:val="24"/>
                <w:shd w:val="clear" w:fill="FFFFFF"/>
              </w:rPr>
              <w:t>通过毛细作用填充钝化膜的微观孔隙，形成疏水性保护层，显著提高膜层致密性</w:t>
            </w:r>
            <w:r>
              <w:rPr>
                <w:rFonts w:hint="eastAsia" w:ascii="Segoe UI" w:hAnsi="Segoe UI" w:eastAsia="宋体" w:cs="Segoe UI"/>
                <w:i w:val="0"/>
                <w:iCs w:val="0"/>
                <w:caps w:val="0"/>
                <w:spacing w:val="0"/>
                <w:sz w:val="24"/>
                <w:szCs w:val="24"/>
                <w:shd w:val="clear" w:fill="FFFFFF"/>
                <w:lang w:eastAsia="zh-CN"/>
              </w:rPr>
              <w:t>；</w:t>
            </w:r>
            <w:r>
              <w:rPr>
                <w:rFonts w:hint="default" w:ascii="Times New Roman" w:hAnsi="Times New Roman" w:eastAsia="宋体" w:cs="Times New Roman"/>
                <w:i w:val="0"/>
                <w:iCs w:val="0"/>
                <w:caps w:val="0"/>
                <w:spacing w:val="0"/>
                <w:sz w:val="24"/>
                <w:szCs w:val="24"/>
                <w:shd w:val="clear" w:fill="FFFFFF"/>
                <w:lang w:val="en-US" w:eastAsia="zh-CN"/>
              </w:rPr>
              <w:t>随后</w:t>
            </w:r>
            <w:r>
              <w:rPr>
                <w:rFonts w:hint="eastAsia" w:ascii="Times New Roman" w:hAnsi="Times New Roman" w:eastAsia="宋体" w:cs="Times New Roman"/>
                <w:i w:val="0"/>
                <w:iCs w:val="0"/>
                <w:caps w:val="0"/>
                <w:spacing w:val="0"/>
                <w:sz w:val="24"/>
                <w:szCs w:val="24"/>
                <w:shd w:val="clear" w:fill="FFFFFF"/>
                <w:lang w:val="en-US" w:eastAsia="zh-CN"/>
              </w:rPr>
              <w:t>工件</w:t>
            </w:r>
            <w:r>
              <w:rPr>
                <w:rFonts w:hint="default" w:ascii="Times New Roman" w:hAnsi="Times New Roman" w:eastAsia="宋体" w:cs="Times New Roman"/>
                <w:i w:val="0"/>
                <w:iCs w:val="0"/>
                <w:caps w:val="0"/>
                <w:spacing w:val="0"/>
                <w:sz w:val="24"/>
                <w:szCs w:val="24"/>
                <w:shd w:val="clear" w:fill="FFFFFF"/>
                <w:lang w:val="en-US" w:eastAsia="zh-CN"/>
              </w:rPr>
              <w:t>进入干式喷房处理淋漆后产生过量漆雾，</w:t>
            </w:r>
            <w:r>
              <w:rPr>
                <w:rFonts w:hint="default" w:ascii="Times New Roman" w:hAnsi="Times New Roman" w:eastAsia="Segoe UI" w:cs="Times New Roman"/>
                <w:i w:val="0"/>
                <w:iCs w:val="0"/>
                <w:caps w:val="0"/>
                <w:spacing w:val="0"/>
                <w:sz w:val="24"/>
                <w:szCs w:val="24"/>
                <w:shd w:val="clear" w:fill="FFFFFF"/>
              </w:rPr>
              <w:t>干式喷房的原理是通过多层过滤材料和气流动力学效应拦截漆雾颗粒</w:t>
            </w:r>
            <w:r>
              <w:rPr>
                <w:rFonts w:hint="eastAsia"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Segoe UI" w:cs="Times New Roman"/>
                <w:i w:val="0"/>
                <w:iCs w:val="0"/>
                <w:caps w:val="0"/>
                <w:spacing w:val="0"/>
                <w:sz w:val="24"/>
                <w:szCs w:val="24"/>
                <w:shd w:val="clear" w:fill="FFFFFF"/>
              </w:rPr>
              <w:t>当含漆雾的气流进入喷房时，首先经过V形过滤室，通过惯性分离使大颗粒黏附在过滤板表面，细小颗粒则被纤维过滤棉二次拦截，最终净化效率可达9</w:t>
            </w:r>
            <w:r>
              <w:rPr>
                <w:rFonts w:hint="eastAsia" w:ascii="Times New Roman" w:hAnsi="Times New Roman" w:eastAsia="宋体" w:cs="Times New Roman"/>
                <w:i w:val="0"/>
                <w:iCs w:val="0"/>
                <w:caps w:val="0"/>
                <w:spacing w:val="0"/>
                <w:sz w:val="24"/>
                <w:szCs w:val="24"/>
                <w:shd w:val="clear" w:fill="FFFFFF"/>
                <w:lang w:val="en-US" w:eastAsia="zh-CN"/>
              </w:rPr>
              <w:t>5</w:t>
            </w:r>
            <w:r>
              <w:rPr>
                <w:rFonts w:hint="default" w:ascii="Times New Roman" w:hAnsi="Times New Roman" w:eastAsia="Segoe UI" w:cs="Times New Roman"/>
                <w:i w:val="0"/>
                <w:iCs w:val="0"/>
                <w:caps w:val="0"/>
                <w:spacing w:val="0"/>
                <w:sz w:val="24"/>
                <w:szCs w:val="24"/>
                <w:shd w:val="clear" w:fill="FFFFFF"/>
              </w:rPr>
              <w:t>%。</w:t>
            </w:r>
            <w:r>
              <w:rPr>
                <w:rFonts w:hint="eastAsia" w:ascii="Times New Roman" w:hAnsi="Times New Roman" w:eastAsia="宋体" w:cs="Times New Roman"/>
                <w:i w:val="0"/>
                <w:iCs w:val="0"/>
                <w:caps w:val="0"/>
                <w:spacing w:val="0"/>
                <w:sz w:val="24"/>
                <w:szCs w:val="24"/>
                <w:shd w:val="clear" w:fill="FFFFFF"/>
                <w:lang w:val="en-US" w:eastAsia="zh-CN"/>
              </w:rPr>
              <w:t>然后进入封闭漆固化房进行烘干处理，固化房为燃气烘干炉。</w:t>
            </w:r>
            <w:r>
              <w:rPr>
                <w:rFonts w:hint="default" w:ascii="Times New Roman" w:hAnsi="Times New Roman" w:eastAsia="宋体" w:cs="Times New Roman"/>
                <w:i w:val="0"/>
                <w:iCs w:val="0"/>
                <w:caps w:val="0"/>
                <w:spacing w:val="0"/>
                <w:sz w:val="24"/>
                <w:szCs w:val="24"/>
                <w:shd w:val="clear" w:fill="FFFFFF"/>
                <w:lang w:val="en-US" w:eastAsia="zh-CN"/>
              </w:rPr>
              <w:t>此</w:t>
            </w:r>
            <w:r>
              <w:rPr>
                <w:rFonts w:hint="eastAsia" w:ascii="Times New Roman" w:hAnsi="Times New Roman" w:eastAsia="宋体" w:cs="Times New Roman"/>
                <w:i w:val="0"/>
                <w:iCs w:val="0"/>
                <w:caps w:val="0"/>
                <w:spacing w:val="0"/>
                <w:sz w:val="24"/>
                <w:szCs w:val="24"/>
                <w:shd w:val="clear" w:fill="FFFFFF"/>
                <w:lang w:val="en-US" w:eastAsia="zh-CN"/>
              </w:rPr>
              <w:t>工序在全密闭自动化设备中进行，该过程</w:t>
            </w:r>
            <w:r>
              <w:rPr>
                <w:rFonts w:hint="default" w:ascii="Times New Roman" w:hAnsi="Times New Roman" w:eastAsia="宋体" w:cs="Times New Roman"/>
                <w:i w:val="0"/>
                <w:iCs w:val="0"/>
                <w:caps w:val="0"/>
                <w:spacing w:val="0"/>
                <w:sz w:val="24"/>
                <w:szCs w:val="24"/>
                <w:shd w:val="clear" w:fill="FFFFFF"/>
                <w:lang w:val="en-US" w:eastAsia="zh-CN"/>
              </w:rPr>
              <w:t>会产生封闭废气（G6）</w:t>
            </w:r>
            <w:r>
              <w:rPr>
                <w:rFonts w:hint="eastAsia" w:ascii="Times New Roman" w:hAnsi="Times New Roman" w:eastAsia="宋体" w:cs="Times New Roman"/>
                <w:i w:val="0"/>
                <w:iCs w:val="0"/>
                <w:caps w:val="0"/>
                <w:spacing w:val="0"/>
                <w:sz w:val="24"/>
                <w:szCs w:val="24"/>
                <w:shd w:val="clear" w:fill="FFFFFF"/>
                <w:lang w:val="en-US" w:eastAsia="zh-CN"/>
              </w:rPr>
              <w:t>、废过滤棉（S12）。</w:t>
            </w:r>
          </w:p>
          <w:p w14:paraId="4ED1DA56">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10</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检测：喷漆、渗锌出炉、钝化封闭后的成品经检测后包装入库。此工序产生不合格品（S6）。</w:t>
            </w:r>
          </w:p>
          <w:p w14:paraId="7061FC9F">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w:t>
            </w:r>
            <w:r>
              <w:rPr>
                <w:rFonts w:hint="eastAsia" w:ascii="Times New Roman" w:hAnsi="Times New Roman" w:eastAsia="宋体" w:cs="Times New Roman"/>
                <w:sz w:val="24"/>
                <w:lang w:val="en-US" w:eastAsia="zh-CN"/>
              </w:rPr>
              <w:t>本</w:t>
            </w:r>
            <w:r>
              <w:rPr>
                <w:rFonts w:hint="eastAsia" w:ascii="Times New Roman" w:hAnsi="Times New Roman" w:eastAsia="宋体" w:cs="Times New Roman"/>
                <w:sz w:val="24"/>
              </w:rPr>
              <w:t>项目营运期</w:t>
            </w:r>
            <w:r>
              <w:rPr>
                <w:rFonts w:ascii="Times New Roman" w:hAnsi="Times New Roman" w:eastAsia="宋体" w:cs="Times New Roman"/>
                <w:sz w:val="24"/>
              </w:rPr>
              <w:t>产污环节</w:t>
            </w:r>
            <w:r>
              <w:rPr>
                <w:rFonts w:hint="eastAsia" w:ascii="Times New Roman" w:hAnsi="Times New Roman" w:eastAsia="宋体" w:cs="Times New Roman"/>
                <w:sz w:val="24"/>
              </w:rPr>
              <w:t>分析</w:t>
            </w:r>
            <w:r>
              <w:rPr>
                <w:rFonts w:ascii="Times New Roman" w:hAnsi="Times New Roman" w:eastAsia="宋体" w:cs="Times New Roman"/>
                <w:sz w:val="24"/>
              </w:rPr>
              <w:t>如下表所示。</w:t>
            </w:r>
          </w:p>
          <w:p w14:paraId="21D69D4D">
            <w:pPr>
              <w:widowControl/>
              <w:numPr>
                <w:ilvl w:val="0"/>
                <w:numId w:val="2"/>
              </w:numPr>
              <w:jc w:val="center"/>
              <w:rPr>
                <w:rFonts w:hint="eastAsia" w:ascii="Times New Roman" w:hAnsi="Times New Roman" w:eastAsia="宋体" w:cs="Times New Roman"/>
                <w:b/>
                <w:kern w:val="0"/>
                <w:szCs w:val="21"/>
              </w:rPr>
            </w:pPr>
            <w:bookmarkStart w:id="2" w:name="_Hlk96606576"/>
            <w:r>
              <w:rPr>
                <w:rFonts w:hint="eastAsia" w:ascii="Times New Roman" w:hAnsi="Times New Roman" w:eastAsia="宋体" w:cs="Times New Roman"/>
                <w:b/>
                <w:kern w:val="0"/>
                <w:szCs w:val="21"/>
                <w:lang w:eastAsia="zh-CN"/>
              </w:rPr>
              <w:t>本</w:t>
            </w:r>
            <w:r>
              <w:rPr>
                <w:rFonts w:hint="eastAsia" w:ascii="Times New Roman" w:hAnsi="Times New Roman" w:eastAsia="宋体" w:cs="Times New Roman"/>
                <w:b/>
                <w:kern w:val="0"/>
                <w:szCs w:val="21"/>
              </w:rPr>
              <w:t>项目营运期产污环节分析一览表</w:t>
            </w:r>
          </w:p>
          <w:tbl>
            <w:tblPr>
              <w:tblStyle w:val="24"/>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08"/>
              <w:gridCol w:w="579"/>
              <w:gridCol w:w="877"/>
              <w:gridCol w:w="990"/>
              <w:gridCol w:w="2098"/>
              <w:gridCol w:w="3347"/>
            </w:tblGrid>
            <w:tr w14:paraId="4D0C7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blHeader/>
              </w:trPr>
              <w:tc>
                <w:tcPr>
                  <w:tcW w:w="0" w:type="auto"/>
                  <w:noWrap w:val="0"/>
                  <w:vAlign w:val="center"/>
                </w:tcPr>
                <w:p w14:paraId="5D28B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种类</w:t>
                  </w:r>
                </w:p>
              </w:tc>
              <w:tc>
                <w:tcPr>
                  <w:tcW w:w="0" w:type="auto"/>
                  <w:noWrap w:val="0"/>
                  <w:vAlign w:val="center"/>
                </w:tcPr>
                <w:p w14:paraId="2F661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编号</w:t>
                  </w:r>
                </w:p>
              </w:tc>
              <w:tc>
                <w:tcPr>
                  <w:tcW w:w="0" w:type="auto"/>
                  <w:noWrap w:val="0"/>
                  <w:vAlign w:val="center"/>
                </w:tcPr>
                <w:p w14:paraId="09FC8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产生工序</w:t>
                  </w:r>
                </w:p>
              </w:tc>
              <w:tc>
                <w:tcPr>
                  <w:tcW w:w="0" w:type="auto"/>
                  <w:noWrap w:val="0"/>
                  <w:vAlign w:val="center"/>
                </w:tcPr>
                <w:p w14:paraId="54B43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污染物名称</w:t>
                  </w:r>
                </w:p>
              </w:tc>
              <w:tc>
                <w:tcPr>
                  <w:tcW w:w="0" w:type="auto"/>
                  <w:noWrap w:val="0"/>
                  <w:vAlign w:val="center"/>
                </w:tcPr>
                <w:p w14:paraId="2AC5DF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主要成分</w:t>
                  </w:r>
                </w:p>
              </w:tc>
              <w:tc>
                <w:tcPr>
                  <w:tcW w:w="0" w:type="auto"/>
                  <w:noWrap w:val="0"/>
                  <w:vAlign w:val="center"/>
                </w:tcPr>
                <w:p w14:paraId="2EACF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处理措施</w:t>
                  </w:r>
                </w:p>
              </w:tc>
            </w:tr>
            <w:tr w14:paraId="7850A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restart"/>
                  <w:noWrap w:val="0"/>
                  <w:vAlign w:val="center"/>
                </w:tcPr>
                <w:p w14:paraId="17299C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kern w:val="2"/>
                      <w:sz w:val="21"/>
                      <w:szCs w:val="21"/>
                      <w:lang w:val="en-US" w:eastAsia="zh-CN" w:bidi="ar-SA"/>
                    </w:rPr>
                    <w:t>废气</w:t>
                  </w:r>
                </w:p>
              </w:tc>
              <w:tc>
                <w:tcPr>
                  <w:tcW w:w="0" w:type="auto"/>
                  <w:noWrap w:val="0"/>
                  <w:vAlign w:val="center"/>
                </w:tcPr>
                <w:p w14:paraId="20D96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lang w:val="en-US" w:eastAsia="zh-CN"/>
                    </w:rPr>
                    <w:t>G</w:t>
                  </w:r>
                  <w:r>
                    <w:rPr>
                      <w:rFonts w:hint="eastAsia"/>
                      <w:lang w:val="en-US" w:eastAsia="zh-CN"/>
                    </w:rPr>
                    <w:t>1</w:t>
                  </w:r>
                </w:p>
              </w:tc>
              <w:tc>
                <w:tcPr>
                  <w:tcW w:w="0" w:type="auto"/>
                  <w:noWrap w:val="0"/>
                  <w:vAlign w:val="center"/>
                </w:tcPr>
                <w:p w14:paraId="62B92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切割下料</w:t>
                  </w:r>
                </w:p>
              </w:tc>
              <w:tc>
                <w:tcPr>
                  <w:tcW w:w="0" w:type="auto"/>
                  <w:noWrap w:val="0"/>
                  <w:vAlign w:val="center"/>
                </w:tcPr>
                <w:p w14:paraId="067CA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切割粉尘</w:t>
                  </w:r>
                </w:p>
              </w:tc>
              <w:tc>
                <w:tcPr>
                  <w:tcW w:w="0" w:type="auto"/>
                  <w:noWrap w:val="0"/>
                  <w:vAlign w:val="center"/>
                </w:tcPr>
                <w:p w14:paraId="22509D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0" w:type="auto"/>
                  <w:noWrap w:val="0"/>
                  <w:vAlign w:val="center"/>
                </w:tcPr>
                <w:p w14:paraId="36E81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设备自带除尘器处理</w:t>
                  </w:r>
                </w:p>
              </w:tc>
            </w:tr>
            <w:tr w14:paraId="40D2F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2D8D9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4D13B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G</w:t>
                  </w:r>
                  <w:r>
                    <w:rPr>
                      <w:lang w:val="en-US" w:eastAsia="zh-CN"/>
                    </w:rPr>
                    <w:t>2</w:t>
                  </w:r>
                </w:p>
              </w:tc>
              <w:tc>
                <w:tcPr>
                  <w:tcW w:w="0" w:type="auto"/>
                  <w:noWrap w:val="0"/>
                  <w:vAlign w:val="center"/>
                </w:tcPr>
                <w:p w14:paraId="6ED017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焊接</w:t>
                  </w:r>
                </w:p>
              </w:tc>
              <w:tc>
                <w:tcPr>
                  <w:tcW w:w="0" w:type="auto"/>
                  <w:noWrap w:val="0"/>
                  <w:vAlign w:val="center"/>
                </w:tcPr>
                <w:p w14:paraId="75D59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焊接烟尘</w:t>
                  </w:r>
                </w:p>
              </w:tc>
              <w:tc>
                <w:tcPr>
                  <w:tcW w:w="0" w:type="auto"/>
                  <w:noWrap w:val="0"/>
                  <w:vAlign w:val="center"/>
                </w:tcPr>
                <w:p w14:paraId="39CF6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0" w:type="auto"/>
                  <w:noWrap w:val="0"/>
                  <w:vAlign w:val="center"/>
                </w:tcPr>
                <w:p w14:paraId="029DF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移动式焊烟净化器处理</w:t>
                  </w:r>
                </w:p>
              </w:tc>
            </w:tr>
            <w:tr w14:paraId="54B0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15D2A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33421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G</w:t>
                  </w:r>
                  <w:r>
                    <w:rPr>
                      <w:lang w:val="en-US" w:eastAsia="zh-CN"/>
                    </w:rPr>
                    <w:t>3</w:t>
                  </w:r>
                </w:p>
              </w:tc>
              <w:tc>
                <w:tcPr>
                  <w:tcW w:w="0" w:type="auto"/>
                  <w:noWrap w:val="0"/>
                  <w:vAlign w:val="center"/>
                </w:tcPr>
                <w:p w14:paraId="1C2BF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抛丸</w:t>
                  </w:r>
                </w:p>
              </w:tc>
              <w:tc>
                <w:tcPr>
                  <w:tcW w:w="0" w:type="auto"/>
                  <w:noWrap w:val="0"/>
                  <w:vAlign w:val="center"/>
                </w:tcPr>
                <w:p w14:paraId="0AFC4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抛丸粉尘</w:t>
                  </w:r>
                </w:p>
              </w:tc>
              <w:tc>
                <w:tcPr>
                  <w:tcW w:w="0" w:type="auto"/>
                  <w:noWrap w:val="0"/>
                  <w:vAlign w:val="center"/>
                </w:tcPr>
                <w:p w14:paraId="29A2A5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0" w:type="auto"/>
                  <w:noWrap w:val="0"/>
                  <w:vAlign w:val="center"/>
                </w:tcPr>
                <w:p w14:paraId="60C17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设备自带振打式布袋除尘器处理</w:t>
                  </w:r>
                </w:p>
              </w:tc>
            </w:tr>
            <w:tr w14:paraId="1576D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3B088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130957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lang w:val="en-US" w:eastAsia="zh-CN"/>
                    </w:rPr>
                    <w:t>G</w:t>
                  </w:r>
                  <w:r>
                    <w:rPr>
                      <w:rFonts w:hint="eastAsia"/>
                      <w:lang w:val="en-US" w:eastAsia="zh-CN"/>
                    </w:rPr>
                    <w:t>4</w:t>
                  </w:r>
                </w:p>
              </w:tc>
              <w:tc>
                <w:tcPr>
                  <w:tcW w:w="0" w:type="auto"/>
                  <w:noWrap w:val="0"/>
                  <w:vAlign w:val="center"/>
                </w:tcPr>
                <w:p w14:paraId="6605D8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渗锌</w:t>
                  </w:r>
                </w:p>
              </w:tc>
              <w:tc>
                <w:tcPr>
                  <w:tcW w:w="0" w:type="auto"/>
                  <w:noWrap w:val="0"/>
                  <w:vAlign w:val="center"/>
                </w:tcPr>
                <w:p w14:paraId="513971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渗锌废气</w:t>
                  </w:r>
                </w:p>
              </w:tc>
              <w:tc>
                <w:tcPr>
                  <w:tcW w:w="0" w:type="auto"/>
                  <w:noWrap w:val="0"/>
                  <w:vAlign w:val="center"/>
                </w:tcPr>
                <w:p w14:paraId="59451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SO</w:t>
                  </w:r>
                  <w:r>
                    <w:rPr>
                      <w:rFonts w:hint="eastAsia"/>
                      <w:sz w:val="21"/>
                      <w:szCs w:val="21"/>
                      <w:vertAlign w:val="subscript"/>
                    </w:rPr>
                    <w:t>2</w:t>
                  </w:r>
                  <w:r>
                    <w:rPr>
                      <w:rFonts w:hint="eastAsia"/>
                      <w:sz w:val="21"/>
                      <w:szCs w:val="21"/>
                    </w:rPr>
                    <w:t>、NO</w:t>
                  </w:r>
                  <w:r>
                    <w:rPr>
                      <w:rFonts w:hint="eastAsia"/>
                      <w:sz w:val="21"/>
                      <w:szCs w:val="21"/>
                      <w:vertAlign w:val="subscript"/>
                      <w:lang w:val="en-US" w:eastAsia="zh-CN"/>
                    </w:rPr>
                    <w:t>X</w:t>
                  </w:r>
                  <w:r>
                    <w:rPr>
                      <w:rFonts w:hint="eastAsia"/>
                      <w:sz w:val="21"/>
                      <w:szCs w:val="21"/>
                    </w:rPr>
                    <w:t>、颗粒物</w:t>
                  </w:r>
                </w:p>
              </w:tc>
              <w:tc>
                <w:tcPr>
                  <w:tcW w:w="0" w:type="auto"/>
                  <w:noWrap w:val="0"/>
                  <w:vAlign w:val="center"/>
                </w:tcPr>
                <w:p w14:paraId="6A0CD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配套</w:t>
                  </w:r>
                  <w:r>
                    <w:rPr>
                      <w:rFonts w:hint="eastAsia" w:ascii="Times New Roman" w:hAnsi="Times New Roman" w:eastAsia="宋体" w:cs="Times New Roman"/>
                      <w:kern w:val="2"/>
                      <w:sz w:val="21"/>
                      <w:szCs w:val="21"/>
                      <w:lang w:val="en-US" w:eastAsia="zh-CN" w:bidi="ar-SA"/>
                    </w:rPr>
                    <w:t>低氮燃烧器</w:t>
                  </w:r>
                </w:p>
              </w:tc>
            </w:tr>
            <w:tr w14:paraId="1FF1E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6028C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44DE66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G5</w:t>
                  </w:r>
                </w:p>
              </w:tc>
              <w:tc>
                <w:tcPr>
                  <w:tcW w:w="0" w:type="auto"/>
                  <w:noWrap w:val="0"/>
                  <w:vAlign w:val="center"/>
                </w:tcPr>
                <w:p w14:paraId="3D2B82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喷漆</w:t>
                  </w:r>
                </w:p>
              </w:tc>
              <w:tc>
                <w:tcPr>
                  <w:tcW w:w="0" w:type="auto"/>
                  <w:noWrap w:val="0"/>
                  <w:vAlign w:val="center"/>
                </w:tcPr>
                <w:p w14:paraId="69136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喷漆废气</w:t>
                  </w:r>
                </w:p>
              </w:tc>
              <w:tc>
                <w:tcPr>
                  <w:tcW w:w="0" w:type="auto"/>
                  <w:noWrap w:val="0"/>
                  <w:vAlign w:val="center"/>
                </w:tcPr>
                <w:p w14:paraId="5FAD9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rPr>
                    <w:t>有机废气</w:t>
                  </w:r>
                  <w:r>
                    <w:rPr>
                      <w:rFonts w:hint="eastAsia"/>
                      <w:lang w:eastAsia="zh-CN"/>
                    </w:rPr>
                    <w:t>、</w:t>
                  </w:r>
                  <w:r>
                    <w:rPr>
                      <w:rFonts w:hint="eastAsia"/>
                    </w:rPr>
                    <w:t>漆雾</w:t>
                  </w:r>
                </w:p>
              </w:tc>
              <w:tc>
                <w:tcPr>
                  <w:tcW w:w="0" w:type="auto"/>
                  <w:noWrap w:val="0"/>
                  <w:vAlign w:val="center"/>
                </w:tcPr>
                <w:p w14:paraId="0DB10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喷漆房全密闭微负压收集，经</w:t>
                  </w:r>
                  <w:r>
                    <w:rPr>
                      <w:rFonts w:hint="eastAsia"/>
                      <w:bCs/>
                      <w:szCs w:val="21"/>
                    </w:rPr>
                    <w:t>干式漆雾处理器+两级活性炭吸附设施</w:t>
                  </w:r>
                  <w:r>
                    <w:rPr>
                      <w:rFonts w:hint="eastAsia"/>
                      <w:bCs/>
                      <w:szCs w:val="21"/>
                      <w:lang w:val="en-US" w:eastAsia="zh-CN"/>
                    </w:rPr>
                    <w:t>处理</w:t>
                  </w:r>
                </w:p>
              </w:tc>
            </w:tr>
            <w:tr w14:paraId="64CC8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35CD7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3C6512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G6</w:t>
                  </w:r>
                </w:p>
              </w:tc>
              <w:tc>
                <w:tcPr>
                  <w:tcW w:w="0" w:type="auto"/>
                  <w:noWrap w:val="0"/>
                  <w:vAlign w:val="center"/>
                </w:tcPr>
                <w:p w14:paraId="680ACE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钝化封闭</w:t>
                  </w:r>
                </w:p>
              </w:tc>
              <w:tc>
                <w:tcPr>
                  <w:tcW w:w="0" w:type="auto"/>
                  <w:noWrap w:val="0"/>
                  <w:vAlign w:val="center"/>
                </w:tcPr>
                <w:p w14:paraId="5DBBF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封闭废气</w:t>
                  </w:r>
                </w:p>
              </w:tc>
              <w:tc>
                <w:tcPr>
                  <w:tcW w:w="0" w:type="auto"/>
                  <w:noWrap w:val="0"/>
                  <w:vAlign w:val="center"/>
                </w:tcPr>
                <w:p w14:paraId="03F82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rPr>
                    <w:t>有机废气</w:t>
                  </w:r>
                  <w:r>
                    <w:rPr>
                      <w:rFonts w:hint="eastAsia"/>
                      <w:lang w:eastAsia="zh-CN"/>
                    </w:rPr>
                    <w:t>、</w:t>
                  </w:r>
                  <w:r>
                    <w:rPr>
                      <w:rFonts w:hint="eastAsia"/>
                    </w:rPr>
                    <w:t>漆雾</w:t>
                  </w:r>
                  <w:r>
                    <w:rPr>
                      <w:rFonts w:hint="eastAsia"/>
                      <w:lang w:eastAsia="zh-CN"/>
                    </w:rPr>
                    <w:t>、</w:t>
                  </w:r>
                  <w:r>
                    <w:rPr>
                      <w:rFonts w:hint="eastAsia"/>
                      <w:sz w:val="21"/>
                      <w:szCs w:val="21"/>
                    </w:rPr>
                    <w:t>SO</w:t>
                  </w:r>
                  <w:r>
                    <w:rPr>
                      <w:rFonts w:hint="eastAsia"/>
                      <w:sz w:val="21"/>
                      <w:szCs w:val="21"/>
                      <w:vertAlign w:val="subscript"/>
                    </w:rPr>
                    <w:t>2</w:t>
                  </w:r>
                  <w:r>
                    <w:rPr>
                      <w:rFonts w:hint="eastAsia"/>
                      <w:sz w:val="21"/>
                      <w:szCs w:val="21"/>
                    </w:rPr>
                    <w:t>、NO</w:t>
                  </w:r>
                  <w:r>
                    <w:rPr>
                      <w:rFonts w:hint="eastAsia"/>
                      <w:sz w:val="21"/>
                      <w:szCs w:val="21"/>
                      <w:vertAlign w:val="subscript"/>
                      <w:lang w:val="en-US" w:eastAsia="zh-CN"/>
                    </w:rPr>
                    <w:t>X</w:t>
                  </w:r>
                  <w:r>
                    <w:rPr>
                      <w:rFonts w:hint="eastAsia"/>
                      <w:sz w:val="21"/>
                      <w:szCs w:val="21"/>
                    </w:rPr>
                    <w:t>、颗粒物</w:t>
                  </w:r>
                </w:p>
              </w:tc>
              <w:tc>
                <w:tcPr>
                  <w:tcW w:w="0" w:type="auto"/>
                  <w:noWrap w:val="0"/>
                  <w:vAlign w:val="center"/>
                </w:tcPr>
                <w:p w14:paraId="76438B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钝化封闭在全密闭设备中，负压收集后经</w:t>
                  </w:r>
                  <w:r>
                    <w:rPr>
                      <w:rFonts w:hint="eastAsia"/>
                      <w:bCs/>
                      <w:szCs w:val="21"/>
                    </w:rPr>
                    <w:t>干式漆雾处理器+两级活性炭吸附设施</w:t>
                  </w:r>
                  <w:r>
                    <w:rPr>
                      <w:rFonts w:hint="eastAsia"/>
                      <w:bCs/>
                      <w:szCs w:val="21"/>
                      <w:lang w:val="en-US" w:eastAsia="zh-CN"/>
                    </w:rPr>
                    <w:t>处理</w:t>
                  </w:r>
                </w:p>
              </w:tc>
            </w:tr>
            <w:tr w14:paraId="1AB67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noWrap w:val="0"/>
                  <w:vAlign w:val="center"/>
                </w:tcPr>
                <w:p w14:paraId="4FD1A2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废水</w:t>
                  </w:r>
                </w:p>
              </w:tc>
              <w:tc>
                <w:tcPr>
                  <w:tcW w:w="0" w:type="auto"/>
                  <w:noWrap w:val="0"/>
                  <w:vAlign w:val="center"/>
                </w:tcPr>
                <w:p w14:paraId="36EAC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W</w:t>
                  </w:r>
                  <w:r>
                    <w:rPr>
                      <w:lang w:val="en-US" w:eastAsia="zh-CN"/>
                    </w:rPr>
                    <w:t>1</w:t>
                  </w:r>
                </w:p>
              </w:tc>
              <w:tc>
                <w:tcPr>
                  <w:tcW w:w="0" w:type="auto"/>
                  <w:noWrap w:val="0"/>
                  <w:vAlign w:val="center"/>
                </w:tcPr>
                <w:p w14:paraId="04B8A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办公生活</w:t>
                  </w:r>
                </w:p>
              </w:tc>
              <w:tc>
                <w:tcPr>
                  <w:tcW w:w="0" w:type="auto"/>
                  <w:noWrap w:val="0"/>
                  <w:vAlign w:val="center"/>
                </w:tcPr>
                <w:p w14:paraId="14F87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生活污水</w:t>
                  </w:r>
                </w:p>
              </w:tc>
              <w:tc>
                <w:tcPr>
                  <w:tcW w:w="0" w:type="auto"/>
                  <w:noWrap w:val="0"/>
                  <w:vAlign w:val="center"/>
                </w:tcPr>
                <w:p w14:paraId="6ACFA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w:t>
                  </w:r>
                  <w:r>
                    <w:rPr>
                      <w:rFonts w:ascii="Times New Roman" w:hAnsi="Times New Roman" w:eastAsia="宋体" w:cs="Times New Roman"/>
                      <w:kern w:val="2"/>
                      <w:sz w:val="21"/>
                      <w:szCs w:val="21"/>
                      <w:lang w:val="en-US" w:eastAsia="zh-CN" w:bidi="ar-SA"/>
                    </w:rPr>
                    <w:t>OD</w:t>
                  </w:r>
                  <w:r>
                    <w:rPr>
                      <w:rFonts w:hint="eastAsia" w:ascii="Times New Roman" w:hAnsi="Times New Roman" w:eastAsia="宋体" w:cs="Times New Roman"/>
                      <w:kern w:val="2"/>
                      <w:sz w:val="21"/>
                      <w:szCs w:val="21"/>
                      <w:lang w:val="en-US" w:eastAsia="zh-CN" w:bidi="ar-SA"/>
                    </w:rPr>
                    <w:t>、B</w:t>
                  </w:r>
                  <w:r>
                    <w:rPr>
                      <w:rFonts w:ascii="Times New Roman" w:hAnsi="Times New Roman" w:eastAsia="宋体" w:cs="Times New Roman"/>
                      <w:kern w:val="2"/>
                      <w:sz w:val="21"/>
                      <w:szCs w:val="21"/>
                      <w:lang w:val="en-US" w:eastAsia="zh-CN" w:bidi="ar-SA"/>
                    </w:rPr>
                    <w:t>OD</w:t>
                  </w:r>
                  <w:r>
                    <w:rPr>
                      <w:rFonts w:ascii="Times New Roman" w:hAnsi="Times New Roman" w:eastAsia="宋体" w:cs="Times New Roman"/>
                      <w:kern w:val="2"/>
                      <w:sz w:val="21"/>
                      <w:szCs w:val="21"/>
                      <w:vertAlign w:val="subscript"/>
                      <w:lang w:val="en-US" w:eastAsia="zh-CN" w:bidi="ar-SA"/>
                    </w:rPr>
                    <w:t>5</w:t>
                  </w:r>
                  <w:r>
                    <w:rPr>
                      <w:rFonts w:hint="eastAsia" w:ascii="Times New Roman" w:hAnsi="Times New Roman" w:eastAsia="宋体" w:cs="Times New Roman"/>
                      <w:kern w:val="2"/>
                      <w:sz w:val="21"/>
                      <w:szCs w:val="21"/>
                      <w:lang w:val="en-US" w:eastAsia="zh-CN" w:bidi="ar-SA"/>
                    </w:rPr>
                    <w:t>、N</w:t>
                  </w:r>
                  <w:r>
                    <w:rPr>
                      <w:rFonts w:ascii="Times New Roman" w:hAnsi="Times New Roman" w:eastAsia="宋体" w:cs="Times New Roman"/>
                      <w:kern w:val="2"/>
                      <w:sz w:val="21"/>
                      <w:szCs w:val="21"/>
                      <w:lang w:val="en-US" w:eastAsia="zh-CN" w:bidi="ar-SA"/>
                    </w:rPr>
                    <w:t>H</w:t>
                  </w:r>
                  <w:r>
                    <w:rPr>
                      <w:rFonts w:ascii="Times New Roman" w:hAnsi="Times New Roman" w:eastAsia="宋体" w:cs="Times New Roman"/>
                      <w:kern w:val="2"/>
                      <w:sz w:val="21"/>
                      <w:szCs w:val="21"/>
                      <w:vertAlign w:val="subscript"/>
                      <w:lang w:val="en-US" w:eastAsia="zh-CN" w:bidi="ar-SA"/>
                    </w:rPr>
                    <w:t>3</w:t>
                  </w:r>
                  <w:r>
                    <w:rPr>
                      <w:rFonts w:ascii="Times New Roman" w:hAnsi="Times New Roman" w:eastAsia="宋体" w:cs="Times New Roman"/>
                      <w:kern w:val="2"/>
                      <w:sz w:val="21"/>
                      <w:szCs w:val="21"/>
                      <w:lang w:val="en-US" w:eastAsia="zh-CN" w:bidi="ar-SA"/>
                    </w:rPr>
                    <w:t>-N</w:t>
                  </w:r>
                  <w:r>
                    <w:rPr>
                      <w:rFonts w:hint="eastAsia" w:ascii="Times New Roman" w:hAnsi="Times New Roman" w:eastAsia="宋体" w:cs="Times New Roman"/>
                      <w:kern w:val="2"/>
                      <w:sz w:val="21"/>
                      <w:szCs w:val="21"/>
                      <w:lang w:val="en-US" w:eastAsia="zh-CN" w:bidi="ar-SA"/>
                    </w:rPr>
                    <w:t>、S</w:t>
                  </w:r>
                  <w:r>
                    <w:rPr>
                      <w:rFonts w:ascii="Times New Roman" w:hAnsi="Times New Roman" w:eastAsia="宋体" w:cs="Times New Roman"/>
                      <w:kern w:val="2"/>
                      <w:sz w:val="21"/>
                      <w:szCs w:val="21"/>
                      <w:lang w:val="en-US" w:eastAsia="zh-CN" w:bidi="ar-SA"/>
                    </w:rPr>
                    <w:t>S</w:t>
                  </w:r>
                  <w:r>
                    <w:rPr>
                      <w:rFonts w:hint="eastAsia" w:ascii="Times New Roman" w:hAnsi="Times New Roman" w:eastAsia="宋体" w:cs="Times New Roman"/>
                      <w:kern w:val="2"/>
                      <w:sz w:val="21"/>
                      <w:szCs w:val="21"/>
                      <w:lang w:val="en-US" w:eastAsia="zh-CN" w:bidi="ar-SA"/>
                    </w:rPr>
                    <w:t>、TP、TN等</w:t>
                  </w:r>
                </w:p>
              </w:tc>
              <w:tc>
                <w:tcPr>
                  <w:tcW w:w="0" w:type="auto"/>
                  <w:noWrap w:val="0"/>
                  <w:vAlign w:val="center"/>
                </w:tcPr>
                <w:p w14:paraId="3BE4A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lang w:eastAsia="zh-CN"/>
                    </w:rPr>
                  </w:pPr>
                  <w:r>
                    <w:rPr>
                      <w:rFonts w:hint="default" w:ascii="Times New Roman" w:hAnsi="Times New Roman" w:eastAsia="宋体" w:cs="Times New Roman"/>
                      <w:kern w:val="0"/>
                      <w:sz w:val="21"/>
                      <w:szCs w:val="21"/>
                    </w:rPr>
                    <w:t>依托厂区化粪池处理</w:t>
                  </w:r>
                </w:p>
              </w:tc>
            </w:tr>
            <w:tr w14:paraId="0F53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restart"/>
                  <w:noWrap w:val="0"/>
                  <w:vAlign w:val="center"/>
                </w:tcPr>
                <w:p w14:paraId="2D813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固</w:t>
                  </w:r>
                </w:p>
                <w:p w14:paraId="5D57F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废</w:t>
                  </w:r>
                </w:p>
              </w:tc>
              <w:tc>
                <w:tcPr>
                  <w:tcW w:w="0" w:type="auto"/>
                  <w:noWrap w:val="0"/>
                  <w:vAlign w:val="center"/>
                </w:tcPr>
                <w:p w14:paraId="5113F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lang w:val="en-US" w:eastAsia="zh-CN"/>
                    </w:rPr>
                    <w:t>S1</w:t>
                  </w:r>
                </w:p>
              </w:tc>
              <w:tc>
                <w:tcPr>
                  <w:tcW w:w="0" w:type="auto"/>
                  <w:noWrap w:val="0"/>
                  <w:vAlign w:val="center"/>
                </w:tcPr>
                <w:p w14:paraId="71B476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切割下料</w:t>
                  </w:r>
                </w:p>
              </w:tc>
              <w:tc>
                <w:tcPr>
                  <w:tcW w:w="0" w:type="auto"/>
                  <w:noWrap w:val="0"/>
                  <w:vAlign w:val="center"/>
                </w:tcPr>
                <w:p w14:paraId="01350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废边角料</w:t>
                  </w:r>
                </w:p>
              </w:tc>
              <w:tc>
                <w:tcPr>
                  <w:tcW w:w="0" w:type="auto"/>
                  <w:noWrap w:val="0"/>
                  <w:vAlign w:val="center"/>
                </w:tcPr>
                <w:p w14:paraId="176FB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金属材料</w:t>
                  </w:r>
                </w:p>
              </w:tc>
              <w:tc>
                <w:tcPr>
                  <w:tcW w:w="3347" w:type="dxa"/>
                  <w:noWrap w:val="0"/>
                  <w:vAlign w:val="center"/>
                </w:tcPr>
                <w:p w14:paraId="0F933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55BAE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AA07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3DE69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lang w:val="en-US" w:eastAsia="zh-CN"/>
                    </w:rPr>
                    <w:t>S2</w:t>
                  </w:r>
                </w:p>
              </w:tc>
              <w:tc>
                <w:tcPr>
                  <w:tcW w:w="0" w:type="auto"/>
                  <w:noWrap w:val="0"/>
                  <w:vAlign w:val="center"/>
                </w:tcPr>
                <w:p w14:paraId="4C455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精加工</w:t>
                  </w:r>
                </w:p>
              </w:tc>
              <w:tc>
                <w:tcPr>
                  <w:tcW w:w="0" w:type="auto"/>
                  <w:noWrap w:val="0"/>
                  <w:vAlign w:val="center"/>
                </w:tcPr>
                <w:p w14:paraId="2AB35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废乳化切削液</w:t>
                  </w:r>
                </w:p>
              </w:tc>
              <w:tc>
                <w:tcPr>
                  <w:tcW w:w="0" w:type="auto"/>
                  <w:noWrap w:val="0"/>
                  <w:vAlign w:val="center"/>
                </w:tcPr>
                <w:p w14:paraId="042D7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3347" w:type="dxa"/>
                  <w:noWrap w:val="0"/>
                  <w:vAlign w:val="center"/>
                </w:tcPr>
                <w:p w14:paraId="6BA8C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3346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79F1A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4A2E08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3</w:t>
                  </w:r>
                </w:p>
              </w:tc>
              <w:tc>
                <w:tcPr>
                  <w:tcW w:w="0" w:type="auto"/>
                  <w:noWrap w:val="0"/>
                  <w:vAlign w:val="center"/>
                </w:tcPr>
                <w:p w14:paraId="2151F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精加工</w:t>
                  </w:r>
                </w:p>
              </w:tc>
              <w:tc>
                <w:tcPr>
                  <w:tcW w:w="0" w:type="auto"/>
                  <w:noWrap w:val="0"/>
                  <w:vAlign w:val="center"/>
                </w:tcPr>
                <w:p w14:paraId="528D2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废液压油</w:t>
                  </w:r>
                </w:p>
              </w:tc>
              <w:tc>
                <w:tcPr>
                  <w:tcW w:w="0" w:type="auto"/>
                  <w:noWrap w:val="0"/>
                  <w:vAlign w:val="center"/>
                </w:tcPr>
                <w:p w14:paraId="521B8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5CF0B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1DE3F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6B664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5BFA5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S</w:t>
                  </w:r>
                  <w:r>
                    <w:rPr>
                      <w:lang w:val="en-US" w:eastAsia="zh-CN"/>
                    </w:rPr>
                    <w:t>4</w:t>
                  </w:r>
                </w:p>
              </w:tc>
              <w:tc>
                <w:tcPr>
                  <w:tcW w:w="0" w:type="auto"/>
                  <w:noWrap w:val="0"/>
                  <w:vAlign w:val="center"/>
                </w:tcPr>
                <w:p w14:paraId="41714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精加工</w:t>
                  </w:r>
                </w:p>
              </w:tc>
              <w:tc>
                <w:tcPr>
                  <w:tcW w:w="0" w:type="auto"/>
                  <w:noWrap w:val="0"/>
                  <w:vAlign w:val="center"/>
                </w:tcPr>
                <w:p w14:paraId="152C0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废润滑油</w:t>
                  </w:r>
                </w:p>
              </w:tc>
              <w:tc>
                <w:tcPr>
                  <w:tcW w:w="0" w:type="auto"/>
                  <w:noWrap w:val="0"/>
                  <w:vAlign w:val="center"/>
                </w:tcPr>
                <w:p w14:paraId="464166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2D25A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497C6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3709F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420D2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lang w:val="en-US" w:eastAsia="zh-CN"/>
                    </w:rPr>
                    <w:t>S5</w:t>
                  </w:r>
                </w:p>
              </w:tc>
              <w:tc>
                <w:tcPr>
                  <w:tcW w:w="0" w:type="auto"/>
                  <w:noWrap w:val="0"/>
                  <w:vAlign w:val="center"/>
                </w:tcPr>
                <w:p w14:paraId="48693F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精加工</w:t>
                  </w:r>
                </w:p>
              </w:tc>
              <w:tc>
                <w:tcPr>
                  <w:tcW w:w="0" w:type="auto"/>
                  <w:noWrap w:val="0"/>
                  <w:vAlign w:val="center"/>
                </w:tcPr>
                <w:p w14:paraId="0E5CD6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废铁屑</w:t>
                  </w:r>
                </w:p>
              </w:tc>
              <w:tc>
                <w:tcPr>
                  <w:tcW w:w="0" w:type="auto"/>
                  <w:noWrap w:val="0"/>
                  <w:vAlign w:val="center"/>
                </w:tcPr>
                <w:p w14:paraId="74C85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金属材料</w:t>
                  </w:r>
                </w:p>
              </w:tc>
              <w:tc>
                <w:tcPr>
                  <w:tcW w:w="0" w:type="auto"/>
                  <w:noWrap w:val="0"/>
                  <w:vAlign w:val="center"/>
                </w:tcPr>
                <w:p w14:paraId="4AB9C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6B8E2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4D75F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59EBD9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6</w:t>
                  </w:r>
                </w:p>
              </w:tc>
              <w:tc>
                <w:tcPr>
                  <w:tcW w:w="0" w:type="auto"/>
                  <w:noWrap w:val="0"/>
                  <w:vAlign w:val="center"/>
                </w:tcPr>
                <w:p w14:paraId="226A7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检验</w:t>
                  </w:r>
                </w:p>
              </w:tc>
              <w:tc>
                <w:tcPr>
                  <w:tcW w:w="0" w:type="auto"/>
                  <w:noWrap w:val="0"/>
                  <w:vAlign w:val="center"/>
                </w:tcPr>
                <w:p w14:paraId="7B76A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不合格品</w:t>
                  </w:r>
                </w:p>
              </w:tc>
              <w:tc>
                <w:tcPr>
                  <w:tcW w:w="0" w:type="auto"/>
                  <w:noWrap w:val="0"/>
                  <w:vAlign w:val="center"/>
                </w:tcPr>
                <w:p w14:paraId="0BE9C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金属材料</w:t>
                  </w:r>
                </w:p>
              </w:tc>
              <w:tc>
                <w:tcPr>
                  <w:tcW w:w="0" w:type="auto"/>
                  <w:noWrap w:val="0"/>
                  <w:vAlign w:val="center"/>
                </w:tcPr>
                <w:p w14:paraId="327B4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0CD8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69DF0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3BBE9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7</w:t>
                  </w:r>
                </w:p>
              </w:tc>
              <w:tc>
                <w:tcPr>
                  <w:tcW w:w="0" w:type="auto"/>
                  <w:noWrap w:val="0"/>
                  <w:vAlign w:val="center"/>
                </w:tcPr>
                <w:p w14:paraId="7A76B5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抛丸</w:t>
                  </w:r>
                </w:p>
              </w:tc>
              <w:tc>
                <w:tcPr>
                  <w:tcW w:w="0" w:type="auto"/>
                  <w:noWrap w:val="0"/>
                  <w:vAlign w:val="center"/>
                </w:tcPr>
                <w:p w14:paraId="51877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废钢丸</w:t>
                  </w:r>
                </w:p>
              </w:tc>
              <w:tc>
                <w:tcPr>
                  <w:tcW w:w="0" w:type="auto"/>
                  <w:noWrap w:val="0"/>
                  <w:vAlign w:val="center"/>
                </w:tcPr>
                <w:p w14:paraId="26EFB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金属材料</w:t>
                  </w:r>
                </w:p>
              </w:tc>
              <w:tc>
                <w:tcPr>
                  <w:tcW w:w="0" w:type="auto"/>
                  <w:noWrap w:val="0"/>
                  <w:vAlign w:val="center"/>
                </w:tcPr>
                <w:p w14:paraId="68FEE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5385E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44AC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679B0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8</w:t>
                  </w:r>
                </w:p>
              </w:tc>
              <w:tc>
                <w:tcPr>
                  <w:tcW w:w="0" w:type="auto"/>
                  <w:noWrap w:val="0"/>
                  <w:vAlign w:val="center"/>
                </w:tcPr>
                <w:p w14:paraId="1D653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渗锌</w:t>
                  </w:r>
                </w:p>
              </w:tc>
              <w:tc>
                <w:tcPr>
                  <w:tcW w:w="0" w:type="auto"/>
                  <w:noWrap w:val="0"/>
                  <w:vAlign w:val="center"/>
                </w:tcPr>
                <w:p w14:paraId="20D17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废渗锌剂</w:t>
                  </w:r>
                </w:p>
              </w:tc>
              <w:tc>
                <w:tcPr>
                  <w:tcW w:w="0" w:type="auto"/>
                  <w:noWrap w:val="0"/>
                  <w:vAlign w:val="center"/>
                </w:tcPr>
                <w:p w14:paraId="194AE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05B300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712B5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7398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28227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9</w:t>
                  </w:r>
                </w:p>
              </w:tc>
              <w:tc>
                <w:tcPr>
                  <w:tcW w:w="0" w:type="auto"/>
                  <w:noWrap w:val="0"/>
                  <w:vAlign w:val="center"/>
                </w:tcPr>
                <w:p w14:paraId="2AE86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喷漆、封闭</w:t>
                  </w:r>
                </w:p>
              </w:tc>
              <w:tc>
                <w:tcPr>
                  <w:tcW w:w="0" w:type="auto"/>
                  <w:noWrap w:val="0"/>
                  <w:vAlign w:val="center"/>
                </w:tcPr>
                <w:p w14:paraId="27883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废漆桶</w:t>
                  </w:r>
                </w:p>
              </w:tc>
              <w:tc>
                <w:tcPr>
                  <w:tcW w:w="0" w:type="auto"/>
                  <w:noWrap w:val="0"/>
                  <w:vAlign w:val="center"/>
                </w:tcPr>
                <w:p w14:paraId="635127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06031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0AEE4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5A402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67C3C7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lang w:val="en-US" w:eastAsia="zh-CN"/>
                    </w:rPr>
                  </w:pPr>
                  <w:r>
                    <w:rPr>
                      <w:rFonts w:hint="eastAsia"/>
                      <w:lang w:val="en-US" w:eastAsia="zh-CN"/>
                    </w:rPr>
                    <w:t>S</w:t>
                  </w:r>
                  <w:r>
                    <w:rPr>
                      <w:lang w:val="en-US" w:eastAsia="zh-CN"/>
                    </w:rPr>
                    <w:t>10</w:t>
                  </w:r>
                </w:p>
              </w:tc>
              <w:tc>
                <w:tcPr>
                  <w:tcW w:w="0" w:type="auto"/>
                  <w:noWrap w:val="0"/>
                  <w:vAlign w:val="center"/>
                </w:tcPr>
                <w:p w14:paraId="1D27D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喷漆、封闭</w:t>
                  </w:r>
                </w:p>
              </w:tc>
              <w:tc>
                <w:tcPr>
                  <w:tcW w:w="0" w:type="auto"/>
                  <w:noWrap w:val="0"/>
                  <w:vAlign w:val="center"/>
                </w:tcPr>
                <w:p w14:paraId="585F10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漆渣</w:t>
                  </w:r>
                </w:p>
              </w:tc>
              <w:tc>
                <w:tcPr>
                  <w:tcW w:w="0" w:type="auto"/>
                  <w:noWrap w:val="0"/>
                  <w:vAlign w:val="center"/>
                </w:tcPr>
                <w:p w14:paraId="78BD4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33C6F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4D307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416B69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0D2E2A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S</w:t>
                  </w:r>
                  <w:r>
                    <w:rPr>
                      <w:lang w:val="en-US" w:eastAsia="zh-CN"/>
                    </w:rPr>
                    <w:t>11</w:t>
                  </w:r>
                </w:p>
              </w:tc>
              <w:tc>
                <w:tcPr>
                  <w:tcW w:w="0" w:type="auto"/>
                  <w:noWrap w:val="0"/>
                  <w:vAlign w:val="center"/>
                </w:tcPr>
                <w:p w14:paraId="7895A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封闭清洗</w:t>
                  </w:r>
                </w:p>
              </w:tc>
              <w:tc>
                <w:tcPr>
                  <w:tcW w:w="0" w:type="auto"/>
                  <w:noWrap w:val="0"/>
                  <w:vAlign w:val="center"/>
                </w:tcPr>
                <w:p w14:paraId="73CBA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清洗沉淀物</w:t>
                  </w:r>
                </w:p>
              </w:tc>
              <w:tc>
                <w:tcPr>
                  <w:tcW w:w="0" w:type="auto"/>
                  <w:noWrap w:val="0"/>
                  <w:vAlign w:val="center"/>
                </w:tcPr>
                <w:p w14:paraId="457A3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金属材料</w:t>
                  </w:r>
                </w:p>
              </w:tc>
              <w:tc>
                <w:tcPr>
                  <w:tcW w:w="0" w:type="auto"/>
                  <w:noWrap w:val="0"/>
                  <w:vAlign w:val="center"/>
                </w:tcPr>
                <w:p w14:paraId="6E1082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1B424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71D70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5C725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S</w:t>
                  </w:r>
                  <w:r>
                    <w:rPr>
                      <w:lang w:val="en-US" w:eastAsia="zh-CN"/>
                    </w:rPr>
                    <w:t>12</w:t>
                  </w:r>
                </w:p>
              </w:tc>
              <w:tc>
                <w:tcPr>
                  <w:tcW w:w="0" w:type="auto"/>
                  <w:noWrap w:val="0"/>
                  <w:vAlign w:val="center"/>
                </w:tcPr>
                <w:p w14:paraId="07242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废气处理</w:t>
                  </w:r>
                </w:p>
              </w:tc>
              <w:tc>
                <w:tcPr>
                  <w:tcW w:w="0" w:type="auto"/>
                  <w:noWrap w:val="0"/>
                  <w:vAlign w:val="center"/>
                </w:tcPr>
                <w:p w14:paraId="1BB405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废过滤棉</w:t>
                  </w:r>
                </w:p>
              </w:tc>
              <w:tc>
                <w:tcPr>
                  <w:tcW w:w="0" w:type="auto"/>
                  <w:noWrap w:val="0"/>
                  <w:vAlign w:val="center"/>
                </w:tcPr>
                <w:p w14:paraId="754CC3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noWrap w:val="0"/>
                  <w:vAlign w:val="center"/>
                </w:tcPr>
                <w:p w14:paraId="6DFE4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0AAAD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49648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shd w:val="clear" w:color="auto" w:fill="auto"/>
                  <w:noWrap w:val="0"/>
                  <w:vAlign w:val="center"/>
                </w:tcPr>
                <w:p w14:paraId="5B63B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S13</w:t>
                  </w:r>
                </w:p>
              </w:tc>
              <w:tc>
                <w:tcPr>
                  <w:tcW w:w="0" w:type="auto"/>
                  <w:shd w:val="clear" w:color="auto" w:fill="auto"/>
                  <w:noWrap w:val="0"/>
                  <w:vAlign w:val="center"/>
                </w:tcPr>
                <w:p w14:paraId="06510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废气处理</w:t>
                  </w:r>
                </w:p>
              </w:tc>
              <w:tc>
                <w:tcPr>
                  <w:tcW w:w="0" w:type="auto"/>
                  <w:shd w:val="clear" w:color="auto" w:fill="auto"/>
                  <w:noWrap w:val="0"/>
                  <w:vAlign w:val="center"/>
                </w:tcPr>
                <w:p w14:paraId="1097C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除尘器收集的粉尘</w:t>
                  </w:r>
                </w:p>
              </w:tc>
              <w:tc>
                <w:tcPr>
                  <w:tcW w:w="0" w:type="auto"/>
                  <w:shd w:val="clear" w:color="auto" w:fill="auto"/>
                  <w:noWrap w:val="0"/>
                  <w:vAlign w:val="center"/>
                </w:tcPr>
                <w:p w14:paraId="71A24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粉尘</w:t>
                  </w:r>
                </w:p>
              </w:tc>
              <w:tc>
                <w:tcPr>
                  <w:tcW w:w="0" w:type="auto"/>
                  <w:shd w:val="clear" w:color="auto" w:fill="auto"/>
                  <w:noWrap w:val="0"/>
                  <w:vAlign w:val="center"/>
                </w:tcPr>
                <w:p w14:paraId="0855B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tr w14:paraId="2776D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141D5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shd w:val="clear" w:color="auto" w:fill="auto"/>
                  <w:noWrap w:val="0"/>
                  <w:vAlign w:val="center"/>
                </w:tcPr>
                <w:p w14:paraId="0A49D3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S14</w:t>
                  </w:r>
                </w:p>
              </w:tc>
              <w:tc>
                <w:tcPr>
                  <w:tcW w:w="0" w:type="auto"/>
                  <w:shd w:val="clear" w:color="auto" w:fill="auto"/>
                  <w:noWrap w:val="0"/>
                  <w:vAlign w:val="center"/>
                </w:tcPr>
                <w:p w14:paraId="55C69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废气处理</w:t>
                  </w:r>
                </w:p>
              </w:tc>
              <w:tc>
                <w:tcPr>
                  <w:tcW w:w="0" w:type="auto"/>
                  <w:shd w:val="clear" w:color="auto" w:fill="auto"/>
                  <w:noWrap w:val="0"/>
                  <w:vAlign w:val="center"/>
                </w:tcPr>
                <w:p w14:paraId="5A977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废活性炭</w:t>
                  </w:r>
                </w:p>
              </w:tc>
              <w:tc>
                <w:tcPr>
                  <w:tcW w:w="0" w:type="auto"/>
                  <w:shd w:val="clear" w:color="auto" w:fill="auto"/>
                  <w:noWrap w:val="0"/>
                  <w:vAlign w:val="center"/>
                </w:tcPr>
                <w:p w14:paraId="625DEF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有机物等</w:t>
                  </w:r>
                </w:p>
              </w:tc>
              <w:tc>
                <w:tcPr>
                  <w:tcW w:w="0" w:type="auto"/>
                  <w:shd w:val="clear" w:color="auto" w:fill="auto"/>
                  <w:noWrap w:val="0"/>
                  <w:vAlign w:val="center"/>
                </w:tcPr>
                <w:p w14:paraId="02A6A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委托有资质单位处置</w:t>
                  </w:r>
                </w:p>
              </w:tc>
            </w:tr>
            <w:tr w14:paraId="091E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2F5C6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2"/>
                      <w:sz w:val="21"/>
                      <w:szCs w:val="21"/>
                      <w:lang w:val="en-US" w:eastAsia="zh-CN" w:bidi="ar-SA"/>
                    </w:rPr>
                  </w:pPr>
                </w:p>
              </w:tc>
              <w:tc>
                <w:tcPr>
                  <w:tcW w:w="0" w:type="auto"/>
                  <w:noWrap w:val="0"/>
                  <w:vAlign w:val="center"/>
                </w:tcPr>
                <w:p w14:paraId="6F900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S15</w:t>
                  </w:r>
                </w:p>
              </w:tc>
              <w:tc>
                <w:tcPr>
                  <w:tcW w:w="0" w:type="auto"/>
                  <w:shd w:val="clear" w:color="auto" w:fill="auto"/>
                  <w:noWrap w:val="0"/>
                  <w:vAlign w:val="center"/>
                </w:tcPr>
                <w:p w14:paraId="1B8F7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原材料包装</w:t>
                  </w:r>
                </w:p>
              </w:tc>
              <w:tc>
                <w:tcPr>
                  <w:tcW w:w="0" w:type="auto"/>
                  <w:shd w:val="clear" w:color="auto" w:fill="auto"/>
                  <w:noWrap w:val="0"/>
                  <w:vAlign w:val="center"/>
                </w:tcPr>
                <w:p w14:paraId="43F3F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废包装材料</w:t>
                  </w:r>
                </w:p>
              </w:tc>
              <w:tc>
                <w:tcPr>
                  <w:tcW w:w="0" w:type="auto"/>
                  <w:shd w:val="clear" w:color="auto" w:fill="auto"/>
                  <w:noWrap w:val="0"/>
                  <w:vAlign w:val="center"/>
                </w:tcPr>
                <w:p w14:paraId="3CACA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纸箱、木板等</w:t>
                  </w:r>
                </w:p>
              </w:tc>
              <w:tc>
                <w:tcPr>
                  <w:tcW w:w="0" w:type="auto"/>
                  <w:shd w:val="clear" w:color="auto" w:fill="auto"/>
                  <w:noWrap w:val="0"/>
                  <w:vAlign w:val="center"/>
                </w:tcPr>
                <w:p w14:paraId="25377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color w:val="auto"/>
                      <w:szCs w:val="21"/>
                    </w:rPr>
                    <w:t>由物资公司回收利用</w:t>
                  </w:r>
                </w:p>
              </w:tc>
            </w:tr>
            <w:bookmarkEnd w:id="2"/>
          </w:tbl>
          <w:p w14:paraId="03CBE22F">
            <w:pPr>
              <w:overflowPunct w:val="0"/>
              <w:adjustRightInd w:val="0"/>
              <w:snapToGrid w:val="0"/>
              <w:spacing w:line="360" w:lineRule="auto"/>
              <w:ind w:firstLine="422" w:firstLineChars="200"/>
              <w:rPr>
                <w:b/>
                <w:kern w:val="0"/>
                <w:szCs w:val="21"/>
              </w:rPr>
            </w:pPr>
          </w:p>
          <w:p w14:paraId="0F318A96">
            <w:pPr>
              <w:overflowPunct w:val="0"/>
              <w:adjustRightInd w:val="0"/>
              <w:snapToGrid w:val="0"/>
              <w:spacing w:line="360" w:lineRule="auto"/>
              <w:ind w:firstLine="420" w:firstLineChars="200"/>
              <w:rPr>
                <w:rFonts w:hint="eastAsia"/>
              </w:rPr>
            </w:pPr>
          </w:p>
        </w:tc>
      </w:tr>
      <w:tr w14:paraId="325AD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53" w:type="pct"/>
            <w:noWrap w:val="0"/>
            <w:vAlign w:val="center"/>
          </w:tcPr>
          <w:p w14:paraId="25C24982">
            <w:pPr>
              <w:pStyle w:val="21"/>
              <w:adjustRightInd w:val="0"/>
              <w:snapToGrid w:val="0"/>
              <w:spacing w:before="0" w:beforeAutospacing="0" w:after="0" w:afterAutospacing="0"/>
              <w:jc w:val="center"/>
              <w:rPr>
                <w:rFonts w:cs="宋体"/>
                <w:sz w:val="21"/>
                <w:szCs w:val="21"/>
              </w:rPr>
            </w:pPr>
            <w:r>
              <w:rPr>
                <w:rFonts w:hint="eastAsia" w:cs="宋体"/>
                <w:b/>
                <w:kern w:val="2"/>
                <w:sz w:val="21"/>
                <w:szCs w:val="21"/>
              </w:rPr>
              <w:t>与项目有关的原有环境污染问题</w:t>
            </w:r>
          </w:p>
        </w:tc>
        <w:tc>
          <w:tcPr>
            <w:tcW w:w="4646" w:type="pct"/>
            <w:noWrap w:val="0"/>
            <w:vAlign w:val="center"/>
          </w:tcPr>
          <w:p w14:paraId="7D32A74D">
            <w:pPr>
              <w:autoSpaceDE w:val="0"/>
              <w:autoSpaceDN w:val="0"/>
              <w:adjustRightInd w:val="0"/>
              <w:spacing w:line="360" w:lineRule="auto"/>
              <w:ind w:firstLine="480" w:firstLineChars="200"/>
              <w:jc w:val="left"/>
              <w:rPr>
                <w:rFonts w:hint="eastAsia"/>
              </w:rPr>
            </w:pPr>
            <w:r>
              <w:rPr>
                <w:rFonts w:hint="eastAsia"/>
                <w:sz w:val="24"/>
                <w:szCs w:val="32"/>
              </w:rPr>
              <w:t>本项目为新建项目，租赁厂房为新建厂房，根据现场勘查，无原有污染情况及主要环境问题。</w:t>
            </w:r>
          </w:p>
        </w:tc>
      </w:tr>
    </w:tbl>
    <w:p w14:paraId="33ADAE97">
      <w:pPr>
        <w:pStyle w:val="21"/>
        <w:jc w:val="center"/>
        <w:rPr>
          <w:rFonts w:ascii="黑体" w:hAnsi="黑体" w:eastAsia="黑体"/>
          <w:snapToGrid w:val="0"/>
          <w:sz w:val="36"/>
          <w:szCs w:val="36"/>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38E954E7">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535"/>
      </w:tblGrid>
      <w:tr w14:paraId="2B361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800" w:type="dxa"/>
            <w:noWrap w:val="0"/>
            <w:vAlign w:val="center"/>
          </w:tcPr>
          <w:p w14:paraId="1FDAD4D9">
            <w:pPr>
              <w:adjustRightInd w:val="0"/>
              <w:snapToGrid w:val="0"/>
              <w:jc w:val="center"/>
              <w:rPr>
                <w:rFonts w:hint="eastAsia" w:ascii="宋体" w:hAnsi="宋体" w:cs="宋体"/>
                <w:b/>
                <w:bCs/>
                <w:kern w:val="0"/>
                <w:szCs w:val="21"/>
              </w:rPr>
            </w:pPr>
            <w:r>
              <w:rPr>
                <w:rFonts w:hint="eastAsia" w:ascii="宋体" w:hAnsi="宋体" w:cs="宋体"/>
                <w:b/>
                <w:bCs/>
                <w:kern w:val="0"/>
                <w:szCs w:val="21"/>
              </w:rPr>
              <w:t>区域</w:t>
            </w:r>
          </w:p>
          <w:p w14:paraId="4996206B">
            <w:pPr>
              <w:adjustRightInd w:val="0"/>
              <w:snapToGrid w:val="0"/>
              <w:jc w:val="center"/>
              <w:rPr>
                <w:rFonts w:hint="eastAsia" w:ascii="宋体" w:hAnsi="宋体" w:cs="宋体"/>
                <w:b/>
                <w:bCs/>
                <w:kern w:val="0"/>
                <w:szCs w:val="21"/>
              </w:rPr>
            </w:pPr>
            <w:r>
              <w:rPr>
                <w:rFonts w:hint="eastAsia" w:ascii="宋体" w:hAnsi="宋体" w:cs="宋体"/>
                <w:b/>
                <w:bCs/>
                <w:kern w:val="0"/>
                <w:szCs w:val="21"/>
              </w:rPr>
              <w:t>环境</w:t>
            </w:r>
          </w:p>
          <w:p w14:paraId="42215886">
            <w:pPr>
              <w:adjustRightInd w:val="0"/>
              <w:snapToGrid w:val="0"/>
              <w:jc w:val="center"/>
              <w:rPr>
                <w:rFonts w:hint="eastAsia" w:ascii="宋体" w:hAnsi="宋体" w:cs="宋体"/>
                <w:b/>
                <w:bCs/>
                <w:kern w:val="0"/>
                <w:szCs w:val="21"/>
              </w:rPr>
            </w:pPr>
            <w:r>
              <w:rPr>
                <w:rFonts w:hint="eastAsia" w:ascii="宋体" w:hAnsi="宋体" w:cs="宋体"/>
                <w:b/>
                <w:bCs/>
                <w:kern w:val="0"/>
                <w:szCs w:val="21"/>
              </w:rPr>
              <w:t>质量</w:t>
            </w:r>
          </w:p>
          <w:p w14:paraId="0BDD92A2">
            <w:pPr>
              <w:adjustRightInd w:val="0"/>
              <w:snapToGrid w:val="0"/>
              <w:jc w:val="center"/>
              <w:rPr>
                <w:rFonts w:ascii="宋体" w:hAnsi="宋体" w:cs="宋体"/>
                <w:b/>
                <w:bCs/>
                <w:kern w:val="0"/>
                <w:szCs w:val="21"/>
              </w:rPr>
            </w:pPr>
            <w:r>
              <w:rPr>
                <w:rFonts w:hint="eastAsia" w:ascii="宋体" w:hAnsi="宋体" w:cs="宋体"/>
                <w:b/>
                <w:bCs/>
                <w:kern w:val="0"/>
                <w:szCs w:val="21"/>
              </w:rPr>
              <w:t>现状</w:t>
            </w:r>
          </w:p>
        </w:tc>
        <w:tc>
          <w:tcPr>
            <w:tcW w:w="8190" w:type="dxa"/>
            <w:noWrap w:val="0"/>
            <w:vAlign w:val="center"/>
          </w:tcPr>
          <w:p w14:paraId="6F2D315F">
            <w:pPr>
              <w:autoSpaceDE w:val="0"/>
              <w:autoSpaceDN w:val="0"/>
              <w:adjustRightInd w:val="0"/>
              <w:snapToGrid w:val="0"/>
              <w:spacing w:line="360" w:lineRule="auto"/>
              <w:ind w:firstLine="482" w:firstLineChars="200"/>
              <w:jc w:val="left"/>
              <w:rPr>
                <w:b/>
                <w:bCs/>
                <w:sz w:val="24"/>
              </w:rPr>
            </w:pPr>
            <w:r>
              <w:rPr>
                <w:rFonts w:hint="eastAsia"/>
                <w:b/>
                <w:bCs/>
                <w:sz w:val="24"/>
              </w:rPr>
              <w:t>3.1</w:t>
            </w:r>
            <w:r>
              <w:rPr>
                <w:b/>
                <w:bCs/>
                <w:sz w:val="24"/>
              </w:rPr>
              <w:t>环境空气质量现状</w:t>
            </w:r>
          </w:p>
          <w:p w14:paraId="43CE3683">
            <w:pPr>
              <w:widowControl/>
              <w:adjustRightInd w:val="0"/>
              <w:snapToGrid w:val="0"/>
              <w:spacing w:line="440" w:lineRule="exact"/>
              <w:ind w:firstLine="480" w:firstLineChars="200"/>
              <w:jc w:val="both"/>
              <w:rPr>
                <w:rFonts w:ascii="Times New Roman" w:hAnsi="Times New Roman" w:eastAsia="宋体" w:cs="宋体"/>
                <w:color w:val="auto"/>
                <w:kern w:val="0"/>
                <w:sz w:val="24"/>
              </w:rPr>
            </w:pPr>
            <w:r>
              <w:rPr>
                <w:rFonts w:ascii="Times New Roman" w:hAnsi="Times New Roman" w:eastAsia="宋体" w:cs="宋体"/>
                <w:color w:val="auto"/>
                <w:kern w:val="0"/>
                <w:sz w:val="24"/>
              </w:rPr>
              <w:t>根据淮北市生态环境局发布的《淮北市202</w:t>
            </w:r>
            <w:r>
              <w:rPr>
                <w:rFonts w:hint="eastAsia" w:ascii="Times New Roman" w:hAnsi="Times New Roman" w:eastAsia="宋体" w:cs="宋体"/>
                <w:color w:val="auto"/>
                <w:kern w:val="0"/>
                <w:sz w:val="24"/>
              </w:rPr>
              <w:t>3</w:t>
            </w:r>
            <w:r>
              <w:rPr>
                <w:rFonts w:ascii="Times New Roman" w:hAnsi="Times New Roman" w:eastAsia="宋体" w:cs="宋体"/>
                <w:color w:val="auto"/>
                <w:kern w:val="0"/>
                <w:sz w:val="24"/>
              </w:rPr>
              <w:t>年度生态环境状况公报》中环境空气质量数据，项目区域环境空气基本污染物质量现状见下表：</w:t>
            </w:r>
          </w:p>
          <w:p w14:paraId="6E8B7B9E">
            <w:pPr>
              <w:widowControl/>
              <w:numPr>
                <w:ilvl w:val="0"/>
                <w:numId w:val="2"/>
              </w:numPr>
              <w:jc w:val="center"/>
              <w:rPr>
                <w:rFonts w:ascii="Times New Roman" w:hAnsi="Times New Roman" w:eastAsia="宋体" w:cs="Times New Roman"/>
                <w:b/>
                <w:szCs w:val="21"/>
              </w:rPr>
            </w:pPr>
            <w:r>
              <w:rPr>
                <w:rFonts w:ascii="Times New Roman" w:hAnsi="Times New Roman" w:eastAsia="宋体" w:cs="Times New Roman"/>
                <w:b/>
                <w:szCs w:val="21"/>
              </w:rPr>
              <w:t>区域空气质量现状评价表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2274"/>
              <w:gridCol w:w="1657"/>
              <w:gridCol w:w="1476"/>
              <w:gridCol w:w="969"/>
              <w:gridCol w:w="951"/>
            </w:tblGrid>
            <w:tr w14:paraId="4DF0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208E1FA7">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污染物</w:t>
                  </w:r>
                </w:p>
              </w:tc>
              <w:tc>
                <w:tcPr>
                  <w:tcW w:w="1381" w:type="pct"/>
                  <w:noWrap w:val="0"/>
                  <w:vAlign w:val="center"/>
                </w:tcPr>
                <w:p w14:paraId="446C5E31">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年评价指标</w:t>
                  </w:r>
                </w:p>
              </w:tc>
              <w:tc>
                <w:tcPr>
                  <w:tcW w:w="1010" w:type="pct"/>
                  <w:noWrap w:val="0"/>
                  <w:vAlign w:val="center"/>
                </w:tcPr>
                <w:p w14:paraId="015BA438">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现状浓度（μg/m³）</w:t>
                  </w:r>
                </w:p>
              </w:tc>
              <w:tc>
                <w:tcPr>
                  <w:tcW w:w="901" w:type="pct"/>
                  <w:noWrap w:val="0"/>
                  <w:vAlign w:val="center"/>
                </w:tcPr>
                <w:p w14:paraId="06419E25">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标准值（μg/m³）</w:t>
                  </w:r>
                </w:p>
              </w:tc>
              <w:tc>
                <w:tcPr>
                  <w:tcW w:w="519" w:type="pct"/>
                  <w:noWrap w:val="0"/>
                  <w:vAlign w:val="center"/>
                </w:tcPr>
                <w:p w14:paraId="5547F24D">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占标率</w:t>
                  </w:r>
                </w:p>
              </w:tc>
              <w:tc>
                <w:tcPr>
                  <w:tcW w:w="585" w:type="pct"/>
                  <w:noWrap w:val="0"/>
                  <w:vAlign w:val="center"/>
                </w:tcPr>
                <w:p w14:paraId="68A5538D">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达标情况</w:t>
                  </w:r>
                </w:p>
              </w:tc>
            </w:tr>
            <w:tr w14:paraId="33CC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54272BE9">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SO</w:t>
                  </w:r>
                  <w:r>
                    <w:rPr>
                      <w:rFonts w:ascii="Times New Roman" w:hAnsi="Times New Roman" w:eastAsia="宋体" w:cs="Times New Roman"/>
                      <w:color w:val="auto"/>
                      <w:kern w:val="0"/>
                      <w:sz w:val="21"/>
                      <w:szCs w:val="21"/>
                      <w:vertAlign w:val="subscript"/>
                    </w:rPr>
                    <w:t>2</w:t>
                  </w:r>
                </w:p>
              </w:tc>
              <w:tc>
                <w:tcPr>
                  <w:tcW w:w="1381" w:type="pct"/>
                  <w:noWrap w:val="0"/>
                  <w:vAlign w:val="center"/>
                </w:tcPr>
                <w:p w14:paraId="2EC6B3E9">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7958E7D2">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w:t>
                  </w:r>
                </w:p>
              </w:tc>
              <w:tc>
                <w:tcPr>
                  <w:tcW w:w="901" w:type="pct"/>
                  <w:noWrap w:val="0"/>
                  <w:vAlign w:val="center"/>
                </w:tcPr>
                <w:p w14:paraId="1B2718C1">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60</w:t>
                  </w:r>
                </w:p>
              </w:tc>
              <w:tc>
                <w:tcPr>
                  <w:tcW w:w="519" w:type="pct"/>
                  <w:noWrap w:val="0"/>
                  <w:vAlign w:val="center"/>
                </w:tcPr>
                <w:p w14:paraId="1267AF8D">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11.67%</w:t>
                  </w:r>
                </w:p>
              </w:tc>
              <w:tc>
                <w:tcPr>
                  <w:tcW w:w="585" w:type="pct"/>
                  <w:noWrap w:val="0"/>
                  <w:vAlign w:val="center"/>
                </w:tcPr>
                <w:p w14:paraId="63B896C9">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04C5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E5340E3">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NO</w:t>
                  </w:r>
                  <w:r>
                    <w:rPr>
                      <w:rFonts w:ascii="Times New Roman" w:hAnsi="Times New Roman" w:eastAsia="宋体" w:cs="Times New Roman"/>
                      <w:color w:val="auto"/>
                      <w:kern w:val="0"/>
                      <w:sz w:val="21"/>
                      <w:szCs w:val="21"/>
                      <w:vertAlign w:val="subscript"/>
                    </w:rPr>
                    <w:t>2</w:t>
                  </w:r>
                </w:p>
              </w:tc>
              <w:tc>
                <w:tcPr>
                  <w:tcW w:w="1381" w:type="pct"/>
                  <w:noWrap w:val="0"/>
                  <w:vAlign w:val="center"/>
                </w:tcPr>
                <w:p w14:paraId="182A434D">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15544590">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c>
                <w:tcPr>
                  <w:tcW w:w="901" w:type="pct"/>
                  <w:noWrap w:val="0"/>
                  <w:vAlign w:val="center"/>
                </w:tcPr>
                <w:p w14:paraId="362E49A9">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w:t>
                  </w:r>
                </w:p>
              </w:tc>
              <w:tc>
                <w:tcPr>
                  <w:tcW w:w="519" w:type="pct"/>
                  <w:noWrap w:val="0"/>
                  <w:vAlign w:val="center"/>
                </w:tcPr>
                <w:p w14:paraId="50906AF4">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5</w:t>
                  </w:r>
                  <w:r>
                    <w:rPr>
                      <w:rFonts w:hint="eastAsia" w:ascii="Times New Roman" w:hAnsi="Times New Roman" w:eastAsia="宋体" w:cs="宋体"/>
                      <w:bCs/>
                      <w:color w:val="auto"/>
                      <w:kern w:val="0"/>
                      <w:sz w:val="21"/>
                      <w:szCs w:val="21"/>
                    </w:rPr>
                    <w:t>7</w:t>
                  </w:r>
                  <w:r>
                    <w:rPr>
                      <w:rFonts w:ascii="Times New Roman" w:hAnsi="Times New Roman" w:eastAsia="宋体" w:cs="宋体"/>
                      <w:bCs/>
                      <w:color w:val="auto"/>
                      <w:kern w:val="0"/>
                      <w:sz w:val="21"/>
                      <w:szCs w:val="21"/>
                    </w:rPr>
                    <w:t>.50%</w:t>
                  </w:r>
                </w:p>
              </w:tc>
              <w:tc>
                <w:tcPr>
                  <w:tcW w:w="585" w:type="pct"/>
                  <w:noWrap w:val="0"/>
                  <w:vAlign w:val="center"/>
                </w:tcPr>
                <w:p w14:paraId="05BAC736">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64FD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24AD6560">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10</w:t>
                  </w:r>
                </w:p>
              </w:tc>
              <w:tc>
                <w:tcPr>
                  <w:tcW w:w="1381" w:type="pct"/>
                  <w:noWrap w:val="0"/>
                  <w:vAlign w:val="center"/>
                </w:tcPr>
                <w:p w14:paraId="371EAEB6">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0D4B4D52">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70</w:t>
                  </w:r>
                </w:p>
              </w:tc>
              <w:tc>
                <w:tcPr>
                  <w:tcW w:w="901" w:type="pct"/>
                  <w:noWrap w:val="0"/>
                  <w:vAlign w:val="center"/>
                </w:tcPr>
                <w:p w14:paraId="48BB88CB">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w:t>
                  </w:r>
                </w:p>
              </w:tc>
              <w:tc>
                <w:tcPr>
                  <w:tcW w:w="519" w:type="pct"/>
                  <w:noWrap w:val="0"/>
                  <w:vAlign w:val="center"/>
                </w:tcPr>
                <w:p w14:paraId="181D8021">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100.00%</w:t>
                  </w:r>
                </w:p>
              </w:tc>
              <w:tc>
                <w:tcPr>
                  <w:tcW w:w="585" w:type="pct"/>
                  <w:noWrap w:val="0"/>
                  <w:vAlign w:val="center"/>
                </w:tcPr>
                <w:p w14:paraId="6EE2EEE7">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46C1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36297F27">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2.5</w:t>
                  </w:r>
                </w:p>
              </w:tc>
              <w:tc>
                <w:tcPr>
                  <w:tcW w:w="1381" w:type="pct"/>
                  <w:noWrap w:val="0"/>
                  <w:vAlign w:val="center"/>
                </w:tcPr>
                <w:p w14:paraId="75E185D1">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46A90F25">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42</w:t>
                  </w:r>
                </w:p>
              </w:tc>
              <w:tc>
                <w:tcPr>
                  <w:tcW w:w="901" w:type="pct"/>
                  <w:noWrap w:val="0"/>
                  <w:vAlign w:val="center"/>
                </w:tcPr>
                <w:p w14:paraId="460DF69C">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w:t>
                  </w:r>
                </w:p>
              </w:tc>
              <w:tc>
                <w:tcPr>
                  <w:tcW w:w="519" w:type="pct"/>
                  <w:noWrap w:val="0"/>
                  <w:vAlign w:val="center"/>
                </w:tcPr>
                <w:p w14:paraId="0A0E65BA">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120.00%</w:t>
                  </w:r>
                </w:p>
              </w:tc>
              <w:tc>
                <w:tcPr>
                  <w:tcW w:w="585" w:type="pct"/>
                  <w:noWrap w:val="0"/>
                  <w:vAlign w:val="center"/>
                </w:tcPr>
                <w:p w14:paraId="194E90EF">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不达标</w:t>
                  </w:r>
                </w:p>
              </w:tc>
            </w:tr>
            <w:tr w14:paraId="4D69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BBD155E">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CO</w:t>
                  </w:r>
                </w:p>
              </w:tc>
              <w:tc>
                <w:tcPr>
                  <w:tcW w:w="1381" w:type="pct"/>
                  <w:noWrap w:val="0"/>
                  <w:vAlign w:val="center"/>
                </w:tcPr>
                <w:p w14:paraId="614D8AAD">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95%日平均质量浓度</w:t>
                  </w:r>
                </w:p>
              </w:tc>
              <w:tc>
                <w:tcPr>
                  <w:tcW w:w="1010" w:type="pct"/>
                  <w:noWrap w:val="0"/>
                  <w:vAlign w:val="center"/>
                </w:tcPr>
                <w:p w14:paraId="04519A5A">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0.9</w:t>
                  </w:r>
                  <w:r>
                    <w:rPr>
                      <w:rFonts w:ascii="Times New Roman" w:hAnsi="Times New Roman" w:eastAsia="宋体" w:cs="Times New Roman"/>
                      <w:color w:val="auto"/>
                      <w:kern w:val="0"/>
                      <w:sz w:val="21"/>
                      <w:szCs w:val="21"/>
                    </w:rPr>
                    <w:t>mg/m</w:t>
                  </w:r>
                  <w:r>
                    <w:rPr>
                      <w:rFonts w:ascii="Times New Roman" w:hAnsi="Times New Roman" w:eastAsia="宋体" w:cs="Times New Roman"/>
                      <w:color w:val="auto"/>
                      <w:kern w:val="0"/>
                      <w:sz w:val="21"/>
                      <w:szCs w:val="21"/>
                      <w:vertAlign w:val="superscript"/>
                    </w:rPr>
                    <w:t>3</w:t>
                  </w:r>
                </w:p>
              </w:tc>
              <w:tc>
                <w:tcPr>
                  <w:tcW w:w="901" w:type="pct"/>
                  <w:noWrap w:val="0"/>
                  <w:vAlign w:val="center"/>
                </w:tcPr>
                <w:p w14:paraId="329322FD">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4.0mg/m</w:t>
                  </w:r>
                  <w:r>
                    <w:rPr>
                      <w:rFonts w:ascii="Times New Roman" w:hAnsi="Times New Roman" w:eastAsia="宋体" w:cs="Times New Roman"/>
                      <w:color w:val="auto"/>
                      <w:kern w:val="0"/>
                      <w:sz w:val="21"/>
                      <w:szCs w:val="21"/>
                      <w:vertAlign w:val="superscript"/>
                    </w:rPr>
                    <w:t>3</w:t>
                  </w:r>
                </w:p>
              </w:tc>
              <w:tc>
                <w:tcPr>
                  <w:tcW w:w="519" w:type="pct"/>
                  <w:noWrap w:val="0"/>
                  <w:vAlign w:val="center"/>
                </w:tcPr>
                <w:p w14:paraId="0481A131">
                  <w:pPr>
                    <w:widowControl/>
                    <w:spacing w:line="240" w:lineRule="auto"/>
                    <w:jc w:val="center"/>
                    <w:rPr>
                      <w:rFonts w:ascii="Times New Roman" w:hAnsi="Times New Roman" w:eastAsia="宋体" w:cs="宋体"/>
                      <w:bCs/>
                      <w:color w:val="auto"/>
                      <w:kern w:val="0"/>
                      <w:sz w:val="21"/>
                      <w:szCs w:val="21"/>
                    </w:rPr>
                  </w:pPr>
                  <w:r>
                    <w:rPr>
                      <w:rFonts w:hint="eastAsia" w:ascii="Times New Roman" w:hAnsi="Times New Roman" w:eastAsia="宋体" w:cs="宋体"/>
                      <w:bCs/>
                      <w:color w:val="auto"/>
                      <w:kern w:val="0"/>
                      <w:sz w:val="21"/>
                      <w:szCs w:val="21"/>
                    </w:rPr>
                    <w:t>22.50</w:t>
                  </w:r>
                  <w:r>
                    <w:rPr>
                      <w:rFonts w:ascii="Times New Roman" w:hAnsi="Times New Roman" w:eastAsia="宋体" w:cs="宋体"/>
                      <w:bCs/>
                      <w:color w:val="auto"/>
                      <w:kern w:val="0"/>
                      <w:sz w:val="21"/>
                      <w:szCs w:val="21"/>
                    </w:rPr>
                    <w:t>%</w:t>
                  </w:r>
                </w:p>
              </w:tc>
              <w:tc>
                <w:tcPr>
                  <w:tcW w:w="585" w:type="pct"/>
                  <w:noWrap w:val="0"/>
                  <w:vAlign w:val="center"/>
                </w:tcPr>
                <w:p w14:paraId="34F9B4F1">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5987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7829312F">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O</w:t>
                  </w:r>
                  <w:r>
                    <w:rPr>
                      <w:rFonts w:ascii="Times New Roman" w:hAnsi="Times New Roman" w:eastAsia="宋体" w:cs="Times New Roman"/>
                      <w:color w:val="auto"/>
                      <w:kern w:val="0"/>
                      <w:sz w:val="21"/>
                      <w:szCs w:val="21"/>
                      <w:vertAlign w:val="subscript"/>
                    </w:rPr>
                    <w:t>3</w:t>
                  </w:r>
                </w:p>
              </w:tc>
              <w:tc>
                <w:tcPr>
                  <w:tcW w:w="1381" w:type="pct"/>
                  <w:noWrap w:val="0"/>
                  <w:vAlign w:val="center"/>
                </w:tcPr>
                <w:p w14:paraId="14EE587C">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90% 8h平均质量浓度</w:t>
                  </w:r>
                </w:p>
              </w:tc>
              <w:tc>
                <w:tcPr>
                  <w:tcW w:w="1010" w:type="pct"/>
                  <w:noWrap w:val="0"/>
                  <w:vAlign w:val="center"/>
                </w:tcPr>
                <w:p w14:paraId="03157737">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166</w:t>
                  </w:r>
                </w:p>
              </w:tc>
              <w:tc>
                <w:tcPr>
                  <w:tcW w:w="901" w:type="pct"/>
                  <w:noWrap w:val="0"/>
                  <w:vAlign w:val="center"/>
                </w:tcPr>
                <w:p w14:paraId="33D3825C">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160</w:t>
                  </w:r>
                </w:p>
              </w:tc>
              <w:tc>
                <w:tcPr>
                  <w:tcW w:w="519" w:type="pct"/>
                  <w:noWrap w:val="0"/>
                  <w:vAlign w:val="center"/>
                </w:tcPr>
                <w:p w14:paraId="6C3B38E6">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10</w:t>
                  </w:r>
                  <w:r>
                    <w:rPr>
                      <w:rFonts w:hint="eastAsia" w:ascii="Times New Roman" w:hAnsi="Times New Roman" w:eastAsia="宋体" w:cs="宋体"/>
                      <w:bCs/>
                      <w:color w:val="auto"/>
                      <w:kern w:val="0"/>
                      <w:sz w:val="21"/>
                      <w:szCs w:val="21"/>
                    </w:rPr>
                    <w:t>3.75</w:t>
                  </w:r>
                  <w:r>
                    <w:rPr>
                      <w:rFonts w:ascii="Times New Roman" w:hAnsi="Times New Roman" w:eastAsia="宋体" w:cs="宋体"/>
                      <w:bCs/>
                      <w:color w:val="auto"/>
                      <w:kern w:val="0"/>
                      <w:sz w:val="21"/>
                      <w:szCs w:val="21"/>
                    </w:rPr>
                    <w:t>%</w:t>
                  </w:r>
                </w:p>
              </w:tc>
              <w:tc>
                <w:tcPr>
                  <w:tcW w:w="585" w:type="pct"/>
                  <w:noWrap w:val="0"/>
                  <w:vAlign w:val="center"/>
                </w:tcPr>
                <w:p w14:paraId="316B896A">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不达标</w:t>
                  </w:r>
                </w:p>
              </w:tc>
            </w:tr>
          </w:tbl>
          <w:p w14:paraId="2056E0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rPr>
            </w:pPr>
            <w:r>
              <w:rPr>
                <w:rFonts w:ascii="Times New Roman" w:hAnsi="Times New Roman" w:eastAsia="宋体" w:cs="宋体"/>
                <w:color w:val="auto"/>
                <w:kern w:val="0"/>
                <w:sz w:val="24"/>
                <w:szCs w:val="32"/>
              </w:rPr>
              <w:t>由</w:t>
            </w:r>
            <w:r>
              <w:rPr>
                <w:rFonts w:hint="eastAsia" w:eastAsia="宋体" w:cs="宋体"/>
                <w:color w:val="auto"/>
                <w:kern w:val="0"/>
                <w:sz w:val="24"/>
                <w:szCs w:val="32"/>
                <w:lang w:val="en-US" w:eastAsia="zh-CN"/>
              </w:rPr>
              <w:t>上表</w:t>
            </w:r>
            <w:r>
              <w:rPr>
                <w:rFonts w:ascii="Times New Roman" w:hAnsi="Times New Roman" w:eastAsia="宋体" w:cs="宋体"/>
                <w:color w:val="auto"/>
                <w:kern w:val="0"/>
                <w:sz w:val="24"/>
                <w:szCs w:val="32"/>
              </w:rPr>
              <w:t>可知，SO</w:t>
            </w:r>
            <w:r>
              <w:rPr>
                <w:rFonts w:ascii="Times New Roman" w:hAnsi="Times New Roman" w:eastAsia="宋体" w:cs="宋体"/>
                <w:color w:val="auto"/>
                <w:kern w:val="0"/>
                <w:sz w:val="24"/>
                <w:szCs w:val="32"/>
                <w:vertAlign w:val="subscript"/>
              </w:rPr>
              <w:t>2</w:t>
            </w:r>
            <w:r>
              <w:rPr>
                <w:rFonts w:ascii="Times New Roman" w:hAnsi="Times New Roman" w:eastAsia="宋体" w:cs="宋体"/>
                <w:color w:val="auto"/>
                <w:kern w:val="0"/>
                <w:sz w:val="24"/>
                <w:szCs w:val="32"/>
              </w:rPr>
              <w:t>、NO</w:t>
            </w:r>
            <w:r>
              <w:rPr>
                <w:rFonts w:ascii="Times New Roman" w:hAnsi="Times New Roman" w:eastAsia="宋体" w:cs="宋体"/>
                <w:color w:val="auto"/>
                <w:kern w:val="0"/>
                <w:sz w:val="24"/>
                <w:szCs w:val="32"/>
                <w:vertAlign w:val="subscript"/>
              </w:rPr>
              <w:t>2</w:t>
            </w:r>
            <w:r>
              <w:rPr>
                <w:rFonts w:ascii="Times New Roman" w:hAnsi="Times New Roman" w:eastAsia="宋体" w:cs="宋体"/>
                <w:color w:val="auto"/>
                <w:kern w:val="0"/>
                <w:sz w:val="24"/>
                <w:szCs w:val="32"/>
              </w:rPr>
              <w:t>、CO、PM</w:t>
            </w:r>
            <w:r>
              <w:rPr>
                <w:rFonts w:ascii="Times New Roman" w:hAnsi="Times New Roman" w:eastAsia="宋体" w:cs="宋体"/>
                <w:color w:val="auto"/>
                <w:kern w:val="0"/>
                <w:sz w:val="24"/>
                <w:szCs w:val="32"/>
                <w:vertAlign w:val="subscript"/>
              </w:rPr>
              <w:t>10</w:t>
            </w:r>
            <w:r>
              <w:rPr>
                <w:rFonts w:ascii="Times New Roman" w:hAnsi="Times New Roman" w:eastAsia="宋体" w:cs="宋体"/>
                <w:color w:val="auto"/>
                <w:kern w:val="0"/>
                <w:sz w:val="24"/>
                <w:szCs w:val="32"/>
              </w:rPr>
              <w:t>评价指标均能满足《环境空气质量标准》（GB3095-2012）及其修改单二级标准；PM</w:t>
            </w:r>
            <w:r>
              <w:rPr>
                <w:rFonts w:ascii="Times New Roman" w:hAnsi="Times New Roman" w:eastAsia="宋体" w:cs="宋体"/>
                <w:color w:val="auto"/>
                <w:kern w:val="0"/>
                <w:sz w:val="24"/>
                <w:szCs w:val="32"/>
                <w:vertAlign w:val="subscript"/>
              </w:rPr>
              <w:t>2.5</w:t>
            </w:r>
            <w:r>
              <w:rPr>
                <w:rFonts w:ascii="Times New Roman" w:hAnsi="Times New Roman" w:eastAsia="宋体" w:cs="宋体"/>
                <w:color w:val="auto"/>
                <w:kern w:val="0"/>
                <w:sz w:val="24"/>
                <w:szCs w:val="32"/>
              </w:rPr>
              <w:t>、O</w:t>
            </w:r>
            <w:r>
              <w:rPr>
                <w:rFonts w:ascii="Times New Roman" w:hAnsi="Times New Roman" w:eastAsia="宋体" w:cs="宋体"/>
                <w:color w:val="auto"/>
                <w:kern w:val="0"/>
                <w:sz w:val="24"/>
                <w:szCs w:val="32"/>
                <w:vertAlign w:val="subscript"/>
              </w:rPr>
              <w:t>3</w:t>
            </w:r>
            <w:r>
              <w:rPr>
                <w:rFonts w:ascii="Times New Roman" w:hAnsi="Times New Roman" w:eastAsia="宋体" w:cs="宋体"/>
                <w:color w:val="auto"/>
                <w:kern w:val="0"/>
                <w:sz w:val="24"/>
                <w:szCs w:val="32"/>
              </w:rPr>
              <w:t>评价指标</w:t>
            </w:r>
            <w:r>
              <w:rPr>
                <w:rFonts w:hint="eastAsia" w:ascii="Times New Roman" w:hAnsi="Times New Roman" w:eastAsia="宋体" w:cs="宋体"/>
                <w:color w:val="auto"/>
                <w:kern w:val="0"/>
                <w:sz w:val="24"/>
                <w:szCs w:val="32"/>
              </w:rPr>
              <w:t>均</w:t>
            </w:r>
            <w:r>
              <w:rPr>
                <w:rFonts w:ascii="Times New Roman" w:hAnsi="Times New Roman" w:eastAsia="宋体" w:cs="宋体"/>
                <w:color w:val="auto"/>
                <w:kern w:val="0"/>
                <w:sz w:val="24"/>
                <w:szCs w:val="32"/>
              </w:rPr>
              <w:t>不能满足《环境空气质量标准》（GB3095-2012）二级标准限值要求，因此，淮北市</w:t>
            </w:r>
            <w:r>
              <w:rPr>
                <w:rFonts w:hint="eastAsia" w:ascii="Times New Roman" w:hAnsi="Times New Roman" w:eastAsia="宋体" w:cs="宋体"/>
                <w:color w:val="auto"/>
                <w:kern w:val="0"/>
                <w:sz w:val="24"/>
                <w:szCs w:val="32"/>
              </w:rPr>
              <w:t>2023年</w:t>
            </w:r>
            <w:r>
              <w:rPr>
                <w:rFonts w:ascii="Times New Roman" w:hAnsi="Times New Roman" w:eastAsia="宋体" w:cs="宋体"/>
                <w:color w:val="auto"/>
                <w:kern w:val="0"/>
                <w:sz w:val="24"/>
                <w:szCs w:val="32"/>
              </w:rPr>
              <w:t>属于环境空气不达标区域。</w:t>
            </w:r>
          </w:p>
          <w:p w14:paraId="38F911C0">
            <w:pPr>
              <w:spacing w:line="360" w:lineRule="auto"/>
              <w:ind w:firstLine="482" w:firstLineChars="200"/>
              <w:rPr>
                <w:b/>
                <w:bCs/>
                <w:sz w:val="24"/>
              </w:rPr>
            </w:pPr>
            <w:r>
              <w:rPr>
                <w:rFonts w:hint="eastAsia"/>
                <w:b/>
                <w:bCs/>
                <w:sz w:val="24"/>
              </w:rPr>
              <w:t>3.2</w:t>
            </w:r>
            <w:r>
              <w:rPr>
                <w:b/>
                <w:bCs/>
                <w:sz w:val="24"/>
              </w:rPr>
              <w:t>地表水环境质量现状</w:t>
            </w:r>
          </w:p>
          <w:p w14:paraId="1C87EF96">
            <w:pPr>
              <w:autoSpaceDE w:val="0"/>
              <w:autoSpaceDN w:val="0"/>
              <w:adjustRightInd w:val="0"/>
              <w:snapToGrid w:val="0"/>
              <w:spacing w:line="360" w:lineRule="auto"/>
              <w:ind w:firstLine="480" w:firstLineChars="200"/>
              <w:jc w:val="left"/>
            </w:pPr>
            <w:r>
              <w:rPr>
                <w:rFonts w:hint="eastAsia"/>
                <w:sz w:val="24"/>
                <w:szCs w:val="32"/>
                <w:lang w:val="en-US" w:eastAsia="zh-CN"/>
              </w:rPr>
              <w:t>区域</w:t>
            </w:r>
            <w:r>
              <w:rPr>
                <w:sz w:val="24"/>
              </w:rPr>
              <w:t>地表水</w:t>
            </w:r>
            <w:r>
              <w:rPr>
                <w:rFonts w:hint="eastAsia"/>
                <w:sz w:val="24"/>
              </w:rPr>
              <w:t>龙河</w:t>
            </w:r>
            <w:r>
              <w:rPr>
                <w:sz w:val="24"/>
              </w:rPr>
              <w:t>环境质量状况引用</w:t>
            </w:r>
            <w:r>
              <w:rPr>
                <w:rFonts w:hint="eastAsia"/>
                <w:sz w:val="24"/>
              </w:rPr>
              <w:t>《淮北</w:t>
            </w:r>
            <w:r>
              <w:rPr>
                <w:sz w:val="24"/>
              </w:rPr>
              <w:t>海创循环科技有限责任公司淮北市废旧锂电池资源化绿色循环利用项目环境影响报告书》（2023年5月）中龙河的监测数据，该报告中监测时间为2023年4月12日～14日。</w:t>
            </w:r>
            <w:r>
              <w:rPr>
                <w:rFonts w:hint="eastAsia"/>
                <w:sz w:val="24"/>
              </w:rPr>
              <w:t>地表水监测断面</w:t>
            </w:r>
            <w:r>
              <w:rPr>
                <w:rFonts w:hint="eastAsia"/>
                <w:sz w:val="24"/>
                <w:lang w:val="en-US" w:eastAsia="zh-CN"/>
              </w:rPr>
              <w:t>设置情况见下表。</w:t>
            </w:r>
          </w:p>
          <w:p w14:paraId="39059745">
            <w:pPr>
              <w:widowControl/>
              <w:numPr>
                <w:ilvl w:val="0"/>
                <w:numId w:val="2"/>
              </w:numPr>
              <w:jc w:val="center"/>
              <w:rPr>
                <w:rFonts w:hint="eastAsia" w:ascii="Times New Roman" w:hAnsi="Times New Roman" w:eastAsia="宋体" w:cs="Times New Roman"/>
                <w:b/>
                <w:kern w:val="0"/>
                <w:szCs w:val="21"/>
              </w:rPr>
            </w:pPr>
            <w:r>
              <w:rPr>
                <w:rFonts w:hint="eastAsia" w:ascii="Times New Roman" w:hAnsi="Times New Roman" w:eastAsia="宋体" w:cs="Times New Roman"/>
                <w:b/>
                <w:kern w:val="0"/>
                <w:szCs w:val="21"/>
              </w:rPr>
              <w:t>地表水监测断面设置情况一览表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9"/>
              <w:gridCol w:w="1200"/>
              <w:gridCol w:w="3487"/>
              <w:gridCol w:w="2582"/>
            </w:tblGrid>
            <w:tr w14:paraId="0CA957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19" w:type="dxa"/>
                  <w:tcBorders>
                    <w:tl2br w:val="nil"/>
                    <w:tr2bl w:val="nil"/>
                  </w:tcBorders>
                  <w:vAlign w:val="center"/>
                </w:tcPr>
                <w:p w14:paraId="0B84BB0B">
                  <w:pPr>
                    <w:pStyle w:val="69"/>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河流</w:t>
                  </w:r>
                </w:p>
              </w:tc>
              <w:tc>
                <w:tcPr>
                  <w:tcW w:w="1200" w:type="dxa"/>
                  <w:tcBorders>
                    <w:tl2br w:val="nil"/>
                    <w:tr2bl w:val="nil"/>
                  </w:tcBorders>
                  <w:vAlign w:val="center"/>
                </w:tcPr>
                <w:p w14:paraId="74B4C374">
                  <w:pPr>
                    <w:pStyle w:val="69"/>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断面编号</w:t>
                  </w:r>
                </w:p>
              </w:tc>
              <w:tc>
                <w:tcPr>
                  <w:tcW w:w="3487" w:type="dxa"/>
                  <w:tcBorders>
                    <w:tl2br w:val="nil"/>
                    <w:tr2bl w:val="nil"/>
                  </w:tcBorders>
                  <w:vAlign w:val="center"/>
                </w:tcPr>
                <w:p w14:paraId="0566CCFC">
                  <w:pPr>
                    <w:pStyle w:val="69"/>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断面位置</w:t>
                  </w:r>
                </w:p>
              </w:tc>
              <w:tc>
                <w:tcPr>
                  <w:tcW w:w="2582" w:type="dxa"/>
                  <w:tcBorders>
                    <w:tl2br w:val="nil"/>
                    <w:tr2bl w:val="nil"/>
                  </w:tcBorders>
                  <w:vAlign w:val="center"/>
                </w:tcPr>
                <w:p w14:paraId="603A8EED">
                  <w:pPr>
                    <w:pStyle w:val="69"/>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监测因子</w:t>
                  </w:r>
                </w:p>
              </w:tc>
            </w:tr>
            <w:tr w14:paraId="6490B4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19" w:type="dxa"/>
                  <w:vMerge w:val="restart"/>
                  <w:tcBorders>
                    <w:tl2br w:val="nil"/>
                    <w:tr2bl w:val="nil"/>
                  </w:tcBorders>
                  <w:vAlign w:val="center"/>
                </w:tcPr>
                <w:p w14:paraId="3235ABA9">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龙河</w:t>
                  </w:r>
                </w:p>
              </w:tc>
              <w:tc>
                <w:tcPr>
                  <w:tcW w:w="1200" w:type="dxa"/>
                  <w:tcBorders>
                    <w:tl2br w:val="nil"/>
                    <w:tr2bl w:val="nil"/>
                  </w:tcBorders>
                  <w:vAlign w:val="center"/>
                </w:tcPr>
                <w:p w14:paraId="315FF3C9">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W1</w:t>
                  </w:r>
                </w:p>
              </w:tc>
              <w:tc>
                <w:tcPr>
                  <w:tcW w:w="3487" w:type="dxa"/>
                  <w:tcBorders>
                    <w:tl2br w:val="nil"/>
                    <w:tr2bl w:val="nil"/>
                  </w:tcBorders>
                  <w:vAlign w:val="center"/>
                </w:tcPr>
                <w:p w14:paraId="550588EB">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龙河污水处理厂排污口上游500m</w:t>
                  </w:r>
                </w:p>
              </w:tc>
              <w:tc>
                <w:tcPr>
                  <w:tcW w:w="2582" w:type="dxa"/>
                  <w:vMerge w:val="restart"/>
                  <w:tcBorders>
                    <w:tl2br w:val="nil"/>
                    <w:tr2bl w:val="nil"/>
                  </w:tcBorders>
                  <w:vAlign w:val="center"/>
                </w:tcPr>
                <w:p w14:paraId="5D5F0D0D">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pH、COD、BOD</w:t>
                  </w:r>
                  <w:r>
                    <w:rPr>
                      <w:rFonts w:hint="default" w:ascii="Times New Roman" w:hAnsi="Times New Roman" w:eastAsia="宋体" w:cs="Times New Roman"/>
                      <w:kern w:val="0"/>
                      <w:sz w:val="21"/>
                      <w:szCs w:val="21"/>
                      <w:vertAlign w:val="subscript"/>
                    </w:rPr>
                    <w:t>5</w:t>
                  </w:r>
                  <w:r>
                    <w:rPr>
                      <w:rFonts w:hint="default" w:ascii="Times New Roman" w:hAnsi="Times New Roman" w:eastAsia="宋体" w:cs="Times New Roman"/>
                      <w:kern w:val="0"/>
                      <w:sz w:val="21"/>
                      <w:szCs w:val="21"/>
                    </w:rPr>
                    <w:t>、SS、NH</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-N、TP、石油类</w:t>
                  </w:r>
                </w:p>
              </w:tc>
            </w:tr>
            <w:tr w14:paraId="5F2114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19" w:type="dxa"/>
                  <w:vMerge w:val="continue"/>
                  <w:tcBorders>
                    <w:tl2br w:val="nil"/>
                    <w:tr2bl w:val="nil"/>
                  </w:tcBorders>
                  <w:vAlign w:val="center"/>
                </w:tcPr>
                <w:p w14:paraId="308B0239">
                  <w:pPr>
                    <w:pStyle w:val="69"/>
                    <w:rPr>
                      <w:rFonts w:hint="default" w:ascii="Times New Roman" w:hAnsi="Times New Roman" w:eastAsia="宋体" w:cs="Times New Roman"/>
                      <w:kern w:val="2"/>
                      <w:sz w:val="21"/>
                      <w:szCs w:val="21"/>
                    </w:rPr>
                  </w:pPr>
                </w:p>
              </w:tc>
              <w:tc>
                <w:tcPr>
                  <w:tcW w:w="1200" w:type="dxa"/>
                  <w:tcBorders>
                    <w:tl2br w:val="nil"/>
                    <w:tr2bl w:val="nil"/>
                  </w:tcBorders>
                  <w:vAlign w:val="center"/>
                </w:tcPr>
                <w:p w14:paraId="7E77420D">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W2</w:t>
                  </w:r>
                </w:p>
              </w:tc>
              <w:tc>
                <w:tcPr>
                  <w:tcW w:w="3487" w:type="dxa"/>
                  <w:tcBorders>
                    <w:tl2br w:val="nil"/>
                    <w:tr2bl w:val="nil"/>
                  </w:tcBorders>
                  <w:vAlign w:val="center"/>
                </w:tcPr>
                <w:p w14:paraId="3A8D4B2F">
                  <w:pPr>
                    <w:pStyle w:val="6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龙河污水处理厂排污口下游500m</w:t>
                  </w:r>
                </w:p>
              </w:tc>
              <w:tc>
                <w:tcPr>
                  <w:tcW w:w="2582" w:type="dxa"/>
                  <w:vMerge w:val="continue"/>
                  <w:tcBorders>
                    <w:tl2br w:val="nil"/>
                    <w:tr2bl w:val="nil"/>
                  </w:tcBorders>
                  <w:vAlign w:val="center"/>
                </w:tcPr>
                <w:p w14:paraId="0C8AA7C7">
                  <w:pPr>
                    <w:pStyle w:val="69"/>
                    <w:rPr>
                      <w:rFonts w:hint="default" w:ascii="Times New Roman" w:hAnsi="Times New Roman" w:eastAsia="宋体" w:cs="Times New Roman"/>
                      <w:kern w:val="2"/>
                      <w:sz w:val="21"/>
                      <w:szCs w:val="21"/>
                    </w:rPr>
                  </w:pPr>
                </w:p>
              </w:tc>
            </w:tr>
            <w:tr w14:paraId="72D34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19" w:type="dxa"/>
                  <w:vMerge w:val="continue"/>
                  <w:tcBorders>
                    <w:tl2br w:val="nil"/>
                    <w:tr2bl w:val="nil"/>
                  </w:tcBorders>
                  <w:vAlign w:val="center"/>
                </w:tcPr>
                <w:p w14:paraId="6C433455">
                  <w:pPr>
                    <w:pStyle w:val="69"/>
                    <w:rPr>
                      <w:rFonts w:hint="default" w:ascii="Times New Roman" w:hAnsi="Times New Roman" w:eastAsia="宋体" w:cs="Times New Roman"/>
                      <w:kern w:val="0"/>
                      <w:sz w:val="21"/>
                      <w:szCs w:val="21"/>
                    </w:rPr>
                  </w:pPr>
                </w:p>
              </w:tc>
              <w:tc>
                <w:tcPr>
                  <w:tcW w:w="1200" w:type="dxa"/>
                  <w:tcBorders>
                    <w:tl2br w:val="nil"/>
                    <w:tr2bl w:val="nil"/>
                  </w:tcBorders>
                  <w:vAlign w:val="center"/>
                </w:tcPr>
                <w:p w14:paraId="0E5EEFE3">
                  <w:pPr>
                    <w:pStyle w:val="6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W3</w:t>
                  </w:r>
                </w:p>
              </w:tc>
              <w:tc>
                <w:tcPr>
                  <w:tcW w:w="3487" w:type="dxa"/>
                  <w:tcBorders>
                    <w:tl2br w:val="nil"/>
                    <w:tr2bl w:val="nil"/>
                  </w:tcBorders>
                  <w:vAlign w:val="center"/>
                </w:tcPr>
                <w:p w14:paraId="38D5D011">
                  <w:pPr>
                    <w:pStyle w:val="69"/>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龙河污水处理厂排污口下游2000m</w:t>
                  </w:r>
                </w:p>
              </w:tc>
              <w:tc>
                <w:tcPr>
                  <w:tcW w:w="2582" w:type="dxa"/>
                  <w:vMerge w:val="continue"/>
                  <w:tcBorders>
                    <w:tl2br w:val="nil"/>
                    <w:tr2bl w:val="nil"/>
                  </w:tcBorders>
                  <w:vAlign w:val="center"/>
                </w:tcPr>
                <w:p w14:paraId="3A64213B">
                  <w:pPr>
                    <w:pStyle w:val="69"/>
                    <w:rPr>
                      <w:rFonts w:hint="default" w:ascii="Times New Roman" w:hAnsi="Times New Roman" w:eastAsia="宋体" w:cs="Times New Roman"/>
                      <w:kern w:val="0"/>
                      <w:sz w:val="21"/>
                      <w:szCs w:val="21"/>
                    </w:rPr>
                  </w:pPr>
                </w:p>
              </w:tc>
            </w:tr>
          </w:tbl>
          <w:p w14:paraId="3CBD7690">
            <w:pPr>
              <w:autoSpaceDE w:val="0"/>
              <w:autoSpaceDN w:val="0"/>
              <w:adjustRightInd w:val="0"/>
              <w:snapToGrid w:val="0"/>
              <w:spacing w:line="360" w:lineRule="auto"/>
              <w:ind w:firstLine="480" w:firstLineChars="200"/>
              <w:jc w:val="left"/>
            </w:pPr>
            <w:r>
              <w:rPr>
                <w:rFonts w:hint="eastAsia" w:ascii="Times New Roman" w:hAnsi="Times New Roman" w:eastAsia="宋体" w:cs="Times New Roman"/>
                <w:sz w:val="24"/>
                <w:szCs w:val="32"/>
                <w:lang w:val="en-US" w:eastAsia="zh-CN"/>
              </w:rPr>
              <w:t>区域</w:t>
            </w:r>
            <w:r>
              <w:rPr>
                <w:rFonts w:ascii="Times New Roman" w:hAnsi="Times New Roman" w:eastAsia="宋体" w:cs="Times New Roman"/>
                <w:sz w:val="24"/>
              </w:rPr>
              <w:t>地表水</w:t>
            </w:r>
            <w:r>
              <w:rPr>
                <w:sz w:val="24"/>
              </w:rPr>
              <w:t>龙河水质</w:t>
            </w:r>
            <w:r>
              <w:rPr>
                <w:rFonts w:hint="eastAsia"/>
                <w:sz w:val="24"/>
              </w:rPr>
              <w:t>现状监测</w:t>
            </w:r>
            <w:r>
              <w:rPr>
                <w:sz w:val="24"/>
              </w:rPr>
              <w:t>情况见下表。</w:t>
            </w:r>
          </w:p>
          <w:p w14:paraId="6CF869D8">
            <w:pPr>
              <w:widowControl/>
              <w:numPr>
                <w:ilvl w:val="0"/>
                <w:numId w:val="2"/>
              </w:numPr>
              <w:jc w:val="center"/>
              <w:rPr>
                <w:b/>
                <w:szCs w:val="21"/>
              </w:rPr>
            </w:pPr>
            <w:r>
              <w:rPr>
                <w:rFonts w:hint="eastAsia"/>
                <w:b/>
                <w:kern w:val="0"/>
                <w:szCs w:val="21"/>
              </w:rPr>
              <w:t>龙河环境质量现状监测结果（单位：</w:t>
            </w:r>
            <w:r>
              <w:rPr>
                <w:b/>
                <w:kern w:val="0"/>
                <w:szCs w:val="21"/>
              </w:rPr>
              <w:t>mg/L</w:t>
            </w:r>
            <w:r>
              <w:rPr>
                <w:rFonts w:hint="eastAsia"/>
                <w:b/>
                <w:kern w:val="0"/>
                <w:szCs w:val="21"/>
              </w:rPr>
              <w:t>，</w:t>
            </w:r>
            <w:r>
              <w:rPr>
                <w:b/>
                <w:kern w:val="0"/>
                <w:szCs w:val="21"/>
              </w:rPr>
              <w:t>pH</w:t>
            </w:r>
            <w:r>
              <w:rPr>
                <w:rFonts w:hint="eastAsia"/>
                <w:b/>
                <w:kern w:val="0"/>
                <w:szCs w:val="21"/>
              </w:rPr>
              <w:t>无量纲）</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34"/>
              <w:gridCol w:w="1429"/>
              <w:gridCol w:w="774"/>
              <w:gridCol w:w="902"/>
              <w:gridCol w:w="902"/>
              <w:gridCol w:w="905"/>
              <w:gridCol w:w="846"/>
              <w:gridCol w:w="774"/>
              <w:gridCol w:w="733"/>
            </w:tblGrid>
            <w:tr w14:paraId="2D8E3C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 w:hRule="atLeast"/>
                <w:jc w:val="center"/>
              </w:trPr>
              <w:tc>
                <w:tcPr>
                  <w:tcW w:w="628" w:type="pct"/>
                  <w:tcBorders>
                    <w:tl2br w:val="nil"/>
                    <w:tr2bl w:val="nil"/>
                  </w:tcBorders>
                  <w:vAlign w:val="center"/>
                </w:tcPr>
                <w:p w14:paraId="3D9F50A8">
                  <w:pPr>
                    <w:pStyle w:val="69"/>
                    <w:rPr>
                      <w:b/>
                      <w:bCs/>
                    </w:rPr>
                  </w:pPr>
                  <w:r>
                    <w:rPr>
                      <w:b/>
                      <w:bCs/>
                    </w:rPr>
                    <w:t>监测点位</w:t>
                  </w:r>
                </w:p>
              </w:tc>
              <w:tc>
                <w:tcPr>
                  <w:tcW w:w="865" w:type="pct"/>
                  <w:tcBorders>
                    <w:tl2br w:val="nil"/>
                    <w:tr2bl w:val="nil"/>
                  </w:tcBorders>
                  <w:vAlign w:val="center"/>
                </w:tcPr>
                <w:p w14:paraId="1EAF3F95">
                  <w:pPr>
                    <w:pStyle w:val="69"/>
                    <w:rPr>
                      <w:b/>
                      <w:bCs/>
                    </w:rPr>
                  </w:pPr>
                  <w:r>
                    <w:rPr>
                      <w:b/>
                      <w:bCs/>
                    </w:rPr>
                    <w:t>采样日期</w:t>
                  </w:r>
                </w:p>
              </w:tc>
              <w:tc>
                <w:tcPr>
                  <w:tcW w:w="471" w:type="pct"/>
                  <w:tcBorders>
                    <w:tl2br w:val="nil"/>
                    <w:tr2bl w:val="nil"/>
                  </w:tcBorders>
                  <w:vAlign w:val="center"/>
                </w:tcPr>
                <w:p w14:paraId="28CBA7F6">
                  <w:pPr>
                    <w:pStyle w:val="69"/>
                    <w:rPr>
                      <w:b/>
                      <w:bCs/>
                    </w:rPr>
                  </w:pPr>
                  <w:r>
                    <w:rPr>
                      <w:b/>
                      <w:bCs/>
                    </w:rPr>
                    <w:t>pH</w:t>
                  </w:r>
                </w:p>
              </w:tc>
              <w:tc>
                <w:tcPr>
                  <w:tcW w:w="548" w:type="pct"/>
                  <w:tcBorders>
                    <w:tl2br w:val="nil"/>
                    <w:tr2bl w:val="nil"/>
                  </w:tcBorders>
                  <w:vAlign w:val="center"/>
                </w:tcPr>
                <w:p w14:paraId="7288CCA2">
                  <w:pPr>
                    <w:pStyle w:val="69"/>
                    <w:rPr>
                      <w:b/>
                      <w:bCs/>
                    </w:rPr>
                  </w:pPr>
                  <w:r>
                    <w:rPr>
                      <w:b/>
                      <w:bCs/>
                    </w:rPr>
                    <w:t>COD</w:t>
                  </w:r>
                </w:p>
              </w:tc>
              <w:tc>
                <w:tcPr>
                  <w:tcW w:w="548" w:type="pct"/>
                  <w:tcBorders>
                    <w:tl2br w:val="nil"/>
                    <w:tr2bl w:val="nil"/>
                  </w:tcBorders>
                  <w:vAlign w:val="center"/>
                </w:tcPr>
                <w:p w14:paraId="2CD9D42D">
                  <w:pPr>
                    <w:pStyle w:val="69"/>
                    <w:rPr>
                      <w:b/>
                      <w:bCs/>
                    </w:rPr>
                  </w:pPr>
                  <w:r>
                    <w:rPr>
                      <w:b/>
                      <w:bCs/>
                    </w:rPr>
                    <w:t>BOD</w:t>
                  </w:r>
                  <w:r>
                    <w:rPr>
                      <w:b/>
                      <w:bCs/>
                      <w:vertAlign w:val="subscript"/>
                    </w:rPr>
                    <w:t>5</w:t>
                  </w:r>
                </w:p>
              </w:tc>
              <w:tc>
                <w:tcPr>
                  <w:tcW w:w="550" w:type="pct"/>
                  <w:tcBorders>
                    <w:tl2br w:val="nil"/>
                    <w:tr2bl w:val="nil"/>
                  </w:tcBorders>
                  <w:vAlign w:val="center"/>
                </w:tcPr>
                <w:p w14:paraId="57FBD976">
                  <w:pPr>
                    <w:pStyle w:val="69"/>
                    <w:rPr>
                      <w:b/>
                      <w:bCs/>
                    </w:rPr>
                  </w:pPr>
                  <w:r>
                    <w:rPr>
                      <w:b/>
                      <w:bCs/>
                    </w:rPr>
                    <w:t>氨氮</w:t>
                  </w:r>
                </w:p>
              </w:tc>
              <w:tc>
                <w:tcPr>
                  <w:tcW w:w="470" w:type="pct"/>
                  <w:tcBorders>
                    <w:tl2br w:val="nil"/>
                    <w:tr2bl w:val="nil"/>
                  </w:tcBorders>
                  <w:vAlign w:val="center"/>
                </w:tcPr>
                <w:p w14:paraId="10A2CB80">
                  <w:pPr>
                    <w:pStyle w:val="69"/>
                    <w:rPr>
                      <w:b/>
                      <w:bCs/>
                    </w:rPr>
                  </w:pPr>
                  <w:r>
                    <w:rPr>
                      <w:b/>
                      <w:bCs/>
                    </w:rPr>
                    <w:t>总磷</w:t>
                  </w:r>
                </w:p>
              </w:tc>
              <w:tc>
                <w:tcPr>
                  <w:tcW w:w="471" w:type="pct"/>
                  <w:tcBorders>
                    <w:tl2br w:val="nil"/>
                    <w:tr2bl w:val="nil"/>
                  </w:tcBorders>
                  <w:vAlign w:val="center"/>
                </w:tcPr>
                <w:p w14:paraId="44B90192">
                  <w:pPr>
                    <w:pStyle w:val="69"/>
                    <w:rPr>
                      <w:b/>
                      <w:bCs/>
                    </w:rPr>
                  </w:pPr>
                  <w:r>
                    <w:rPr>
                      <w:b/>
                      <w:bCs/>
                    </w:rPr>
                    <w:t>悬浮物</w:t>
                  </w:r>
                </w:p>
              </w:tc>
              <w:tc>
                <w:tcPr>
                  <w:tcW w:w="446" w:type="pct"/>
                  <w:tcBorders>
                    <w:tl2br w:val="nil"/>
                    <w:tr2bl w:val="nil"/>
                  </w:tcBorders>
                  <w:vAlign w:val="center"/>
                </w:tcPr>
                <w:p w14:paraId="6795DDDE">
                  <w:pPr>
                    <w:pStyle w:val="69"/>
                    <w:rPr>
                      <w:b/>
                      <w:bCs/>
                    </w:rPr>
                  </w:pPr>
                  <w:r>
                    <w:rPr>
                      <w:b/>
                      <w:bCs/>
                    </w:rPr>
                    <w:t>石油类</w:t>
                  </w:r>
                </w:p>
              </w:tc>
            </w:tr>
            <w:tr w14:paraId="105D1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restart"/>
                  <w:tcBorders>
                    <w:tl2br w:val="nil"/>
                    <w:tr2bl w:val="nil"/>
                  </w:tcBorders>
                  <w:vAlign w:val="center"/>
                </w:tcPr>
                <w:p w14:paraId="20E6A0AB">
                  <w:pPr>
                    <w:pStyle w:val="69"/>
                  </w:pPr>
                  <w:r>
                    <w:rPr>
                      <w:rFonts w:hint="eastAsia"/>
                    </w:rPr>
                    <w:t>W</w:t>
                  </w:r>
                  <w:r>
                    <w:t>1</w:t>
                  </w:r>
                </w:p>
              </w:tc>
              <w:tc>
                <w:tcPr>
                  <w:tcW w:w="865" w:type="pct"/>
                  <w:tcBorders>
                    <w:tl2br w:val="nil"/>
                    <w:tr2bl w:val="nil"/>
                  </w:tcBorders>
                  <w:vAlign w:val="center"/>
                </w:tcPr>
                <w:p w14:paraId="67EF81DE">
                  <w:pPr>
                    <w:pStyle w:val="69"/>
                  </w:pPr>
                  <w:r>
                    <w:rPr>
                      <w:rFonts w:hint="eastAsia"/>
                    </w:rPr>
                    <w:t>2</w:t>
                  </w:r>
                  <w:r>
                    <w:t>023.4.12</w:t>
                  </w:r>
                </w:p>
              </w:tc>
              <w:tc>
                <w:tcPr>
                  <w:tcW w:w="471" w:type="pct"/>
                  <w:tcBorders>
                    <w:tl2br w:val="nil"/>
                    <w:tr2bl w:val="nil"/>
                  </w:tcBorders>
                  <w:vAlign w:val="center"/>
                </w:tcPr>
                <w:p w14:paraId="1A8638F3">
                  <w:pPr>
                    <w:pStyle w:val="69"/>
                  </w:pPr>
                  <w:r>
                    <w:rPr>
                      <w:rFonts w:hint="eastAsia"/>
                    </w:rPr>
                    <w:t>7</w:t>
                  </w:r>
                  <w:r>
                    <w:t>.2</w:t>
                  </w:r>
                </w:p>
              </w:tc>
              <w:tc>
                <w:tcPr>
                  <w:tcW w:w="548" w:type="pct"/>
                  <w:tcBorders>
                    <w:tl2br w:val="nil"/>
                    <w:tr2bl w:val="nil"/>
                  </w:tcBorders>
                  <w:vAlign w:val="center"/>
                </w:tcPr>
                <w:p w14:paraId="1F64CA16">
                  <w:pPr>
                    <w:pStyle w:val="69"/>
                  </w:pPr>
                  <w:r>
                    <w:rPr>
                      <w:rFonts w:hint="eastAsia"/>
                    </w:rPr>
                    <w:t>1</w:t>
                  </w:r>
                  <w:r>
                    <w:t>8</w:t>
                  </w:r>
                </w:p>
              </w:tc>
              <w:tc>
                <w:tcPr>
                  <w:tcW w:w="548" w:type="pct"/>
                  <w:tcBorders>
                    <w:tl2br w:val="nil"/>
                    <w:tr2bl w:val="nil"/>
                  </w:tcBorders>
                  <w:vAlign w:val="center"/>
                </w:tcPr>
                <w:p w14:paraId="2BD2D756">
                  <w:pPr>
                    <w:pStyle w:val="69"/>
                  </w:pPr>
                  <w:r>
                    <w:rPr>
                      <w:rFonts w:hint="eastAsia"/>
                    </w:rPr>
                    <w:t>2</w:t>
                  </w:r>
                  <w:r>
                    <w:t>.0</w:t>
                  </w:r>
                </w:p>
              </w:tc>
              <w:tc>
                <w:tcPr>
                  <w:tcW w:w="550" w:type="pct"/>
                  <w:tcBorders>
                    <w:tl2br w:val="nil"/>
                    <w:tr2bl w:val="nil"/>
                  </w:tcBorders>
                  <w:vAlign w:val="center"/>
                </w:tcPr>
                <w:p w14:paraId="4D6D527A">
                  <w:pPr>
                    <w:pStyle w:val="69"/>
                  </w:pPr>
                  <w:r>
                    <w:rPr>
                      <w:rFonts w:hint="eastAsia"/>
                    </w:rPr>
                    <w:t>0</w:t>
                  </w:r>
                  <w:r>
                    <w:t>.133</w:t>
                  </w:r>
                </w:p>
              </w:tc>
              <w:tc>
                <w:tcPr>
                  <w:tcW w:w="470" w:type="pct"/>
                  <w:tcBorders>
                    <w:tl2br w:val="nil"/>
                    <w:tr2bl w:val="nil"/>
                  </w:tcBorders>
                  <w:vAlign w:val="center"/>
                </w:tcPr>
                <w:p w14:paraId="668621AD">
                  <w:pPr>
                    <w:pStyle w:val="69"/>
                  </w:pPr>
                  <w:r>
                    <w:rPr>
                      <w:rFonts w:hint="eastAsia"/>
                    </w:rPr>
                    <w:t>0</w:t>
                  </w:r>
                  <w:r>
                    <w:t>.03</w:t>
                  </w:r>
                </w:p>
              </w:tc>
              <w:tc>
                <w:tcPr>
                  <w:tcW w:w="471" w:type="pct"/>
                  <w:tcBorders>
                    <w:tl2br w:val="nil"/>
                    <w:tr2bl w:val="nil"/>
                  </w:tcBorders>
                  <w:vAlign w:val="center"/>
                </w:tcPr>
                <w:p w14:paraId="58F0671E">
                  <w:pPr>
                    <w:pStyle w:val="69"/>
                  </w:pPr>
                  <w:r>
                    <w:rPr>
                      <w:rFonts w:hint="eastAsia"/>
                    </w:rPr>
                    <w:t>1</w:t>
                  </w:r>
                  <w:r>
                    <w:t>2</w:t>
                  </w:r>
                </w:p>
              </w:tc>
              <w:tc>
                <w:tcPr>
                  <w:tcW w:w="446" w:type="pct"/>
                  <w:tcBorders>
                    <w:tl2br w:val="nil"/>
                    <w:tr2bl w:val="nil"/>
                  </w:tcBorders>
                  <w:vAlign w:val="center"/>
                </w:tcPr>
                <w:p w14:paraId="54A8C56A">
                  <w:pPr>
                    <w:pStyle w:val="69"/>
                  </w:pPr>
                  <w:r>
                    <w:rPr>
                      <w:rFonts w:hint="eastAsia"/>
                    </w:rPr>
                    <w:t>0</w:t>
                  </w:r>
                  <w:r>
                    <w:t>.01L</w:t>
                  </w:r>
                </w:p>
              </w:tc>
            </w:tr>
            <w:tr w14:paraId="01ECAE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74F42563">
                  <w:pPr>
                    <w:pStyle w:val="69"/>
                  </w:pPr>
                </w:p>
              </w:tc>
              <w:tc>
                <w:tcPr>
                  <w:tcW w:w="865" w:type="pct"/>
                  <w:tcBorders>
                    <w:tl2br w:val="nil"/>
                    <w:tr2bl w:val="nil"/>
                  </w:tcBorders>
                  <w:vAlign w:val="center"/>
                </w:tcPr>
                <w:p w14:paraId="17F9E0F6">
                  <w:pPr>
                    <w:pStyle w:val="69"/>
                  </w:pPr>
                  <w:r>
                    <w:rPr>
                      <w:rFonts w:hint="eastAsia"/>
                    </w:rPr>
                    <w:t>2</w:t>
                  </w:r>
                  <w:r>
                    <w:t>023.4.13</w:t>
                  </w:r>
                </w:p>
              </w:tc>
              <w:tc>
                <w:tcPr>
                  <w:tcW w:w="471" w:type="pct"/>
                  <w:tcBorders>
                    <w:tl2br w:val="nil"/>
                    <w:tr2bl w:val="nil"/>
                  </w:tcBorders>
                  <w:vAlign w:val="center"/>
                </w:tcPr>
                <w:p w14:paraId="62898299">
                  <w:pPr>
                    <w:pStyle w:val="69"/>
                  </w:pPr>
                  <w:r>
                    <w:rPr>
                      <w:rFonts w:hint="eastAsia"/>
                    </w:rPr>
                    <w:t>7</w:t>
                  </w:r>
                  <w:r>
                    <w:t>.1</w:t>
                  </w:r>
                </w:p>
              </w:tc>
              <w:tc>
                <w:tcPr>
                  <w:tcW w:w="548" w:type="pct"/>
                  <w:tcBorders>
                    <w:tl2br w:val="nil"/>
                    <w:tr2bl w:val="nil"/>
                  </w:tcBorders>
                  <w:vAlign w:val="center"/>
                </w:tcPr>
                <w:p w14:paraId="3CBCB696">
                  <w:pPr>
                    <w:pStyle w:val="69"/>
                  </w:pPr>
                  <w:r>
                    <w:rPr>
                      <w:rFonts w:hint="eastAsia"/>
                    </w:rPr>
                    <w:t>1</w:t>
                  </w:r>
                  <w:r>
                    <w:t>6</w:t>
                  </w:r>
                </w:p>
              </w:tc>
              <w:tc>
                <w:tcPr>
                  <w:tcW w:w="548" w:type="pct"/>
                  <w:tcBorders>
                    <w:tl2br w:val="nil"/>
                    <w:tr2bl w:val="nil"/>
                  </w:tcBorders>
                  <w:vAlign w:val="center"/>
                </w:tcPr>
                <w:p w14:paraId="5F81AA6A">
                  <w:pPr>
                    <w:pStyle w:val="69"/>
                  </w:pPr>
                  <w:r>
                    <w:rPr>
                      <w:rFonts w:hint="eastAsia"/>
                    </w:rPr>
                    <w:t>1</w:t>
                  </w:r>
                  <w:r>
                    <w:t>.9</w:t>
                  </w:r>
                </w:p>
              </w:tc>
              <w:tc>
                <w:tcPr>
                  <w:tcW w:w="550" w:type="pct"/>
                  <w:tcBorders>
                    <w:tl2br w:val="nil"/>
                    <w:tr2bl w:val="nil"/>
                  </w:tcBorders>
                  <w:vAlign w:val="center"/>
                </w:tcPr>
                <w:p w14:paraId="5392795E">
                  <w:pPr>
                    <w:pStyle w:val="69"/>
                  </w:pPr>
                  <w:r>
                    <w:rPr>
                      <w:rFonts w:hint="eastAsia"/>
                    </w:rPr>
                    <w:t>0</w:t>
                  </w:r>
                  <w:r>
                    <w:t>.145</w:t>
                  </w:r>
                </w:p>
              </w:tc>
              <w:tc>
                <w:tcPr>
                  <w:tcW w:w="470" w:type="pct"/>
                  <w:tcBorders>
                    <w:tl2br w:val="nil"/>
                    <w:tr2bl w:val="nil"/>
                  </w:tcBorders>
                  <w:vAlign w:val="center"/>
                </w:tcPr>
                <w:p w14:paraId="574EE564">
                  <w:pPr>
                    <w:pStyle w:val="69"/>
                  </w:pPr>
                  <w:r>
                    <w:rPr>
                      <w:rFonts w:hint="eastAsia"/>
                    </w:rPr>
                    <w:t>0</w:t>
                  </w:r>
                  <w:r>
                    <w:t>.03</w:t>
                  </w:r>
                </w:p>
              </w:tc>
              <w:tc>
                <w:tcPr>
                  <w:tcW w:w="471" w:type="pct"/>
                  <w:tcBorders>
                    <w:tl2br w:val="nil"/>
                    <w:tr2bl w:val="nil"/>
                  </w:tcBorders>
                  <w:vAlign w:val="center"/>
                </w:tcPr>
                <w:p w14:paraId="4E1F50F8">
                  <w:pPr>
                    <w:pStyle w:val="69"/>
                  </w:pPr>
                  <w:r>
                    <w:rPr>
                      <w:rFonts w:hint="eastAsia"/>
                    </w:rPr>
                    <w:t>9</w:t>
                  </w:r>
                </w:p>
              </w:tc>
              <w:tc>
                <w:tcPr>
                  <w:tcW w:w="446" w:type="pct"/>
                  <w:tcBorders>
                    <w:tl2br w:val="nil"/>
                    <w:tr2bl w:val="nil"/>
                  </w:tcBorders>
                  <w:vAlign w:val="center"/>
                </w:tcPr>
                <w:p w14:paraId="2537E366">
                  <w:pPr>
                    <w:pStyle w:val="69"/>
                  </w:pPr>
                  <w:r>
                    <w:rPr>
                      <w:rFonts w:hint="eastAsia"/>
                    </w:rPr>
                    <w:t>0</w:t>
                  </w:r>
                  <w:r>
                    <w:t>.01L</w:t>
                  </w:r>
                </w:p>
              </w:tc>
            </w:tr>
            <w:tr w14:paraId="52145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57192E11">
                  <w:pPr>
                    <w:pStyle w:val="69"/>
                  </w:pPr>
                </w:p>
              </w:tc>
              <w:tc>
                <w:tcPr>
                  <w:tcW w:w="865" w:type="pct"/>
                  <w:tcBorders>
                    <w:tl2br w:val="nil"/>
                    <w:tr2bl w:val="nil"/>
                  </w:tcBorders>
                  <w:vAlign w:val="center"/>
                </w:tcPr>
                <w:p w14:paraId="52DF126E">
                  <w:pPr>
                    <w:pStyle w:val="69"/>
                  </w:pPr>
                  <w:r>
                    <w:rPr>
                      <w:rFonts w:hint="eastAsia"/>
                    </w:rPr>
                    <w:t>2</w:t>
                  </w:r>
                  <w:r>
                    <w:t>023.4.14</w:t>
                  </w:r>
                </w:p>
              </w:tc>
              <w:tc>
                <w:tcPr>
                  <w:tcW w:w="471" w:type="pct"/>
                  <w:tcBorders>
                    <w:tl2br w:val="nil"/>
                    <w:tr2bl w:val="nil"/>
                  </w:tcBorders>
                  <w:vAlign w:val="center"/>
                </w:tcPr>
                <w:p w14:paraId="1A51E91E">
                  <w:pPr>
                    <w:pStyle w:val="69"/>
                  </w:pPr>
                  <w:r>
                    <w:rPr>
                      <w:rFonts w:hint="eastAsia"/>
                    </w:rPr>
                    <w:t>7</w:t>
                  </w:r>
                  <w:r>
                    <w:t>.3</w:t>
                  </w:r>
                </w:p>
              </w:tc>
              <w:tc>
                <w:tcPr>
                  <w:tcW w:w="548" w:type="pct"/>
                  <w:tcBorders>
                    <w:tl2br w:val="nil"/>
                    <w:tr2bl w:val="nil"/>
                  </w:tcBorders>
                  <w:vAlign w:val="center"/>
                </w:tcPr>
                <w:p w14:paraId="3C7C9976">
                  <w:pPr>
                    <w:pStyle w:val="69"/>
                  </w:pPr>
                  <w:r>
                    <w:rPr>
                      <w:rFonts w:hint="eastAsia"/>
                    </w:rPr>
                    <w:t>1</w:t>
                  </w:r>
                  <w:r>
                    <w:t>7</w:t>
                  </w:r>
                </w:p>
              </w:tc>
              <w:tc>
                <w:tcPr>
                  <w:tcW w:w="548" w:type="pct"/>
                  <w:tcBorders>
                    <w:tl2br w:val="nil"/>
                    <w:tr2bl w:val="nil"/>
                  </w:tcBorders>
                  <w:vAlign w:val="center"/>
                </w:tcPr>
                <w:p w14:paraId="2CEFE60B">
                  <w:pPr>
                    <w:pStyle w:val="69"/>
                  </w:pPr>
                  <w:r>
                    <w:rPr>
                      <w:rFonts w:hint="eastAsia"/>
                    </w:rPr>
                    <w:t>1</w:t>
                  </w:r>
                  <w:r>
                    <w:t>.9</w:t>
                  </w:r>
                </w:p>
              </w:tc>
              <w:tc>
                <w:tcPr>
                  <w:tcW w:w="550" w:type="pct"/>
                  <w:tcBorders>
                    <w:tl2br w:val="nil"/>
                    <w:tr2bl w:val="nil"/>
                  </w:tcBorders>
                  <w:vAlign w:val="center"/>
                </w:tcPr>
                <w:p w14:paraId="5C5CFF67">
                  <w:pPr>
                    <w:pStyle w:val="69"/>
                  </w:pPr>
                  <w:r>
                    <w:rPr>
                      <w:rFonts w:hint="eastAsia"/>
                    </w:rPr>
                    <w:t>0</w:t>
                  </w:r>
                  <w:r>
                    <w:t>.138</w:t>
                  </w:r>
                </w:p>
              </w:tc>
              <w:tc>
                <w:tcPr>
                  <w:tcW w:w="470" w:type="pct"/>
                  <w:tcBorders>
                    <w:tl2br w:val="nil"/>
                    <w:tr2bl w:val="nil"/>
                  </w:tcBorders>
                  <w:vAlign w:val="center"/>
                </w:tcPr>
                <w:p w14:paraId="2BE3F0BA">
                  <w:pPr>
                    <w:pStyle w:val="69"/>
                  </w:pPr>
                  <w:r>
                    <w:rPr>
                      <w:rFonts w:hint="eastAsia"/>
                    </w:rPr>
                    <w:t>0</w:t>
                  </w:r>
                  <w:r>
                    <w:t>.05</w:t>
                  </w:r>
                </w:p>
              </w:tc>
              <w:tc>
                <w:tcPr>
                  <w:tcW w:w="471" w:type="pct"/>
                  <w:tcBorders>
                    <w:tl2br w:val="nil"/>
                    <w:tr2bl w:val="nil"/>
                  </w:tcBorders>
                  <w:vAlign w:val="center"/>
                </w:tcPr>
                <w:p w14:paraId="5F913EC0">
                  <w:pPr>
                    <w:pStyle w:val="69"/>
                  </w:pPr>
                  <w:r>
                    <w:rPr>
                      <w:rFonts w:hint="eastAsia"/>
                    </w:rPr>
                    <w:t>7</w:t>
                  </w:r>
                </w:p>
              </w:tc>
              <w:tc>
                <w:tcPr>
                  <w:tcW w:w="446" w:type="pct"/>
                  <w:tcBorders>
                    <w:tl2br w:val="nil"/>
                    <w:tr2bl w:val="nil"/>
                  </w:tcBorders>
                  <w:vAlign w:val="center"/>
                </w:tcPr>
                <w:p w14:paraId="254D6833">
                  <w:pPr>
                    <w:pStyle w:val="69"/>
                  </w:pPr>
                  <w:r>
                    <w:rPr>
                      <w:rFonts w:hint="eastAsia"/>
                    </w:rPr>
                    <w:t>0</w:t>
                  </w:r>
                  <w:r>
                    <w:t>.01L</w:t>
                  </w:r>
                </w:p>
              </w:tc>
            </w:tr>
            <w:tr w14:paraId="1A7013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restart"/>
                  <w:tcBorders>
                    <w:tl2br w:val="nil"/>
                    <w:tr2bl w:val="nil"/>
                  </w:tcBorders>
                  <w:vAlign w:val="center"/>
                </w:tcPr>
                <w:p w14:paraId="124F69A1">
                  <w:pPr>
                    <w:pStyle w:val="69"/>
                  </w:pPr>
                  <w:r>
                    <w:rPr>
                      <w:rFonts w:hint="eastAsia"/>
                    </w:rPr>
                    <w:t>W</w:t>
                  </w:r>
                  <w:r>
                    <w:t>2</w:t>
                  </w:r>
                </w:p>
              </w:tc>
              <w:tc>
                <w:tcPr>
                  <w:tcW w:w="865" w:type="pct"/>
                  <w:tcBorders>
                    <w:tl2br w:val="nil"/>
                    <w:tr2bl w:val="nil"/>
                  </w:tcBorders>
                  <w:vAlign w:val="center"/>
                </w:tcPr>
                <w:p w14:paraId="47A5DE33">
                  <w:pPr>
                    <w:pStyle w:val="69"/>
                  </w:pPr>
                  <w:r>
                    <w:rPr>
                      <w:rFonts w:hint="eastAsia"/>
                    </w:rPr>
                    <w:t>2</w:t>
                  </w:r>
                  <w:r>
                    <w:t>023.4.12</w:t>
                  </w:r>
                </w:p>
              </w:tc>
              <w:tc>
                <w:tcPr>
                  <w:tcW w:w="471" w:type="pct"/>
                  <w:tcBorders>
                    <w:tl2br w:val="nil"/>
                    <w:tr2bl w:val="nil"/>
                  </w:tcBorders>
                  <w:vAlign w:val="center"/>
                </w:tcPr>
                <w:p w14:paraId="01CA372F">
                  <w:pPr>
                    <w:pStyle w:val="69"/>
                  </w:pPr>
                  <w:r>
                    <w:rPr>
                      <w:rFonts w:hint="eastAsia"/>
                    </w:rPr>
                    <w:t>7</w:t>
                  </w:r>
                  <w:r>
                    <w:t>.5</w:t>
                  </w:r>
                </w:p>
              </w:tc>
              <w:tc>
                <w:tcPr>
                  <w:tcW w:w="548" w:type="pct"/>
                  <w:tcBorders>
                    <w:tl2br w:val="nil"/>
                    <w:tr2bl w:val="nil"/>
                  </w:tcBorders>
                  <w:vAlign w:val="center"/>
                </w:tcPr>
                <w:p w14:paraId="5C0AD9DB">
                  <w:pPr>
                    <w:pStyle w:val="69"/>
                  </w:pPr>
                  <w:r>
                    <w:rPr>
                      <w:rFonts w:hint="eastAsia"/>
                    </w:rPr>
                    <w:t>2</w:t>
                  </w:r>
                  <w:r>
                    <w:t>4</w:t>
                  </w:r>
                </w:p>
              </w:tc>
              <w:tc>
                <w:tcPr>
                  <w:tcW w:w="548" w:type="pct"/>
                  <w:tcBorders>
                    <w:tl2br w:val="nil"/>
                    <w:tr2bl w:val="nil"/>
                  </w:tcBorders>
                  <w:vAlign w:val="center"/>
                </w:tcPr>
                <w:p w14:paraId="7813C70D">
                  <w:pPr>
                    <w:pStyle w:val="69"/>
                  </w:pPr>
                  <w:r>
                    <w:rPr>
                      <w:rFonts w:hint="eastAsia"/>
                    </w:rPr>
                    <w:t>2</w:t>
                  </w:r>
                  <w:r>
                    <w:t>.7</w:t>
                  </w:r>
                </w:p>
              </w:tc>
              <w:tc>
                <w:tcPr>
                  <w:tcW w:w="550" w:type="pct"/>
                  <w:tcBorders>
                    <w:tl2br w:val="nil"/>
                    <w:tr2bl w:val="nil"/>
                  </w:tcBorders>
                  <w:vAlign w:val="center"/>
                </w:tcPr>
                <w:p w14:paraId="4EF069FD">
                  <w:pPr>
                    <w:pStyle w:val="69"/>
                  </w:pPr>
                  <w:r>
                    <w:rPr>
                      <w:rFonts w:hint="eastAsia"/>
                    </w:rPr>
                    <w:t>0</w:t>
                  </w:r>
                  <w:r>
                    <w:t>.165</w:t>
                  </w:r>
                </w:p>
              </w:tc>
              <w:tc>
                <w:tcPr>
                  <w:tcW w:w="470" w:type="pct"/>
                  <w:tcBorders>
                    <w:tl2br w:val="nil"/>
                    <w:tr2bl w:val="nil"/>
                  </w:tcBorders>
                  <w:vAlign w:val="center"/>
                </w:tcPr>
                <w:p w14:paraId="525FB204">
                  <w:pPr>
                    <w:pStyle w:val="69"/>
                  </w:pPr>
                  <w:r>
                    <w:rPr>
                      <w:rFonts w:hint="eastAsia"/>
                    </w:rPr>
                    <w:t>0</w:t>
                  </w:r>
                  <w:r>
                    <w:t>.06</w:t>
                  </w:r>
                </w:p>
              </w:tc>
              <w:tc>
                <w:tcPr>
                  <w:tcW w:w="471" w:type="pct"/>
                  <w:tcBorders>
                    <w:tl2br w:val="nil"/>
                    <w:tr2bl w:val="nil"/>
                  </w:tcBorders>
                  <w:vAlign w:val="center"/>
                </w:tcPr>
                <w:p w14:paraId="5CBC855B">
                  <w:pPr>
                    <w:pStyle w:val="69"/>
                  </w:pPr>
                  <w:r>
                    <w:rPr>
                      <w:rFonts w:hint="eastAsia"/>
                    </w:rPr>
                    <w:t>1</w:t>
                  </w:r>
                  <w:r>
                    <w:t>6</w:t>
                  </w:r>
                </w:p>
              </w:tc>
              <w:tc>
                <w:tcPr>
                  <w:tcW w:w="446" w:type="pct"/>
                  <w:tcBorders>
                    <w:tl2br w:val="nil"/>
                    <w:tr2bl w:val="nil"/>
                  </w:tcBorders>
                  <w:vAlign w:val="center"/>
                </w:tcPr>
                <w:p w14:paraId="323915DD">
                  <w:pPr>
                    <w:pStyle w:val="69"/>
                  </w:pPr>
                  <w:r>
                    <w:rPr>
                      <w:rFonts w:hint="eastAsia"/>
                    </w:rPr>
                    <w:t>0</w:t>
                  </w:r>
                  <w:r>
                    <w:t>.01L</w:t>
                  </w:r>
                </w:p>
              </w:tc>
            </w:tr>
            <w:tr w14:paraId="10100C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1E70A991">
                  <w:pPr>
                    <w:pStyle w:val="69"/>
                  </w:pPr>
                </w:p>
              </w:tc>
              <w:tc>
                <w:tcPr>
                  <w:tcW w:w="865" w:type="pct"/>
                  <w:tcBorders>
                    <w:tl2br w:val="nil"/>
                    <w:tr2bl w:val="nil"/>
                  </w:tcBorders>
                  <w:vAlign w:val="center"/>
                </w:tcPr>
                <w:p w14:paraId="7E3AB00A">
                  <w:pPr>
                    <w:pStyle w:val="69"/>
                  </w:pPr>
                  <w:r>
                    <w:rPr>
                      <w:rFonts w:hint="eastAsia"/>
                    </w:rPr>
                    <w:t>2</w:t>
                  </w:r>
                  <w:r>
                    <w:t>023.4.13</w:t>
                  </w:r>
                </w:p>
              </w:tc>
              <w:tc>
                <w:tcPr>
                  <w:tcW w:w="471" w:type="pct"/>
                  <w:tcBorders>
                    <w:tl2br w:val="nil"/>
                    <w:tr2bl w:val="nil"/>
                  </w:tcBorders>
                  <w:vAlign w:val="center"/>
                </w:tcPr>
                <w:p w14:paraId="17156E47">
                  <w:pPr>
                    <w:pStyle w:val="69"/>
                  </w:pPr>
                  <w:r>
                    <w:rPr>
                      <w:rFonts w:hint="eastAsia"/>
                    </w:rPr>
                    <w:t>7</w:t>
                  </w:r>
                  <w:r>
                    <w:t>.4</w:t>
                  </w:r>
                </w:p>
              </w:tc>
              <w:tc>
                <w:tcPr>
                  <w:tcW w:w="548" w:type="pct"/>
                  <w:tcBorders>
                    <w:tl2br w:val="nil"/>
                    <w:tr2bl w:val="nil"/>
                  </w:tcBorders>
                  <w:vAlign w:val="center"/>
                </w:tcPr>
                <w:p w14:paraId="62EAF71B">
                  <w:pPr>
                    <w:pStyle w:val="69"/>
                  </w:pPr>
                  <w:r>
                    <w:rPr>
                      <w:rFonts w:hint="eastAsia"/>
                    </w:rPr>
                    <w:t>2</w:t>
                  </w:r>
                  <w:r>
                    <w:t>2</w:t>
                  </w:r>
                </w:p>
              </w:tc>
              <w:tc>
                <w:tcPr>
                  <w:tcW w:w="548" w:type="pct"/>
                  <w:tcBorders>
                    <w:tl2br w:val="nil"/>
                    <w:tr2bl w:val="nil"/>
                  </w:tcBorders>
                  <w:vAlign w:val="center"/>
                </w:tcPr>
                <w:p w14:paraId="0F8B2767">
                  <w:pPr>
                    <w:pStyle w:val="69"/>
                  </w:pPr>
                  <w:r>
                    <w:rPr>
                      <w:rFonts w:hint="eastAsia"/>
                    </w:rPr>
                    <w:t>2</w:t>
                  </w:r>
                  <w:r>
                    <w:t>.6</w:t>
                  </w:r>
                </w:p>
              </w:tc>
              <w:tc>
                <w:tcPr>
                  <w:tcW w:w="550" w:type="pct"/>
                  <w:tcBorders>
                    <w:tl2br w:val="nil"/>
                    <w:tr2bl w:val="nil"/>
                  </w:tcBorders>
                  <w:vAlign w:val="center"/>
                </w:tcPr>
                <w:p w14:paraId="08F716F9">
                  <w:pPr>
                    <w:pStyle w:val="69"/>
                  </w:pPr>
                  <w:r>
                    <w:rPr>
                      <w:rFonts w:hint="eastAsia"/>
                    </w:rPr>
                    <w:t>0</w:t>
                  </w:r>
                  <w:r>
                    <w:t>.181</w:t>
                  </w:r>
                </w:p>
              </w:tc>
              <w:tc>
                <w:tcPr>
                  <w:tcW w:w="470" w:type="pct"/>
                  <w:tcBorders>
                    <w:tl2br w:val="nil"/>
                    <w:tr2bl w:val="nil"/>
                  </w:tcBorders>
                  <w:vAlign w:val="center"/>
                </w:tcPr>
                <w:p w14:paraId="1A171937">
                  <w:pPr>
                    <w:pStyle w:val="69"/>
                  </w:pPr>
                  <w:r>
                    <w:rPr>
                      <w:rFonts w:hint="eastAsia"/>
                    </w:rPr>
                    <w:t>0</w:t>
                  </w:r>
                  <w:r>
                    <w:t>.07</w:t>
                  </w:r>
                </w:p>
              </w:tc>
              <w:tc>
                <w:tcPr>
                  <w:tcW w:w="471" w:type="pct"/>
                  <w:tcBorders>
                    <w:tl2br w:val="nil"/>
                    <w:tr2bl w:val="nil"/>
                  </w:tcBorders>
                  <w:vAlign w:val="center"/>
                </w:tcPr>
                <w:p w14:paraId="0E171D4A">
                  <w:pPr>
                    <w:pStyle w:val="69"/>
                  </w:pPr>
                  <w:r>
                    <w:rPr>
                      <w:rFonts w:hint="eastAsia"/>
                    </w:rPr>
                    <w:t>1</w:t>
                  </w:r>
                  <w:r>
                    <w:t>6</w:t>
                  </w:r>
                </w:p>
              </w:tc>
              <w:tc>
                <w:tcPr>
                  <w:tcW w:w="446" w:type="pct"/>
                  <w:tcBorders>
                    <w:tl2br w:val="nil"/>
                    <w:tr2bl w:val="nil"/>
                  </w:tcBorders>
                  <w:vAlign w:val="center"/>
                </w:tcPr>
                <w:p w14:paraId="39D6B484">
                  <w:pPr>
                    <w:pStyle w:val="69"/>
                  </w:pPr>
                  <w:r>
                    <w:rPr>
                      <w:rFonts w:hint="eastAsia"/>
                    </w:rPr>
                    <w:t>0</w:t>
                  </w:r>
                  <w:r>
                    <w:t>.01L</w:t>
                  </w:r>
                </w:p>
              </w:tc>
            </w:tr>
            <w:tr w14:paraId="702228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030B537A">
                  <w:pPr>
                    <w:pStyle w:val="69"/>
                  </w:pPr>
                </w:p>
              </w:tc>
              <w:tc>
                <w:tcPr>
                  <w:tcW w:w="865" w:type="pct"/>
                  <w:tcBorders>
                    <w:tl2br w:val="nil"/>
                    <w:tr2bl w:val="nil"/>
                  </w:tcBorders>
                  <w:vAlign w:val="center"/>
                </w:tcPr>
                <w:p w14:paraId="21C4F352">
                  <w:pPr>
                    <w:pStyle w:val="69"/>
                  </w:pPr>
                  <w:r>
                    <w:rPr>
                      <w:rFonts w:hint="eastAsia"/>
                    </w:rPr>
                    <w:t>2</w:t>
                  </w:r>
                  <w:r>
                    <w:t>023.4.14</w:t>
                  </w:r>
                </w:p>
              </w:tc>
              <w:tc>
                <w:tcPr>
                  <w:tcW w:w="471" w:type="pct"/>
                  <w:tcBorders>
                    <w:tl2br w:val="nil"/>
                    <w:tr2bl w:val="nil"/>
                  </w:tcBorders>
                  <w:vAlign w:val="center"/>
                </w:tcPr>
                <w:p w14:paraId="53BD0A3F">
                  <w:pPr>
                    <w:pStyle w:val="69"/>
                  </w:pPr>
                  <w:r>
                    <w:rPr>
                      <w:rFonts w:hint="eastAsia"/>
                    </w:rPr>
                    <w:t>7</w:t>
                  </w:r>
                  <w:r>
                    <w:t>.6</w:t>
                  </w:r>
                </w:p>
              </w:tc>
              <w:tc>
                <w:tcPr>
                  <w:tcW w:w="548" w:type="pct"/>
                  <w:tcBorders>
                    <w:tl2br w:val="nil"/>
                    <w:tr2bl w:val="nil"/>
                  </w:tcBorders>
                  <w:vAlign w:val="center"/>
                </w:tcPr>
                <w:p w14:paraId="117DC6E6">
                  <w:pPr>
                    <w:pStyle w:val="69"/>
                  </w:pPr>
                  <w:r>
                    <w:rPr>
                      <w:rFonts w:hint="eastAsia"/>
                    </w:rPr>
                    <w:t>2</w:t>
                  </w:r>
                  <w:r>
                    <w:t>5</w:t>
                  </w:r>
                </w:p>
              </w:tc>
              <w:tc>
                <w:tcPr>
                  <w:tcW w:w="548" w:type="pct"/>
                  <w:tcBorders>
                    <w:tl2br w:val="nil"/>
                    <w:tr2bl w:val="nil"/>
                  </w:tcBorders>
                  <w:vAlign w:val="center"/>
                </w:tcPr>
                <w:p w14:paraId="3238C607">
                  <w:pPr>
                    <w:pStyle w:val="69"/>
                  </w:pPr>
                  <w:r>
                    <w:rPr>
                      <w:rFonts w:hint="eastAsia"/>
                    </w:rPr>
                    <w:t>2</w:t>
                  </w:r>
                  <w:r>
                    <w:t>.8</w:t>
                  </w:r>
                </w:p>
              </w:tc>
              <w:tc>
                <w:tcPr>
                  <w:tcW w:w="550" w:type="pct"/>
                  <w:tcBorders>
                    <w:tl2br w:val="nil"/>
                    <w:tr2bl w:val="nil"/>
                  </w:tcBorders>
                  <w:vAlign w:val="center"/>
                </w:tcPr>
                <w:p w14:paraId="471AABAC">
                  <w:pPr>
                    <w:pStyle w:val="69"/>
                  </w:pPr>
                  <w:r>
                    <w:rPr>
                      <w:rFonts w:hint="eastAsia"/>
                    </w:rPr>
                    <w:t>0</w:t>
                  </w:r>
                  <w:r>
                    <w:t>.203</w:t>
                  </w:r>
                </w:p>
              </w:tc>
              <w:tc>
                <w:tcPr>
                  <w:tcW w:w="470" w:type="pct"/>
                  <w:tcBorders>
                    <w:tl2br w:val="nil"/>
                    <w:tr2bl w:val="nil"/>
                  </w:tcBorders>
                  <w:vAlign w:val="center"/>
                </w:tcPr>
                <w:p w14:paraId="79D75F15">
                  <w:pPr>
                    <w:pStyle w:val="69"/>
                  </w:pPr>
                  <w:r>
                    <w:rPr>
                      <w:rFonts w:hint="eastAsia"/>
                    </w:rPr>
                    <w:t>0</w:t>
                  </w:r>
                  <w:r>
                    <w:t>.09</w:t>
                  </w:r>
                </w:p>
              </w:tc>
              <w:tc>
                <w:tcPr>
                  <w:tcW w:w="471" w:type="pct"/>
                  <w:tcBorders>
                    <w:tl2br w:val="nil"/>
                    <w:tr2bl w:val="nil"/>
                  </w:tcBorders>
                  <w:vAlign w:val="center"/>
                </w:tcPr>
                <w:p w14:paraId="13AA3C88">
                  <w:pPr>
                    <w:pStyle w:val="69"/>
                  </w:pPr>
                  <w:r>
                    <w:rPr>
                      <w:rFonts w:hint="eastAsia"/>
                    </w:rPr>
                    <w:t>1</w:t>
                  </w:r>
                  <w:r>
                    <w:t>2</w:t>
                  </w:r>
                </w:p>
              </w:tc>
              <w:tc>
                <w:tcPr>
                  <w:tcW w:w="446" w:type="pct"/>
                  <w:tcBorders>
                    <w:tl2br w:val="nil"/>
                    <w:tr2bl w:val="nil"/>
                  </w:tcBorders>
                  <w:vAlign w:val="center"/>
                </w:tcPr>
                <w:p w14:paraId="02CA3661">
                  <w:pPr>
                    <w:pStyle w:val="69"/>
                  </w:pPr>
                  <w:r>
                    <w:rPr>
                      <w:rFonts w:hint="eastAsia"/>
                    </w:rPr>
                    <w:t>0</w:t>
                  </w:r>
                  <w:r>
                    <w:t>.01L</w:t>
                  </w:r>
                </w:p>
              </w:tc>
            </w:tr>
            <w:tr w14:paraId="54458F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restart"/>
                  <w:tcBorders>
                    <w:tl2br w:val="nil"/>
                    <w:tr2bl w:val="nil"/>
                  </w:tcBorders>
                  <w:vAlign w:val="center"/>
                </w:tcPr>
                <w:p w14:paraId="24129264">
                  <w:pPr>
                    <w:pStyle w:val="69"/>
                  </w:pPr>
                  <w:r>
                    <w:rPr>
                      <w:rFonts w:hint="eastAsia"/>
                    </w:rPr>
                    <w:t>W</w:t>
                  </w:r>
                  <w:r>
                    <w:t>3</w:t>
                  </w:r>
                </w:p>
              </w:tc>
              <w:tc>
                <w:tcPr>
                  <w:tcW w:w="865" w:type="pct"/>
                  <w:tcBorders>
                    <w:tl2br w:val="nil"/>
                    <w:tr2bl w:val="nil"/>
                  </w:tcBorders>
                  <w:vAlign w:val="center"/>
                </w:tcPr>
                <w:p w14:paraId="7427FB64">
                  <w:pPr>
                    <w:pStyle w:val="69"/>
                  </w:pPr>
                  <w:r>
                    <w:rPr>
                      <w:rFonts w:hint="eastAsia"/>
                    </w:rPr>
                    <w:t>2</w:t>
                  </w:r>
                  <w:r>
                    <w:t>023.4.12</w:t>
                  </w:r>
                </w:p>
              </w:tc>
              <w:tc>
                <w:tcPr>
                  <w:tcW w:w="471" w:type="pct"/>
                  <w:tcBorders>
                    <w:tl2br w:val="nil"/>
                    <w:tr2bl w:val="nil"/>
                  </w:tcBorders>
                  <w:vAlign w:val="center"/>
                </w:tcPr>
                <w:p w14:paraId="4B551185">
                  <w:pPr>
                    <w:pStyle w:val="69"/>
                  </w:pPr>
                  <w:r>
                    <w:rPr>
                      <w:rFonts w:hint="eastAsia"/>
                    </w:rPr>
                    <w:t>7</w:t>
                  </w:r>
                  <w:r>
                    <w:t>.2</w:t>
                  </w:r>
                </w:p>
              </w:tc>
              <w:tc>
                <w:tcPr>
                  <w:tcW w:w="548" w:type="pct"/>
                  <w:tcBorders>
                    <w:tl2br w:val="nil"/>
                    <w:tr2bl w:val="nil"/>
                  </w:tcBorders>
                  <w:vAlign w:val="center"/>
                </w:tcPr>
                <w:p w14:paraId="5C3EACFF">
                  <w:pPr>
                    <w:pStyle w:val="69"/>
                  </w:pPr>
                  <w:r>
                    <w:rPr>
                      <w:rFonts w:hint="eastAsia"/>
                    </w:rPr>
                    <w:t>1</w:t>
                  </w:r>
                  <w:r>
                    <w:t>9</w:t>
                  </w:r>
                </w:p>
              </w:tc>
              <w:tc>
                <w:tcPr>
                  <w:tcW w:w="548" w:type="pct"/>
                  <w:tcBorders>
                    <w:tl2br w:val="nil"/>
                    <w:tr2bl w:val="nil"/>
                  </w:tcBorders>
                  <w:vAlign w:val="center"/>
                </w:tcPr>
                <w:p w14:paraId="565422ED">
                  <w:pPr>
                    <w:pStyle w:val="69"/>
                  </w:pPr>
                  <w:r>
                    <w:rPr>
                      <w:rFonts w:hint="eastAsia"/>
                    </w:rPr>
                    <w:t>2</w:t>
                  </w:r>
                  <w:r>
                    <w:t>.3</w:t>
                  </w:r>
                </w:p>
              </w:tc>
              <w:tc>
                <w:tcPr>
                  <w:tcW w:w="550" w:type="pct"/>
                  <w:tcBorders>
                    <w:tl2br w:val="nil"/>
                    <w:tr2bl w:val="nil"/>
                  </w:tcBorders>
                  <w:vAlign w:val="center"/>
                </w:tcPr>
                <w:p w14:paraId="650C7608">
                  <w:pPr>
                    <w:pStyle w:val="69"/>
                  </w:pPr>
                  <w:r>
                    <w:rPr>
                      <w:rFonts w:hint="eastAsia"/>
                    </w:rPr>
                    <w:t>0</w:t>
                  </w:r>
                  <w:r>
                    <w:t>.141</w:t>
                  </w:r>
                </w:p>
              </w:tc>
              <w:tc>
                <w:tcPr>
                  <w:tcW w:w="470" w:type="pct"/>
                  <w:tcBorders>
                    <w:tl2br w:val="nil"/>
                    <w:tr2bl w:val="nil"/>
                  </w:tcBorders>
                  <w:vAlign w:val="center"/>
                </w:tcPr>
                <w:p w14:paraId="032CB2DD">
                  <w:pPr>
                    <w:pStyle w:val="69"/>
                  </w:pPr>
                  <w:r>
                    <w:rPr>
                      <w:rFonts w:hint="eastAsia"/>
                    </w:rPr>
                    <w:t>0</w:t>
                  </w:r>
                  <w:r>
                    <w:t>.04</w:t>
                  </w:r>
                </w:p>
              </w:tc>
              <w:tc>
                <w:tcPr>
                  <w:tcW w:w="471" w:type="pct"/>
                  <w:tcBorders>
                    <w:tl2br w:val="nil"/>
                    <w:tr2bl w:val="nil"/>
                  </w:tcBorders>
                  <w:vAlign w:val="center"/>
                </w:tcPr>
                <w:p w14:paraId="40382920">
                  <w:pPr>
                    <w:pStyle w:val="69"/>
                  </w:pPr>
                  <w:r>
                    <w:rPr>
                      <w:rFonts w:hint="eastAsia"/>
                    </w:rPr>
                    <w:t>8</w:t>
                  </w:r>
                </w:p>
              </w:tc>
              <w:tc>
                <w:tcPr>
                  <w:tcW w:w="446" w:type="pct"/>
                  <w:tcBorders>
                    <w:tl2br w:val="nil"/>
                    <w:tr2bl w:val="nil"/>
                  </w:tcBorders>
                  <w:vAlign w:val="center"/>
                </w:tcPr>
                <w:p w14:paraId="40F42B2A">
                  <w:pPr>
                    <w:pStyle w:val="69"/>
                  </w:pPr>
                  <w:r>
                    <w:rPr>
                      <w:rFonts w:hint="eastAsia"/>
                    </w:rPr>
                    <w:t>0</w:t>
                  </w:r>
                  <w:r>
                    <w:t>.01L</w:t>
                  </w:r>
                </w:p>
              </w:tc>
            </w:tr>
            <w:tr w14:paraId="547B1E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16E799A0">
                  <w:pPr>
                    <w:pStyle w:val="69"/>
                  </w:pPr>
                </w:p>
              </w:tc>
              <w:tc>
                <w:tcPr>
                  <w:tcW w:w="865" w:type="pct"/>
                  <w:tcBorders>
                    <w:tl2br w:val="nil"/>
                    <w:tr2bl w:val="nil"/>
                  </w:tcBorders>
                  <w:vAlign w:val="center"/>
                </w:tcPr>
                <w:p w14:paraId="19ED6366">
                  <w:pPr>
                    <w:pStyle w:val="69"/>
                  </w:pPr>
                  <w:r>
                    <w:rPr>
                      <w:rFonts w:hint="eastAsia"/>
                    </w:rPr>
                    <w:t>2</w:t>
                  </w:r>
                  <w:r>
                    <w:t>023.4.13</w:t>
                  </w:r>
                </w:p>
              </w:tc>
              <w:tc>
                <w:tcPr>
                  <w:tcW w:w="471" w:type="pct"/>
                  <w:tcBorders>
                    <w:tl2br w:val="nil"/>
                    <w:tr2bl w:val="nil"/>
                  </w:tcBorders>
                  <w:vAlign w:val="center"/>
                </w:tcPr>
                <w:p w14:paraId="42DC2955">
                  <w:pPr>
                    <w:pStyle w:val="69"/>
                  </w:pPr>
                  <w:r>
                    <w:rPr>
                      <w:rFonts w:hint="eastAsia"/>
                    </w:rPr>
                    <w:t>7</w:t>
                  </w:r>
                  <w:r>
                    <w:t>.2</w:t>
                  </w:r>
                </w:p>
              </w:tc>
              <w:tc>
                <w:tcPr>
                  <w:tcW w:w="548" w:type="pct"/>
                  <w:tcBorders>
                    <w:tl2br w:val="nil"/>
                    <w:tr2bl w:val="nil"/>
                  </w:tcBorders>
                  <w:vAlign w:val="center"/>
                </w:tcPr>
                <w:p w14:paraId="12BD1230">
                  <w:pPr>
                    <w:pStyle w:val="69"/>
                  </w:pPr>
                  <w:r>
                    <w:rPr>
                      <w:rFonts w:hint="eastAsia"/>
                    </w:rPr>
                    <w:t>1</w:t>
                  </w:r>
                  <w:r>
                    <w:t>7</w:t>
                  </w:r>
                </w:p>
              </w:tc>
              <w:tc>
                <w:tcPr>
                  <w:tcW w:w="548" w:type="pct"/>
                  <w:tcBorders>
                    <w:tl2br w:val="nil"/>
                    <w:tr2bl w:val="nil"/>
                  </w:tcBorders>
                  <w:vAlign w:val="center"/>
                </w:tcPr>
                <w:p w14:paraId="38CA006D">
                  <w:pPr>
                    <w:pStyle w:val="69"/>
                  </w:pPr>
                  <w:r>
                    <w:rPr>
                      <w:rFonts w:hint="eastAsia"/>
                    </w:rPr>
                    <w:t>2</w:t>
                  </w:r>
                  <w:r>
                    <w:t>.1</w:t>
                  </w:r>
                </w:p>
              </w:tc>
              <w:tc>
                <w:tcPr>
                  <w:tcW w:w="550" w:type="pct"/>
                  <w:tcBorders>
                    <w:tl2br w:val="nil"/>
                    <w:tr2bl w:val="nil"/>
                  </w:tcBorders>
                  <w:vAlign w:val="center"/>
                </w:tcPr>
                <w:p w14:paraId="282F5256">
                  <w:pPr>
                    <w:pStyle w:val="69"/>
                  </w:pPr>
                  <w:r>
                    <w:rPr>
                      <w:rFonts w:hint="eastAsia"/>
                    </w:rPr>
                    <w:t>0</w:t>
                  </w:r>
                  <w:r>
                    <w:t>.148</w:t>
                  </w:r>
                </w:p>
              </w:tc>
              <w:tc>
                <w:tcPr>
                  <w:tcW w:w="470" w:type="pct"/>
                  <w:tcBorders>
                    <w:tl2br w:val="nil"/>
                    <w:tr2bl w:val="nil"/>
                  </w:tcBorders>
                  <w:vAlign w:val="center"/>
                </w:tcPr>
                <w:p w14:paraId="40BCBCF2">
                  <w:pPr>
                    <w:pStyle w:val="69"/>
                  </w:pPr>
                  <w:r>
                    <w:rPr>
                      <w:rFonts w:hint="eastAsia"/>
                    </w:rPr>
                    <w:t>0</w:t>
                  </w:r>
                  <w:r>
                    <w:t>.02</w:t>
                  </w:r>
                </w:p>
              </w:tc>
              <w:tc>
                <w:tcPr>
                  <w:tcW w:w="471" w:type="pct"/>
                  <w:tcBorders>
                    <w:tl2br w:val="nil"/>
                    <w:tr2bl w:val="nil"/>
                  </w:tcBorders>
                  <w:vAlign w:val="center"/>
                </w:tcPr>
                <w:p w14:paraId="23EBBE56">
                  <w:pPr>
                    <w:pStyle w:val="69"/>
                  </w:pPr>
                  <w:r>
                    <w:rPr>
                      <w:rFonts w:hint="eastAsia"/>
                    </w:rPr>
                    <w:t>7</w:t>
                  </w:r>
                </w:p>
              </w:tc>
              <w:tc>
                <w:tcPr>
                  <w:tcW w:w="446" w:type="pct"/>
                  <w:tcBorders>
                    <w:tl2br w:val="nil"/>
                    <w:tr2bl w:val="nil"/>
                  </w:tcBorders>
                  <w:vAlign w:val="center"/>
                </w:tcPr>
                <w:p w14:paraId="36E00BF4">
                  <w:pPr>
                    <w:pStyle w:val="69"/>
                  </w:pPr>
                  <w:r>
                    <w:rPr>
                      <w:rFonts w:hint="eastAsia"/>
                    </w:rPr>
                    <w:t>0</w:t>
                  </w:r>
                  <w:r>
                    <w:t>.01L</w:t>
                  </w:r>
                </w:p>
              </w:tc>
            </w:tr>
            <w:tr w14:paraId="74CA84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628" w:type="pct"/>
                  <w:vMerge w:val="continue"/>
                  <w:tcBorders>
                    <w:tl2br w:val="nil"/>
                    <w:tr2bl w:val="nil"/>
                  </w:tcBorders>
                  <w:vAlign w:val="center"/>
                </w:tcPr>
                <w:p w14:paraId="69B33DF9">
                  <w:pPr>
                    <w:pStyle w:val="69"/>
                  </w:pPr>
                </w:p>
              </w:tc>
              <w:tc>
                <w:tcPr>
                  <w:tcW w:w="865" w:type="pct"/>
                  <w:tcBorders>
                    <w:tl2br w:val="nil"/>
                    <w:tr2bl w:val="nil"/>
                  </w:tcBorders>
                  <w:vAlign w:val="center"/>
                </w:tcPr>
                <w:p w14:paraId="1EE64951">
                  <w:pPr>
                    <w:pStyle w:val="69"/>
                  </w:pPr>
                  <w:r>
                    <w:rPr>
                      <w:rFonts w:hint="eastAsia"/>
                    </w:rPr>
                    <w:t>2</w:t>
                  </w:r>
                  <w:r>
                    <w:t>023.4.14</w:t>
                  </w:r>
                </w:p>
              </w:tc>
              <w:tc>
                <w:tcPr>
                  <w:tcW w:w="471" w:type="pct"/>
                  <w:tcBorders>
                    <w:tl2br w:val="nil"/>
                    <w:tr2bl w:val="nil"/>
                  </w:tcBorders>
                  <w:vAlign w:val="center"/>
                </w:tcPr>
                <w:p w14:paraId="03674482">
                  <w:pPr>
                    <w:pStyle w:val="69"/>
                  </w:pPr>
                  <w:r>
                    <w:rPr>
                      <w:rFonts w:hint="eastAsia"/>
                    </w:rPr>
                    <w:t>7</w:t>
                  </w:r>
                  <w:r>
                    <w:t>.3</w:t>
                  </w:r>
                </w:p>
              </w:tc>
              <w:tc>
                <w:tcPr>
                  <w:tcW w:w="548" w:type="pct"/>
                  <w:tcBorders>
                    <w:tl2br w:val="nil"/>
                    <w:tr2bl w:val="nil"/>
                  </w:tcBorders>
                  <w:vAlign w:val="center"/>
                </w:tcPr>
                <w:p w14:paraId="6FEB866F">
                  <w:pPr>
                    <w:pStyle w:val="69"/>
                  </w:pPr>
                  <w:r>
                    <w:rPr>
                      <w:rFonts w:hint="eastAsia"/>
                    </w:rPr>
                    <w:t>1</w:t>
                  </w:r>
                  <w:r>
                    <w:t>6</w:t>
                  </w:r>
                </w:p>
              </w:tc>
              <w:tc>
                <w:tcPr>
                  <w:tcW w:w="548" w:type="pct"/>
                  <w:tcBorders>
                    <w:tl2br w:val="nil"/>
                    <w:tr2bl w:val="nil"/>
                  </w:tcBorders>
                  <w:vAlign w:val="center"/>
                </w:tcPr>
                <w:p w14:paraId="3F255531">
                  <w:pPr>
                    <w:pStyle w:val="69"/>
                  </w:pPr>
                  <w:r>
                    <w:rPr>
                      <w:rFonts w:hint="eastAsia"/>
                    </w:rPr>
                    <w:t>2</w:t>
                  </w:r>
                  <w:r>
                    <w:t>.1</w:t>
                  </w:r>
                </w:p>
              </w:tc>
              <w:tc>
                <w:tcPr>
                  <w:tcW w:w="550" w:type="pct"/>
                  <w:tcBorders>
                    <w:tl2br w:val="nil"/>
                    <w:tr2bl w:val="nil"/>
                  </w:tcBorders>
                  <w:vAlign w:val="center"/>
                </w:tcPr>
                <w:p w14:paraId="4BE5FCAA">
                  <w:pPr>
                    <w:pStyle w:val="69"/>
                  </w:pPr>
                  <w:r>
                    <w:rPr>
                      <w:rFonts w:hint="eastAsia"/>
                    </w:rPr>
                    <w:t>0</w:t>
                  </w:r>
                  <w:r>
                    <w:t>.165</w:t>
                  </w:r>
                </w:p>
              </w:tc>
              <w:tc>
                <w:tcPr>
                  <w:tcW w:w="470" w:type="pct"/>
                  <w:tcBorders>
                    <w:tl2br w:val="nil"/>
                    <w:tr2bl w:val="nil"/>
                  </w:tcBorders>
                  <w:vAlign w:val="center"/>
                </w:tcPr>
                <w:p w14:paraId="61A89AD0">
                  <w:pPr>
                    <w:pStyle w:val="69"/>
                  </w:pPr>
                  <w:r>
                    <w:rPr>
                      <w:rFonts w:hint="eastAsia"/>
                    </w:rPr>
                    <w:t>0</w:t>
                  </w:r>
                  <w:r>
                    <w:t>.04</w:t>
                  </w:r>
                </w:p>
              </w:tc>
              <w:tc>
                <w:tcPr>
                  <w:tcW w:w="471" w:type="pct"/>
                  <w:tcBorders>
                    <w:tl2br w:val="nil"/>
                    <w:tr2bl w:val="nil"/>
                  </w:tcBorders>
                  <w:vAlign w:val="center"/>
                </w:tcPr>
                <w:p w14:paraId="2CD675C7">
                  <w:pPr>
                    <w:pStyle w:val="69"/>
                  </w:pPr>
                  <w:r>
                    <w:rPr>
                      <w:rFonts w:hint="eastAsia"/>
                    </w:rPr>
                    <w:t>1</w:t>
                  </w:r>
                  <w:r>
                    <w:t>0</w:t>
                  </w:r>
                </w:p>
              </w:tc>
              <w:tc>
                <w:tcPr>
                  <w:tcW w:w="446" w:type="pct"/>
                  <w:tcBorders>
                    <w:tl2br w:val="nil"/>
                    <w:tr2bl w:val="nil"/>
                  </w:tcBorders>
                  <w:vAlign w:val="center"/>
                </w:tcPr>
                <w:p w14:paraId="1F815376">
                  <w:pPr>
                    <w:pStyle w:val="69"/>
                  </w:pPr>
                  <w:r>
                    <w:rPr>
                      <w:rFonts w:hint="eastAsia"/>
                    </w:rPr>
                    <w:t>0</w:t>
                  </w:r>
                  <w:r>
                    <w:t>.01L</w:t>
                  </w:r>
                </w:p>
              </w:tc>
            </w:tr>
            <w:tr w14:paraId="2E1CB7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1494" w:type="pct"/>
                  <w:gridSpan w:val="2"/>
                  <w:tcBorders>
                    <w:tl2br w:val="nil"/>
                    <w:tr2bl w:val="nil"/>
                  </w:tcBorders>
                  <w:vAlign w:val="center"/>
                </w:tcPr>
                <w:p w14:paraId="2111D034">
                  <w:pPr>
                    <w:pStyle w:val="69"/>
                    <w:rPr>
                      <w:rFonts w:hint="eastAsia"/>
                    </w:rPr>
                  </w:pPr>
                  <w:r>
                    <w:rPr>
                      <w:rFonts w:hint="eastAsia"/>
                    </w:rPr>
                    <w:t>GB3838-2002中的IV类标准</w:t>
                  </w:r>
                </w:p>
              </w:tc>
              <w:tc>
                <w:tcPr>
                  <w:tcW w:w="753" w:type="dxa"/>
                  <w:tcBorders>
                    <w:tl2br w:val="nil"/>
                    <w:tr2bl w:val="nil"/>
                  </w:tcBorders>
                  <w:vAlign w:val="center"/>
                </w:tcPr>
                <w:p w14:paraId="18335855">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876" w:type="dxa"/>
                  <w:tcBorders>
                    <w:tl2br w:val="nil"/>
                    <w:tr2bl w:val="nil"/>
                  </w:tcBorders>
                  <w:vAlign w:val="center"/>
                </w:tcPr>
                <w:p w14:paraId="548F5454">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76" w:type="dxa"/>
                  <w:tcBorders>
                    <w:tl2br w:val="nil"/>
                    <w:tr2bl w:val="nil"/>
                  </w:tcBorders>
                  <w:vAlign w:val="center"/>
                </w:tcPr>
                <w:p w14:paraId="18188BED">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9" w:type="dxa"/>
                  <w:tcBorders>
                    <w:tl2br w:val="nil"/>
                    <w:tr2bl w:val="nil"/>
                  </w:tcBorders>
                  <w:vAlign w:val="center"/>
                </w:tcPr>
                <w:p w14:paraId="655E41D2">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51" w:type="dxa"/>
                  <w:tcBorders>
                    <w:tl2br w:val="nil"/>
                    <w:tr2bl w:val="nil"/>
                  </w:tcBorders>
                  <w:vAlign w:val="center"/>
                </w:tcPr>
                <w:p w14:paraId="55791EFE">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≤0.3</w:t>
                  </w:r>
                  <w:r>
                    <w:rPr>
                      <w:rFonts w:hint="eastAsia" w:ascii="宋体" w:hAnsi="宋体" w:eastAsia="宋体" w:cs="宋体"/>
                      <w:i w:val="0"/>
                      <w:iCs w:val="0"/>
                      <w:color w:val="000000"/>
                      <w:kern w:val="0"/>
                      <w:sz w:val="21"/>
                      <w:szCs w:val="21"/>
                      <w:u w:val="none"/>
                      <w:lang w:val="en-US" w:eastAsia="zh-CN" w:bidi="ar"/>
                    </w:rPr>
                    <w:t>（湖、库</w:t>
                  </w:r>
                  <w:r>
                    <w:rPr>
                      <w:rFonts w:hint="default" w:ascii="Times New Roman" w:hAnsi="Times New Roman" w:eastAsia="宋体" w:cs="Times New Roman"/>
                      <w:i w:val="0"/>
                      <w:iCs w:val="0"/>
                      <w:color w:val="000000"/>
                      <w:kern w:val="0"/>
                      <w:sz w:val="21"/>
                      <w:szCs w:val="21"/>
                      <w:u w:val="none"/>
                      <w:lang w:val="en-US" w:eastAsia="zh-CN" w:bidi="ar"/>
                    </w:rPr>
                    <w:t>0.1</w:t>
                  </w:r>
                  <w:r>
                    <w:rPr>
                      <w:rFonts w:hint="eastAsia" w:ascii="宋体" w:hAnsi="宋体" w:eastAsia="宋体" w:cs="宋体"/>
                      <w:i w:val="0"/>
                      <w:iCs w:val="0"/>
                      <w:color w:val="000000"/>
                      <w:kern w:val="0"/>
                      <w:sz w:val="21"/>
                      <w:szCs w:val="21"/>
                      <w:u w:val="none"/>
                      <w:lang w:val="en-US" w:eastAsia="zh-CN" w:bidi="ar"/>
                    </w:rPr>
                    <w:t>）</w:t>
                  </w:r>
                </w:p>
              </w:tc>
              <w:tc>
                <w:tcPr>
                  <w:tcW w:w="753" w:type="dxa"/>
                  <w:tcBorders>
                    <w:tl2br w:val="nil"/>
                    <w:tr2bl w:val="nil"/>
                  </w:tcBorders>
                  <w:vAlign w:val="center"/>
                </w:tcPr>
                <w:p w14:paraId="6C717A20">
                  <w:pPr>
                    <w:keepNext w:val="0"/>
                    <w:keepLines w:val="0"/>
                    <w:widowControl/>
                    <w:suppressLineNumbers w:val="0"/>
                    <w:jc w:val="center"/>
                    <w:textAlignment w:val="center"/>
                    <w:rPr>
                      <w:rFonts w:hint="eastAsia" w:eastAsia="宋体"/>
                      <w:lang w:val="en-US" w:eastAsia="zh-CN"/>
                    </w:rPr>
                  </w:pPr>
                  <w:r>
                    <w:rPr>
                      <w:rFonts w:hint="eastAsia"/>
                      <w:lang w:val="en-US" w:eastAsia="zh-CN"/>
                    </w:rPr>
                    <w:t>/</w:t>
                  </w:r>
                </w:p>
              </w:tc>
              <w:tc>
                <w:tcPr>
                  <w:tcW w:w="446" w:type="pct"/>
                  <w:tcBorders>
                    <w:tl2br w:val="nil"/>
                    <w:tr2bl w:val="nil"/>
                  </w:tcBorders>
                  <w:vAlign w:val="center"/>
                </w:tcPr>
                <w:p w14:paraId="12E1E3FD">
                  <w:pPr>
                    <w:pStyle w:val="69"/>
                    <w:rPr>
                      <w:rFonts w:hint="eastAsia"/>
                    </w:rPr>
                  </w:pPr>
                  <w:r>
                    <w:rPr>
                      <w:rFonts w:hint="default" w:ascii="Times New Roman" w:hAnsi="Times New Roman" w:eastAsia="宋体" w:cs="Times New Roman"/>
                      <w:i w:val="0"/>
                      <w:iCs w:val="0"/>
                      <w:color w:val="000000"/>
                      <w:kern w:val="0"/>
                      <w:sz w:val="21"/>
                      <w:szCs w:val="21"/>
                      <w:u w:val="none"/>
                      <w:lang w:val="en-US" w:eastAsia="zh-CN" w:bidi="ar"/>
                    </w:rPr>
                    <w:t>≤0.5</w:t>
                  </w:r>
                </w:p>
              </w:tc>
            </w:tr>
            <w:tr w14:paraId="57778B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1494" w:type="pct"/>
                  <w:gridSpan w:val="2"/>
                  <w:tcBorders>
                    <w:tl2br w:val="nil"/>
                    <w:tr2bl w:val="nil"/>
                  </w:tcBorders>
                  <w:vAlign w:val="center"/>
                </w:tcPr>
                <w:p w14:paraId="3FED8FFB">
                  <w:pPr>
                    <w:pStyle w:val="69"/>
                    <w:rPr>
                      <w:rFonts w:hint="default" w:eastAsia="宋体"/>
                      <w:lang w:val="en-US" w:eastAsia="zh-CN"/>
                    </w:rPr>
                  </w:pPr>
                  <w:r>
                    <w:rPr>
                      <w:rFonts w:hint="eastAsia"/>
                      <w:lang w:val="en-US" w:eastAsia="zh-CN"/>
                    </w:rPr>
                    <w:t>达标情况</w:t>
                  </w:r>
                </w:p>
              </w:tc>
              <w:tc>
                <w:tcPr>
                  <w:tcW w:w="753" w:type="dxa"/>
                  <w:tcBorders>
                    <w:tl2br w:val="nil"/>
                    <w:tr2bl w:val="nil"/>
                  </w:tcBorders>
                  <w:vAlign w:val="center"/>
                </w:tcPr>
                <w:p w14:paraId="1AAD03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c>
                <w:tcPr>
                  <w:tcW w:w="876" w:type="dxa"/>
                  <w:tcBorders>
                    <w:tl2br w:val="nil"/>
                    <w:tr2bl w:val="nil"/>
                  </w:tcBorders>
                  <w:vAlign w:val="center"/>
                </w:tcPr>
                <w:p w14:paraId="58295B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c>
                <w:tcPr>
                  <w:tcW w:w="876" w:type="dxa"/>
                  <w:tcBorders>
                    <w:tl2br w:val="nil"/>
                    <w:tr2bl w:val="nil"/>
                  </w:tcBorders>
                  <w:vAlign w:val="center"/>
                </w:tcPr>
                <w:p w14:paraId="63A5EC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c>
                <w:tcPr>
                  <w:tcW w:w="879" w:type="dxa"/>
                  <w:tcBorders>
                    <w:tl2br w:val="nil"/>
                    <w:tr2bl w:val="nil"/>
                  </w:tcBorders>
                  <w:vAlign w:val="center"/>
                </w:tcPr>
                <w:p w14:paraId="08E9C5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c>
                <w:tcPr>
                  <w:tcW w:w="751" w:type="dxa"/>
                  <w:tcBorders>
                    <w:tl2br w:val="nil"/>
                    <w:tr2bl w:val="nil"/>
                  </w:tcBorders>
                  <w:vAlign w:val="center"/>
                </w:tcPr>
                <w:p w14:paraId="51EF51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c>
                <w:tcPr>
                  <w:tcW w:w="753" w:type="dxa"/>
                  <w:tcBorders>
                    <w:tl2br w:val="nil"/>
                    <w:tr2bl w:val="nil"/>
                  </w:tcBorders>
                  <w:vAlign w:val="center"/>
                </w:tcPr>
                <w:p w14:paraId="7653D094">
                  <w:pPr>
                    <w:keepNext w:val="0"/>
                    <w:keepLines w:val="0"/>
                    <w:widowControl/>
                    <w:suppressLineNumbers w:val="0"/>
                    <w:jc w:val="center"/>
                    <w:textAlignment w:val="center"/>
                    <w:rPr>
                      <w:rFonts w:hint="eastAsia"/>
                      <w:lang w:val="en-US" w:eastAsia="zh-CN"/>
                    </w:rPr>
                  </w:pPr>
                  <w:r>
                    <w:rPr>
                      <w:rFonts w:hint="eastAsia"/>
                      <w:lang w:val="en-US" w:eastAsia="zh-CN"/>
                    </w:rPr>
                    <w:t>达标</w:t>
                  </w:r>
                </w:p>
              </w:tc>
              <w:tc>
                <w:tcPr>
                  <w:tcW w:w="446" w:type="pct"/>
                  <w:tcBorders>
                    <w:tl2br w:val="nil"/>
                    <w:tr2bl w:val="nil"/>
                  </w:tcBorders>
                  <w:vAlign w:val="center"/>
                </w:tcPr>
                <w:p w14:paraId="2B67FCBC">
                  <w:pPr>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达标</w:t>
                  </w:r>
                </w:p>
              </w:tc>
            </w:tr>
          </w:tbl>
          <w:p w14:paraId="5DE2DD01">
            <w:pPr>
              <w:widowControl/>
              <w:spacing w:line="360" w:lineRule="auto"/>
              <w:ind w:firstLine="480" w:firstLineChars="200"/>
              <w:rPr>
                <w:rFonts w:hint="eastAsia"/>
                <w:bCs/>
                <w:kern w:val="0"/>
                <w:sz w:val="24"/>
              </w:rPr>
            </w:pPr>
            <w:r>
              <w:rPr>
                <w:rFonts w:hint="eastAsia"/>
                <w:bCs/>
                <w:kern w:val="0"/>
                <w:sz w:val="24"/>
              </w:rPr>
              <w:t>由上表可见，监测期间地表水龙河各水质断面各监测因子均可满足《地表水环境质量标准》（GB3838-2002）中Ⅳ类标准要求。</w:t>
            </w:r>
          </w:p>
          <w:p w14:paraId="07944283">
            <w:pPr>
              <w:widowControl/>
              <w:spacing w:line="360" w:lineRule="auto"/>
              <w:ind w:firstLine="482" w:firstLineChars="200"/>
              <w:rPr>
                <w:rFonts w:hint="eastAsia"/>
                <w:b/>
                <w:kern w:val="0"/>
                <w:sz w:val="24"/>
              </w:rPr>
            </w:pPr>
            <w:r>
              <w:rPr>
                <w:rFonts w:hint="eastAsia"/>
                <w:b/>
                <w:kern w:val="0"/>
                <w:sz w:val="24"/>
              </w:rPr>
              <w:t>3.3声环境</w:t>
            </w:r>
          </w:p>
          <w:p w14:paraId="067E943A">
            <w:pPr>
              <w:widowControl/>
              <w:spacing w:line="360" w:lineRule="auto"/>
              <w:ind w:firstLine="480" w:firstLineChars="200"/>
              <w:rPr>
                <w:bCs/>
                <w:kern w:val="0"/>
                <w:sz w:val="24"/>
              </w:rPr>
            </w:pPr>
            <w:r>
              <w:rPr>
                <w:rFonts w:hint="eastAsia"/>
                <w:bCs/>
                <w:kern w:val="0"/>
                <w:sz w:val="24"/>
              </w:rPr>
              <w:t>根据《淮北市声环境功能区划分（2024年修订版）》中划定的声功能区划，本评价项目所在区域为《声环境质量标准》（GB3096-2008）中的2类区标准。</w:t>
            </w:r>
            <w:r>
              <w:rPr>
                <w:sz w:val="24"/>
              </w:rPr>
              <w:t>本项目位于</w:t>
            </w:r>
            <w:r>
              <w:rPr>
                <w:rFonts w:hint="eastAsia"/>
                <w:sz w:val="24"/>
              </w:rPr>
              <w:t>安徽省淮北市杜集区石台镇育才路东侧乡村振兴产业园</w:t>
            </w:r>
            <w:r>
              <w:rPr>
                <w:rFonts w:hint="eastAsia"/>
                <w:bCs/>
                <w:kern w:val="0"/>
                <w:sz w:val="24"/>
              </w:rPr>
              <w:t>，厂界外周边50米范围存在声环境保护目标（和谐新家园）。</w:t>
            </w:r>
          </w:p>
          <w:p w14:paraId="38ED0820">
            <w:pPr>
              <w:widowControl/>
              <w:spacing w:line="360" w:lineRule="auto"/>
              <w:ind w:firstLine="480" w:firstLineChars="200"/>
              <w:rPr>
                <w:sz w:val="24"/>
              </w:rPr>
            </w:pPr>
            <w:r>
              <w:rPr>
                <w:rFonts w:hint="eastAsia"/>
                <w:sz w:val="24"/>
              </w:rPr>
              <w:t>安徽鑫程检测科技有限公司于2025年3月6日~7日对项目区厂房各厂界及声环境保护目标（和谐新家园）进行了监测</w:t>
            </w:r>
            <w:r>
              <w:rPr>
                <w:sz w:val="24"/>
              </w:rPr>
              <w:t>，监测结果如下：</w:t>
            </w:r>
          </w:p>
          <w:p w14:paraId="6C494771">
            <w:pPr>
              <w:widowControl/>
              <w:numPr>
                <w:ilvl w:val="0"/>
                <w:numId w:val="2"/>
              </w:numPr>
              <w:jc w:val="center"/>
              <w:rPr>
                <w:b/>
                <w:color w:val="000000"/>
                <w:kern w:val="0"/>
                <w:szCs w:val="21"/>
              </w:rPr>
            </w:pPr>
            <w:r>
              <w:rPr>
                <w:b/>
                <w:color w:val="000000"/>
                <w:kern w:val="0"/>
                <w:szCs w:val="21"/>
              </w:rPr>
              <w:t>声环境质量现状监测结果   单位：dB(A)</w:t>
            </w:r>
          </w:p>
          <w:tbl>
            <w:tblPr>
              <w:tblStyle w:val="24"/>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833"/>
              <w:gridCol w:w="2488"/>
              <w:gridCol w:w="2667"/>
            </w:tblGrid>
            <w:tr w14:paraId="088A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vMerge w:val="restart"/>
                  <w:noWrap w:val="0"/>
                  <w:vAlign w:val="center"/>
                </w:tcPr>
                <w:p w14:paraId="14456724">
                  <w:pPr>
                    <w:ind w:left="-126" w:leftChars="-60" w:right="-99" w:rightChars="-47"/>
                    <w:jc w:val="center"/>
                    <w:rPr>
                      <w:color w:val="000000"/>
                      <w:szCs w:val="21"/>
                    </w:rPr>
                  </w:pPr>
                  <w:r>
                    <w:rPr>
                      <w:color w:val="000000"/>
                      <w:szCs w:val="21"/>
                    </w:rPr>
                    <w:t>序号</w:t>
                  </w:r>
                </w:p>
              </w:tc>
              <w:tc>
                <w:tcPr>
                  <w:tcW w:w="1833" w:type="dxa"/>
                  <w:vMerge w:val="restart"/>
                  <w:noWrap w:val="0"/>
                  <w:vAlign w:val="center"/>
                </w:tcPr>
                <w:p w14:paraId="3DEBA0FC">
                  <w:pPr>
                    <w:ind w:left="-126" w:leftChars="-60" w:right="-99" w:rightChars="-47"/>
                    <w:jc w:val="center"/>
                    <w:rPr>
                      <w:color w:val="000000"/>
                      <w:szCs w:val="21"/>
                    </w:rPr>
                  </w:pPr>
                  <w:r>
                    <w:rPr>
                      <w:color w:val="000000"/>
                      <w:szCs w:val="21"/>
                    </w:rPr>
                    <w:t>监测点位</w:t>
                  </w:r>
                </w:p>
              </w:tc>
              <w:tc>
                <w:tcPr>
                  <w:tcW w:w="2488" w:type="dxa"/>
                  <w:noWrap w:val="0"/>
                  <w:vAlign w:val="center"/>
                </w:tcPr>
                <w:p w14:paraId="18C65C10">
                  <w:pPr>
                    <w:ind w:left="-126" w:leftChars="-60" w:right="-99" w:rightChars="-47"/>
                    <w:jc w:val="center"/>
                    <w:rPr>
                      <w:color w:val="000000"/>
                      <w:szCs w:val="21"/>
                    </w:rPr>
                  </w:pPr>
                  <w:r>
                    <w:rPr>
                      <w:color w:val="000000"/>
                      <w:szCs w:val="21"/>
                    </w:rPr>
                    <w:t>202</w:t>
                  </w:r>
                  <w:r>
                    <w:rPr>
                      <w:rFonts w:hint="eastAsia"/>
                      <w:color w:val="000000"/>
                      <w:szCs w:val="21"/>
                    </w:rPr>
                    <w:t>5</w:t>
                  </w:r>
                  <w:r>
                    <w:rPr>
                      <w:color w:val="000000"/>
                      <w:szCs w:val="21"/>
                    </w:rPr>
                    <w:t>年</w:t>
                  </w:r>
                  <w:r>
                    <w:rPr>
                      <w:rFonts w:hint="eastAsia"/>
                      <w:color w:val="000000"/>
                      <w:szCs w:val="21"/>
                    </w:rPr>
                    <w:t>3</w:t>
                  </w:r>
                  <w:r>
                    <w:rPr>
                      <w:color w:val="000000"/>
                      <w:szCs w:val="21"/>
                    </w:rPr>
                    <w:t>月</w:t>
                  </w:r>
                  <w:r>
                    <w:rPr>
                      <w:rFonts w:hint="eastAsia"/>
                      <w:color w:val="000000"/>
                      <w:szCs w:val="21"/>
                    </w:rPr>
                    <w:t>6</w:t>
                  </w:r>
                  <w:r>
                    <w:rPr>
                      <w:color w:val="000000"/>
                      <w:szCs w:val="21"/>
                    </w:rPr>
                    <w:t>日</w:t>
                  </w:r>
                </w:p>
              </w:tc>
              <w:tc>
                <w:tcPr>
                  <w:tcW w:w="2667" w:type="dxa"/>
                  <w:noWrap w:val="0"/>
                  <w:vAlign w:val="center"/>
                </w:tcPr>
                <w:p w14:paraId="225151A5">
                  <w:pPr>
                    <w:ind w:left="-126" w:leftChars="-60" w:right="-99" w:rightChars="-47"/>
                    <w:jc w:val="center"/>
                    <w:rPr>
                      <w:color w:val="000000"/>
                      <w:szCs w:val="21"/>
                    </w:rPr>
                  </w:pPr>
                  <w:r>
                    <w:rPr>
                      <w:color w:val="000000"/>
                      <w:szCs w:val="21"/>
                    </w:rPr>
                    <w:t>202</w:t>
                  </w:r>
                  <w:r>
                    <w:rPr>
                      <w:rFonts w:hint="eastAsia"/>
                      <w:color w:val="000000"/>
                      <w:szCs w:val="21"/>
                    </w:rPr>
                    <w:t>5</w:t>
                  </w:r>
                  <w:r>
                    <w:rPr>
                      <w:color w:val="000000"/>
                      <w:szCs w:val="21"/>
                    </w:rPr>
                    <w:t>年</w:t>
                  </w:r>
                  <w:r>
                    <w:rPr>
                      <w:rFonts w:hint="eastAsia"/>
                      <w:color w:val="000000"/>
                      <w:szCs w:val="21"/>
                    </w:rPr>
                    <w:t>3</w:t>
                  </w:r>
                  <w:r>
                    <w:rPr>
                      <w:color w:val="000000"/>
                      <w:szCs w:val="21"/>
                    </w:rPr>
                    <w:t>月</w:t>
                  </w:r>
                  <w:r>
                    <w:rPr>
                      <w:rFonts w:hint="eastAsia"/>
                      <w:color w:val="000000"/>
                      <w:szCs w:val="21"/>
                    </w:rPr>
                    <w:t>7</w:t>
                  </w:r>
                  <w:r>
                    <w:rPr>
                      <w:color w:val="000000"/>
                      <w:szCs w:val="21"/>
                    </w:rPr>
                    <w:t>日</w:t>
                  </w:r>
                </w:p>
              </w:tc>
            </w:tr>
            <w:tr w14:paraId="6522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vMerge w:val="continue"/>
                  <w:noWrap w:val="0"/>
                  <w:vAlign w:val="center"/>
                </w:tcPr>
                <w:p w14:paraId="577D1C0C">
                  <w:pPr>
                    <w:ind w:left="-126" w:leftChars="-60" w:right="-99" w:rightChars="-47"/>
                    <w:jc w:val="center"/>
                    <w:rPr>
                      <w:color w:val="000000"/>
                      <w:szCs w:val="21"/>
                    </w:rPr>
                  </w:pPr>
                </w:p>
              </w:tc>
              <w:tc>
                <w:tcPr>
                  <w:tcW w:w="1833" w:type="dxa"/>
                  <w:vMerge w:val="continue"/>
                  <w:noWrap w:val="0"/>
                  <w:vAlign w:val="center"/>
                </w:tcPr>
                <w:p w14:paraId="3FB69A67">
                  <w:pPr>
                    <w:ind w:left="-126" w:leftChars="-60" w:right="-99" w:rightChars="-47"/>
                    <w:jc w:val="center"/>
                    <w:rPr>
                      <w:color w:val="000000"/>
                      <w:szCs w:val="21"/>
                    </w:rPr>
                  </w:pPr>
                </w:p>
              </w:tc>
              <w:tc>
                <w:tcPr>
                  <w:tcW w:w="2488" w:type="dxa"/>
                  <w:noWrap w:val="0"/>
                  <w:vAlign w:val="center"/>
                </w:tcPr>
                <w:p w14:paraId="7EEB4190">
                  <w:pPr>
                    <w:ind w:left="-126" w:leftChars="-60" w:right="-99" w:rightChars="-47"/>
                    <w:jc w:val="center"/>
                    <w:rPr>
                      <w:rFonts w:hint="eastAsia"/>
                      <w:color w:val="000000"/>
                      <w:szCs w:val="21"/>
                    </w:rPr>
                  </w:pPr>
                  <w:r>
                    <w:rPr>
                      <w:color w:val="000000"/>
                      <w:szCs w:val="21"/>
                    </w:rPr>
                    <w:t>昼间</w:t>
                  </w:r>
                </w:p>
              </w:tc>
              <w:tc>
                <w:tcPr>
                  <w:tcW w:w="2667" w:type="dxa"/>
                  <w:noWrap w:val="0"/>
                  <w:vAlign w:val="center"/>
                </w:tcPr>
                <w:p w14:paraId="722E7D33">
                  <w:pPr>
                    <w:ind w:left="-126" w:leftChars="-60" w:right="-99" w:rightChars="-47"/>
                    <w:jc w:val="center"/>
                    <w:rPr>
                      <w:rFonts w:hint="eastAsia"/>
                      <w:color w:val="000000"/>
                      <w:szCs w:val="21"/>
                    </w:rPr>
                  </w:pPr>
                  <w:r>
                    <w:rPr>
                      <w:color w:val="000000"/>
                      <w:szCs w:val="21"/>
                    </w:rPr>
                    <w:t>昼间</w:t>
                  </w:r>
                </w:p>
              </w:tc>
            </w:tr>
            <w:tr w14:paraId="716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14:paraId="6790BC90">
                  <w:pPr>
                    <w:ind w:left="-126" w:leftChars="-60" w:right="-99" w:rightChars="-47"/>
                    <w:jc w:val="center"/>
                    <w:rPr>
                      <w:color w:val="000000"/>
                      <w:szCs w:val="21"/>
                    </w:rPr>
                  </w:pPr>
                  <w:r>
                    <w:rPr>
                      <w:color w:val="000000"/>
                      <w:szCs w:val="21"/>
                    </w:rPr>
                    <w:t>1</w:t>
                  </w:r>
                </w:p>
              </w:tc>
              <w:tc>
                <w:tcPr>
                  <w:tcW w:w="1833" w:type="dxa"/>
                  <w:noWrap w:val="0"/>
                  <w:vAlign w:val="center"/>
                </w:tcPr>
                <w:p w14:paraId="03F5CC07">
                  <w:pPr>
                    <w:ind w:left="-126" w:leftChars="-60" w:right="-99" w:rightChars="-47"/>
                    <w:jc w:val="center"/>
                    <w:rPr>
                      <w:rFonts w:hint="eastAsia"/>
                      <w:color w:val="000000"/>
                      <w:szCs w:val="21"/>
                    </w:rPr>
                  </w:pPr>
                  <w:r>
                    <w:rPr>
                      <w:color w:val="000000"/>
                      <w:szCs w:val="21"/>
                    </w:rPr>
                    <w:t>厂界东</w:t>
                  </w:r>
                  <w:r>
                    <w:rPr>
                      <w:rFonts w:hint="eastAsia"/>
                      <w:color w:val="000000"/>
                      <w:szCs w:val="21"/>
                    </w:rPr>
                    <w:t>侧</w:t>
                  </w:r>
                </w:p>
              </w:tc>
              <w:tc>
                <w:tcPr>
                  <w:tcW w:w="2488" w:type="dxa"/>
                  <w:noWrap w:val="0"/>
                  <w:vAlign w:val="center"/>
                </w:tcPr>
                <w:p w14:paraId="1E72B8F0">
                  <w:pPr>
                    <w:ind w:left="-126" w:leftChars="-60" w:right="-99" w:rightChars="-47"/>
                    <w:jc w:val="center"/>
                    <w:rPr>
                      <w:color w:val="000000"/>
                      <w:szCs w:val="21"/>
                    </w:rPr>
                  </w:pPr>
                  <w:r>
                    <w:rPr>
                      <w:rFonts w:hint="eastAsia"/>
                      <w:color w:val="000000"/>
                      <w:szCs w:val="21"/>
                    </w:rPr>
                    <w:t>56</w:t>
                  </w:r>
                </w:p>
              </w:tc>
              <w:tc>
                <w:tcPr>
                  <w:tcW w:w="2667" w:type="dxa"/>
                  <w:noWrap w:val="0"/>
                  <w:vAlign w:val="center"/>
                </w:tcPr>
                <w:p w14:paraId="0FA8BA1D">
                  <w:pPr>
                    <w:ind w:left="-126" w:leftChars="-60" w:right="-99" w:rightChars="-47"/>
                    <w:jc w:val="center"/>
                    <w:rPr>
                      <w:rFonts w:hint="eastAsia"/>
                      <w:color w:val="000000"/>
                      <w:szCs w:val="21"/>
                    </w:rPr>
                  </w:pPr>
                  <w:r>
                    <w:rPr>
                      <w:rFonts w:hint="eastAsia"/>
                      <w:color w:val="000000"/>
                      <w:szCs w:val="21"/>
                    </w:rPr>
                    <w:t>56</w:t>
                  </w:r>
                </w:p>
              </w:tc>
            </w:tr>
            <w:tr w14:paraId="6E11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14:paraId="690ED158">
                  <w:pPr>
                    <w:ind w:left="-126" w:leftChars="-60" w:right="-99" w:rightChars="-47"/>
                    <w:jc w:val="center"/>
                    <w:rPr>
                      <w:color w:val="000000"/>
                      <w:szCs w:val="21"/>
                    </w:rPr>
                  </w:pPr>
                  <w:r>
                    <w:rPr>
                      <w:color w:val="000000"/>
                      <w:szCs w:val="21"/>
                    </w:rPr>
                    <w:t>2</w:t>
                  </w:r>
                </w:p>
              </w:tc>
              <w:tc>
                <w:tcPr>
                  <w:tcW w:w="1833" w:type="dxa"/>
                  <w:noWrap w:val="0"/>
                  <w:vAlign w:val="center"/>
                </w:tcPr>
                <w:p w14:paraId="200BC275">
                  <w:pPr>
                    <w:ind w:left="-126" w:leftChars="-60" w:right="-99" w:rightChars="-47"/>
                    <w:jc w:val="center"/>
                    <w:rPr>
                      <w:color w:val="000000"/>
                      <w:szCs w:val="21"/>
                    </w:rPr>
                  </w:pPr>
                  <w:r>
                    <w:rPr>
                      <w:color w:val="000000"/>
                      <w:szCs w:val="21"/>
                    </w:rPr>
                    <w:t>厂界南</w:t>
                  </w:r>
                  <w:r>
                    <w:rPr>
                      <w:rFonts w:hint="eastAsia"/>
                      <w:color w:val="000000"/>
                      <w:szCs w:val="21"/>
                    </w:rPr>
                    <w:t>侧</w:t>
                  </w:r>
                </w:p>
              </w:tc>
              <w:tc>
                <w:tcPr>
                  <w:tcW w:w="2488" w:type="dxa"/>
                  <w:noWrap w:val="0"/>
                  <w:vAlign w:val="center"/>
                </w:tcPr>
                <w:p w14:paraId="51A9187C">
                  <w:pPr>
                    <w:ind w:left="-126" w:leftChars="-60" w:right="-99" w:rightChars="-47"/>
                    <w:jc w:val="center"/>
                    <w:rPr>
                      <w:color w:val="000000"/>
                      <w:szCs w:val="21"/>
                    </w:rPr>
                  </w:pPr>
                  <w:r>
                    <w:rPr>
                      <w:rFonts w:hint="eastAsia"/>
                      <w:color w:val="000000"/>
                      <w:szCs w:val="21"/>
                    </w:rPr>
                    <w:t>52</w:t>
                  </w:r>
                </w:p>
              </w:tc>
              <w:tc>
                <w:tcPr>
                  <w:tcW w:w="2667" w:type="dxa"/>
                  <w:noWrap w:val="0"/>
                  <w:vAlign w:val="center"/>
                </w:tcPr>
                <w:p w14:paraId="00066C30">
                  <w:pPr>
                    <w:ind w:left="-126" w:leftChars="-60" w:right="-99" w:rightChars="-47"/>
                    <w:jc w:val="center"/>
                    <w:rPr>
                      <w:rFonts w:hint="eastAsia"/>
                      <w:color w:val="000000"/>
                      <w:szCs w:val="21"/>
                    </w:rPr>
                  </w:pPr>
                  <w:r>
                    <w:rPr>
                      <w:rFonts w:hint="eastAsia"/>
                      <w:color w:val="000000"/>
                      <w:szCs w:val="21"/>
                    </w:rPr>
                    <w:t>57</w:t>
                  </w:r>
                </w:p>
              </w:tc>
            </w:tr>
            <w:tr w14:paraId="239E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14:paraId="437C257C">
                  <w:pPr>
                    <w:ind w:left="-126" w:leftChars="-60" w:right="-99" w:rightChars="-47"/>
                    <w:jc w:val="center"/>
                    <w:rPr>
                      <w:color w:val="000000"/>
                      <w:szCs w:val="21"/>
                    </w:rPr>
                  </w:pPr>
                  <w:r>
                    <w:rPr>
                      <w:color w:val="000000"/>
                      <w:szCs w:val="21"/>
                    </w:rPr>
                    <w:t>3</w:t>
                  </w:r>
                </w:p>
              </w:tc>
              <w:tc>
                <w:tcPr>
                  <w:tcW w:w="1833" w:type="dxa"/>
                  <w:noWrap w:val="0"/>
                  <w:vAlign w:val="center"/>
                </w:tcPr>
                <w:p w14:paraId="000115F7">
                  <w:pPr>
                    <w:ind w:left="-126" w:leftChars="-60" w:right="-99" w:rightChars="-47"/>
                    <w:jc w:val="center"/>
                    <w:rPr>
                      <w:color w:val="000000"/>
                      <w:szCs w:val="21"/>
                    </w:rPr>
                  </w:pPr>
                  <w:r>
                    <w:rPr>
                      <w:color w:val="000000"/>
                      <w:szCs w:val="21"/>
                    </w:rPr>
                    <w:t>厂界西</w:t>
                  </w:r>
                  <w:r>
                    <w:rPr>
                      <w:rFonts w:hint="eastAsia"/>
                      <w:color w:val="000000"/>
                      <w:szCs w:val="21"/>
                    </w:rPr>
                    <w:t>侧</w:t>
                  </w:r>
                </w:p>
              </w:tc>
              <w:tc>
                <w:tcPr>
                  <w:tcW w:w="2488" w:type="dxa"/>
                  <w:noWrap w:val="0"/>
                  <w:vAlign w:val="center"/>
                </w:tcPr>
                <w:p w14:paraId="51E5DC3A">
                  <w:pPr>
                    <w:ind w:left="-126" w:leftChars="-60" w:right="-99" w:rightChars="-47"/>
                    <w:jc w:val="center"/>
                    <w:rPr>
                      <w:rFonts w:hint="eastAsia"/>
                      <w:color w:val="000000"/>
                      <w:szCs w:val="21"/>
                    </w:rPr>
                  </w:pPr>
                  <w:r>
                    <w:rPr>
                      <w:rFonts w:hint="eastAsia"/>
                      <w:color w:val="000000"/>
                      <w:szCs w:val="21"/>
                    </w:rPr>
                    <w:t>57</w:t>
                  </w:r>
                </w:p>
              </w:tc>
              <w:tc>
                <w:tcPr>
                  <w:tcW w:w="2667" w:type="dxa"/>
                  <w:noWrap w:val="0"/>
                  <w:vAlign w:val="center"/>
                </w:tcPr>
                <w:p w14:paraId="1C5500D8">
                  <w:pPr>
                    <w:ind w:left="-126" w:leftChars="-60" w:right="-99" w:rightChars="-47"/>
                    <w:jc w:val="center"/>
                    <w:rPr>
                      <w:rFonts w:hint="eastAsia"/>
                      <w:color w:val="000000"/>
                      <w:szCs w:val="21"/>
                    </w:rPr>
                  </w:pPr>
                  <w:r>
                    <w:rPr>
                      <w:rFonts w:hint="eastAsia"/>
                      <w:color w:val="000000"/>
                      <w:szCs w:val="21"/>
                    </w:rPr>
                    <w:t>59</w:t>
                  </w:r>
                </w:p>
              </w:tc>
            </w:tr>
            <w:tr w14:paraId="74CE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14:paraId="61D2CA71">
                  <w:pPr>
                    <w:ind w:left="-126" w:leftChars="-60" w:right="-99" w:rightChars="-47"/>
                    <w:jc w:val="center"/>
                    <w:rPr>
                      <w:color w:val="000000"/>
                      <w:szCs w:val="21"/>
                    </w:rPr>
                  </w:pPr>
                  <w:r>
                    <w:rPr>
                      <w:color w:val="000000"/>
                      <w:szCs w:val="21"/>
                    </w:rPr>
                    <w:t>4</w:t>
                  </w:r>
                </w:p>
              </w:tc>
              <w:tc>
                <w:tcPr>
                  <w:tcW w:w="1833" w:type="dxa"/>
                  <w:noWrap w:val="0"/>
                  <w:vAlign w:val="center"/>
                </w:tcPr>
                <w:p w14:paraId="687D3925">
                  <w:pPr>
                    <w:ind w:left="-126" w:leftChars="-60" w:right="-99" w:rightChars="-47"/>
                    <w:jc w:val="center"/>
                    <w:rPr>
                      <w:color w:val="000000"/>
                      <w:szCs w:val="21"/>
                    </w:rPr>
                  </w:pPr>
                  <w:r>
                    <w:rPr>
                      <w:color w:val="000000"/>
                      <w:szCs w:val="21"/>
                    </w:rPr>
                    <w:t>厂界北</w:t>
                  </w:r>
                  <w:r>
                    <w:rPr>
                      <w:rFonts w:hint="eastAsia"/>
                      <w:color w:val="000000"/>
                      <w:szCs w:val="21"/>
                    </w:rPr>
                    <w:t>侧</w:t>
                  </w:r>
                </w:p>
              </w:tc>
              <w:tc>
                <w:tcPr>
                  <w:tcW w:w="2488" w:type="dxa"/>
                  <w:noWrap w:val="0"/>
                  <w:vAlign w:val="center"/>
                </w:tcPr>
                <w:p w14:paraId="34D30A8E">
                  <w:pPr>
                    <w:ind w:left="-126" w:leftChars="-60" w:right="-99" w:rightChars="-47"/>
                    <w:jc w:val="center"/>
                    <w:rPr>
                      <w:rFonts w:hint="eastAsia"/>
                      <w:color w:val="000000"/>
                      <w:szCs w:val="21"/>
                    </w:rPr>
                  </w:pPr>
                  <w:r>
                    <w:rPr>
                      <w:rFonts w:hint="eastAsia"/>
                      <w:color w:val="000000"/>
                      <w:szCs w:val="21"/>
                    </w:rPr>
                    <w:t>52</w:t>
                  </w:r>
                </w:p>
              </w:tc>
              <w:tc>
                <w:tcPr>
                  <w:tcW w:w="2667" w:type="dxa"/>
                  <w:noWrap w:val="0"/>
                  <w:vAlign w:val="center"/>
                </w:tcPr>
                <w:p w14:paraId="42EEED06">
                  <w:pPr>
                    <w:ind w:left="-126" w:leftChars="-60" w:right="-99" w:rightChars="-47"/>
                    <w:jc w:val="center"/>
                    <w:rPr>
                      <w:rFonts w:hint="eastAsia"/>
                      <w:color w:val="000000"/>
                      <w:szCs w:val="21"/>
                    </w:rPr>
                  </w:pPr>
                  <w:r>
                    <w:rPr>
                      <w:rFonts w:hint="eastAsia"/>
                      <w:color w:val="000000"/>
                      <w:szCs w:val="21"/>
                    </w:rPr>
                    <w:t>57</w:t>
                  </w:r>
                </w:p>
              </w:tc>
            </w:tr>
            <w:tr w14:paraId="496D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14:paraId="43497D7E">
                  <w:pPr>
                    <w:ind w:left="-126" w:leftChars="-60" w:right="-99" w:rightChars="-47"/>
                    <w:jc w:val="center"/>
                    <w:rPr>
                      <w:rFonts w:hint="eastAsia"/>
                      <w:color w:val="000000"/>
                      <w:szCs w:val="21"/>
                    </w:rPr>
                  </w:pPr>
                  <w:r>
                    <w:rPr>
                      <w:rFonts w:hint="eastAsia"/>
                      <w:color w:val="000000"/>
                      <w:szCs w:val="21"/>
                    </w:rPr>
                    <w:t>5</w:t>
                  </w:r>
                </w:p>
              </w:tc>
              <w:tc>
                <w:tcPr>
                  <w:tcW w:w="1833" w:type="dxa"/>
                  <w:noWrap w:val="0"/>
                  <w:vAlign w:val="center"/>
                </w:tcPr>
                <w:p w14:paraId="582DBC04">
                  <w:pPr>
                    <w:ind w:left="-126" w:leftChars="-60" w:right="-99" w:rightChars="-47"/>
                    <w:jc w:val="center"/>
                    <w:rPr>
                      <w:rFonts w:hint="eastAsia"/>
                      <w:color w:val="000000"/>
                      <w:szCs w:val="21"/>
                    </w:rPr>
                  </w:pPr>
                  <w:r>
                    <w:rPr>
                      <w:rFonts w:hint="eastAsia"/>
                      <w:color w:val="000000"/>
                      <w:szCs w:val="21"/>
                    </w:rPr>
                    <w:t>和谐新家园</w:t>
                  </w:r>
                </w:p>
              </w:tc>
              <w:tc>
                <w:tcPr>
                  <w:tcW w:w="2488" w:type="dxa"/>
                  <w:noWrap w:val="0"/>
                  <w:vAlign w:val="center"/>
                </w:tcPr>
                <w:p w14:paraId="198DAE59">
                  <w:pPr>
                    <w:ind w:left="-126" w:leftChars="-60" w:right="-99" w:rightChars="-47"/>
                    <w:jc w:val="center"/>
                    <w:rPr>
                      <w:rFonts w:hint="eastAsia"/>
                      <w:color w:val="000000"/>
                      <w:szCs w:val="21"/>
                    </w:rPr>
                  </w:pPr>
                  <w:r>
                    <w:rPr>
                      <w:rFonts w:hint="eastAsia"/>
                      <w:color w:val="000000"/>
                      <w:szCs w:val="21"/>
                    </w:rPr>
                    <w:t>51</w:t>
                  </w:r>
                </w:p>
              </w:tc>
              <w:tc>
                <w:tcPr>
                  <w:tcW w:w="2667" w:type="dxa"/>
                  <w:noWrap w:val="0"/>
                  <w:vAlign w:val="center"/>
                </w:tcPr>
                <w:p w14:paraId="69C03796">
                  <w:pPr>
                    <w:ind w:left="-126" w:leftChars="-60" w:right="-99" w:rightChars="-47"/>
                    <w:jc w:val="center"/>
                    <w:rPr>
                      <w:rFonts w:hint="eastAsia"/>
                      <w:color w:val="000000"/>
                      <w:szCs w:val="21"/>
                    </w:rPr>
                  </w:pPr>
                  <w:r>
                    <w:rPr>
                      <w:rFonts w:hint="eastAsia"/>
                      <w:color w:val="000000"/>
                      <w:szCs w:val="21"/>
                    </w:rPr>
                    <w:t>52</w:t>
                  </w:r>
                </w:p>
              </w:tc>
            </w:tr>
            <w:tr w14:paraId="5D44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843" w:type="dxa"/>
                  <w:gridSpan w:val="2"/>
                  <w:noWrap w:val="0"/>
                  <w:vAlign w:val="center"/>
                </w:tcPr>
                <w:p w14:paraId="0F6A8583">
                  <w:pPr>
                    <w:ind w:left="-126" w:leftChars="-60" w:right="-99" w:rightChars="-47"/>
                    <w:jc w:val="center"/>
                    <w:rPr>
                      <w:color w:val="000000"/>
                      <w:szCs w:val="21"/>
                    </w:rPr>
                  </w:pPr>
                  <w:r>
                    <w:rPr>
                      <w:rFonts w:hint="eastAsia"/>
                      <w:color w:val="000000"/>
                      <w:szCs w:val="21"/>
                    </w:rPr>
                    <w:t>《声环境质量标准》GB3096-2008</w:t>
                  </w:r>
                </w:p>
              </w:tc>
              <w:tc>
                <w:tcPr>
                  <w:tcW w:w="2488" w:type="dxa"/>
                  <w:noWrap w:val="0"/>
                  <w:vAlign w:val="center"/>
                </w:tcPr>
                <w:p w14:paraId="1F7B12A0">
                  <w:pPr>
                    <w:ind w:left="-126" w:leftChars="-60" w:right="-99" w:rightChars="-47"/>
                    <w:jc w:val="center"/>
                    <w:rPr>
                      <w:rFonts w:hint="eastAsia"/>
                      <w:color w:val="000000"/>
                      <w:szCs w:val="21"/>
                    </w:rPr>
                  </w:pPr>
                  <w:r>
                    <w:rPr>
                      <w:color w:val="000000"/>
                      <w:szCs w:val="21"/>
                    </w:rPr>
                    <w:t>6</w:t>
                  </w:r>
                  <w:r>
                    <w:rPr>
                      <w:rFonts w:hint="eastAsia"/>
                      <w:color w:val="000000"/>
                      <w:szCs w:val="21"/>
                    </w:rPr>
                    <w:t>0</w:t>
                  </w:r>
                </w:p>
              </w:tc>
              <w:tc>
                <w:tcPr>
                  <w:tcW w:w="2667" w:type="dxa"/>
                  <w:noWrap w:val="0"/>
                  <w:vAlign w:val="center"/>
                </w:tcPr>
                <w:p w14:paraId="1E000EC6">
                  <w:pPr>
                    <w:ind w:left="-126" w:leftChars="-60" w:right="-99" w:rightChars="-47"/>
                    <w:jc w:val="center"/>
                    <w:rPr>
                      <w:rFonts w:hint="eastAsia"/>
                      <w:color w:val="000000"/>
                      <w:szCs w:val="21"/>
                    </w:rPr>
                  </w:pPr>
                  <w:r>
                    <w:rPr>
                      <w:color w:val="000000"/>
                      <w:szCs w:val="21"/>
                    </w:rPr>
                    <w:t>6</w:t>
                  </w:r>
                  <w:r>
                    <w:rPr>
                      <w:rFonts w:hint="eastAsia"/>
                      <w:color w:val="000000"/>
                      <w:szCs w:val="21"/>
                    </w:rPr>
                    <w:t>0</w:t>
                  </w:r>
                </w:p>
              </w:tc>
            </w:tr>
          </w:tbl>
          <w:p w14:paraId="2EEE5700">
            <w:pPr>
              <w:widowControl/>
              <w:spacing w:line="360" w:lineRule="auto"/>
              <w:ind w:firstLine="480" w:firstLineChars="200"/>
              <w:rPr>
                <w:rFonts w:hint="eastAsia"/>
                <w:sz w:val="24"/>
                <w:szCs w:val="24"/>
              </w:rPr>
            </w:pPr>
            <w:r>
              <w:rPr>
                <w:sz w:val="24"/>
                <w:szCs w:val="24"/>
              </w:rPr>
              <w:t>由上表监测结果可以就看出，项目所在区域声环境满足《声环境质量标准》（GB3096-2008）中</w:t>
            </w:r>
            <w:r>
              <w:rPr>
                <w:rFonts w:hint="eastAsia"/>
                <w:sz w:val="24"/>
                <w:szCs w:val="24"/>
              </w:rPr>
              <w:t>2</w:t>
            </w:r>
            <w:r>
              <w:rPr>
                <w:sz w:val="24"/>
                <w:szCs w:val="24"/>
              </w:rPr>
              <w:t>类区标准要求。</w:t>
            </w:r>
          </w:p>
          <w:p w14:paraId="62CA9F36">
            <w:pPr>
              <w:spacing w:line="360" w:lineRule="auto"/>
              <w:ind w:firstLine="482" w:firstLineChars="200"/>
              <w:rPr>
                <w:rFonts w:hint="eastAsia"/>
                <w:b/>
                <w:bCs/>
                <w:color w:val="000000"/>
                <w:sz w:val="24"/>
              </w:rPr>
            </w:pPr>
            <w:r>
              <w:rPr>
                <w:rFonts w:hint="eastAsia"/>
                <w:b/>
                <w:bCs/>
                <w:color w:val="000000"/>
                <w:sz w:val="24"/>
              </w:rPr>
              <w:t>3.4土壤环境质量现状</w:t>
            </w:r>
          </w:p>
          <w:p w14:paraId="38F4C07B">
            <w:pPr>
              <w:widowControl/>
              <w:spacing w:line="360" w:lineRule="auto"/>
              <w:ind w:firstLine="480" w:firstLineChars="200"/>
              <w:rPr>
                <w:rFonts w:hint="eastAsia"/>
              </w:rPr>
            </w:pPr>
            <w:r>
              <w:rPr>
                <w:rFonts w:hint="default" w:ascii="Times New Roman" w:hAnsi="Times New Roman" w:eastAsia="宋体" w:cs="Times New Roman"/>
                <w:bCs/>
                <w:kern w:val="0"/>
                <w:sz w:val="24"/>
                <w:szCs w:val="24"/>
              </w:rPr>
              <w:t>本项目为</w:t>
            </w:r>
            <w:r>
              <w:rPr>
                <w:rFonts w:hint="default" w:ascii="Times New Roman" w:hAnsi="Times New Roman" w:eastAsia="宋体" w:cs="Times New Roman"/>
                <w:sz w:val="24"/>
                <w:szCs w:val="24"/>
              </w:rPr>
              <w:t>其他建筑、安全用金属制品制造项目</w:t>
            </w:r>
            <w:r>
              <w:rPr>
                <w:rFonts w:hint="default" w:ascii="Times New Roman" w:hAnsi="Times New Roman" w:eastAsia="宋体" w:cs="Times New Roman"/>
                <w:bCs/>
                <w:kern w:val="0"/>
                <w:sz w:val="24"/>
                <w:szCs w:val="24"/>
              </w:rPr>
              <w:t>，项目重点防渗区（危废间、</w:t>
            </w:r>
            <w:r>
              <w:rPr>
                <w:rFonts w:hint="eastAsia" w:ascii="Times New Roman" w:hAnsi="Times New Roman" w:eastAsia="宋体" w:cs="Times New Roman"/>
                <w:bCs/>
                <w:kern w:val="0"/>
                <w:sz w:val="24"/>
                <w:szCs w:val="24"/>
                <w:lang w:val="en-US" w:eastAsia="zh-CN"/>
              </w:rPr>
              <w:t>喷漆房、</w:t>
            </w:r>
            <w:r>
              <w:rPr>
                <w:rFonts w:hint="default" w:ascii="Times New Roman" w:hAnsi="Times New Roman" w:eastAsia="宋体" w:cs="Times New Roman"/>
                <w:bCs/>
                <w:kern w:val="0"/>
                <w:sz w:val="24"/>
                <w:szCs w:val="24"/>
              </w:rPr>
              <w:t>封闭区）已做好防腐防渗措施并定期维护保养，项目污染土壤的可能性较低，因此本项目不开展土壤环境质量现状调查。</w:t>
            </w:r>
          </w:p>
        </w:tc>
      </w:tr>
      <w:tr w14:paraId="0E847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5B59B4B4">
            <w:pPr>
              <w:adjustRightInd w:val="0"/>
              <w:snapToGrid w:val="0"/>
              <w:jc w:val="center"/>
              <w:rPr>
                <w:rFonts w:hint="eastAsia" w:ascii="宋体" w:hAnsi="宋体" w:cs="宋体"/>
                <w:b/>
                <w:bCs/>
                <w:kern w:val="0"/>
                <w:szCs w:val="21"/>
              </w:rPr>
            </w:pPr>
            <w:r>
              <w:rPr>
                <w:rFonts w:hint="eastAsia" w:ascii="宋体" w:hAnsi="宋体" w:cs="宋体"/>
                <w:b/>
                <w:bCs/>
                <w:kern w:val="0"/>
                <w:szCs w:val="21"/>
              </w:rPr>
              <w:t>环境</w:t>
            </w:r>
          </w:p>
          <w:p w14:paraId="015FF034">
            <w:pPr>
              <w:adjustRightInd w:val="0"/>
              <w:snapToGrid w:val="0"/>
              <w:jc w:val="center"/>
              <w:rPr>
                <w:rFonts w:hint="eastAsia" w:ascii="宋体" w:hAnsi="宋体" w:cs="宋体"/>
                <w:b/>
                <w:bCs/>
                <w:kern w:val="0"/>
                <w:szCs w:val="21"/>
              </w:rPr>
            </w:pPr>
            <w:r>
              <w:rPr>
                <w:rFonts w:hint="eastAsia" w:ascii="宋体" w:hAnsi="宋体" w:cs="宋体"/>
                <w:b/>
                <w:bCs/>
                <w:kern w:val="0"/>
                <w:szCs w:val="21"/>
              </w:rPr>
              <w:t>保护</w:t>
            </w:r>
          </w:p>
          <w:p w14:paraId="57DC2A16">
            <w:pPr>
              <w:adjustRightInd w:val="0"/>
              <w:snapToGrid w:val="0"/>
              <w:jc w:val="center"/>
              <w:rPr>
                <w:rFonts w:hint="eastAsia" w:ascii="宋体" w:hAnsi="宋体" w:cs="宋体"/>
                <w:b/>
                <w:bCs/>
                <w:kern w:val="0"/>
                <w:szCs w:val="21"/>
              </w:rPr>
            </w:pPr>
            <w:r>
              <w:rPr>
                <w:rFonts w:hint="eastAsia" w:ascii="宋体" w:hAnsi="宋体" w:cs="宋体"/>
                <w:b/>
                <w:bCs/>
                <w:kern w:val="0"/>
                <w:szCs w:val="21"/>
              </w:rPr>
              <w:t>目标</w:t>
            </w:r>
          </w:p>
        </w:tc>
        <w:tc>
          <w:tcPr>
            <w:tcW w:w="8190" w:type="dxa"/>
            <w:noWrap w:val="0"/>
            <w:vAlign w:val="center"/>
          </w:tcPr>
          <w:p w14:paraId="5DA2DB8D">
            <w:pPr>
              <w:adjustRightInd w:val="0"/>
              <w:snapToGrid w:val="0"/>
              <w:spacing w:line="360" w:lineRule="auto"/>
              <w:ind w:firstLine="480" w:firstLineChars="200"/>
              <w:rPr>
                <w:sz w:val="24"/>
              </w:rPr>
            </w:pPr>
            <w:r>
              <w:rPr>
                <w:sz w:val="24"/>
              </w:rPr>
              <w:t>本项目位于</w:t>
            </w:r>
            <w:r>
              <w:rPr>
                <w:rFonts w:hint="eastAsia"/>
                <w:sz w:val="24"/>
              </w:rPr>
              <w:t>安徽省淮北市杜集区石台镇育才路东侧乡村振兴产业园</w:t>
            </w:r>
            <w:r>
              <w:rPr>
                <w:sz w:val="24"/>
              </w:rPr>
              <w:t>。项目区</w:t>
            </w:r>
            <w:r>
              <w:rPr>
                <w:rFonts w:hint="eastAsia"/>
                <w:sz w:val="24"/>
              </w:rPr>
              <w:t>西</w:t>
            </w:r>
            <w:r>
              <w:rPr>
                <w:sz w:val="24"/>
              </w:rPr>
              <w:t>侧为</w:t>
            </w:r>
            <w:r>
              <w:rPr>
                <w:rFonts w:hint="eastAsia"/>
                <w:sz w:val="24"/>
              </w:rPr>
              <w:t>和谐新家园</w:t>
            </w:r>
            <w:r>
              <w:rPr>
                <w:sz w:val="24"/>
              </w:rPr>
              <w:t>、南侧为</w:t>
            </w:r>
            <w:r>
              <w:rPr>
                <w:rFonts w:hint="eastAsia"/>
                <w:sz w:val="24"/>
              </w:rPr>
              <w:t>空地</w:t>
            </w:r>
            <w:r>
              <w:rPr>
                <w:sz w:val="24"/>
              </w:rPr>
              <w:t>、</w:t>
            </w:r>
            <w:r>
              <w:rPr>
                <w:rFonts w:hint="eastAsia"/>
                <w:sz w:val="24"/>
              </w:rPr>
              <w:t>北</w:t>
            </w:r>
            <w:r>
              <w:rPr>
                <w:sz w:val="24"/>
              </w:rPr>
              <w:t>侧</w:t>
            </w:r>
            <w:r>
              <w:rPr>
                <w:rFonts w:hint="eastAsia"/>
                <w:sz w:val="24"/>
              </w:rPr>
              <w:t>为安徽相王医药有限公司，东侧为空厂房。</w:t>
            </w:r>
          </w:p>
          <w:p w14:paraId="7C84078B">
            <w:pPr>
              <w:adjustRightInd w:val="0"/>
              <w:snapToGrid w:val="0"/>
              <w:spacing w:line="360" w:lineRule="auto"/>
              <w:ind w:firstLine="480" w:firstLineChars="200"/>
              <w:rPr>
                <w:sz w:val="24"/>
              </w:rPr>
            </w:pPr>
            <w:r>
              <w:rPr>
                <w:rFonts w:hint="eastAsia"/>
                <w:sz w:val="24"/>
              </w:rPr>
              <w:t>本项目周边环境保护目标情况如下：</w:t>
            </w:r>
          </w:p>
          <w:p w14:paraId="76F6D043">
            <w:pPr>
              <w:adjustRightInd w:val="0"/>
              <w:snapToGrid w:val="0"/>
              <w:spacing w:line="360" w:lineRule="auto"/>
              <w:ind w:firstLine="480" w:firstLineChars="200"/>
              <w:rPr>
                <w:rFonts w:hint="eastAsia"/>
                <w:sz w:val="24"/>
              </w:rPr>
            </w:pPr>
            <w:bookmarkStart w:id="3" w:name="_Hlk185109252"/>
            <w:r>
              <w:rPr>
                <w:rFonts w:hint="eastAsia"/>
                <w:sz w:val="24"/>
              </w:rPr>
              <w:t>1、大气环境：厂界外500m范围内环境保护目标见下表和附图4；</w:t>
            </w:r>
          </w:p>
          <w:p w14:paraId="537B51EA">
            <w:pPr>
              <w:widowControl/>
              <w:numPr>
                <w:ilvl w:val="0"/>
                <w:numId w:val="2"/>
              </w:numPr>
              <w:jc w:val="center"/>
              <w:rPr>
                <w:b/>
                <w:kern w:val="0"/>
                <w:szCs w:val="21"/>
              </w:rPr>
            </w:pPr>
            <w:r>
              <w:rPr>
                <w:b/>
                <w:kern w:val="0"/>
                <w:szCs w:val="21"/>
              </w:rPr>
              <w:t>主要环境保护目标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44"/>
              <w:gridCol w:w="1281"/>
              <w:gridCol w:w="625"/>
              <w:gridCol w:w="626"/>
              <w:gridCol w:w="1029"/>
              <w:gridCol w:w="728"/>
              <w:gridCol w:w="914"/>
              <w:gridCol w:w="1050"/>
              <w:gridCol w:w="884"/>
            </w:tblGrid>
            <w:tr w14:paraId="4663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14:paraId="59BA559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环境要素</w:t>
                  </w:r>
                </w:p>
              </w:tc>
              <w:tc>
                <w:tcPr>
                  <w:tcW w:w="267" w:type="pct"/>
                  <w:vMerge w:val="restart"/>
                  <w:tcBorders>
                    <w:top w:val="single" w:color="auto" w:sz="4" w:space="0"/>
                    <w:left w:val="single" w:color="auto" w:sz="4" w:space="0"/>
                    <w:right w:val="single" w:color="auto" w:sz="4" w:space="0"/>
                  </w:tcBorders>
                  <w:noWrap w:val="0"/>
                  <w:vAlign w:val="center"/>
                </w:tcPr>
                <w:p w14:paraId="07A3E25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r>
                    <w:rPr>
                      <w:rFonts w:ascii="Times New Roman" w:hAnsi="Times New Roman"/>
                      <w:kern w:val="2"/>
                      <w:sz w:val="21"/>
                      <w:szCs w:val="21"/>
                      <w:lang w:bidi="ar"/>
                    </w:rPr>
                    <w:t>序号</w:t>
                  </w:r>
                </w:p>
              </w:tc>
              <w:tc>
                <w:tcPr>
                  <w:tcW w:w="771" w:type="pct"/>
                  <w:vMerge w:val="restart"/>
                  <w:tcBorders>
                    <w:top w:val="single" w:color="auto" w:sz="4" w:space="0"/>
                    <w:left w:val="single" w:color="auto" w:sz="4" w:space="0"/>
                    <w:bottom w:val="single" w:color="auto" w:sz="4" w:space="0"/>
                    <w:right w:val="single" w:color="auto" w:sz="4" w:space="0"/>
                  </w:tcBorders>
                  <w:noWrap w:val="0"/>
                  <w:vAlign w:val="center"/>
                </w:tcPr>
                <w:p w14:paraId="6C1DEB3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名称</w:t>
                  </w:r>
                </w:p>
              </w:tc>
              <w:tc>
                <w:tcPr>
                  <w:tcW w:w="753" w:type="pct"/>
                  <w:gridSpan w:val="2"/>
                  <w:tcBorders>
                    <w:top w:val="single" w:color="auto" w:sz="4" w:space="0"/>
                    <w:left w:val="single" w:color="auto" w:sz="4" w:space="0"/>
                    <w:bottom w:val="single" w:color="auto" w:sz="4" w:space="0"/>
                    <w:right w:val="single" w:color="auto" w:sz="4" w:space="0"/>
                  </w:tcBorders>
                  <w:noWrap w:val="0"/>
                  <w:vAlign w:val="center"/>
                </w:tcPr>
                <w:p w14:paraId="3AFFF2DC">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坐标/m</w:t>
                  </w:r>
                </w:p>
              </w:tc>
              <w:tc>
                <w:tcPr>
                  <w:tcW w:w="619" w:type="pct"/>
                  <w:vMerge w:val="restart"/>
                  <w:tcBorders>
                    <w:top w:val="single" w:color="auto" w:sz="4" w:space="0"/>
                    <w:left w:val="single" w:color="auto" w:sz="4" w:space="0"/>
                    <w:bottom w:val="single" w:color="auto" w:sz="4" w:space="0"/>
                    <w:right w:val="single" w:color="auto" w:sz="4" w:space="0"/>
                  </w:tcBorders>
                  <w:noWrap w:val="0"/>
                  <w:vAlign w:val="center"/>
                </w:tcPr>
                <w:p w14:paraId="58E9DAB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sz w:val="21"/>
                      <w:szCs w:val="21"/>
                    </w:rPr>
                    <w:t>规模</w:t>
                  </w:r>
                </w:p>
              </w:tc>
              <w:tc>
                <w:tcPr>
                  <w:tcW w:w="438" w:type="pct"/>
                  <w:vMerge w:val="restart"/>
                  <w:tcBorders>
                    <w:top w:val="single" w:color="auto" w:sz="4" w:space="0"/>
                    <w:left w:val="single" w:color="auto" w:sz="4" w:space="0"/>
                    <w:bottom w:val="single" w:color="auto" w:sz="4" w:space="0"/>
                    <w:right w:val="single" w:color="auto" w:sz="4" w:space="0"/>
                  </w:tcBorders>
                  <w:noWrap w:val="0"/>
                  <w:vAlign w:val="center"/>
                </w:tcPr>
                <w:p w14:paraId="7DD70F63">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保护内容</w:t>
                  </w:r>
                </w:p>
              </w:tc>
              <w:tc>
                <w:tcPr>
                  <w:tcW w:w="550" w:type="pct"/>
                  <w:vMerge w:val="restart"/>
                  <w:tcBorders>
                    <w:top w:val="single" w:color="auto" w:sz="4" w:space="0"/>
                    <w:left w:val="single" w:color="auto" w:sz="4" w:space="0"/>
                    <w:bottom w:val="single" w:color="auto" w:sz="4" w:space="0"/>
                    <w:right w:val="single" w:color="auto" w:sz="4" w:space="0"/>
                  </w:tcBorders>
                  <w:noWrap w:val="0"/>
                  <w:vAlign w:val="center"/>
                </w:tcPr>
                <w:p w14:paraId="62E22F1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环境功能区</w:t>
                  </w:r>
                </w:p>
              </w:tc>
              <w:tc>
                <w:tcPr>
                  <w:tcW w:w="632" w:type="pct"/>
                  <w:vMerge w:val="restart"/>
                  <w:tcBorders>
                    <w:top w:val="single" w:color="auto" w:sz="4" w:space="0"/>
                    <w:left w:val="single" w:color="auto" w:sz="4" w:space="0"/>
                    <w:bottom w:val="single" w:color="auto" w:sz="4" w:space="0"/>
                    <w:right w:val="single" w:color="auto" w:sz="4" w:space="0"/>
                  </w:tcBorders>
                  <w:noWrap w:val="0"/>
                  <w:vAlign w:val="center"/>
                </w:tcPr>
                <w:p w14:paraId="1B3C55F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相对厂址方位</w:t>
                  </w:r>
                </w:p>
              </w:tc>
              <w:tc>
                <w:tcPr>
                  <w:tcW w:w="532" w:type="pct"/>
                  <w:vMerge w:val="restart"/>
                  <w:tcBorders>
                    <w:top w:val="single" w:color="auto" w:sz="4" w:space="0"/>
                    <w:left w:val="single" w:color="auto" w:sz="4" w:space="0"/>
                    <w:bottom w:val="single" w:color="auto" w:sz="4" w:space="0"/>
                    <w:right w:val="single" w:color="auto" w:sz="4" w:space="0"/>
                  </w:tcBorders>
                  <w:noWrap w:val="0"/>
                  <w:vAlign w:val="center"/>
                </w:tcPr>
                <w:p w14:paraId="243BAAC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距厂界距离m</w:t>
                  </w:r>
                </w:p>
              </w:tc>
            </w:tr>
            <w:tr w14:paraId="70EA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35790F6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267" w:type="pct"/>
                  <w:vMerge w:val="continue"/>
                  <w:tcBorders>
                    <w:left w:val="single" w:color="auto" w:sz="4" w:space="0"/>
                    <w:bottom w:val="single" w:color="auto" w:sz="4" w:space="0"/>
                    <w:right w:val="single" w:color="auto" w:sz="4" w:space="0"/>
                  </w:tcBorders>
                  <w:noWrap w:val="0"/>
                  <w:vAlign w:val="center"/>
                </w:tcPr>
                <w:p w14:paraId="2F835549">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771" w:type="pct"/>
                  <w:vMerge w:val="continue"/>
                  <w:tcBorders>
                    <w:top w:val="single" w:color="auto" w:sz="4" w:space="0"/>
                    <w:left w:val="single" w:color="auto" w:sz="4" w:space="0"/>
                    <w:bottom w:val="single" w:color="auto" w:sz="4" w:space="0"/>
                    <w:right w:val="single" w:color="auto" w:sz="4" w:space="0"/>
                  </w:tcBorders>
                  <w:noWrap w:val="0"/>
                  <w:vAlign w:val="center"/>
                </w:tcPr>
                <w:p w14:paraId="008C930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376" w:type="pct"/>
                  <w:tcBorders>
                    <w:top w:val="single" w:color="auto" w:sz="4" w:space="0"/>
                    <w:left w:val="single" w:color="auto" w:sz="4" w:space="0"/>
                    <w:bottom w:val="single" w:color="auto" w:sz="4" w:space="0"/>
                    <w:right w:val="single" w:color="auto" w:sz="4" w:space="0"/>
                  </w:tcBorders>
                  <w:noWrap w:val="0"/>
                  <w:vAlign w:val="center"/>
                </w:tcPr>
                <w:p w14:paraId="7643D75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X</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180611B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Y</w:t>
                  </w:r>
                </w:p>
              </w:tc>
              <w:tc>
                <w:tcPr>
                  <w:tcW w:w="619" w:type="pct"/>
                  <w:vMerge w:val="continue"/>
                  <w:tcBorders>
                    <w:top w:val="single" w:color="auto" w:sz="4" w:space="0"/>
                    <w:left w:val="single" w:color="auto" w:sz="4" w:space="0"/>
                    <w:bottom w:val="single" w:color="auto" w:sz="4" w:space="0"/>
                    <w:right w:val="single" w:color="auto" w:sz="4" w:space="0"/>
                  </w:tcBorders>
                  <w:noWrap w:val="0"/>
                  <w:vAlign w:val="center"/>
                </w:tcPr>
                <w:p w14:paraId="1C7545EC">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noWrap w:val="0"/>
                  <w:vAlign w:val="center"/>
                </w:tcPr>
                <w:p w14:paraId="5D8E91DF">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550" w:type="pct"/>
                  <w:vMerge w:val="continue"/>
                  <w:tcBorders>
                    <w:top w:val="single" w:color="auto" w:sz="4" w:space="0"/>
                    <w:left w:val="single" w:color="auto" w:sz="4" w:space="0"/>
                    <w:bottom w:val="single" w:color="auto" w:sz="4" w:space="0"/>
                    <w:right w:val="single" w:color="auto" w:sz="4" w:space="0"/>
                  </w:tcBorders>
                  <w:noWrap w:val="0"/>
                  <w:vAlign w:val="center"/>
                </w:tcPr>
                <w:p w14:paraId="32B87CB6">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632" w:type="pct"/>
                  <w:vMerge w:val="continue"/>
                  <w:tcBorders>
                    <w:top w:val="single" w:color="auto" w:sz="4" w:space="0"/>
                    <w:left w:val="single" w:color="auto" w:sz="4" w:space="0"/>
                    <w:bottom w:val="single" w:color="auto" w:sz="4" w:space="0"/>
                    <w:right w:val="single" w:color="auto" w:sz="4" w:space="0"/>
                  </w:tcBorders>
                  <w:noWrap w:val="0"/>
                  <w:vAlign w:val="center"/>
                </w:tcPr>
                <w:p w14:paraId="3557492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c>
                <w:tcPr>
                  <w:tcW w:w="532" w:type="pct"/>
                  <w:vMerge w:val="continue"/>
                  <w:tcBorders>
                    <w:top w:val="single" w:color="auto" w:sz="4" w:space="0"/>
                    <w:left w:val="single" w:color="auto" w:sz="4" w:space="0"/>
                    <w:bottom w:val="single" w:color="auto" w:sz="4" w:space="0"/>
                    <w:right w:val="single" w:color="auto" w:sz="4" w:space="0"/>
                  </w:tcBorders>
                  <w:noWrap w:val="0"/>
                  <w:vAlign w:val="center"/>
                </w:tcPr>
                <w:p w14:paraId="7F2A863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p>
              </w:tc>
            </w:tr>
            <w:tr w14:paraId="38EC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tcBorders>
                    <w:top w:val="single" w:color="auto" w:sz="4" w:space="0"/>
                    <w:left w:val="single" w:color="auto" w:sz="4" w:space="0"/>
                    <w:right w:val="single" w:color="auto" w:sz="4" w:space="0"/>
                  </w:tcBorders>
                  <w:noWrap w:val="0"/>
                  <w:vAlign w:val="center"/>
                </w:tcPr>
                <w:p w14:paraId="691DC76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大气环境</w:t>
                  </w:r>
                </w:p>
                <w:p w14:paraId="5A1F153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07B98AF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1</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16ED635B">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和谐新家园</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6A85FB1C">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-39</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54B3B21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hint="eastAsia" w:ascii="Times New Roman" w:hAnsi="Times New Roman"/>
                      <w:sz w:val="21"/>
                      <w:szCs w:val="21"/>
                    </w:rPr>
                    <w:t>0</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0819446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hint="eastAsia" w:ascii="Times New Roman" w:hAnsi="Times New Roman"/>
                      <w:sz w:val="21"/>
                      <w:szCs w:val="21"/>
                    </w:rPr>
                    <w:t>765</w:t>
                  </w:r>
                  <w:r>
                    <w:rPr>
                      <w:rFonts w:ascii="Times New Roman" w:hAnsi="Times New Roman"/>
                      <w:sz w:val="21"/>
                      <w:szCs w:val="21"/>
                    </w:rPr>
                    <w:t>户，1</w:t>
                  </w:r>
                  <w:r>
                    <w:rPr>
                      <w:rFonts w:hint="eastAsia" w:ascii="Times New Roman" w:hAnsi="Times New Roman"/>
                      <w:sz w:val="21"/>
                      <w:szCs w:val="21"/>
                    </w:rPr>
                    <w:t>5</w:t>
                  </w:r>
                  <w:r>
                    <w:rPr>
                      <w:rFonts w:ascii="Times New Roman" w:hAnsi="Times New Roman"/>
                      <w:sz w:val="21"/>
                      <w:szCs w:val="21"/>
                    </w:rPr>
                    <w:t>4</w:t>
                  </w:r>
                  <w:r>
                    <w:rPr>
                      <w:rFonts w:hint="eastAsia" w:ascii="Times New Roman" w:hAnsi="Times New Roman"/>
                      <w:sz w:val="21"/>
                      <w:szCs w:val="21"/>
                    </w:rPr>
                    <w:t>0</w:t>
                  </w:r>
                  <w:r>
                    <w:rPr>
                      <w:rFonts w:ascii="Times New Roman" w:hAnsi="Times New Roman"/>
                      <w:sz w:val="21"/>
                      <w:szCs w:val="21"/>
                    </w:rPr>
                    <w:t>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60D89DF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住户</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28EFBF1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6D9E557">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W</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608C25BC">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39</w:t>
                  </w:r>
                </w:p>
              </w:tc>
            </w:tr>
            <w:tr w14:paraId="641D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256F034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28B25C97">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sz w:val="21"/>
                      <w:szCs w:val="21"/>
                    </w:rPr>
                  </w:pPr>
                  <w:r>
                    <w:rPr>
                      <w:rFonts w:hint="eastAsia"/>
                      <w:sz w:val="21"/>
                      <w:szCs w:val="21"/>
                    </w:rPr>
                    <w:t>2</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2112F560">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石台社区卫生服务中心</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3F71A368">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348</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3DC3BF18">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-378</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56AB464C">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hint="eastAsia" w:ascii="Times New Roman" w:hAnsi="Times New Roman"/>
                      <w:sz w:val="21"/>
                      <w:szCs w:val="21"/>
                    </w:rPr>
                    <w:t>4个床位，职工8人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3DB2264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医院</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30A89E4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CBD8D0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7636D506">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465</w:t>
                  </w:r>
                </w:p>
              </w:tc>
            </w:tr>
            <w:tr w14:paraId="4AEA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1D1B3F5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62AB9BD9">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3</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0FE44AD2">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杜集区司法局石台司法所</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55277B20">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354</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4FB33647">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-211</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5FF5B00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职工5人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5007AD39">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行政办公</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3AE87D5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66C5478">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375CBA20">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456</w:t>
                  </w:r>
                </w:p>
              </w:tc>
            </w:tr>
            <w:tr w14:paraId="641F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4843BAE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0C18B442">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4</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4319CC95">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工人新村</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43ABF88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290</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04C56ABD">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-273</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023B17D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586户，1240人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3604F78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住户</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4868F9A9">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06A8368">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684ECA93">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 xml:space="preserve">405 </w:t>
                  </w:r>
                </w:p>
              </w:tc>
            </w:tr>
            <w:tr w14:paraId="344B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5C2214D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6FE59BEE">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5</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4927B0F7">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杜集区石台派出所</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4417365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327</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013466B9">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-135</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7199780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职工12人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2DFB010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行政办公</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77CC117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B4391E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79E69696">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 xml:space="preserve">415 </w:t>
                  </w:r>
                </w:p>
              </w:tc>
            </w:tr>
            <w:tr w14:paraId="33A3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24BF00A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5A0D23F0">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6</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2AE9605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紫金城</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0AFAD9A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0</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5496AB08">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-409</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3D0A6E0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839</w:t>
                  </w:r>
                  <w:r>
                    <w:rPr>
                      <w:rFonts w:ascii="Times New Roman" w:hAnsi="Times New Roman"/>
                      <w:sz w:val="21"/>
                      <w:szCs w:val="21"/>
                    </w:rPr>
                    <w:t>户，1</w:t>
                  </w:r>
                  <w:r>
                    <w:rPr>
                      <w:rFonts w:hint="eastAsia" w:ascii="Times New Roman" w:hAnsi="Times New Roman"/>
                      <w:sz w:val="21"/>
                      <w:szCs w:val="21"/>
                    </w:rPr>
                    <w:t>960</w:t>
                  </w:r>
                  <w:r>
                    <w:rPr>
                      <w:rFonts w:ascii="Times New Roman" w:hAnsi="Times New Roman"/>
                      <w:sz w:val="21"/>
                      <w:szCs w:val="21"/>
                    </w:rPr>
                    <w:t>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60466E6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住户</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63238D0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AF4BAD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3596A8F9">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409</w:t>
                  </w:r>
                </w:p>
              </w:tc>
            </w:tr>
            <w:tr w14:paraId="4BF3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10D2137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54ACD130">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7</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0B30BC72">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西孙庄</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63315DB3">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0</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6A852D3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352</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14536A1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158户，530人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00C0E27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住户</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5D90E701">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866A96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N</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75DBB133">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352</w:t>
                  </w:r>
                </w:p>
              </w:tc>
            </w:tr>
            <w:tr w14:paraId="7CCF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1292C65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2EB7D54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8</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342EB38B">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淮北市朔里高级职业技术中学</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3E7C91D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-400</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72A2667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326</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6205D6E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教职工54人，学生800人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2BBB9DC2">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学校</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1129AB70">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088613D">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NW</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6C5AC050">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470</w:t>
                  </w:r>
                </w:p>
              </w:tc>
            </w:tr>
            <w:tr w14:paraId="49BB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0206DF9F">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3986526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9</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11471BE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石台实验学校</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29F13FB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394</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2D86475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-278</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7B5D9ED0">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学生1800多人，教职工131人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66FD1126">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学校</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5FAF36E3">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89C6ECD">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1183E8D1">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418</w:t>
                  </w:r>
                </w:p>
              </w:tc>
            </w:tr>
            <w:tr w14:paraId="15C1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tcBorders>
                    <w:left w:val="single" w:color="auto" w:sz="4" w:space="0"/>
                    <w:right w:val="single" w:color="auto" w:sz="4" w:space="0"/>
                  </w:tcBorders>
                  <w:noWrap w:val="0"/>
                  <w:vAlign w:val="center"/>
                </w:tcPr>
                <w:p w14:paraId="26CC76DD">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p>
              </w:tc>
              <w:tc>
                <w:tcPr>
                  <w:tcW w:w="267" w:type="pct"/>
                  <w:tcBorders>
                    <w:top w:val="single" w:color="auto" w:sz="4" w:space="0"/>
                    <w:left w:val="single" w:color="auto" w:sz="4" w:space="0"/>
                    <w:bottom w:val="single" w:color="auto" w:sz="4" w:space="0"/>
                    <w:right w:val="single" w:color="auto" w:sz="4" w:space="0"/>
                  </w:tcBorders>
                  <w:noWrap w:val="0"/>
                  <w:vAlign w:val="center"/>
                </w:tcPr>
                <w:p w14:paraId="2C0B288C">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10</w:t>
                  </w:r>
                </w:p>
              </w:tc>
              <w:tc>
                <w:tcPr>
                  <w:tcW w:w="771" w:type="pct"/>
                  <w:tcBorders>
                    <w:top w:val="single" w:color="auto" w:sz="4" w:space="0"/>
                    <w:left w:val="single" w:color="auto" w:sz="4" w:space="0"/>
                    <w:bottom w:val="single" w:color="auto" w:sz="4" w:space="0"/>
                    <w:right w:val="single" w:color="auto" w:sz="4" w:space="0"/>
                  </w:tcBorders>
                  <w:noWrap w:val="0"/>
                  <w:vAlign w:val="center"/>
                </w:tcPr>
                <w:p w14:paraId="59325175">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rPr>
                  </w:pPr>
                  <w:r>
                    <w:rPr>
                      <w:rFonts w:hint="eastAsia"/>
                      <w:sz w:val="21"/>
                      <w:szCs w:val="21"/>
                    </w:rPr>
                    <w:t>程台村</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686EAD80">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525</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76B9F99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-221</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6826AFA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1421</w:t>
                  </w:r>
                  <w:r>
                    <w:rPr>
                      <w:rFonts w:ascii="Times New Roman" w:hAnsi="Times New Roman"/>
                      <w:sz w:val="21"/>
                      <w:szCs w:val="21"/>
                    </w:rPr>
                    <w:t>户，</w:t>
                  </w:r>
                  <w:r>
                    <w:rPr>
                      <w:rFonts w:hint="eastAsia" w:ascii="Times New Roman" w:hAnsi="Times New Roman"/>
                      <w:sz w:val="21"/>
                      <w:szCs w:val="21"/>
                    </w:rPr>
                    <w:t>2680</w:t>
                  </w:r>
                  <w:r>
                    <w:rPr>
                      <w:rFonts w:ascii="Times New Roman" w:hAnsi="Times New Roman"/>
                      <w:sz w:val="21"/>
                      <w:szCs w:val="21"/>
                    </w:rPr>
                    <w:t>人</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5FF05F2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kern w:val="2"/>
                      <w:sz w:val="21"/>
                      <w:szCs w:val="21"/>
                      <w:lang w:bidi="ar"/>
                    </w:rPr>
                  </w:pPr>
                  <w:r>
                    <w:rPr>
                      <w:rFonts w:hint="eastAsia" w:ascii="Times New Roman" w:hAnsi="Times New Roman"/>
                      <w:kern w:val="2"/>
                      <w:sz w:val="21"/>
                      <w:szCs w:val="21"/>
                      <w:lang w:bidi="ar"/>
                    </w:rPr>
                    <w:t>住户</w:t>
                  </w:r>
                </w:p>
              </w:tc>
              <w:tc>
                <w:tcPr>
                  <w:tcW w:w="550" w:type="pct"/>
                  <w:tcBorders>
                    <w:top w:val="single" w:color="auto" w:sz="4" w:space="0"/>
                    <w:left w:val="single" w:color="auto" w:sz="4" w:space="0"/>
                    <w:bottom w:val="single" w:color="auto" w:sz="4" w:space="0"/>
                    <w:right w:val="single" w:color="auto" w:sz="4" w:space="0"/>
                  </w:tcBorders>
                  <w:noWrap w:val="0"/>
                  <w:vAlign w:val="center"/>
                </w:tcPr>
                <w:p w14:paraId="1816C8FA">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imes New Roman" w:hAnsi="Times New Roman"/>
                      <w:kern w:val="2"/>
                      <w:sz w:val="21"/>
                      <w:szCs w:val="21"/>
                      <w:lang w:bidi="ar"/>
                    </w:rPr>
                  </w:pPr>
                  <w:r>
                    <w:rPr>
                      <w:rFonts w:ascii="Times New Roman" w:hAnsi="Times New Roman"/>
                      <w:kern w:val="2"/>
                      <w:sz w:val="21"/>
                      <w:szCs w:val="21"/>
                      <w:lang w:bidi="ar"/>
                    </w:rPr>
                    <w:t>二类区</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241F9B7">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sz w:val="21"/>
                      <w:szCs w:val="21"/>
                    </w:rPr>
                  </w:pPr>
                  <w:r>
                    <w:rPr>
                      <w:rFonts w:hint="eastAsia" w:ascii="Times New Roman" w:hAnsi="Times New Roman"/>
                      <w:sz w:val="21"/>
                      <w:szCs w:val="21"/>
                    </w:rPr>
                    <w:t>SE</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5137F4D9">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sz w:val="21"/>
                      <w:szCs w:val="21"/>
                      <w:lang w:bidi="ar"/>
                    </w:rPr>
                  </w:pPr>
                  <w:r>
                    <w:rPr>
                      <w:rFonts w:hint="eastAsia"/>
                      <w:sz w:val="21"/>
                      <w:szCs w:val="21"/>
                      <w:lang w:bidi="ar"/>
                    </w:rPr>
                    <w:t>488</w:t>
                  </w:r>
                </w:p>
              </w:tc>
            </w:tr>
          </w:tbl>
          <w:p w14:paraId="77F83A4C">
            <w:pPr>
              <w:adjustRightInd w:val="0"/>
              <w:snapToGrid w:val="0"/>
              <w:spacing w:line="360" w:lineRule="auto"/>
              <w:rPr>
                <w:rFonts w:hint="eastAsia"/>
                <w:sz w:val="18"/>
                <w:szCs w:val="18"/>
              </w:rPr>
            </w:pPr>
            <w:r>
              <w:rPr>
                <w:rFonts w:hint="eastAsia"/>
                <w:sz w:val="18"/>
                <w:szCs w:val="18"/>
              </w:rPr>
              <w:t>注：坐标原点为116°54′41.981″，34°2′37.061″</w:t>
            </w:r>
          </w:p>
          <w:p w14:paraId="4D6B9F92">
            <w:pPr>
              <w:adjustRightInd w:val="0"/>
              <w:snapToGrid w:val="0"/>
              <w:spacing w:line="360" w:lineRule="auto"/>
              <w:ind w:firstLine="480" w:firstLineChars="200"/>
              <w:rPr>
                <w:sz w:val="24"/>
              </w:rPr>
            </w:pPr>
            <w:r>
              <w:rPr>
                <w:rFonts w:hint="eastAsia"/>
                <w:sz w:val="24"/>
              </w:rPr>
              <w:t>2、声环境：厂界外50m范围内环境保护目标见下表和附图4；</w:t>
            </w:r>
          </w:p>
          <w:bookmarkEnd w:id="3"/>
          <w:p w14:paraId="0FCA1B55">
            <w:pPr>
              <w:widowControl/>
              <w:numPr>
                <w:ilvl w:val="0"/>
                <w:numId w:val="2"/>
              </w:numPr>
              <w:jc w:val="center"/>
              <w:rPr>
                <w:b/>
                <w:kern w:val="0"/>
                <w:szCs w:val="21"/>
              </w:rPr>
            </w:pPr>
            <w:bookmarkStart w:id="4" w:name="_Hlk185109297"/>
            <w:r>
              <w:rPr>
                <w:b/>
                <w:kern w:val="0"/>
                <w:szCs w:val="21"/>
              </w:rPr>
              <w:t>主要环境保护目标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552"/>
              <w:gridCol w:w="936"/>
              <w:gridCol w:w="565"/>
              <w:gridCol w:w="628"/>
              <w:gridCol w:w="1080"/>
              <w:gridCol w:w="778"/>
              <w:gridCol w:w="962"/>
              <w:gridCol w:w="1095"/>
              <w:gridCol w:w="932"/>
            </w:tblGrid>
            <w:tr w14:paraId="7673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vMerge w:val="restart"/>
                  <w:tcBorders>
                    <w:top w:val="single" w:color="auto" w:sz="4" w:space="0"/>
                    <w:left w:val="single" w:color="auto" w:sz="4" w:space="0"/>
                    <w:bottom w:val="single" w:color="auto" w:sz="4" w:space="0"/>
                    <w:right w:val="single" w:color="auto" w:sz="4" w:space="0"/>
                  </w:tcBorders>
                  <w:noWrap w:val="0"/>
                  <w:vAlign w:val="center"/>
                </w:tcPr>
                <w:p w14:paraId="0529AEA2">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环境要素</w:t>
                  </w:r>
                </w:p>
              </w:tc>
              <w:tc>
                <w:tcPr>
                  <w:tcW w:w="332" w:type="pct"/>
                  <w:vMerge w:val="restart"/>
                  <w:tcBorders>
                    <w:top w:val="single" w:color="auto" w:sz="4" w:space="0"/>
                    <w:left w:val="single" w:color="auto" w:sz="4" w:space="0"/>
                    <w:right w:val="single" w:color="auto" w:sz="4" w:space="0"/>
                  </w:tcBorders>
                  <w:noWrap w:val="0"/>
                  <w:vAlign w:val="center"/>
                </w:tcPr>
                <w:p w14:paraId="78D3B05C">
                  <w:pPr>
                    <w:pStyle w:val="21"/>
                    <w:widowControl w:val="0"/>
                    <w:spacing w:before="0" w:beforeAutospacing="0" w:after="0" w:afterAutospacing="0"/>
                    <w:jc w:val="center"/>
                    <w:rPr>
                      <w:rFonts w:ascii="Times New Roman" w:hAnsi="Times New Roman"/>
                      <w:kern w:val="2"/>
                      <w:sz w:val="21"/>
                      <w:szCs w:val="21"/>
                      <w:lang w:bidi="ar"/>
                    </w:rPr>
                  </w:pPr>
                  <w:r>
                    <w:rPr>
                      <w:rFonts w:ascii="Times New Roman" w:hAnsi="Times New Roman"/>
                      <w:kern w:val="2"/>
                      <w:sz w:val="21"/>
                      <w:szCs w:val="21"/>
                      <w:lang w:bidi="ar"/>
                    </w:rPr>
                    <w:t>序号</w:t>
                  </w:r>
                </w:p>
              </w:tc>
              <w:tc>
                <w:tcPr>
                  <w:tcW w:w="563" w:type="pct"/>
                  <w:vMerge w:val="restart"/>
                  <w:tcBorders>
                    <w:top w:val="single" w:color="auto" w:sz="4" w:space="0"/>
                    <w:left w:val="single" w:color="auto" w:sz="4" w:space="0"/>
                    <w:bottom w:val="single" w:color="auto" w:sz="4" w:space="0"/>
                    <w:right w:val="single" w:color="auto" w:sz="4" w:space="0"/>
                  </w:tcBorders>
                  <w:noWrap w:val="0"/>
                  <w:vAlign w:val="center"/>
                </w:tcPr>
                <w:p w14:paraId="347B7F22">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名称</w:t>
                  </w:r>
                </w:p>
              </w:tc>
              <w:tc>
                <w:tcPr>
                  <w:tcW w:w="718" w:type="pct"/>
                  <w:gridSpan w:val="2"/>
                  <w:tcBorders>
                    <w:top w:val="single" w:color="auto" w:sz="4" w:space="0"/>
                    <w:left w:val="single" w:color="auto" w:sz="4" w:space="0"/>
                    <w:bottom w:val="single" w:color="auto" w:sz="4" w:space="0"/>
                    <w:right w:val="single" w:color="auto" w:sz="4" w:space="0"/>
                  </w:tcBorders>
                  <w:noWrap w:val="0"/>
                  <w:vAlign w:val="center"/>
                </w:tcPr>
                <w:p w14:paraId="3B129333">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坐标/m</w:t>
                  </w: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14:paraId="3ADD2C02">
                  <w:pPr>
                    <w:pStyle w:val="21"/>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规模</w:t>
                  </w:r>
                </w:p>
              </w:tc>
              <w:tc>
                <w:tcPr>
                  <w:tcW w:w="468" w:type="pct"/>
                  <w:vMerge w:val="restart"/>
                  <w:tcBorders>
                    <w:top w:val="single" w:color="auto" w:sz="4" w:space="0"/>
                    <w:left w:val="single" w:color="auto" w:sz="4" w:space="0"/>
                    <w:bottom w:val="single" w:color="auto" w:sz="4" w:space="0"/>
                    <w:right w:val="single" w:color="auto" w:sz="4" w:space="0"/>
                  </w:tcBorders>
                  <w:noWrap w:val="0"/>
                  <w:vAlign w:val="center"/>
                </w:tcPr>
                <w:p w14:paraId="6C18A2FE">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保护内容</w:t>
                  </w:r>
                </w:p>
              </w:tc>
              <w:tc>
                <w:tcPr>
                  <w:tcW w:w="579" w:type="pct"/>
                  <w:vMerge w:val="restart"/>
                  <w:tcBorders>
                    <w:top w:val="single" w:color="auto" w:sz="4" w:space="0"/>
                    <w:left w:val="single" w:color="auto" w:sz="4" w:space="0"/>
                    <w:bottom w:val="single" w:color="auto" w:sz="4" w:space="0"/>
                    <w:right w:val="single" w:color="auto" w:sz="4" w:space="0"/>
                  </w:tcBorders>
                  <w:noWrap w:val="0"/>
                  <w:vAlign w:val="center"/>
                </w:tcPr>
                <w:p w14:paraId="670F1D7D">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环境功能区</w:t>
                  </w:r>
                </w:p>
              </w:tc>
              <w:tc>
                <w:tcPr>
                  <w:tcW w:w="659" w:type="pct"/>
                  <w:vMerge w:val="restart"/>
                  <w:tcBorders>
                    <w:top w:val="single" w:color="auto" w:sz="4" w:space="0"/>
                    <w:left w:val="single" w:color="auto" w:sz="4" w:space="0"/>
                    <w:bottom w:val="single" w:color="auto" w:sz="4" w:space="0"/>
                    <w:right w:val="single" w:color="auto" w:sz="4" w:space="0"/>
                  </w:tcBorders>
                  <w:noWrap w:val="0"/>
                  <w:vAlign w:val="center"/>
                </w:tcPr>
                <w:p w14:paraId="398F9273">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相对厂址方位</w:t>
                  </w:r>
                </w:p>
              </w:tc>
              <w:tc>
                <w:tcPr>
                  <w:tcW w:w="561" w:type="pct"/>
                  <w:vMerge w:val="restart"/>
                  <w:tcBorders>
                    <w:top w:val="single" w:color="auto" w:sz="4" w:space="0"/>
                    <w:left w:val="single" w:color="auto" w:sz="4" w:space="0"/>
                    <w:bottom w:val="single" w:color="auto" w:sz="4" w:space="0"/>
                    <w:right w:val="single" w:color="auto" w:sz="4" w:space="0"/>
                  </w:tcBorders>
                  <w:noWrap w:val="0"/>
                  <w:vAlign w:val="center"/>
                </w:tcPr>
                <w:p w14:paraId="12CEEF5E">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距厂界距离m</w:t>
                  </w:r>
                </w:p>
              </w:tc>
            </w:tr>
            <w:tr w14:paraId="0D5E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14:paraId="4A1049B7">
                  <w:pPr>
                    <w:jc w:val="center"/>
                  </w:pPr>
                </w:p>
              </w:tc>
              <w:tc>
                <w:tcPr>
                  <w:tcW w:w="332" w:type="pct"/>
                  <w:vMerge w:val="continue"/>
                  <w:tcBorders>
                    <w:left w:val="single" w:color="auto" w:sz="4" w:space="0"/>
                    <w:bottom w:val="single" w:color="auto" w:sz="4" w:space="0"/>
                    <w:right w:val="single" w:color="auto" w:sz="4" w:space="0"/>
                  </w:tcBorders>
                  <w:noWrap w:val="0"/>
                  <w:vAlign w:val="center"/>
                </w:tcPr>
                <w:p w14:paraId="0ED2D858">
                  <w:pPr>
                    <w:jc w:val="center"/>
                  </w:pPr>
                </w:p>
              </w:tc>
              <w:tc>
                <w:tcPr>
                  <w:tcW w:w="563" w:type="pct"/>
                  <w:vMerge w:val="continue"/>
                  <w:tcBorders>
                    <w:top w:val="single" w:color="auto" w:sz="4" w:space="0"/>
                    <w:left w:val="single" w:color="auto" w:sz="4" w:space="0"/>
                    <w:bottom w:val="single" w:color="auto" w:sz="4" w:space="0"/>
                    <w:right w:val="single" w:color="auto" w:sz="4" w:space="0"/>
                  </w:tcBorders>
                  <w:noWrap w:val="0"/>
                  <w:vAlign w:val="center"/>
                </w:tcPr>
                <w:p w14:paraId="66DE02C7">
                  <w:pPr>
                    <w:jc w:val="center"/>
                  </w:pPr>
                </w:p>
              </w:tc>
              <w:tc>
                <w:tcPr>
                  <w:tcW w:w="340" w:type="pct"/>
                  <w:tcBorders>
                    <w:top w:val="single" w:color="auto" w:sz="4" w:space="0"/>
                    <w:left w:val="single" w:color="auto" w:sz="4" w:space="0"/>
                    <w:bottom w:val="single" w:color="auto" w:sz="4" w:space="0"/>
                    <w:right w:val="single" w:color="auto" w:sz="4" w:space="0"/>
                  </w:tcBorders>
                  <w:noWrap w:val="0"/>
                  <w:vAlign w:val="center"/>
                </w:tcPr>
                <w:p w14:paraId="229CBBB4">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X</w:t>
                  </w:r>
                </w:p>
              </w:tc>
              <w:tc>
                <w:tcPr>
                  <w:tcW w:w="378" w:type="pct"/>
                  <w:tcBorders>
                    <w:top w:val="single" w:color="auto" w:sz="4" w:space="0"/>
                    <w:left w:val="single" w:color="auto" w:sz="4" w:space="0"/>
                    <w:bottom w:val="single" w:color="auto" w:sz="4" w:space="0"/>
                    <w:right w:val="single" w:color="auto" w:sz="4" w:space="0"/>
                  </w:tcBorders>
                  <w:noWrap w:val="0"/>
                  <w:vAlign w:val="center"/>
                </w:tcPr>
                <w:p w14:paraId="6C533C2F">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Y</w:t>
                  </w: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14:paraId="40D55244">
                  <w:pPr>
                    <w:pStyle w:val="21"/>
                    <w:widowControl w:val="0"/>
                    <w:spacing w:before="0" w:beforeAutospacing="0" w:after="0" w:afterAutospacing="0"/>
                    <w:jc w:val="center"/>
                    <w:rPr>
                      <w:rFonts w:ascii="Times New Roman" w:hAnsi="Times New Roman"/>
                      <w:sz w:val="21"/>
                      <w:szCs w:val="21"/>
                    </w:rPr>
                  </w:pPr>
                </w:p>
              </w:tc>
              <w:tc>
                <w:tcPr>
                  <w:tcW w:w="468" w:type="pct"/>
                  <w:vMerge w:val="continue"/>
                  <w:tcBorders>
                    <w:top w:val="single" w:color="auto" w:sz="4" w:space="0"/>
                    <w:left w:val="single" w:color="auto" w:sz="4" w:space="0"/>
                    <w:bottom w:val="single" w:color="auto" w:sz="4" w:space="0"/>
                    <w:right w:val="single" w:color="auto" w:sz="4" w:space="0"/>
                  </w:tcBorders>
                  <w:noWrap w:val="0"/>
                  <w:vAlign w:val="center"/>
                </w:tcPr>
                <w:p w14:paraId="2133FA4E">
                  <w:pPr>
                    <w:jc w:val="center"/>
                  </w:pPr>
                </w:p>
              </w:tc>
              <w:tc>
                <w:tcPr>
                  <w:tcW w:w="579" w:type="pct"/>
                  <w:vMerge w:val="continue"/>
                  <w:tcBorders>
                    <w:top w:val="single" w:color="auto" w:sz="4" w:space="0"/>
                    <w:left w:val="single" w:color="auto" w:sz="4" w:space="0"/>
                    <w:bottom w:val="single" w:color="auto" w:sz="4" w:space="0"/>
                    <w:right w:val="single" w:color="auto" w:sz="4" w:space="0"/>
                  </w:tcBorders>
                  <w:noWrap w:val="0"/>
                  <w:vAlign w:val="center"/>
                </w:tcPr>
                <w:p w14:paraId="5E53CD87">
                  <w:pPr>
                    <w:jc w:val="center"/>
                  </w:pPr>
                </w:p>
              </w:tc>
              <w:tc>
                <w:tcPr>
                  <w:tcW w:w="659" w:type="pct"/>
                  <w:vMerge w:val="continue"/>
                  <w:tcBorders>
                    <w:top w:val="single" w:color="auto" w:sz="4" w:space="0"/>
                    <w:left w:val="single" w:color="auto" w:sz="4" w:space="0"/>
                    <w:bottom w:val="single" w:color="auto" w:sz="4" w:space="0"/>
                    <w:right w:val="single" w:color="auto" w:sz="4" w:space="0"/>
                  </w:tcBorders>
                  <w:noWrap w:val="0"/>
                  <w:vAlign w:val="center"/>
                </w:tcPr>
                <w:p w14:paraId="14BAED67">
                  <w:pPr>
                    <w:jc w:val="center"/>
                  </w:pPr>
                </w:p>
              </w:tc>
              <w:tc>
                <w:tcPr>
                  <w:tcW w:w="561" w:type="pct"/>
                  <w:vMerge w:val="continue"/>
                  <w:tcBorders>
                    <w:top w:val="single" w:color="auto" w:sz="4" w:space="0"/>
                    <w:left w:val="single" w:color="auto" w:sz="4" w:space="0"/>
                    <w:bottom w:val="single" w:color="auto" w:sz="4" w:space="0"/>
                    <w:right w:val="single" w:color="auto" w:sz="4" w:space="0"/>
                  </w:tcBorders>
                  <w:noWrap w:val="0"/>
                  <w:vAlign w:val="center"/>
                </w:tcPr>
                <w:p w14:paraId="77DD2414">
                  <w:pPr>
                    <w:jc w:val="center"/>
                  </w:pPr>
                </w:p>
              </w:tc>
            </w:tr>
            <w:tr w14:paraId="2DEB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op w:val="single" w:color="auto" w:sz="4" w:space="0"/>
                    <w:left w:val="single" w:color="auto" w:sz="4" w:space="0"/>
                    <w:right w:val="single" w:color="auto" w:sz="4" w:space="0"/>
                  </w:tcBorders>
                  <w:noWrap w:val="0"/>
                  <w:vAlign w:val="center"/>
                </w:tcPr>
                <w:p w14:paraId="60C4E279">
                  <w:pPr>
                    <w:pStyle w:val="21"/>
                    <w:widowControl w:val="0"/>
                    <w:spacing w:before="0" w:beforeAutospacing="0" w:after="0" w:afterAutospacing="0"/>
                    <w:jc w:val="center"/>
                    <w:rPr>
                      <w:rFonts w:ascii="Times New Roman" w:hAnsi="Times New Roman"/>
                      <w:sz w:val="21"/>
                      <w:szCs w:val="21"/>
                    </w:rPr>
                  </w:pPr>
                  <w:r>
                    <w:rPr>
                      <w:rFonts w:hint="eastAsia" w:ascii="Times New Roman" w:hAnsi="Times New Roman"/>
                      <w:kern w:val="2"/>
                      <w:sz w:val="21"/>
                      <w:szCs w:val="21"/>
                      <w:lang w:bidi="ar"/>
                    </w:rPr>
                    <w:t>声</w:t>
                  </w:r>
                  <w:r>
                    <w:rPr>
                      <w:rFonts w:ascii="Times New Roman" w:hAnsi="Times New Roman"/>
                      <w:kern w:val="2"/>
                      <w:sz w:val="21"/>
                      <w:szCs w:val="21"/>
                      <w:lang w:bidi="ar"/>
                    </w:rPr>
                    <w:t>环境</w:t>
                  </w:r>
                </w:p>
              </w:tc>
              <w:tc>
                <w:tcPr>
                  <w:tcW w:w="332" w:type="pct"/>
                  <w:tcBorders>
                    <w:top w:val="single" w:color="auto" w:sz="4" w:space="0"/>
                    <w:left w:val="single" w:color="auto" w:sz="4" w:space="0"/>
                    <w:bottom w:val="single" w:color="auto" w:sz="4" w:space="0"/>
                    <w:right w:val="single" w:color="auto" w:sz="4" w:space="0"/>
                  </w:tcBorders>
                  <w:noWrap w:val="0"/>
                  <w:vAlign w:val="center"/>
                </w:tcPr>
                <w:p w14:paraId="576E78A9">
                  <w:pPr>
                    <w:jc w:val="center"/>
                    <w:rPr>
                      <w:rFonts w:hint="eastAsia"/>
                      <w:szCs w:val="21"/>
                    </w:rPr>
                  </w:pPr>
                  <w:r>
                    <w:rPr>
                      <w:rFonts w:hint="eastAsia"/>
                      <w:szCs w:val="21"/>
                    </w:rPr>
                    <w:t>1</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0D3EF12E">
                  <w:pPr>
                    <w:jc w:val="center"/>
                    <w:rPr>
                      <w:rFonts w:hint="eastAsia"/>
                      <w:szCs w:val="21"/>
                    </w:rPr>
                  </w:pPr>
                  <w:r>
                    <w:rPr>
                      <w:rFonts w:hint="eastAsia"/>
                      <w:szCs w:val="21"/>
                    </w:rPr>
                    <w:t>和谐新家园</w:t>
                  </w:r>
                </w:p>
              </w:tc>
              <w:tc>
                <w:tcPr>
                  <w:tcW w:w="340" w:type="pct"/>
                  <w:tcBorders>
                    <w:top w:val="single" w:color="auto" w:sz="4" w:space="0"/>
                    <w:left w:val="single" w:color="auto" w:sz="4" w:space="0"/>
                    <w:bottom w:val="single" w:color="auto" w:sz="4" w:space="0"/>
                    <w:right w:val="single" w:color="auto" w:sz="4" w:space="0"/>
                  </w:tcBorders>
                  <w:noWrap w:val="0"/>
                  <w:vAlign w:val="center"/>
                </w:tcPr>
                <w:p w14:paraId="5503FC60">
                  <w:pPr>
                    <w:pStyle w:val="21"/>
                    <w:widowControl w:val="0"/>
                    <w:spacing w:before="0" w:beforeAutospacing="0" w:after="0" w:afterAutospacing="0"/>
                    <w:jc w:val="center"/>
                    <w:rPr>
                      <w:rFonts w:hint="eastAsia" w:ascii="Times New Roman" w:hAnsi="Times New Roman"/>
                      <w:sz w:val="21"/>
                      <w:szCs w:val="21"/>
                    </w:rPr>
                  </w:pPr>
                  <w:r>
                    <w:rPr>
                      <w:rFonts w:hint="eastAsia" w:ascii="Times New Roman" w:hAnsi="Times New Roman"/>
                      <w:sz w:val="21"/>
                      <w:szCs w:val="21"/>
                    </w:rPr>
                    <w:t>-39</w:t>
                  </w:r>
                </w:p>
              </w:tc>
              <w:tc>
                <w:tcPr>
                  <w:tcW w:w="378" w:type="pct"/>
                  <w:tcBorders>
                    <w:top w:val="single" w:color="auto" w:sz="4" w:space="0"/>
                    <w:left w:val="single" w:color="auto" w:sz="4" w:space="0"/>
                    <w:bottom w:val="single" w:color="auto" w:sz="4" w:space="0"/>
                    <w:right w:val="single" w:color="auto" w:sz="4" w:space="0"/>
                  </w:tcBorders>
                  <w:noWrap w:val="0"/>
                  <w:vAlign w:val="center"/>
                </w:tcPr>
                <w:p w14:paraId="2A86AB93">
                  <w:pPr>
                    <w:pStyle w:val="21"/>
                    <w:widowControl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0</w:t>
                  </w:r>
                </w:p>
              </w:tc>
              <w:tc>
                <w:tcPr>
                  <w:tcW w:w="650" w:type="pct"/>
                  <w:tcBorders>
                    <w:top w:val="single" w:color="auto" w:sz="4" w:space="0"/>
                    <w:left w:val="single" w:color="auto" w:sz="4" w:space="0"/>
                    <w:bottom w:val="single" w:color="auto" w:sz="4" w:space="0"/>
                    <w:right w:val="single" w:color="auto" w:sz="4" w:space="0"/>
                  </w:tcBorders>
                  <w:noWrap w:val="0"/>
                  <w:vAlign w:val="center"/>
                </w:tcPr>
                <w:p w14:paraId="3D995F23">
                  <w:pPr>
                    <w:pStyle w:val="21"/>
                    <w:widowControl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765</w:t>
                  </w:r>
                  <w:r>
                    <w:rPr>
                      <w:rFonts w:ascii="Times New Roman" w:hAnsi="Times New Roman"/>
                      <w:sz w:val="21"/>
                      <w:szCs w:val="21"/>
                    </w:rPr>
                    <w:t>户，1</w:t>
                  </w:r>
                  <w:r>
                    <w:rPr>
                      <w:rFonts w:hint="eastAsia" w:ascii="Times New Roman" w:hAnsi="Times New Roman"/>
                      <w:sz w:val="21"/>
                      <w:szCs w:val="21"/>
                    </w:rPr>
                    <w:t>2</w:t>
                  </w:r>
                  <w:r>
                    <w:rPr>
                      <w:rFonts w:ascii="Times New Roman" w:hAnsi="Times New Roman"/>
                      <w:sz w:val="21"/>
                      <w:szCs w:val="21"/>
                    </w:rPr>
                    <w:t>4</w:t>
                  </w:r>
                  <w:r>
                    <w:rPr>
                      <w:rFonts w:hint="eastAsia" w:ascii="Times New Roman" w:hAnsi="Times New Roman"/>
                      <w:sz w:val="21"/>
                      <w:szCs w:val="21"/>
                    </w:rPr>
                    <w:t>0</w:t>
                  </w:r>
                  <w:r>
                    <w:rPr>
                      <w:rFonts w:ascii="Times New Roman" w:hAnsi="Times New Roman"/>
                      <w:sz w:val="21"/>
                      <w:szCs w:val="21"/>
                    </w:rPr>
                    <w:t>人</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6ACDED81">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住户</w:t>
                  </w:r>
                </w:p>
              </w:tc>
              <w:tc>
                <w:tcPr>
                  <w:tcW w:w="579" w:type="pct"/>
                  <w:tcBorders>
                    <w:top w:val="single" w:color="auto" w:sz="4" w:space="0"/>
                    <w:left w:val="single" w:color="auto" w:sz="4" w:space="0"/>
                    <w:bottom w:val="single" w:color="auto" w:sz="4" w:space="0"/>
                    <w:right w:val="single" w:color="auto" w:sz="4" w:space="0"/>
                  </w:tcBorders>
                  <w:noWrap w:val="0"/>
                  <w:vAlign w:val="center"/>
                </w:tcPr>
                <w:p w14:paraId="18ACF132">
                  <w:pPr>
                    <w:pStyle w:val="21"/>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lang w:bidi="ar"/>
                    </w:rPr>
                    <w:t>二类区</w:t>
                  </w:r>
                </w:p>
              </w:tc>
              <w:tc>
                <w:tcPr>
                  <w:tcW w:w="659" w:type="pct"/>
                  <w:tcBorders>
                    <w:top w:val="single" w:color="auto" w:sz="4" w:space="0"/>
                    <w:left w:val="single" w:color="auto" w:sz="4" w:space="0"/>
                    <w:bottom w:val="single" w:color="auto" w:sz="4" w:space="0"/>
                    <w:right w:val="single" w:color="auto" w:sz="4" w:space="0"/>
                  </w:tcBorders>
                  <w:noWrap w:val="0"/>
                  <w:vAlign w:val="center"/>
                </w:tcPr>
                <w:p w14:paraId="47BF72A4">
                  <w:pPr>
                    <w:pStyle w:val="21"/>
                    <w:widowControl w:val="0"/>
                    <w:spacing w:before="0" w:beforeAutospacing="0" w:after="0" w:afterAutospacing="0"/>
                    <w:jc w:val="center"/>
                    <w:rPr>
                      <w:rFonts w:hint="eastAsia" w:ascii="Times New Roman" w:hAnsi="Times New Roman"/>
                      <w:sz w:val="21"/>
                      <w:szCs w:val="21"/>
                    </w:rPr>
                  </w:pPr>
                  <w:r>
                    <w:rPr>
                      <w:rFonts w:hint="eastAsia" w:ascii="Times New Roman" w:hAnsi="Times New Roman"/>
                      <w:sz w:val="21"/>
                      <w:szCs w:val="21"/>
                    </w:rPr>
                    <w:t>W</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227DB022">
                  <w:pPr>
                    <w:widowControl/>
                    <w:spacing w:line="360" w:lineRule="exact"/>
                    <w:jc w:val="center"/>
                  </w:pPr>
                  <w:r>
                    <w:rPr>
                      <w:rFonts w:hint="eastAsia"/>
                    </w:rPr>
                    <w:t>39</w:t>
                  </w:r>
                </w:p>
              </w:tc>
            </w:tr>
          </w:tbl>
          <w:p w14:paraId="3C59F0D5">
            <w:pPr>
              <w:adjustRightInd w:val="0"/>
              <w:snapToGrid w:val="0"/>
              <w:spacing w:line="360" w:lineRule="auto"/>
              <w:rPr>
                <w:rFonts w:hint="eastAsia"/>
                <w:sz w:val="18"/>
                <w:szCs w:val="18"/>
              </w:rPr>
            </w:pPr>
            <w:r>
              <w:rPr>
                <w:rFonts w:hint="eastAsia"/>
                <w:sz w:val="18"/>
                <w:szCs w:val="18"/>
              </w:rPr>
              <w:t>注：坐标原点为116°54′41.981″，34°2′37.061″</w:t>
            </w:r>
          </w:p>
          <w:p w14:paraId="69BF5CB9">
            <w:pPr>
              <w:adjustRightInd w:val="0"/>
              <w:snapToGrid w:val="0"/>
              <w:spacing w:line="360" w:lineRule="auto"/>
              <w:ind w:firstLine="480" w:firstLineChars="200"/>
              <w:rPr>
                <w:rFonts w:ascii="宋体" w:hAnsi="宋体" w:cs="宋体"/>
                <w:kern w:val="0"/>
                <w:szCs w:val="21"/>
              </w:rPr>
            </w:pPr>
            <w:r>
              <w:rPr>
                <w:rFonts w:hint="eastAsia"/>
                <w:sz w:val="24"/>
              </w:rPr>
              <w:t>3、地下水环境：本项目厂界外500m范围内无地下水集中式饮用水水源和热水、矿泉水、温泉等特殊地下水资源。</w:t>
            </w:r>
            <w:bookmarkEnd w:id="4"/>
          </w:p>
        </w:tc>
      </w:tr>
      <w:tr w14:paraId="7159A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49455DA9">
            <w:pPr>
              <w:adjustRightInd w:val="0"/>
              <w:snapToGrid w:val="0"/>
              <w:jc w:val="center"/>
              <w:rPr>
                <w:rFonts w:hint="eastAsia" w:ascii="宋体" w:hAnsi="宋体" w:cs="宋体"/>
                <w:b/>
                <w:bCs/>
                <w:kern w:val="0"/>
                <w:szCs w:val="21"/>
              </w:rPr>
            </w:pPr>
            <w:r>
              <w:rPr>
                <w:rFonts w:hint="eastAsia" w:ascii="宋体" w:hAnsi="宋体" w:cs="宋体"/>
                <w:b/>
                <w:bCs/>
                <w:kern w:val="0"/>
                <w:szCs w:val="21"/>
              </w:rPr>
              <w:t>污染</w:t>
            </w:r>
          </w:p>
          <w:p w14:paraId="51622AB0">
            <w:pPr>
              <w:adjustRightInd w:val="0"/>
              <w:snapToGrid w:val="0"/>
              <w:jc w:val="center"/>
              <w:rPr>
                <w:rFonts w:hint="eastAsia" w:ascii="宋体" w:hAnsi="宋体" w:cs="宋体"/>
                <w:b/>
                <w:bCs/>
                <w:kern w:val="0"/>
                <w:szCs w:val="21"/>
              </w:rPr>
            </w:pPr>
            <w:r>
              <w:rPr>
                <w:rFonts w:hint="eastAsia" w:ascii="宋体" w:hAnsi="宋体" w:cs="宋体"/>
                <w:b/>
                <w:bCs/>
                <w:kern w:val="0"/>
                <w:szCs w:val="21"/>
              </w:rPr>
              <w:t>物排</w:t>
            </w:r>
          </w:p>
          <w:p w14:paraId="1727FDFD">
            <w:pPr>
              <w:adjustRightInd w:val="0"/>
              <w:snapToGrid w:val="0"/>
              <w:jc w:val="center"/>
              <w:rPr>
                <w:rFonts w:hint="eastAsia" w:ascii="宋体" w:hAnsi="宋体" w:cs="宋体"/>
                <w:b/>
                <w:bCs/>
                <w:kern w:val="0"/>
                <w:szCs w:val="21"/>
              </w:rPr>
            </w:pPr>
            <w:r>
              <w:rPr>
                <w:rFonts w:hint="eastAsia" w:ascii="宋体" w:hAnsi="宋体" w:cs="宋体"/>
                <w:b/>
                <w:bCs/>
                <w:kern w:val="0"/>
                <w:szCs w:val="21"/>
              </w:rPr>
              <w:t>放控</w:t>
            </w:r>
          </w:p>
          <w:p w14:paraId="29B84BB9">
            <w:pPr>
              <w:adjustRightInd w:val="0"/>
              <w:snapToGrid w:val="0"/>
              <w:jc w:val="center"/>
              <w:rPr>
                <w:rFonts w:hint="eastAsia" w:ascii="宋体" w:hAnsi="宋体" w:cs="宋体"/>
                <w:b/>
                <w:bCs/>
                <w:kern w:val="0"/>
                <w:szCs w:val="21"/>
              </w:rPr>
            </w:pPr>
            <w:r>
              <w:rPr>
                <w:rFonts w:hint="eastAsia" w:ascii="宋体" w:hAnsi="宋体" w:cs="宋体"/>
                <w:b/>
                <w:bCs/>
                <w:kern w:val="0"/>
                <w:szCs w:val="21"/>
              </w:rPr>
              <w:t>制标</w:t>
            </w:r>
          </w:p>
          <w:p w14:paraId="7B24DCEA">
            <w:pPr>
              <w:adjustRightInd w:val="0"/>
              <w:snapToGrid w:val="0"/>
              <w:jc w:val="center"/>
              <w:rPr>
                <w:rFonts w:ascii="宋体" w:hAnsi="宋体" w:cs="宋体"/>
                <w:b/>
                <w:bCs/>
                <w:kern w:val="0"/>
                <w:szCs w:val="21"/>
              </w:rPr>
            </w:pPr>
            <w:r>
              <w:rPr>
                <w:rFonts w:hint="eastAsia" w:ascii="宋体" w:hAnsi="宋体" w:cs="宋体"/>
                <w:b/>
                <w:bCs/>
                <w:kern w:val="0"/>
                <w:szCs w:val="21"/>
              </w:rPr>
              <w:t>准</w:t>
            </w:r>
          </w:p>
        </w:tc>
        <w:tc>
          <w:tcPr>
            <w:tcW w:w="8190" w:type="dxa"/>
            <w:noWrap w:val="0"/>
            <w:vAlign w:val="center"/>
          </w:tcPr>
          <w:p w14:paraId="2848578D">
            <w:pPr>
              <w:spacing w:line="360" w:lineRule="auto"/>
              <w:ind w:firstLine="482" w:firstLineChars="200"/>
              <w:rPr>
                <w:b/>
                <w:bCs/>
                <w:sz w:val="24"/>
              </w:rPr>
            </w:pPr>
            <w:r>
              <w:rPr>
                <w:rFonts w:hint="eastAsia"/>
                <w:b/>
                <w:bCs/>
                <w:sz w:val="24"/>
                <w:lang w:val="en-US" w:eastAsia="zh-CN"/>
              </w:rPr>
              <w:t>一、</w:t>
            </w:r>
            <w:r>
              <w:rPr>
                <w:b/>
                <w:bCs/>
                <w:sz w:val="24"/>
              </w:rPr>
              <w:t>废水</w:t>
            </w:r>
          </w:p>
          <w:p w14:paraId="7720C0F5">
            <w:pPr>
              <w:spacing w:line="360" w:lineRule="auto"/>
              <w:ind w:firstLine="480" w:firstLineChars="200"/>
              <w:rPr>
                <w:sz w:val="24"/>
              </w:rPr>
            </w:pPr>
            <w:r>
              <w:rPr>
                <w:rFonts w:hint="eastAsia"/>
                <w:sz w:val="24"/>
              </w:rPr>
              <w:t>项目污水预处理后满足淮北市龙湖污水处理厂的接管限值；淮北龙湖污水处理厂的出水排放执行《城镇污水处理厂污染物排放标准》（</w:t>
            </w:r>
            <w:r>
              <w:rPr>
                <w:sz w:val="24"/>
              </w:rPr>
              <w:t>GB18918-2002</w:t>
            </w:r>
            <w:r>
              <w:rPr>
                <w:rFonts w:hint="eastAsia"/>
                <w:sz w:val="24"/>
              </w:rPr>
              <w:t>）一级标准中</w:t>
            </w:r>
            <w:r>
              <w:rPr>
                <w:sz w:val="24"/>
              </w:rPr>
              <w:t>A</w:t>
            </w:r>
            <w:r>
              <w:rPr>
                <w:rFonts w:hint="eastAsia"/>
                <w:sz w:val="24"/>
              </w:rPr>
              <w:t>类标准，具体见下表。</w:t>
            </w:r>
          </w:p>
          <w:p w14:paraId="684883E2">
            <w:pPr>
              <w:widowControl/>
              <w:numPr>
                <w:ilvl w:val="0"/>
                <w:numId w:val="2"/>
              </w:numPr>
              <w:jc w:val="center"/>
              <w:rPr>
                <w:b/>
                <w:kern w:val="0"/>
                <w:szCs w:val="21"/>
              </w:rPr>
            </w:pPr>
            <w:r>
              <w:rPr>
                <w:rFonts w:hint="eastAsia"/>
                <w:b/>
                <w:kern w:val="0"/>
                <w:szCs w:val="21"/>
                <w:lang w:val="en-US" w:eastAsia="zh-CN"/>
              </w:rPr>
              <w:t>废水</w:t>
            </w:r>
            <w:r>
              <w:rPr>
                <w:rFonts w:hint="eastAsia"/>
                <w:b/>
                <w:kern w:val="0"/>
                <w:szCs w:val="21"/>
              </w:rPr>
              <w:t>排放</w:t>
            </w:r>
            <w:r>
              <w:rPr>
                <w:rFonts w:hint="eastAsia"/>
                <w:b/>
                <w:kern w:val="0"/>
                <w:szCs w:val="21"/>
                <w:lang w:val="en-US" w:eastAsia="zh-CN"/>
              </w:rPr>
              <w:t>执行</w:t>
            </w:r>
            <w:r>
              <w:rPr>
                <w:rFonts w:hint="eastAsia"/>
                <w:b/>
                <w:kern w:val="0"/>
                <w:szCs w:val="21"/>
              </w:rPr>
              <w:t>标准</w:t>
            </w:r>
            <w:r>
              <w:rPr>
                <w:b/>
                <w:kern w:val="0"/>
                <w:szCs w:val="21"/>
              </w:rPr>
              <w:t xml:space="preserve">  </w:t>
            </w:r>
            <w:r>
              <w:rPr>
                <w:rFonts w:hint="eastAsia"/>
                <w:b/>
                <w:kern w:val="0"/>
                <w:szCs w:val="21"/>
              </w:rPr>
              <w:t>单位：</w:t>
            </w:r>
            <w:r>
              <w:rPr>
                <w:b/>
                <w:kern w:val="0"/>
                <w:szCs w:val="21"/>
              </w:rPr>
              <w:t>mg/L</w:t>
            </w:r>
            <w:r>
              <w:rPr>
                <w:rFonts w:hint="eastAsia"/>
                <w:b/>
                <w:kern w:val="0"/>
                <w:szCs w:val="21"/>
              </w:rPr>
              <w:t>（</w:t>
            </w:r>
            <w:r>
              <w:rPr>
                <w:b/>
                <w:kern w:val="0"/>
                <w:szCs w:val="21"/>
              </w:rPr>
              <w:t>pH</w:t>
            </w:r>
            <w:r>
              <w:rPr>
                <w:rFonts w:hint="eastAsia"/>
                <w:b/>
                <w:kern w:val="0"/>
                <w:szCs w:val="21"/>
                <w:lang w:val="en-US" w:eastAsia="zh-CN"/>
              </w:rPr>
              <w:t>无量纲</w:t>
            </w:r>
            <w:r>
              <w:rPr>
                <w:rFonts w:hint="eastAsia"/>
                <w:b/>
                <w:kern w:val="0"/>
                <w:szCs w:val="21"/>
              </w:rPr>
              <w:t>）</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637"/>
              <w:gridCol w:w="932"/>
              <w:gridCol w:w="934"/>
              <w:gridCol w:w="924"/>
              <w:gridCol w:w="1032"/>
              <w:gridCol w:w="924"/>
              <w:gridCol w:w="930"/>
            </w:tblGrid>
            <w:tr w14:paraId="5D40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98" w:type="pct"/>
                  <w:noWrap w:val="0"/>
                  <w:vAlign w:val="center"/>
                </w:tcPr>
                <w:p w14:paraId="36AB1D7A">
                  <w:pPr>
                    <w:widowControl/>
                    <w:jc w:val="center"/>
                    <w:rPr>
                      <w:b/>
                      <w:kern w:val="0"/>
                      <w:sz w:val="21"/>
                      <w:szCs w:val="21"/>
                    </w:rPr>
                  </w:pPr>
                  <w:r>
                    <w:rPr>
                      <w:rFonts w:hint="eastAsia"/>
                      <w:b/>
                      <w:kern w:val="0"/>
                      <w:sz w:val="21"/>
                      <w:szCs w:val="21"/>
                    </w:rPr>
                    <w:t>污染物</w:t>
                  </w:r>
                </w:p>
              </w:tc>
              <w:tc>
                <w:tcPr>
                  <w:tcW w:w="383" w:type="pct"/>
                  <w:noWrap w:val="0"/>
                  <w:vAlign w:val="center"/>
                </w:tcPr>
                <w:p w14:paraId="09DF3269">
                  <w:pPr>
                    <w:widowControl/>
                    <w:jc w:val="center"/>
                    <w:rPr>
                      <w:b/>
                      <w:kern w:val="0"/>
                      <w:sz w:val="21"/>
                      <w:szCs w:val="21"/>
                    </w:rPr>
                  </w:pPr>
                  <w:r>
                    <w:rPr>
                      <w:rFonts w:hint="eastAsia"/>
                      <w:b/>
                      <w:kern w:val="0"/>
                      <w:sz w:val="21"/>
                      <w:szCs w:val="21"/>
                    </w:rPr>
                    <w:t>p</w:t>
                  </w:r>
                  <w:r>
                    <w:rPr>
                      <w:b/>
                      <w:kern w:val="0"/>
                      <w:sz w:val="21"/>
                      <w:szCs w:val="21"/>
                    </w:rPr>
                    <w:t>H</w:t>
                  </w:r>
                </w:p>
              </w:tc>
              <w:tc>
                <w:tcPr>
                  <w:tcW w:w="561" w:type="pct"/>
                  <w:noWrap w:val="0"/>
                  <w:vAlign w:val="center"/>
                </w:tcPr>
                <w:p w14:paraId="5C896ADB">
                  <w:pPr>
                    <w:widowControl/>
                    <w:jc w:val="center"/>
                    <w:rPr>
                      <w:b/>
                      <w:kern w:val="0"/>
                      <w:sz w:val="21"/>
                      <w:szCs w:val="21"/>
                    </w:rPr>
                  </w:pPr>
                  <w:r>
                    <w:rPr>
                      <w:rFonts w:hint="eastAsia"/>
                      <w:b/>
                      <w:kern w:val="0"/>
                      <w:sz w:val="21"/>
                      <w:szCs w:val="21"/>
                    </w:rPr>
                    <w:t>C</w:t>
                  </w:r>
                  <w:r>
                    <w:rPr>
                      <w:b/>
                      <w:kern w:val="0"/>
                      <w:sz w:val="21"/>
                      <w:szCs w:val="21"/>
                    </w:rPr>
                    <w:t>OD</w:t>
                  </w:r>
                </w:p>
              </w:tc>
              <w:tc>
                <w:tcPr>
                  <w:tcW w:w="562" w:type="pct"/>
                  <w:noWrap w:val="0"/>
                  <w:vAlign w:val="center"/>
                </w:tcPr>
                <w:p w14:paraId="12774E9B">
                  <w:pPr>
                    <w:widowControl/>
                    <w:jc w:val="center"/>
                    <w:rPr>
                      <w:b/>
                      <w:kern w:val="0"/>
                      <w:sz w:val="21"/>
                      <w:szCs w:val="21"/>
                    </w:rPr>
                  </w:pPr>
                  <w:r>
                    <w:rPr>
                      <w:rFonts w:hint="eastAsia"/>
                      <w:b/>
                      <w:kern w:val="0"/>
                      <w:sz w:val="21"/>
                      <w:szCs w:val="21"/>
                    </w:rPr>
                    <w:t>B</w:t>
                  </w:r>
                  <w:r>
                    <w:rPr>
                      <w:b/>
                      <w:kern w:val="0"/>
                      <w:sz w:val="21"/>
                      <w:szCs w:val="21"/>
                    </w:rPr>
                    <w:t>OD</w:t>
                  </w:r>
                  <w:r>
                    <w:rPr>
                      <w:b/>
                      <w:kern w:val="0"/>
                      <w:sz w:val="21"/>
                      <w:szCs w:val="21"/>
                      <w:vertAlign w:val="subscript"/>
                    </w:rPr>
                    <w:t>5</w:t>
                  </w:r>
                </w:p>
              </w:tc>
              <w:tc>
                <w:tcPr>
                  <w:tcW w:w="556" w:type="pct"/>
                  <w:noWrap w:val="0"/>
                  <w:vAlign w:val="center"/>
                </w:tcPr>
                <w:p w14:paraId="687A2EA3">
                  <w:pPr>
                    <w:widowControl/>
                    <w:jc w:val="center"/>
                    <w:rPr>
                      <w:b/>
                      <w:kern w:val="0"/>
                      <w:sz w:val="21"/>
                      <w:szCs w:val="21"/>
                    </w:rPr>
                  </w:pPr>
                  <w:r>
                    <w:rPr>
                      <w:rFonts w:hint="eastAsia"/>
                      <w:b/>
                      <w:kern w:val="0"/>
                      <w:sz w:val="21"/>
                      <w:szCs w:val="21"/>
                    </w:rPr>
                    <w:t>S</w:t>
                  </w:r>
                  <w:r>
                    <w:rPr>
                      <w:b/>
                      <w:kern w:val="0"/>
                      <w:sz w:val="21"/>
                      <w:szCs w:val="21"/>
                    </w:rPr>
                    <w:t>S</w:t>
                  </w:r>
                </w:p>
              </w:tc>
              <w:tc>
                <w:tcPr>
                  <w:tcW w:w="621" w:type="pct"/>
                  <w:noWrap w:val="0"/>
                  <w:vAlign w:val="center"/>
                </w:tcPr>
                <w:p w14:paraId="5C660A33">
                  <w:pPr>
                    <w:widowControl/>
                    <w:jc w:val="center"/>
                    <w:rPr>
                      <w:b/>
                      <w:kern w:val="0"/>
                      <w:sz w:val="21"/>
                      <w:szCs w:val="21"/>
                    </w:rPr>
                  </w:pPr>
                  <w:r>
                    <w:rPr>
                      <w:rFonts w:hint="eastAsia"/>
                      <w:b/>
                      <w:kern w:val="0"/>
                      <w:sz w:val="21"/>
                      <w:szCs w:val="21"/>
                    </w:rPr>
                    <w:t>N</w:t>
                  </w:r>
                  <w:r>
                    <w:rPr>
                      <w:b/>
                      <w:kern w:val="0"/>
                      <w:sz w:val="21"/>
                      <w:szCs w:val="21"/>
                    </w:rPr>
                    <w:t>H</w:t>
                  </w:r>
                  <w:r>
                    <w:rPr>
                      <w:b/>
                      <w:kern w:val="0"/>
                      <w:sz w:val="21"/>
                      <w:szCs w:val="21"/>
                      <w:vertAlign w:val="subscript"/>
                    </w:rPr>
                    <w:t>3</w:t>
                  </w:r>
                  <w:r>
                    <w:rPr>
                      <w:b/>
                      <w:kern w:val="0"/>
                      <w:sz w:val="21"/>
                      <w:szCs w:val="21"/>
                    </w:rPr>
                    <w:t>-N</w:t>
                  </w:r>
                </w:p>
              </w:tc>
              <w:tc>
                <w:tcPr>
                  <w:tcW w:w="556" w:type="pct"/>
                  <w:noWrap w:val="0"/>
                  <w:vAlign w:val="center"/>
                </w:tcPr>
                <w:p w14:paraId="0F868AC7">
                  <w:pPr>
                    <w:widowControl/>
                    <w:jc w:val="center"/>
                    <w:rPr>
                      <w:b/>
                      <w:kern w:val="0"/>
                      <w:sz w:val="21"/>
                      <w:szCs w:val="21"/>
                    </w:rPr>
                  </w:pPr>
                  <w:r>
                    <w:rPr>
                      <w:rFonts w:hint="eastAsia"/>
                      <w:b/>
                      <w:kern w:val="0"/>
                      <w:sz w:val="21"/>
                      <w:szCs w:val="21"/>
                    </w:rPr>
                    <w:t>T</w:t>
                  </w:r>
                  <w:r>
                    <w:rPr>
                      <w:b/>
                      <w:kern w:val="0"/>
                      <w:sz w:val="21"/>
                      <w:szCs w:val="21"/>
                    </w:rPr>
                    <w:t>P</w:t>
                  </w:r>
                </w:p>
              </w:tc>
              <w:tc>
                <w:tcPr>
                  <w:tcW w:w="559" w:type="pct"/>
                  <w:noWrap w:val="0"/>
                  <w:vAlign w:val="center"/>
                </w:tcPr>
                <w:p w14:paraId="3627EE48">
                  <w:pPr>
                    <w:widowControl/>
                    <w:jc w:val="center"/>
                    <w:rPr>
                      <w:b/>
                      <w:kern w:val="0"/>
                      <w:sz w:val="21"/>
                      <w:szCs w:val="21"/>
                    </w:rPr>
                  </w:pPr>
                  <w:r>
                    <w:rPr>
                      <w:rFonts w:hint="eastAsia"/>
                      <w:b/>
                      <w:kern w:val="0"/>
                      <w:sz w:val="21"/>
                      <w:szCs w:val="21"/>
                    </w:rPr>
                    <w:t>T</w:t>
                  </w:r>
                  <w:r>
                    <w:rPr>
                      <w:b/>
                      <w:kern w:val="0"/>
                      <w:sz w:val="21"/>
                      <w:szCs w:val="21"/>
                    </w:rPr>
                    <w:t>N</w:t>
                  </w:r>
                </w:p>
              </w:tc>
            </w:tr>
            <w:tr w14:paraId="3623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98" w:type="pct"/>
                  <w:noWrap w:val="0"/>
                  <w:vAlign w:val="center"/>
                </w:tcPr>
                <w:p w14:paraId="4DC783C8">
                  <w:pPr>
                    <w:widowControl/>
                    <w:jc w:val="center"/>
                    <w:rPr>
                      <w:bCs/>
                      <w:kern w:val="0"/>
                      <w:sz w:val="21"/>
                      <w:szCs w:val="21"/>
                    </w:rPr>
                  </w:pPr>
                  <w:r>
                    <w:rPr>
                      <w:rFonts w:hint="eastAsia"/>
                      <w:bCs/>
                      <w:kern w:val="0"/>
                      <w:sz w:val="21"/>
                      <w:szCs w:val="21"/>
                    </w:rPr>
                    <w:t>污水处理厂接管标准</w:t>
                  </w:r>
                </w:p>
              </w:tc>
              <w:tc>
                <w:tcPr>
                  <w:tcW w:w="383" w:type="pct"/>
                  <w:noWrap w:val="0"/>
                  <w:vAlign w:val="center"/>
                </w:tcPr>
                <w:p w14:paraId="1BB5EE84">
                  <w:pPr>
                    <w:widowControl/>
                    <w:jc w:val="center"/>
                    <w:rPr>
                      <w:bCs/>
                      <w:kern w:val="0"/>
                      <w:sz w:val="21"/>
                      <w:szCs w:val="21"/>
                    </w:rPr>
                  </w:pPr>
                  <w:r>
                    <w:rPr>
                      <w:bCs/>
                      <w:kern w:val="0"/>
                      <w:sz w:val="21"/>
                      <w:szCs w:val="21"/>
                    </w:rPr>
                    <w:t>6~9</w:t>
                  </w:r>
                </w:p>
              </w:tc>
              <w:tc>
                <w:tcPr>
                  <w:tcW w:w="561" w:type="pct"/>
                  <w:noWrap w:val="0"/>
                  <w:vAlign w:val="center"/>
                </w:tcPr>
                <w:p w14:paraId="4EF66F9C">
                  <w:pPr>
                    <w:widowControl/>
                    <w:jc w:val="center"/>
                    <w:rPr>
                      <w:bCs/>
                      <w:kern w:val="0"/>
                      <w:sz w:val="21"/>
                      <w:szCs w:val="21"/>
                    </w:rPr>
                  </w:pPr>
                  <w:r>
                    <w:rPr>
                      <w:rFonts w:hint="eastAsia"/>
                      <w:bCs/>
                      <w:kern w:val="0"/>
                      <w:sz w:val="21"/>
                      <w:szCs w:val="21"/>
                    </w:rPr>
                    <w:t>≤5</w:t>
                  </w:r>
                  <w:r>
                    <w:rPr>
                      <w:bCs/>
                      <w:kern w:val="0"/>
                      <w:sz w:val="21"/>
                      <w:szCs w:val="21"/>
                    </w:rPr>
                    <w:t>00</w:t>
                  </w:r>
                </w:p>
              </w:tc>
              <w:tc>
                <w:tcPr>
                  <w:tcW w:w="562" w:type="pct"/>
                  <w:noWrap w:val="0"/>
                  <w:vAlign w:val="center"/>
                </w:tcPr>
                <w:p w14:paraId="64CBF077">
                  <w:pPr>
                    <w:widowControl/>
                    <w:jc w:val="center"/>
                    <w:rPr>
                      <w:bCs/>
                      <w:kern w:val="0"/>
                      <w:sz w:val="21"/>
                      <w:szCs w:val="21"/>
                    </w:rPr>
                  </w:pPr>
                  <w:r>
                    <w:rPr>
                      <w:rFonts w:hint="eastAsia"/>
                      <w:bCs/>
                      <w:kern w:val="0"/>
                      <w:sz w:val="21"/>
                      <w:szCs w:val="21"/>
                    </w:rPr>
                    <w:t>≤2</w:t>
                  </w:r>
                  <w:r>
                    <w:rPr>
                      <w:bCs/>
                      <w:kern w:val="0"/>
                      <w:sz w:val="21"/>
                      <w:szCs w:val="21"/>
                    </w:rPr>
                    <w:t>00</w:t>
                  </w:r>
                </w:p>
              </w:tc>
              <w:tc>
                <w:tcPr>
                  <w:tcW w:w="556" w:type="pct"/>
                  <w:noWrap w:val="0"/>
                  <w:vAlign w:val="center"/>
                </w:tcPr>
                <w:p w14:paraId="4FDFB3DE">
                  <w:pPr>
                    <w:widowControl/>
                    <w:jc w:val="center"/>
                    <w:rPr>
                      <w:bCs/>
                      <w:kern w:val="0"/>
                      <w:sz w:val="21"/>
                      <w:szCs w:val="21"/>
                    </w:rPr>
                  </w:pPr>
                  <w:r>
                    <w:rPr>
                      <w:rFonts w:hint="eastAsia"/>
                      <w:bCs/>
                      <w:kern w:val="0"/>
                      <w:sz w:val="21"/>
                      <w:szCs w:val="21"/>
                    </w:rPr>
                    <w:t>≤25</w:t>
                  </w:r>
                  <w:r>
                    <w:rPr>
                      <w:bCs/>
                      <w:kern w:val="0"/>
                      <w:sz w:val="21"/>
                      <w:szCs w:val="21"/>
                    </w:rPr>
                    <w:t>0</w:t>
                  </w:r>
                </w:p>
              </w:tc>
              <w:tc>
                <w:tcPr>
                  <w:tcW w:w="621" w:type="pct"/>
                  <w:noWrap w:val="0"/>
                  <w:vAlign w:val="center"/>
                </w:tcPr>
                <w:p w14:paraId="0547A6C1">
                  <w:pPr>
                    <w:widowControl/>
                    <w:jc w:val="center"/>
                    <w:rPr>
                      <w:bCs/>
                      <w:kern w:val="0"/>
                      <w:sz w:val="21"/>
                      <w:szCs w:val="21"/>
                    </w:rPr>
                  </w:pPr>
                  <w:r>
                    <w:rPr>
                      <w:rFonts w:hint="eastAsia"/>
                      <w:bCs/>
                      <w:kern w:val="0"/>
                      <w:sz w:val="21"/>
                      <w:szCs w:val="21"/>
                    </w:rPr>
                    <w:t>≤30</w:t>
                  </w:r>
                </w:p>
              </w:tc>
              <w:tc>
                <w:tcPr>
                  <w:tcW w:w="556" w:type="pct"/>
                  <w:noWrap w:val="0"/>
                  <w:vAlign w:val="center"/>
                </w:tcPr>
                <w:p w14:paraId="0FC43179">
                  <w:pPr>
                    <w:widowControl/>
                    <w:jc w:val="center"/>
                    <w:rPr>
                      <w:bCs/>
                      <w:kern w:val="0"/>
                      <w:sz w:val="21"/>
                      <w:szCs w:val="21"/>
                    </w:rPr>
                  </w:pPr>
                  <w:r>
                    <w:rPr>
                      <w:rFonts w:hint="eastAsia"/>
                      <w:bCs/>
                      <w:kern w:val="0"/>
                      <w:sz w:val="21"/>
                      <w:szCs w:val="21"/>
                    </w:rPr>
                    <w:t>≤6</w:t>
                  </w:r>
                </w:p>
              </w:tc>
              <w:tc>
                <w:tcPr>
                  <w:tcW w:w="559" w:type="pct"/>
                  <w:noWrap w:val="0"/>
                  <w:vAlign w:val="center"/>
                </w:tcPr>
                <w:p w14:paraId="02BE1C07">
                  <w:pPr>
                    <w:widowControl/>
                    <w:jc w:val="center"/>
                    <w:rPr>
                      <w:bCs/>
                      <w:kern w:val="0"/>
                      <w:sz w:val="21"/>
                      <w:szCs w:val="21"/>
                    </w:rPr>
                  </w:pPr>
                  <w:r>
                    <w:rPr>
                      <w:rFonts w:hint="eastAsia"/>
                      <w:bCs/>
                      <w:kern w:val="0"/>
                      <w:sz w:val="21"/>
                      <w:szCs w:val="21"/>
                    </w:rPr>
                    <w:t>≤5</w:t>
                  </w:r>
                  <w:r>
                    <w:rPr>
                      <w:bCs/>
                      <w:kern w:val="0"/>
                      <w:sz w:val="21"/>
                      <w:szCs w:val="21"/>
                    </w:rPr>
                    <w:t>0</w:t>
                  </w:r>
                </w:p>
              </w:tc>
            </w:tr>
            <w:tr w14:paraId="7214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198" w:type="pct"/>
                  <w:noWrap w:val="0"/>
                  <w:vAlign w:val="center"/>
                </w:tcPr>
                <w:p w14:paraId="04F669ED">
                  <w:pPr>
                    <w:widowControl/>
                    <w:jc w:val="center"/>
                    <w:rPr>
                      <w:bCs/>
                      <w:kern w:val="0"/>
                      <w:sz w:val="21"/>
                      <w:szCs w:val="21"/>
                    </w:rPr>
                  </w:pPr>
                  <w:r>
                    <w:rPr>
                      <w:rFonts w:hint="eastAsia"/>
                      <w:bCs/>
                      <w:kern w:val="0"/>
                      <w:sz w:val="21"/>
                      <w:szCs w:val="21"/>
                    </w:rPr>
                    <w:t>GB 18918-2002中表1中一级A标准</w:t>
                  </w:r>
                </w:p>
              </w:tc>
              <w:tc>
                <w:tcPr>
                  <w:tcW w:w="383" w:type="pct"/>
                  <w:noWrap w:val="0"/>
                  <w:vAlign w:val="center"/>
                </w:tcPr>
                <w:p w14:paraId="0E1DB5B1">
                  <w:pPr>
                    <w:widowControl/>
                    <w:jc w:val="center"/>
                    <w:rPr>
                      <w:bCs/>
                      <w:kern w:val="0"/>
                      <w:sz w:val="21"/>
                      <w:szCs w:val="21"/>
                    </w:rPr>
                  </w:pPr>
                  <w:r>
                    <w:rPr>
                      <w:rFonts w:hint="eastAsia"/>
                      <w:bCs/>
                      <w:kern w:val="0"/>
                      <w:sz w:val="21"/>
                      <w:szCs w:val="21"/>
                    </w:rPr>
                    <w:t>6</w:t>
                  </w:r>
                  <w:r>
                    <w:rPr>
                      <w:bCs/>
                      <w:kern w:val="0"/>
                      <w:sz w:val="21"/>
                      <w:szCs w:val="21"/>
                    </w:rPr>
                    <w:t>~9</w:t>
                  </w:r>
                </w:p>
              </w:tc>
              <w:tc>
                <w:tcPr>
                  <w:tcW w:w="561" w:type="pct"/>
                  <w:noWrap w:val="0"/>
                  <w:vAlign w:val="center"/>
                </w:tcPr>
                <w:p w14:paraId="0C324362">
                  <w:pPr>
                    <w:widowControl/>
                    <w:jc w:val="center"/>
                    <w:rPr>
                      <w:bCs/>
                      <w:kern w:val="0"/>
                      <w:sz w:val="21"/>
                      <w:szCs w:val="21"/>
                    </w:rPr>
                  </w:pPr>
                  <w:r>
                    <w:rPr>
                      <w:rFonts w:hint="eastAsia"/>
                      <w:bCs/>
                      <w:kern w:val="0"/>
                      <w:sz w:val="21"/>
                      <w:szCs w:val="21"/>
                    </w:rPr>
                    <w:t>≤5</w:t>
                  </w:r>
                  <w:r>
                    <w:rPr>
                      <w:bCs/>
                      <w:kern w:val="0"/>
                      <w:sz w:val="21"/>
                      <w:szCs w:val="21"/>
                    </w:rPr>
                    <w:t>0</w:t>
                  </w:r>
                </w:p>
              </w:tc>
              <w:tc>
                <w:tcPr>
                  <w:tcW w:w="562" w:type="pct"/>
                  <w:noWrap w:val="0"/>
                  <w:vAlign w:val="center"/>
                </w:tcPr>
                <w:p w14:paraId="551095A8">
                  <w:pPr>
                    <w:widowControl/>
                    <w:jc w:val="center"/>
                    <w:rPr>
                      <w:bCs/>
                      <w:kern w:val="0"/>
                      <w:sz w:val="21"/>
                      <w:szCs w:val="21"/>
                    </w:rPr>
                  </w:pPr>
                  <w:r>
                    <w:rPr>
                      <w:rFonts w:hint="eastAsia"/>
                      <w:bCs/>
                      <w:kern w:val="0"/>
                      <w:sz w:val="21"/>
                      <w:szCs w:val="21"/>
                    </w:rPr>
                    <w:t>≤1</w:t>
                  </w:r>
                  <w:r>
                    <w:rPr>
                      <w:bCs/>
                      <w:kern w:val="0"/>
                      <w:sz w:val="21"/>
                      <w:szCs w:val="21"/>
                    </w:rPr>
                    <w:t>0</w:t>
                  </w:r>
                </w:p>
              </w:tc>
              <w:tc>
                <w:tcPr>
                  <w:tcW w:w="556" w:type="pct"/>
                  <w:noWrap w:val="0"/>
                  <w:vAlign w:val="center"/>
                </w:tcPr>
                <w:p w14:paraId="6A15149B">
                  <w:pPr>
                    <w:widowControl/>
                    <w:jc w:val="center"/>
                    <w:rPr>
                      <w:bCs/>
                      <w:kern w:val="0"/>
                      <w:sz w:val="21"/>
                      <w:szCs w:val="21"/>
                    </w:rPr>
                  </w:pPr>
                  <w:r>
                    <w:rPr>
                      <w:rFonts w:hint="eastAsia"/>
                      <w:bCs/>
                      <w:kern w:val="0"/>
                      <w:sz w:val="21"/>
                      <w:szCs w:val="21"/>
                    </w:rPr>
                    <w:t>≤1</w:t>
                  </w:r>
                  <w:r>
                    <w:rPr>
                      <w:bCs/>
                      <w:kern w:val="0"/>
                      <w:sz w:val="21"/>
                      <w:szCs w:val="21"/>
                    </w:rPr>
                    <w:t>0</w:t>
                  </w:r>
                </w:p>
              </w:tc>
              <w:tc>
                <w:tcPr>
                  <w:tcW w:w="621" w:type="pct"/>
                  <w:noWrap w:val="0"/>
                  <w:vAlign w:val="center"/>
                </w:tcPr>
                <w:p w14:paraId="261348FB">
                  <w:pPr>
                    <w:widowControl/>
                    <w:jc w:val="center"/>
                    <w:rPr>
                      <w:bCs/>
                      <w:kern w:val="0"/>
                      <w:sz w:val="21"/>
                      <w:szCs w:val="21"/>
                    </w:rPr>
                  </w:pPr>
                  <w:r>
                    <w:rPr>
                      <w:rFonts w:hint="eastAsia"/>
                      <w:bCs/>
                      <w:kern w:val="0"/>
                      <w:sz w:val="21"/>
                      <w:szCs w:val="21"/>
                    </w:rPr>
                    <w:t>≤5</w:t>
                  </w:r>
                </w:p>
              </w:tc>
              <w:tc>
                <w:tcPr>
                  <w:tcW w:w="556" w:type="pct"/>
                  <w:noWrap w:val="0"/>
                  <w:vAlign w:val="center"/>
                </w:tcPr>
                <w:p w14:paraId="532A1328">
                  <w:pPr>
                    <w:widowControl/>
                    <w:jc w:val="center"/>
                    <w:rPr>
                      <w:bCs/>
                      <w:kern w:val="0"/>
                      <w:sz w:val="21"/>
                      <w:szCs w:val="21"/>
                    </w:rPr>
                  </w:pPr>
                  <w:r>
                    <w:rPr>
                      <w:rFonts w:hint="eastAsia"/>
                      <w:bCs/>
                      <w:kern w:val="0"/>
                      <w:sz w:val="21"/>
                      <w:szCs w:val="21"/>
                    </w:rPr>
                    <w:t>≤0</w:t>
                  </w:r>
                  <w:r>
                    <w:rPr>
                      <w:bCs/>
                      <w:kern w:val="0"/>
                      <w:sz w:val="21"/>
                      <w:szCs w:val="21"/>
                    </w:rPr>
                    <w:t>.5</w:t>
                  </w:r>
                </w:p>
              </w:tc>
              <w:tc>
                <w:tcPr>
                  <w:tcW w:w="559" w:type="pct"/>
                  <w:noWrap w:val="0"/>
                  <w:vAlign w:val="center"/>
                </w:tcPr>
                <w:p w14:paraId="4BC5CB25">
                  <w:pPr>
                    <w:widowControl/>
                    <w:jc w:val="center"/>
                    <w:rPr>
                      <w:bCs/>
                      <w:kern w:val="0"/>
                      <w:sz w:val="21"/>
                      <w:szCs w:val="21"/>
                    </w:rPr>
                  </w:pPr>
                  <w:r>
                    <w:rPr>
                      <w:rFonts w:hint="eastAsia"/>
                      <w:bCs/>
                      <w:kern w:val="0"/>
                      <w:sz w:val="21"/>
                      <w:szCs w:val="21"/>
                    </w:rPr>
                    <w:t>≤1</w:t>
                  </w:r>
                  <w:r>
                    <w:rPr>
                      <w:bCs/>
                      <w:kern w:val="0"/>
                      <w:sz w:val="21"/>
                      <w:szCs w:val="21"/>
                    </w:rPr>
                    <w:t>5</w:t>
                  </w:r>
                </w:p>
              </w:tc>
            </w:tr>
          </w:tbl>
          <w:p w14:paraId="1B7EA217">
            <w:pPr>
              <w:spacing w:line="360" w:lineRule="auto"/>
              <w:ind w:firstLine="482" w:firstLineChars="200"/>
              <w:rPr>
                <w:b/>
                <w:bCs/>
                <w:sz w:val="24"/>
              </w:rPr>
            </w:pPr>
            <w:r>
              <w:rPr>
                <w:rFonts w:hint="eastAsia"/>
                <w:b/>
                <w:bCs/>
                <w:sz w:val="24"/>
                <w:lang w:val="en-US" w:eastAsia="zh-CN"/>
              </w:rPr>
              <w:t>二、</w:t>
            </w:r>
            <w:r>
              <w:rPr>
                <w:b/>
                <w:bCs/>
                <w:sz w:val="24"/>
              </w:rPr>
              <w:t>废气</w:t>
            </w:r>
          </w:p>
          <w:p w14:paraId="0832A913">
            <w:pPr>
              <w:spacing w:line="360" w:lineRule="auto"/>
              <w:ind w:firstLine="480" w:firstLineChars="200"/>
              <w:rPr>
                <w:rFonts w:hint="eastAsia" w:ascii="Times New Roman" w:hAnsi="Times New Roman" w:eastAsia="宋体" w:cs="Times New Roman"/>
                <w:color w:val="auto"/>
                <w:kern w:val="0"/>
                <w:sz w:val="24"/>
                <w:lang w:eastAsia="zh-CN"/>
              </w:rPr>
            </w:pPr>
            <w:r>
              <w:rPr>
                <w:rFonts w:hint="eastAsia" w:ascii="Times New Roman" w:hAnsi="Times New Roman" w:cs="Times New Roman"/>
                <w:sz w:val="24"/>
                <w:szCs w:val="24"/>
                <w:lang w:eastAsia="zh-CN"/>
              </w:rPr>
              <w:t>本项目</w:t>
            </w:r>
            <w:r>
              <w:rPr>
                <w:rFonts w:hint="eastAsia" w:ascii="Times New Roman" w:hAnsi="Times New Roman" w:eastAsia="宋体" w:cs="Times New Roman"/>
                <w:color w:val="auto"/>
                <w:kern w:val="0"/>
                <w:sz w:val="24"/>
                <w:lang w:eastAsia="zh-CN"/>
              </w:rPr>
              <w:t>喷漆及</w:t>
            </w:r>
            <w:r>
              <w:rPr>
                <w:rFonts w:hint="default" w:ascii="Times New Roman" w:hAnsi="Times New Roman" w:eastAsia="宋体" w:cs="Times New Roman"/>
                <w:sz w:val="24"/>
                <w:szCs w:val="32"/>
                <w:lang w:val="en-US" w:eastAsia="zh-CN"/>
              </w:rPr>
              <w:t>钝化封闭</w:t>
            </w:r>
            <w:r>
              <w:rPr>
                <w:rFonts w:hint="eastAsia" w:ascii="Times New Roman" w:hAnsi="Times New Roman" w:eastAsia="宋体" w:cs="Times New Roman"/>
                <w:sz w:val="24"/>
                <w:szCs w:val="32"/>
                <w:lang w:val="en-US" w:eastAsia="zh-CN"/>
              </w:rPr>
              <w:t>工序产生</w:t>
            </w:r>
            <w:r>
              <w:rPr>
                <w:rFonts w:hint="default" w:ascii="Times New Roman" w:hAnsi="Times New Roman" w:eastAsia="宋体" w:cs="Times New Roman"/>
                <w:sz w:val="24"/>
                <w:szCs w:val="32"/>
                <w:lang w:val="en-US" w:eastAsia="zh-CN"/>
              </w:rPr>
              <w:t>的</w:t>
            </w:r>
            <w:r>
              <w:rPr>
                <w:rFonts w:hint="eastAsia"/>
                <w:sz w:val="24"/>
              </w:rPr>
              <w:t>非甲烷总烃</w:t>
            </w:r>
            <w:r>
              <w:rPr>
                <w:rFonts w:hint="eastAsia"/>
                <w:sz w:val="24"/>
                <w:lang w:val="en-US" w:eastAsia="zh-CN"/>
              </w:rPr>
              <w:t>有组织</w:t>
            </w:r>
            <w:r>
              <w:rPr>
                <w:rFonts w:hint="eastAsia"/>
                <w:sz w:val="24"/>
              </w:rPr>
              <w:t>排放执行安徽省《固定源挥发性有机物综合排放标</w:t>
            </w:r>
            <w:r>
              <w:rPr>
                <w:rFonts w:hint="default" w:ascii="Times New Roman" w:hAnsi="Times New Roman" w:cs="Times New Roman"/>
                <w:sz w:val="24"/>
              </w:rPr>
              <w:t>准 第6部分 其他行业》（DB34/4812.6-2024）</w:t>
            </w:r>
            <w:r>
              <w:rPr>
                <w:rFonts w:hint="eastAsia" w:ascii="Times New Roman" w:hAnsi="Times New Roman" w:cs="Times New Roman"/>
                <w:sz w:val="24"/>
                <w:lang w:eastAsia="zh-CN"/>
              </w:rPr>
              <w:t>中表</w:t>
            </w:r>
            <w:r>
              <w:rPr>
                <w:rFonts w:hint="eastAsia" w:ascii="Times New Roman" w:hAnsi="Times New Roman" w:cs="Times New Roman"/>
                <w:sz w:val="24"/>
                <w:lang w:val="en-US" w:eastAsia="zh-CN"/>
              </w:rPr>
              <w:t>1</w:t>
            </w:r>
            <w:r>
              <w:rPr>
                <w:rFonts w:hint="default" w:ascii="Times New Roman" w:hAnsi="Times New Roman" w:cs="Times New Roman"/>
                <w:sz w:val="24"/>
              </w:rPr>
              <w:t>限值</w:t>
            </w:r>
            <w:r>
              <w:rPr>
                <w:rFonts w:hint="eastAsia" w:ascii="Times New Roman" w:hAnsi="Times New Roman" w:cs="Times New Roman"/>
                <w:sz w:val="24"/>
                <w:lang w:eastAsia="zh-CN"/>
              </w:rPr>
              <w:t>要求；</w:t>
            </w:r>
            <w:r>
              <w:rPr>
                <w:rFonts w:hint="eastAsia" w:ascii="Times New Roman" w:hAnsi="Times New Roman" w:cs="Times New Roman"/>
                <w:sz w:val="24"/>
                <w:szCs w:val="24"/>
                <w:lang w:eastAsia="zh-CN"/>
              </w:rPr>
              <w:t>渗锌及</w:t>
            </w:r>
            <w:r>
              <w:rPr>
                <w:rFonts w:hint="default" w:ascii="Times New Roman" w:hAnsi="Times New Roman" w:eastAsia="宋体" w:cs="Times New Roman"/>
                <w:sz w:val="24"/>
                <w:szCs w:val="32"/>
                <w:lang w:val="en-US" w:eastAsia="zh-CN"/>
              </w:rPr>
              <w:t>钝化封闭</w:t>
            </w:r>
            <w:r>
              <w:rPr>
                <w:rFonts w:hint="eastAsia" w:ascii="Times New Roman" w:hAnsi="Times New Roman" w:eastAsia="宋体" w:cs="Times New Roman"/>
                <w:sz w:val="24"/>
                <w:szCs w:val="32"/>
                <w:lang w:val="en-US" w:eastAsia="zh-CN"/>
              </w:rPr>
              <w:t>工序产生的</w:t>
            </w:r>
            <w:r>
              <w:rPr>
                <w:rFonts w:hint="default" w:ascii="Times New Roman" w:hAnsi="Times New Roman" w:cs="Times New Roman"/>
                <w:sz w:val="24"/>
              </w:rPr>
              <w:t>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x</w:t>
            </w:r>
            <w:r>
              <w:rPr>
                <w:rFonts w:hint="default" w:ascii="Times New Roman" w:hAnsi="Times New Roman" w:eastAsia="宋体" w:cs="Times New Roman"/>
                <w:sz w:val="24"/>
                <w:lang w:eastAsia="zh-CN"/>
              </w:rPr>
              <w:t>、</w:t>
            </w:r>
            <w:r>
              <w:rPr>
                <w:rFonts w:hint="default" w:ascii="Times New Roman" w:hAnsi="Times New Roman" w:cs="Times New Roman"/>
                <w:sz w:val="24"/>
              </w:rPr>
              <w:t>颗粒物</w:t>
            </w:r>
            <w:r>
              <w:rPr>
                <w:rFonts w:hint="default" w:ascii="Times New Roman" w:hAnsi="Times New Roman" w:eastAsia="宋体" w:cs="Times New Roman"/>
                <w:sz w:val="24"/>
                <w:lang w:val="en-US" w:eastAsia="zh-CN"/>
              </w:rPr>
              <w:t>有组织</w:t>
            </w:r>
            <w:r>
              <w:rPr>
                <w:rFonts w:hint="eastAsia" w:ascii="Times New Roman" w:hAnsi="Times New Roman" w:eastAsia="宋体" w:cs="Times New Roman"/>
                <w:sz w:val="24"/>
                <w:lang w:val="en-US" w:eastAsia="zh-CN"/>
              </w:rPr>
              <w:t>排放</w:t>
            </w:r>
            <w:r>
              <w:rPr>
                <w:rFonts w:hint="default" w:ascii="Times New Roman" w:hAnsi="Times New Roman" w:cs="Times New Roman"/>
                <w:sz w:val="24"/>
              </w:rPr>
              <w:t>执行《工业炉窑大气污染综合治理方案》</w:t>
            </w:r>
            <w:r>
              <w:rPr>
                <w:rFonts w:hint="default" w:ascii="Times New Roman" w:hAnsi="Times New Roman" w:eastAsia="宋体" w:cs="Times New Roman"/>
                <w:color w:val="auto"/>
                <w:kern w:val="0"/>
                <w:sz w:val="24"/>
              </w:rPr>
              <w:t>（环大气[2019]56号）中相关要求</w:t>
            </w:r>
            <w:r>
              <w:rPr>
                <w:rFonts w:hint="eastAsia" w:ascii="Times New Roman" w:hAnsi="Times New Roman" w:eastAsia="宋体" w:cs="Times New Roman"/>
                <w:color w:val="auto"/>
                <w:kern w:val="0"/>
                <w:sz w:val="24"/>
                <w:lang w:eastAsia="zh-CN"/>
              </w:rPr>
              <w:t>（重点区域原则上按照颗粒物、二氧化硫、氮氧化物排放限值分别不高于30、200、300毫克/立方米实施改造）；抛丸工序产生的颗粒物有组织排放执行《大气污染物综合排放标准》（GB16297-1996）中表</w:t>
            </w:r>
            <w:r>
              <w:rPr>
                <w:rFonts w:hint="eastAsia" w:ascii="Times New Roman" w:hAnsi="Times New Roman" w:eastAsia="宋体" w:cs="Times New Roman"/>
                <w:color w:val="auto"/>
                <w:kern w:val="0"/>
                <w:sz w:val="24"/>
                <w:lang w:val="en-US" w:eastAsia="zh-CN"/>
              </w:rPr>
              <w:t>2</w:t>
            </w:r>
            <w:r>
              <w:rPr>
                <w:rFonts w:hint="default" w:ascii="Times New Roman" w:hAnsi="Times New Roman" w:cs="Times New Roman"/>
                <w:sz w:val="24"/>
              </w:rPr>
              <w:t>限值</w:t>
            </w:r>
            <w:r>
              <w:rPr>
                <w:rFonts w:hint="eastAsia" w:ascii="Times New Roman" w:hAnsi="Times New Roman" w:cs="Times New Roman"/>
                <w:sz w:val="24"/>
                <w:lang w:eastAsia="zh-CN"/>
              </w:rPr>
              <w:t>要求</w:t>
            </w:r>
            <w:r>
              <w:rPr>
                <w:rFonts w:hint="eastAsia" w:ascii="Times New Roman" w:hAnsi="Times New Roman" w:eastAsia="宋体" w:cs="Times New Roman"/>
                <w:color w:val="auto"/>
                <w:kern w:val="0"/>
                <w:sz w:val="24"/>
                <w:lang w:eastAsia="zh-CN"/>
              </w:rPr>
              <w:t>。</w:t>
            </w:r>
          </w:p>
          <w:p w14:paraId="4119FECB">
            <w:pPr>
              <w:spacing w:line="360" w:lineRule="auto"/>
              <w:ind w:firstLine="480" w:firstLineChars="200"/>
              <w:rPr>
                <w:b/>
                <w:bCs/>
                <w:sz w:val="24"/>
              </w:rPr>
            </w:pPr>
            <w:r>
              <w:rPr>
                <w:rFonts w:hint="default" w:ascii="Times New Roman" w:hAnsi="Times New Roman" w:cs="Times New Roman"/>
                <w:sz w:val="24"/>
                <w:szCs w:val="24"/>
              </w:rPr>
              <w:t>本项目</w:t>
            </w:r>
            <w:r>
              <w:rPr>
                <w:rFonts w:hint="eastAsia" w:ascii="Times New Roman" w:hAnsi="Times New Roman" w:cs="Times New Roman"/>
                <w:sz w:val="24"/>
                <w:szCs w:val="24"/>
                <w:lang w:eastAsia="zh-CN"/>
              </w:rPr>
              <w:t>厂界</w:t>
            </w:r>
            <w:r>
              <w:rPr>
                <w:rFonts w:hint="default" w:ascii="Times New Roman" w:hAnsi="Times New Roman" w:cs="Times New Roman"/>
                <w:sz w:val="24"/>
                <w:szCs w:val="24"/>
              </w:rPr>
              <w:t>无组织排放的颗粒物、SO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、非甲烷总烃执行《大气污染物综合排放标准》（GB16297-1996）表2无组织排放监控浓度限值要求；</w:t>
            </w:r>
            <w:r>
              <w:rPr>
                <w:rFonts w:hint="eastAsia" w:ascii="Times New Roman" w:hAnsi="Times New Roman" w:cs="Times New Roman"/>
                <w:sz w:val="24"/>
                <w:szCs w:val="24"/>
                <w:lang w:eastAsia="zh-CN"/>
              </w:rPr>
              <w:t>厂区内</w:t>
            </w:r>
            <w:r>
              <w:rPr>
                <w:rFonts w:hint="default" w:ascii="Times New Roman" w:hAnsi="Times New Roman" w:cs="Times New Roman"/>
                <w:sz w:val="24"/>
                <w:szCs w:val="24"/>
              </w:rPr>
              <w:t>非甲烷总烃无组织排放需同时满足</w:t>
            </w:r>
            <w:r>
              <w:rPr>
                <w:rFonts w:hint="eastAsia"/>
                <w:sz w:val="24"/>
              </w:rPr>
              <w:t>安徽省《固定源挥发性有机物综合排放标</w:t>
            </w:r>
            <w:r>
              <w:rPr>
                <w:rFonts w:hint="default" w:ascii="Times New Roman" w:hAnsi="Times New Roman" w:cs="Times New Roman"/>
                <w:sz w:val="24"/>
              </w:rPr>
              <w:t>准 第6部分 其他行业》（DB34/4812.6-2024）</w:t>
            </w:r>
            <w:r>
              <w:rPr>
                <w:rFonts w:hint="eastAsia" w:ascii="Times New Roman" w:hAnsi="Times New Roman" w:cs="Times New Roman"/>
                <w:sz w:val="24"/>
                <w:lang w:eastAsia="zh-CN"/>
              </w:rPr>
              <w:t>中表</w:t>
            </w:r>
            <w:r>
              <w:rPr>
                <w:rFonts w:hint="eastAsia" w:ascii="Times New Roman" w:hAnsi="Times New Roman" w:cs="Times New Roman"/>
                <w:sz w:val="24"/>
                <w:lang w:val="en-US" w:eastAsia="zh-CN"/>
              </w:rPr>
              <w:t>4</w:t>
            </w:r>
            <w:r>
              <w:rPr>
                <w:rFonts w:hint="default" w:ascii="Times New Roman" w:hAnsi="Times New Roman" w:cs="Times New Roman"/>
                <w:sz w:val="24"/>
                <w:szCs w:val="24"/>
              </w:rPr>
              <w:t>的</w:t>
            </w:r>
            <w:r>
              <w:rPr>
                <w:rFonts w:hint="eastAsia" w:ascii="Times New Roman" w:hAnsi="Times New Roman" w:cs="Times New Roman"/>
                <w:sz w:val="24"/>
                <w:szCs w:val="24"/>
                <w:lang w:eastAsia="zh-CN"/>
              </w:rPr>
              <w:t>限值</w:t>
            </w:r>
            <w:r>
              <w:rPr>
                <w:rFonts w:hint="default" w:ascii="Times New Roman" w:hAnsi="Times New Roman" w:cs="Times New Roman"/>
                <w:sz w:val="24"/>
                <w:szCs w:val="24"/>
              </w:rPr>
              <w:t>要求</w:t>
            </w:r>
            <w:r>
              <w:rPr>
                <w:rFonts w:hint="eastAsia"/>
                <w:sz w:val="24"/>
              </w:rPr>
              <w:t>，</w:t>
            </w:r>
            <w:r>
              <w:rPr>
                <w:sz w:val="24"/>
              </w:rPr>
              <w:t>具体标准限值见下表。</w:t>
            </w:r>
          </w:p>
          <w:p w14:paraId="5F871EC1">
            <w:pPr>
              <w:widowControl/>
              <w:numPr>
                <w:ilvl w:val="0"/>
                <w:numId w:val="2"/>
              </w:numPr>
              <w:jc w:val="center"/>
              <w:rPr>
                <w:rFonts w:eastAsia="宋体"/>
                <w:sz w:val="21"/>
                <w:szCs w:val="21"/>
              </w:rPr>
            </w:pPr>
            <w:r>
              <w:rPr>
                <w:rFonts w:hint="eastAsia" w:eastAsia="宋体"/>
                <w:b/>
                <w:sz w:val="21"/>
                <w:szCs w:val="21"/>
              </w:rPr>
              <w:t>项目废气排放</w:t>
            </w:r>
            <w:r>
              <w:rPr>
                <w:rFonts w:eastAsia="宋体"/>
                <w:b/>
                <w:sz w:val="21"/>
                <w:szCs w:val="21"/>
              </w:rPr>
              <w:t>标准</w:t>
            </w:r>
            <w:r>
              <w:rPr>
                <w:rFonts w:hint="eastAsia" w:eastAsia="宋体"/>
                <w:b/>
                <w:sz w:val="21"/>
                <w:szCs w:val="21"/>
              </w:rPr>
              <w:t>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51"/>
              <w:gridCol w:w="1151"/>
              <w:gridCol w:w="864"/>
              <w:gridCol w:w="1362"/>
              <w:gridCol w:w="1053"/>
              <w:gridCol w:w="2720"/>
            </w:tblGrid>
            <w:tr w14:paraId="0DE6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2" w:hRule="atLeast"/>
                <w:jc w:val="center"/>
              </w:trPr>
              <w:tc>
                <w:tcPr>
                  <w:tcW w:w="693" w:type="pct"/>
                  <w:vAlign w:val="center"/>
                </w:tcPr>
                <w:p w14:paraId="65627446">
                  <w:pPr>
                    <w:widowControl/>
                    <w:snapToGrid w:val="0"/>
                    <w:spacing w:line="240" w:lineRule="auto"/>
                    <w:jc w:val="center"/>
                    <w:rPr>
                      <w:rFonts w:eastAsia="宋体"/>
                      <w:b/>
                      <w:kern w:val="0"/>
                      <w:sz w:val="21"/>
                      <w:szCs w:val="21"/>
                    </w:rPr>
                  </w:pPr>
                  <w:r>
                    <w:rPr>
                      <w:rFonts w:hint="eastAsia"/>
                      <w:snapToGrid w:val="0"/>
                      <w:kern w:val="0"/>
                      <w:sz w:val="21"/>
                      <w:szCs w:val="21"/>
                      <w:lang w:val="en-US" w:eastAsia="zh-CN"/>
                    </w:rPr>
                    <w:t>产污工序</w:t>
                  </w:r>
                </w:p>
              </w:tc>
              <w:tc>
                <w:tcPr>
                  <w:tcW w:w="693" w:type="pct"/>
                  <w:vAlign w:val="center"/>
                </w:tcPr>
                <w:p w14:paraId="5810FD24">
                  <w:pPr>
                    <w:widowControl/>
                    <w:snapToGrid w:val="0"/>
                    <w:spacing w:line="240" w:lineRule="auto"/>
                    <w:jc w:val="center"/>
                    <w:rPr>
                      <w:rFonts w:eastAsia="宋体"/>
                      <w:b/>
                      <w:kern w:val="0"/>
                      <w:sz w:val="21"/>
                      <w:szCs w:val="21"/>
                    </w:rPr>
                  </w:pPr>
                  <w:r>
                    <w:rPr>
                      <w:rFonts w:eastAsia="宋体"/>
                      <w:b/>
                      <w:kern w:val="0"/>
                      <w:sz w:val="21"/>
                      <w:szCs w:val="21"/>
                    </w:rPr>
                    <w:t>污染物</w:t>
                  </w:r>
                </w:p>
                <w:p w14:paraId="65D54189">
                  <w:pPr>
                    <w:widowControl/>
                    <w:snapToGrid w:val="0"/>
                    <w:spacing w:line="240" w:lineRule="auto"/>
                    <w:jc w:val="center"/>
                    <w:rPr>
                      <w:rFonts w:eastAsia="宋体"/>
                      <w:b/>
                      <w:kern w:val="0"/>
                      <w:sz w:val="21"/>
                      <w:szCs w:val="21"/>
                    </w:rPr>
                  </w:pPr>
                  <w:r>
                    <w:rPr>
                      <w:rFonts w:eastAsia="宋体"/>
                      <w:b/>
                      <w:kern w:val="0"/>
                      <w:sz w:val="21"/>
                      <w:szCs w:val="21"/>
                    </w:rPr>
                    <w:t>名称</w:t>
                  </w:r>
                </w:p>
              </w:tc>
              <w:tc>
                <w:tcPr>
                  <w:tcW w:w="520" w:type="pct"/>
                  <w:vAlign w:val="center"/>
                </w:tcPr>
                <w:p w14:paraId="67E6EE39">
                  <w:pPr>
                    <w:widowControl/>
                    <w:snapToGrid w:val="0"/>
                    <w:spacing w:line="240" w:lineRule="auto"/>
                    <w:jc w:val="center"/>
                    <w:rPr>
                      <w:rFonts w:eastAsia="宋体"/>
                      <w:b/>
                      <w:kern w:val="0"/>
                      <w:sz w:val="21"/>
                      <w:szCs w:val="21"/>
                    </w:rPr>
                  </w:pPr>
                  <w:r>
                    <w:rPr>
                      <w:rFonts w:eastAsia="宋体"/>
                      <w:b/>
                      <w:kern w:val="0"/>
                      <w:sz w:val="21"/>
                      <w:szCs w:val="21"/>
                    </w:rPr>
                    <w:t>最高允许排放浓度mg/m</w:t>
                  </w:r>
                  <w:r>
                    <w:rPr>
                      <w:rFonts w:eastAsia="宋体"/>
                      <w:b/>
                      <w:kern w:val="0"/>
                      <w:sz w:val="21"/>
                      <w:szCs w:val="21"/>
                      <w:vertAlign w:val="superscript"/>
                    </w:rPr>
                    <w:t>3</w:t>
                  </w:r>
                </w:p>
              </w:tc>
              <w:tc>
                <w:tcPr>
                  <w:tcW w:w="820" w:type="pct"/>
                  <w:vAlign w:val="center"/>
                </w:tcPr>
                <w:p w14:paraId="7271B5DC">
                  <w:pPr>
                    <w:widowControl/>
                    <w:snapToGrid w:val="0"/>
                    <w:spacing w:line="240" w:lineRule="auto"/>
                    <w:jc w:val="center"/>
                    <w:rPr>
                      <w:rFonts w:eastAsia="宋体"/>
                      <w:b/>
                      <w:kern w:val="0"/>
                      <w:sz w:val="21"/>
                      <w:szCs w:val="21"/>
                    </w:rPr>
                  </w:pPr>
                  <w:r>
                    <w:rPr>
                      <w:rFonts w:eastAsia="宋体"/>
                      <w:b/>
                      <w:kern w:val="0"/>
                      <w:sz w:val="21"/>
                      <w:szCs w:val="21"/>
                    </w:rPr>
                    <w:t>最高允许</w:t>
                  </w:r>
                </w:p>
                <w:p w14:paraId="3D84918D">
                  <w:pPr>
                    <w:widowControl/>
                    <w:snapToGrid w:val="0"/>
                    <w:spacing w:line="240" w:lineRule="auto"/>
                    <w:jc w:val="center"/>
                    <w:rPr>
                      <w:rFonts w:eastAsia="宋体"/>
                      <w:b/>
                      <w:kern w:val="0"/>
                      <w:sz w:val="21"/>
                      <w:szCs w:val="21"/>
                    </w:rPr>
                  </w:pPr>
                  <w:r>
                    <w:rPr>
                      <w:rFonts w:eastAsia="宋体"/>
                      <w:b/>
                      <w:kern w:val="0"/>
                      <w:sz w:val="21"/>
                      <w:szCs w:val="21"/>
                    </w:rPr>
                    <w:t>排放速率kg/h</w:t>
                  </w:r>
                </w:p>
              </w:tc>
              <w:tc>
                <w:tcPr>
                  <w:tcW w:w="634" w:type="pct"/>
                  <w:vAlign w:val="center"/>
                </w:tcPr>
                <w:p w14:paraId="5E7D0BB9">
                  <w:pPr>
                    <w:widowControl/>
                    <w:snapToGrid w:val="0"/>
                    <w:spacing w:line="240" w:lineRule="auto"/>
                    <w:jc w:val="center"/>
                    <w:rPr>
                      <w:rFonts w:eastAsia="宋体"/>
                      <w:b/>
                      <w:kern w:val="0"/>
                      <w:sz w:val="21"/>
                      <w:szCs w:val="21"/>
                    </w:rPr>
                  </w:pPr>
                  <w:r>
                    <w:rPr>
                      <w:rFonts w:hint="eastAsia" w:eastAsia="宋体"/>
                      <w:b/>
                      <w:bCs/>
                      <w:sz w:val="21"/>
                      <w:szCs w:val="21"/>
                    </w:rPr>
                    <w:t>厂界无组织排放监控浓度限值（</w:t>
                  </w:r>
                  <w:r>
                    <w:rPr>
                      <w:rFonts w:eastAsia="宋体"/>
                      <w:b/>
                      <w:bCs/>
                      <w:sz w:val="21"/>
                      <w:szCs w:val="21"/>
                    </w:rPr>
                    <w:t>mg/m</w:t>
                  </w:r>
                  <w:r>
                    <w:rPr>
                      <w:rFonts w:eastAsia="宋体"/>
                      <w:b/>
                      <w:bCs/>
                      <w:sz w:val="21"/>
                      <w:szCs w:val="21"/>
                      <w:vertAlign w:val="superscript"/>
                    </w:rPr>
                    <w:t>3</w:t>
                  </w:r>
                  <w:r>
                    <w:rPr>
                      <w:rFonts w:hint="eastAsia" w:eastAsia="宋体"/>
                      <w:b/>
                      <w:bCs/>
                      <w:sz w:val="21"/>
                      <w:szCs w:val="21"/>
                    </w:rPr>
                    <w:t>）</w:t>
                  </w:r>
                </w:p>
              </w:tc>
              <w:tc>
                <w:tcPr>
                  <w:tcW w:w="1638" w:type="pct"/>
                  <w:vAlign w:val="center"/>
                </w:tcPr>
                <w:p w14:paraId="5961407F">
                  <w:pPr>
                    <w:widowControl/>
                    <w:snapToGrid w:val="0"/>
                    <w:spacing w:line="240" w:lineRule="auto"/>
                    <w:jc w:val="center"/>
                    <w:rPr>
                      <w:rFonts w:eastAsia="宋体"/>
                      <w:b/>
                      <w:kern w:val="0"/>
                      <w:sz w:val="21"/>
                      <w:szCs w:val="21"/>
                    </w:rPr>
                  </w:pPr>
                  <w:r>
                    <w:rPr>
                      <w:rFonts w:eastAsia="宋体"/>
                      <w:b/>
                      <w:kern w:val="0"/>
                      <w:sz w:val="21"/>
                      <w:szCs w:val="21"/>
                    </w:rPr>
                    <w:t>标准依据</w:t>
                  </w:r>
                </w:p>
              </w:tc>
            </w:tr>
            <w:tr w14:paraId="438A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93" w:type="pct"/>
                  <w:vMerge w:val="restart"/>
                  <w:vAlign w:val="center"/>
                </w:tcPr>
                <w:p w14:paraId="06EF3A34">
                  <w:pPr>
                    <w:spacing w:line="240" w:lineRule="auto"/>
                    <w:jc w:val="center"/>
                    <w:rPr>
                      <w:rFonts w:hint="eastAsia" w:eastAsia="宋体"/>
                      <w:bCs/>
                      <w:sz w:val="21"/>
                      <w:szCs w:val="21"/>
                    </w:rPr>
                  </w:pPr>
                  <w:r>
                    <w:rPr>
                      <w:rFonts w:hint="eastAsia"/>
                      <w:sz w:val="21"/>
                      <w:szCs w:val="21"/>
                      <w:lang w:val="en-US" w:eastAsia="zh-CN"/>
                    </w:rPr>
                    <w:t>渗锌、喷漆、封闭钝化（DA001）</w:t>
                  </w:r>
                </w:p>
              </w:tc>
              <w:tc>
                <w:tcPr>
                  <w:tcW w:w="693" w:type="pct"/>
                  <w:vAlign w:val="center"/>
                </w:tcPr>
                <w:p w14:paraId="18F27C06">
                  <w:pPr>
                    <w:spacing w:line="240" w:lineRule="auto"/>
                    <w:jc w:val="center"/>
                    <w:rPr>
                      <w:rFonts w:eastAsia="宋体"/>
                      <w:bCs/>
                      <w:sz w:val="21"/>
                      <w:szCs w:val="21"/>
                    </w:rPr>
                  </w:pPr>
                  <w:r>
                    <w:rPr>
                      <w:rFonts w:hint="eastAsia" w:eastAsia="宋体"/>
                      <w:bCs/>
                      <w:sz w:val="21"/>
                      <w:szCs w:val="21"/>
                    </w:rPr>
                    <w:t>颗粒物</w:t>
                  </w:r>
                </w:p>
              </w:tc>
              <w:tc>
                <w:tcPr>
                  <w:tcW w:w="520" w:type="pct"/>
                  <w:vAlign w:val="center"/>
                </w:tcPr>
                <w:p w14:paraId="2AA2B7E4">
                  <w:pPr>
                    <w:widowControl/>
                    <w:snapToGrid w:val="0"/>
                    <w:spacing w:line="240" w:lineRule="auto"/>
                    <w:jc w:val="center"/>
                    <w:rPr>
                      <w:rFonts w:eastAsia="宋体"/>
                      <w:kern w:val="0"/>
                      <w:sz w:val="21"/>
                      <w:szCs w:val="21"/>
                    </w:rPr>
                  </w:pPr>
                  <w:r>
                    <w:rPr>
                      <w:rFonts w:eastAsia="宋体"/>
                      <w:kern w:val="0"/>
                      <w:sz w:val="21"/>
                      <w:szCs w:val="21"/>
                    </w:rPr>
                    <w:t>30</w:t>
                  </w:r>
                </w:p>
              </w:tc>
              <w:tc>
                <w:tcPr>
                  <w:tcW w:w="820" w:type="pct"/>
                  <w:vAlign w:val="center"/>
                </w:tcPr>
                <w:p w14:paraId="4FC83DFC">
                  <w:pPr>
                    <w:widowControl/>
                    <w:snapToGrid w:val="0"/>
                    <w:spacing w:line="240" w:lineRule="auto"/>
                    <w:jc w:val="center"/>
                    <w:rPr>
                      <w:rFonts w:hint="eastAsia" w:eastAsia="宋体"/>
                      <w:kern w:val="0"/>
                      <w:sz w:val="21"/>
                      <w:szCs w:val="21"/>
                      <w:lang w:val="en-US" w:eastAsia="zh-CN"/>
                    </w:rPr>
                  </w:pPr>
                  <w:r>
                    <w:rPr>
                      <w:rFonts w:hint="eastAsia" w:eastAsia="宋体"/>
                      <w:kern w:val="0"/>
                      <w:sz w:val="21"/>
                      <w:szCs w:val="21"/>
                      <w:lang w:val="en-US" w:eastAsia="zh-CN"/>
                    </w:rPr>
                    <w:t>/</w:t>
                  </w:r>
                </w:p>
              </w:tc>
              <w:tc>
                <w:tcPr>
                  <w:tcW w:w="634" w:type="pct"/>
                  <w:vAlign w:val="center"/>
                </w:tcPr>
                <w:p w14:paraId="4D9AE290">
                  <w:pPr>
                    <w:spacing w:line="240" w:lineRule="auto"/>
                    <w:jc w:val="center"/>
                    <w:rPr>
                      <w:rFonts w:eastAsia="宋体"/>
                      <w:kern w:val="0"/>
                      <w:sz w:val="21"/>
                    </w:rPr>
                  </w:pPr>
                  <w:r>
                    <w:rPr>
                      <w:rFonts w:eastAsia="宋体"/>
                      <w:bCs/>
                      <w:sz w:val="21"/>
                      <w:szCs w:val="21"/>
                    </w:rPr>
                    <w:t>1.0</w:t>
                  </w:r>
                </w:p>
              </w:tc>
              <w:tc>
                <w:tcPr>
                  <w:tcW w:w="1638" w:type="pct"/>
                  <w:vMerge w:val="restart"/>
                  <w:vAlign w:val="center"/>
                </w:tcPr>
                <w:p w14:paraId="1599D6F1">
                  <w:pPr>
                    <w:widowControl/>
                    <w:snapToGrid w:val="0"/>
                    <w:spacing w:line="240" w:lineRule="auto"/>
                    <w:ind w:left="42" w:leftChars="20" w:right="42" w:rightChars="20"/>
                    <w:jc w:val="center"/>
                    <w:rPr>
                      <w:rFonts w:hint="eastAsia" w:eastAsia="宋体"/>
                      <w:kern w:val="0"/>
                      <w:sz w:val="21"/>
                      <w:szCs w:val="21"/>
                      <w:lang w:eastAsia="zh-CN"/>
                    </w:rPr>
                  </w:pPr>
                  <w:r>
                    <w:rPr>
                      <w:rFonts w:hint="eastAsia" w:eastAsia="宋体"/>
                      <w:kern w:val="0"/>
                      <w:sz w:val="21"/>
                    </w:rPr>
                    <w:t>《工业炉窑大气污染综合治理方案》（环大气[2019]56号）、</w:t>
                  </w:r>
                  <w:r>
                    <w:rPr>
                      <w:rFonts w:eastAsia="宋体"/>
                      <w:kern w:val="0"/>
                      <w:sz w:val="21"/>
                      <w:szCs w:val="21"/>
                    </w:rPr>
                    <w:t>《大气污染物综合排放标准》（GB16297-1996）</w:t>
                  </w:r>
                  <w:r>
                    <w:rPr>
                      <w:rFonts w:hint="eastAsia" w:eastAsia="宋体"/>
                      <w:kern w:val="0"/>
                      <w:sz w:val="21"/>
                      <w:szCs w:val="21"/>
                      <w:lang w:eastAsia="zh-CN"/>
                    </w:rPr>
                    <w:t>、</w:t>
                  </w:r>
                  <w:r>
                    <w:rPr>
                      <w:rFonts w:hint="eastAsia"/>
                      <w:sz w:val="21"/>
                      <w:szCs w:val="21"/>
                    </w:rPr>
                    <w:t>《固定源挥发性有机物综合排放标准 第6部分 其他行业》（DB34/4812.6-2024）</w:t>
                  </w:r>
                </w:p>
              </w:tc>
            </w:tr>
            <w:tr w14:paraId="6185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93" w:type="pct"/>
                  <w:vMerge w:val="continue"/>
                  <w:vAlign w:val="center"/>
                </w:tcPr>
                <w:p w14:paraId="50BBE2DE">
                  <w:pPr>
                    <w:spacing w:line="240" w:lineRule="auto"/>
                    <w:jc w:val="center"/>
                    <w:rPr>
                      <w:rFonts w:hint="eastAsia"/>
                      <w:sz w:val="21"/>
                      <w:szCs w:val="21"/>
                      <w:lang w:val="en-US" w:eastAsia="zh-CN"/>
                    </w:rPr>
                  </w:pPr>
                </w:p>
              </w:tc>
              <w:tc>
                <w:tcPr>
                  <w:tcW w:w="693" w:type="pct"/>
                  <w:shd w:val="clear" w:color="auto" w:fill="auto"/>
                  <w:vAlign w:val="center"/>
                </w:tcPr>
                <w:p w14:paraId="22E0978D">
                  <w:pPr>
                    <w:spacing w:line="240" w:lineRule="auto"/>
                    <w:jc w:val="center"/>
                    <w:rPr>
                      <w:rFonts w:hint="eastAsia" w:ascii="Times New Roman" w:hAnsi="Times New Roman" w:eastAsia="宋体" w:cs="Times New Roman"/>
                      <w:bCs/>
                      <w:kern w:val="2"/>
                      <w:sz w:val="21"/>
                      <w:szCs w:val="21"/>
                      <w:lang w:val="en-US" w:eastAsia="zh-CN" w:bidi="ar-SA"/>
                    </w:rPr>
                  </w:pPr>
                  <w:r>
                    <w:rPr>
                      <w:rFonts w:hint="eastAsia" w:eastAsia="宋体"/>
                      <w:bCs/>
                      <w:sz w:val="21"/>
                      <w:szCs w:val="21"/>
                    </w:rPr>
                    <w:t>二氧化硫</w:t>
                  </w:r>
                </w:p>
              </w:tc>
              <w:tc>
                <w:tcPr>
                  <w:tcW w:w="520" w:type="pct"/>
                  <w:shd w:val="clear" w:color="auto" w:fill="auto"/>
                  <w:vAlign w:val="center"/>
                </w:tcPr>
                <w:p w14:paraId="6DC915E5">
                  <w:pPr>
                    <w:widowControl/>
                    <w:snapToGrid w:val="0"/>
                    <w:spacing w:line="240" w:lineRule="auto"/>
                    <w:jc w:val="center"/>
                    <w:rPr>
                      <w:rFonts w:ascii="Times New Roman" w:hAnsi="Times New Roman" w:eastAsia="宋体" w:cs="Times New Roman"/>
                      <w:kern w:val="0"/>
                      <w:sz w:val="21"/>
                      <w:szCs w:val="21"/>
                      <w:lang w:val="en-US" w:eastAsia="zh-CN" w:bidi="ar-SA"/>
                    </w:rPr>
                  </w:pPr>
                  <w:r>
                    <w:rPr>
                      <w:rFonts w:hint="eastAsia" w:eastAsia="宋体"/>
                      <w:kern w:val="0"/>
                      <w:sz w:val="21"/>
                      <w:szCs w:val="21"/>
                      <w:lang w:val="en-US" w:eastAsia="zh-CN"/>
                    </w:rPr>
                    <w:t>2</w:t>
                  </w:r>
                  <w:r>
                    <w:rPr>
                      <w:rFonts w:hint="eastAsia" w:eastAsia="宋体"/>
                      <w:kern w:val="0"/>
                      <w:sz w:val="21"/>
                      <w:szCs w:val="21"/>
                    </w:rPr>
                    <w:t>00</w:t>
                  </w:r>
                </w:p>
              </w:tc>
              <w:tc>
                <w:tcPr>
                  <w:tcW w:w="820" w:type="pct"/>
                  <w:shd w:val="clear" w:color="auto" w:fill="auto"/>
                  <w:vAlign w:val="center"/>
                </w:tcPr>
                <w:p w14:paraId="70BB7829">
                  <w:pPr>
                    <w:widowControl/>
                    <w:snapToGrid w:val="0"/>
                    <w:spacing w:line="240" w:lineRule="auto"/>
                    <w:jc w:val="center"/>
                    <w:rPr>
                      <w:rFonts w:hint="eastAsia" w:ascii="Times New Roman" w:hAnsi="Times New Roman" w:eastAsia="宋体" w:cs="Times New Roman"/>
                      <w:kern w:val="0"/>
                      <w:sz w:val="21"/>
                      <w:szCs w:val="21"/>
                      <w:lang w:val="en-US" w:eastAsia="zh-CN" w:bidi="ar-SA"/>
                    </w:rPr>
                  </w:pPr>
                  <w:r>
                    <w:rPr>
                      <w:rFonts w:hint="eastAsia" w:eastAsia="宋体"/>
                      <w:kern w:val="0"/>
                      <w:sz w:val="21"/>
                      <w:szCs w:val="21"/>
                      <w:lang w:val="en-US" w:eastAsia="zh-CN"/>
                    </w:rPr>
                    <w:t>/</w:t>
                  </w:r>
                </w:p>
              </w:tc>
              <w:tc>
                <w:tcPr>
                  <w:tcW w:w="634" w:type="pct"/>
                  <w:shd w:val="clear" w:color="auto" w:fill="auto"/>
                  <w:vAlign w:val="center"/>
                </w:tcPr>
                <w:p w14:paraId="32DF9D52">
                  <w:pPr>
                    <w:spacing w:line="240" w:lineRule="auto"/>
                    <w:jc w:val="center"/>
                    <w:rPr>
                      <w:rFonts w:ascii="Times New Roman" w:hAnsi="Times New Roman" w:eastAsia="宋体" w:cs="Times New Roman"/>
                      <w:bCs/>
                      <w:kern w:val="2"/>
                      <w:sz w:val="21"/>
                      <w:szCs w:val="21"/>
                      <w:lang w:val="en-US" w:eastAsia="zh-CN" w:bidi="ar-SA"/>
                    </w:rPr>
                  </w:pPr>
                  <w:r>
                    <w:rPr>
                      <w:rFonts w:hint="eastAsia" w:eastAsia="宋体"/>
                      <w:bCs/>
                      <w:sz w:val="21"/>
                      <w:szCs w:val="21"/>
                    </w:rPr>
                    <w:t>0.4</w:t>
                  </w:r>
                </w:p>
              </w:tc>
              <w:tc>
                <w:tcPr>
                  <w:tcW w:w="1638" w:type="pct"/>
                  <w:vMerge w:val="continue"/>
                  <w:vAlign w:val="center"/>
                </w:tcPr>
                <w:p w14:paraId="484A795E">
                  <w:pPr>
                    <w:widowControl/>
                    <w:snapToGrid w:val="0"/>
                    <w:spacing w:line="240" w:lineRule="auto"/>
                    <w:ind w:left="42" w:leftChars="20" w:right="42" w:rightChars="20"/>
                    <w:jc w:val="center"/>
                    <w:rPr>
                      <w:rFonts w:hint="eastAsia" w:eastAsia="宋体"/>
                      <w:kern w:val="0"/>
                      <w:sz w:val="21"/>
                    </w:rPr>
                  </w:pPr>
                </w:p>
              </w:tc>
            </w:tr>
            <w:tr w14:paraId="0AA7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93" w:type="pct"/>
                  <w:vMerge w:val="continue"/>
                  <w:vAlign w:val="center"/>
                </w:tcPr>
                <w:p w14:paraId="3AE5CE89">
                  <w:pPr>
                    <w:spacing w:line="240" w:lineRule="auto"/>
                    <w:jc w:val="center"/>
                    <w:rPr>
                      <w:rFonts w:hint="eastAsia" w:eastAsia="宋体"/>
                      <w:bCs/>
                      <w:sz w:val="21"/>
                      <w:szCs w:val="21"/>
                    </w:rPr>
                  </w:pPr>
                </w:p>
              </w:tc>
              <w:tc>
                <w:tcPr>
                  <w:tcW w:w="693" w:type="pct"/>
                  <w:shd w:val="clear" w:color="auto" w:fill="auto"/>
                  <w:vAlign w:val="center"/>
                </w:tcPr>
                <w:p w14:paraId="29B40F42">
                  <w:pPr>
                    <w:spacing w:line="240" w:lineRule="auto"/>
                    <w:jc w:val="center"/>
                    <w:rPr>
                      <w:rFonts w:ascii="Times New Roman" w:hAnsi="Times New Roman" w:eastAsia="宋体" w:cs="Times New Roman"/>
                      <w:bCs/>
                      <w:kern w:val="2"/>
                      <w:sz w:val="21"/>
                      <w:szCs w:val="21"/>
                      <w:lang w:val="en-US" w:eastAsia="zh-CN" w:bidi="ar-SA"/>
                    </w:rPr>
                  </w:pPr>
                  <w:r>
                    <w:rPr>
                      <w:rFonts w:hint="eastAsia" w:eastAsia="宋体"/>
                      <w:bCs/>
                      <w:sz w:val="21"/>
                      <w:szCs w:val="21"/>
                    </w:rPr>
                    <w:t>氮氧化物</w:t>
                  </w:r>
                </w:p>
              </w:tc>
              <w:tc>
                <w:tcPr>
                  <w:tcW w:w="520" w:type="pct"/>
                  <w:shd w:val="clear" w:color="auto" w:fill="auto"/>
                  <w:vAlign w:val="center"/>
                </w:tcPr>
                <w:p w14:paraId="35B2410A">
                  <w:pPr>
                    <w:widowControl/>
                    <w:snapToGrid w:val="0"/>
                    <w:spacing w:line="240" w:lineRule="auto"/>
                    <w:jc w:val="center"/>
                    <w:rPr>
                      <w:rFonts w:ascii="Times New Roman" w:hAnsi="Times New Roman" w:eastAsia="宋体" w:cs="Times New Roman"/>
                      <w:kern w:val="0"/>
                      <w:sz w:val="21"/>
                      <w:szCs w:val="21"/>
                      <w:lang w:val="en-US" w:eastAsia="zh-CN" w:bidi="ar-SA"/>
                    </w:rPr>
                  </w:pPr>
                  <w:r>
                    <w:rPr>
                      <w:rFonts w:hint="eastAsia" w:eastAsia="宋体"/>
                      <w:kern w:val="0"/>
                      <w:sz w:val="21"/>
                      <w:szCs w:val="21"/>
                      <w:lang w:val="en-US" w:eastAsia="zh-CN"/>
                    </w:rPr>
                    <w:t>3</w:t>
                  </w:r>
                  <w:r>
                    <w:rPr>
                      <w:rFonts w:hint="eastAsia" w:eastAsia="宋体"/>
                      <w:kern w:val="0"/>
                      <w:sz w:val="21"/>
                      <w:szCs w:val="21"/>
                    </w:rPr>
                    <w:t>00</w:t>
                  </w:r>
                </w:p>
              </w:tc>
              <w:tc>
                <w:tcPr>
                  <w:tcW w:w="820" w:type="pct"/>
                  <w:shd w:val="clear" w:color="auto" w:fill="auto"/>
                  <w:vAlign w:val="center"/>
                </w:tcPr>
                <w:p w14:paraId="36C03D48">
                  <w:pPr>
                    <w:widowControl/>
                    <w:snapToGrid w:val="0"/>
                    <w:spacing w:line="240" w:lineRule="auto"/>
                    <w:jc w:val="center"/>
                    <w:rPr>
                      <w:rFonts w:hint="eastAsia" w:ascii="Times New Roman" w:hAnsi="Times New Roman" w:eastAsia="宋体" w:cs="Times New Roman"/>
                      <w:kern w:val="0"/>
                      <w:sz w:val="21"/>
                      <w:szCs w:val="21"/>
                      <w:lang w:val="en-US" w:eastAsia="zh-CN" w:bidi="ar-SA"/>
                    </w:rPr>
                  </w:pPr>
                  <w:r>
                    <w:rPr>
                      <w:rFonts w:hint="eastAsia" w:eastAsia="宋体"/>
                      <w:kern w:val="0"/>
                      <w:sz w:val="21"/>
                      <w:szCs w:val="21"/>
                      <w:lang w:val="en-US" w:eastAsia="zh-CN"/>
                    </w:rPr>
                    <w:t>/</w:t>
                  </w:r>
                </w:p>
              </w:tc>
              <w:tc>
                <w:tcPr>
                  <w:tcW w:w="634" w:type="pct"/>
                  <w:shd w:val="clear" w:color="auto" w:fill="auto"/>
                  <w:vAlign w:val="center"/>
                </w:tcPr>
                <w:p w14:paraId="1B8EA471">
                  <w:pPr>
                    <w:spacing w:line="240" w:lineRule="auto"/>
                    <w:jc w:val="center"/>
                    <w:rPr>
                      <w:rFonts w:ascii="Times New Roman" w:hAnsi="Times New Roman" w:eastAsia="宋体" w:cs="Times New Roman"/>
                      <w:bCs/>
                      <w:kern w:val="2"/>
                      <w:sz w:val="21"/>
                      <w:szCs w:val="21"/>
                      <w:lang w:val="en-US" w:eastAsia="zh-CN" w:bidi="ar-SA"/>
                    </w:rPr>
                  </w:pPr>
                  <w:r>
                    <w:rPr>
                      <w:rFonts w:hint="eastAsia" w:eastAsia="宋体"/>
                      <w:bCs/>
                      <w:sz w:val="21"/>
                      <w:szCs w:val="21"/>
                    </w:rPr>
                    <w:t>0.12</w:t>
                  </w:r>
                </w:p>
              </w:tc>
              <w:tc>
                <w:tcPr>
                  <w:tcW w:w="1638" w:type="pct"/>
                  <w:vMerge w:val="continue"/>
                  <w:vAlign w:val="center"/>
                </w:tcPr>
                <w:p w14:paraId="470ADDFD">
                  <w:pPr>
                    <w:widowControl/>
                    <w:snapToGrid w:val="0"/>
                    <w:spacing w:line="240" w:lineRule="auto"/>
                    <w:ind w:left="42" w:leftChars="20" w:right="42" w:rightChars="20"/>
                    <w:jc w:val="center"/>
                    <w:rPr>
                      <w:rFonts w:eastAsia="宋体"/>
                      <w:sz w:val="21"/>
                      <w:szCs w:val="21"/>
                    </w:rPr>
                  </w:pPr>
                </w:p>
              </w:tc>
            </w:tr>
            <w:tr w14:paraId="313C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93" w:type="pct"/>
                  <w:vMerge w:val="continue"/>
                  <w:vAlign w:val="center"/>
                </w:tcPr>
                <w:p w14:paraId="3B0B260B">
                  <w:pPr>
                    <w:spacing w:line="240" w:lineRule="auto"/>
                    <w:jc w:val="center"/>
                    <w:rPr>
                      <w:rFonts w:hint="eastAsia" w:eastAsia="宋体"/>
                      <w:bCs/>
                      <w:sz w:val="21"/>
                      <w:szCs w:val="21"/>
                    </w:rPr>
                  </w:pPr>
                </w:p>
              </w:tc>
              <w:tc>
                <w:tcPr>
                  <w:tcW w:w="693" w:type="pct"/>
                  <w:vAlign w:val="center"/>
                </w:tcPr>
                <w:p w14:paraId="523B3F29">
                  <w:pPr>
                    <w:spacing w:line="240" w:lineRule="auto"/>
                    <w:jc w:val="center"/>
                    <w:rPr>
                      <w:rFonts w:eastAsia="宋体"/>
                      <w:bCs/>
                      <w:sz w:val="21"/>
                      <w:szCs w:val="21"/>
                    </w:rPr>
                  </w:pPr>
                  <w:r>
                    <w:rPr>
                      <w:rFonts w:hint="eastAsia" w:eastAsia="宋体"/>
                      <w:bCs/>
                      <w:sz w:val="21"/>
                      <w:szCs w:val="21"/>
                    </w:rPr>
                    <w:t>非甲烷总烃</w:t>
                  </w:r>
                </w:p>
              </w:tc>
              <w:tc>
                <w:tcPr>
                  <w:tcW w:w="520" w:type="pct"/>
                  <w:vAlign w:val="center"/>
                </w:tcPr>
                <w:p w14:paraId="71A0E8A3">
                  <w:pPr>
                    <w:jc w:val="center"/>
                    <w:rPr>
                      <w:rFonts w:eastAsia="宋体"/>
                      <w:kern w:val="0"/>
                      <w:sz w:val="21"/>
                      <w:szCs w:val="21"/>
                    </w:rPr>
                  </w:pPr>
                  <w:r>
                    <w:rPr>
                      <w:rFonts w:hint="eastAsia"/>
                      <w:snapToGrid w:val="0"/>
                      <w:kern w:val="0"/>
                      <w:sz w:val="21"/>
                      <w:szCs w:val="21"/>
                    </w:rPr>
                    <w:t>70</w:t>
                  </w:r>
                </w:p>
              </w:tc>
              <w:tc>
                <w:tcPr>
                  <w:tcW w:w="820" w:type="pct"/>
                  <w:vAlign w:val="center"/>
                </w:tcPr>
                <w:p w14:paraId="7386E0CC">
                  <w:pPr>
                    <w:jc w:val="center"/>
                    <w:rPr>
                      <w:rFonts w:hint="eastAsia" w:eastAsia="宋体"/>
                      <w:kern w:val="0"/>
                      <w:sz w:val="21"/>
                      <w:szCs w:val="21"/>
                      <w:lang w:val="en-US" w:eastAsia="zh-CN"/>
                    </w:rPr>
                  </w:pPr>
                  <w:r>
                    <w:rPr>
                      <w:rFonts w:hint="eastAsia"/>
                      <w:snapToGrid w:val="0"/>
                      <w:kern w:val="0"/>
                      <w:sz w:val="21"/>
                      <w:szCs w:val="21"/>
                    </w:rPr>
                    <w:t>3.0</w:t>
                  </w:r>
                </w:p>
              </w:tc>
              <w:tc>
                <w:tcPr>
                  <w:tcW w:w="634" w:type="pct"/>
                  <w:vAlign w:val="center"/>
                </w:tcPr>
                <w:p w14:paraId="0591923B">
                  <w:pPr>
                    <w:spacing w:line="240" w:lineRule="auto"/>
                    <w:jc w:val="center"/>
                    <w:rPr>
                      <w:rFonts w:hint="default" w:eastAsia="宋体"/>
                      <w:bCs/>
                      <w:sz w:val="21"/>
                      <w:szCs w:val="21"/>
                      <w:lang w:val="en-US" w:eastAsia="zh-CN"/>
                    </w:rPr>
                  </w:pPr>
                  <w:r>
                    <w:rPr>
                      <w:rFonts w:hint="eastAsia" w:eastAsia="宋体"/>
                      <w:bCs/>
                      <w:sz w:val="21"/>
                      <w:szCs w:val="21"/>
                      <w:lang w:val="en-US" w:eastAsia="zh-CN"/>
                    </w:rPr>
                    <w:t>1.0</w:t>
                  </w:r>
                </w:p>
              </w:tc>
              <w:tc>
                <w:tcPr>
                  <w:tcW w:w="1638" w:type="pct"/>
                  <w:vMerge w:val="continue"/>
                  <w:vAlign w:val="center"/>
                </w:tcPr>
                <w:p w14:paraId="0149227F">
                  <w:pPr>
                    <w:widowControl/>
                    <w:snapToGrid w:val="0"/>
                    <w:spacing w:line="240" w:lineRule="auto"/>
                    <w:ind w:left="42" w:leftChars="20" w:right="42" w:rightChars="20"/>
                    <w:jc w:val="center"/>
                    <w:rPr>
                      <w:rFonts w:eastAsia="宋体"/>
                      <w:sz w:val="21"/>
                      <w:szCs w:val="21"/>
                    </w:rPr>
                  </w:pPr>
                </w:p>
              </w:tc>
            </w:tr>
            <w:tr w14:paraId="7864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693" w:type="pct"/>
                  <w:shd w:val="clear" w:color="auto" w:fill="auto"/>
                  <w:vAlign w:val="center"/>
                </w:tcPr>
                <w:p w14:paraId="16AFC521">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抛丸（DA002）</w:t>
                  </w:r>
                </w:p>
              </w:tc>
              <w:tc>
                <w:tcPr>
                  <w:tcW w:w="693" w:type="pct"/>
                  <w:shd w:val="clear" w:color="auto" w:fill="auto"/>
                  <w:vAlign w:val="center"/>
                </w:tcPr>
                <w:p w14:paraId="481112AC">
                  <w:pPr>
                    <w:jc w:val="center"/>
                    <w:rPr>
                      <w:rFonts w:hint="eastAsia" w:ascii="Times New Roman" w:hAnsi="Times New Roman" w:eastAsia="宋体" w:cs="Times New Roman"/>
                      <w:kern w:val="2"/>
                      <w:sz w:val="21"/>
                      <w:szCs w:val="21"/>
                      <w:lang w:val="en-US" w:eastAsia="zh-CN" w:bidi="ar-SA"/>
                    </w:rPr>
                  </w:pPr>
                  <w:r>
                    <w:rPr>
                      <w:sz w:val="21"/>
                      <w:szCs w:val="21"/>
                    </w:rPr>
                    <w:t>颗粒物</w:t>
                  </w:r>
                </w:p>
              </w:tc>
              <w:tc>
                <w:tcPr>
                  <w:tcW w:w="520" w:type="pct"/>
                  <w:shd w:val="clear" w:color="auto" w:fill="auto"/>
                  <w:vAlign w:val="center"/>
                </w:tcPr>
                <w:p w14:paraId="45EE2127">
                  <w:pPr>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 w:val="21"/>
                      <w:szCs w:val="21"/>
                    </w:rPr>
                    <w:t>120</w:t>
                  </w:r>
                </w:p>
              </w:tc>
              <w:tc>
                <w:tcPr>
                  <w:tcW w:w="820" w:type="pct"/>
                  <w:vAlign w:val="center"/>
                </w:tcPr>
                <w:p w14:paraId="2A818B79">
                  <w:pPr>
                    <w:jc w:val="center"/>
                    <w:rPr>
                      <w:rFonts w:hint="eastAsia" w:eastAsia="宋体"/>
                      <w:kern w:val="0"/>
                      <w:sz w:val="21"/>
                      <w:szCs w:val="21"/>
                    </w:rPr>
                  </w:pPr>
                  <w:r>
                    <w:rPr>
                      <w:rFonts w:hint="eastAsia"/>
                      <w:snapToGrid w:val="0"/>
                      <w:kern w:val="0"/>
                      <w:sz w:val="21"/>
                      <w:szCs w:val="21"/>
                    </w:rPr>
                    <w:t>3.5</w:t>
                  </w:r>
                </w:p>
              </w:tc>
              <w:tc>
                <w:tcPr>
                  <w:tcW w:w="634" w:type="pct"/>
                  <w:vAlign w:val="center"/>
                </w:tcPr>
                <w:p w14:paraId="06ACEEEC">
                  <w:pPr>
                    <w:spacing w:line="240" w:lineRule="auto"/>
                    <w:jc w:val="center"/>
                    <w:rPr>
                      <w:rFonts w:hint="eastAsia" w:eastAsia="宋体"/>
                      <w:bCs/>
                      <w:sz w:val="21"/>
                      <w:szCs w:val="21"/>
                    </w:rPr>
                  </w:pPr>
                  <w:r>
                    <w:rPr>
                      <w:rFonts w:eastAsia="宋体"/>
                      <w:bCs/>
                      <w:sz w:val="21"/>
                      <w:szCs w:val="21"/>
                    </w:rPr>
                    <w:t>1.0</w:t>
                  </w:r>
                </w:p>
              </w:tc>
              <w:tc>
                <w:tcPr>
                  <w:tcW w:w="1638" w:type="pct"/>
                  <w:vAlign w:val="center"/>
                </w:tcPr>
                <w:p w14:paraId="15771FDD">
                  <w:pPr>
                    <w:widowControl/>
                    <w:snapToGrid w:val="0"/>
                    <w:spacing w:line="240" w:lineRule="auto"/>
                    <w:ind w:left="42" w:leftChars="20" w:right="42" w:rightChars="20"/>
                    <w:jc w:val="center"/>
                    <w:rPr>
                      <w:rFonts w:eastAsia="宋体"/>
                      <w:sz w:val="21"/>
                      <w:szCs w:val="21"/>
                    </w:rPr>
                  </w:pPr>
                  <w:r>
                    <w:rPr>
                      <w:rFonts w:eastAsia="宋体"/>
                      <w:kern w:val="0"/>
                      <w:sz w:val="21"/>
                      <w:szCs w:val="21"/>
                    </w:rPr>
                    <w:t>《大气污染物综合排放标准》（GB16297-1996）</w:t>
                  </w:r>
                </w:p>
              </w:tc>
            </w:tr>
          </w:tbl>
          <w:p w14:paraId="1187B26F">
            <w:pPr>
              <w:widowControl/>
              <w:numPr>
                <w:ilvl w:val="0"/>
                <w:numId w:val="2"/>
              </w:numPr>
              <w:jc w:val="center"/>
              <w:rPr>
                <w:rFonts w:eastAsia="宋体"/>
                <w:b/>
                <w:sz w:val="21"/>
                <w:szCs w:val="21"/>
              </w:rPr>
            </w:pPr>
            <w:r>
              <w:rPr>
                <w:rFonts w:hint="eastAsia" w:eastAsia="宋体"/>
                <w:b/>
                <w:sz w:val="21"/>
                <w:szCs w:val="21"/>
              </w:rPr>
              <w:t>项目厂区内无组织排放限值要求</w:t>
            </w:r>
          </w:p>
          <w:tbl>
            <w:tblPr>
              <w:tblStyle w:val="24"/>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1"/>
              <w:gridCol w:w="1595"/>
              <w:gridCol w:w="1773"/>
              <w:gridCol w:w="2460"/>
            </w:tblGrid>
            <w:tr w14:paraId="059A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79B5B92B">
                  <w:pPr>
                    <w:spacing w:line="240" w:lineRule="auto"/>
                    <w:jc w:val="center"/>
                    <w:rPr>
                      <w:rFonts w:eastAsia="宋体"/>
                      <w:b/>
                      <w:bCs/>
                      <w:kern w:val="0"/>
                      <w:sz w:val="21"/>
                      <w:szCs w:val="18"/>
                    </w:rPr>
                  </w:pPr>
                  <w:r>
                    <w:rPr>
                      <w:rFonts w:hint="eastAsia" w:eastAsia="宋体"/>
                      <w:b/>
                      <w:bCs/>
                      <w:kern w:val="0"/>
                      <w:sz w:val="21"/>
                      <w:szCs w:val="18"/>
                    </w:rPr>
                    <w:t>污染物</w:t>
                  </w:r>
                </w:p>
              </w:tc>
              <w:tc>
                <w:tcPr>
                  <w:tcW w:w="1241" w:type="dxa"/>
                  <w:vAlign w:val="center"/>
                </w:tcPr>
                <w:p w14:paraId="7C38C0CB">
                  <w:pPr>
                    <w:spacing w:line="240" w:lineRule="auto"/>
                    <w:jc w:val="center"/>
                    <w:rPr>
                      <w:rFonts w:eastAsia="宋体"/>
                      <w:b/>
                      <w:bCs/>
                      <w:kern w:val="0"/>
                      <w:sz w:val="21"/>
                      <w:szCs w:val="18"/>
                    </w:rPr>
                  </w:pPr>
                  <w:r>
                    <w:rPr>
                      <w:rFonts w:hint="eastAsia" w:eastAsia="宋体"/>
                      <w:b/>
                      <w:bCs/>
                      <w:kern w:val="0"/>
                      <w:sz w:val="21"/>
                      <w:szCs w:val="18"/>
                    </w:rPr>
                    <w:t>特别排放限制</w:t>
                  </w:r>
                </w:p>
              </w:tc>
              <w:tc>
                <w:tcPr>
                  <w:tcW w:w="1595" w:type="dxa"/>
                  <w:vAlign w:val="center"/>
                </w:tcPr>
                <w:p w14:paraId="6D99BF8C">
                  <w:pPr>
                    <w:spacing w:line="240" w:lineRule="auto"/>
                    <w:jc w:val="center"/>
                    <w:rPr>
                      <w:rFonts w:eastAsia="宋体"/>
                      <w:b/>
                      <w:bCs/>
                      <w:kern w:val="0"/>
                      <w:sz w:val="21"/>
                      <w:szCs w:val="18"/>
                    </w:rPr>
                  </w:pPr>
                  <w:r>
                    <w:rPr>
                      <w:rFonts w:hint="eastAsia" w:eastAsia="宋体"/>
                      <w:b/>
                      <w:bCs/>
                      <w:kern w:val="0"/>
                      <w:sz w:val="21"/>
                      <w:szCs w:val="18"/>
                    </w:rPr>
                    <w:t>限值含义</w:t>
                  </w:r>
                </w:p>
              </w:tc>
              <w:tc>
                <w:tcPr>
                  <w:tcW w:w="1773" w:type="dxa"/>
                  <w:vAlign w:val="center"/>
                </w:tcPr>
                <w:p w14:paraId="48072740">
                  <w:pPr>
                    <w:spacing w:line="240" w:lineRule="auto"/>
                    <w:jc w:val="center"/>
                    <w:rPr>
                      <w:rFonts w:eastAsia="宋体"/>
                      <w:b/>
                      <w:bCs/>
                      <w:kern w:val="0"/>
                      <w:sz w:val="21"/>
                      <w:szCs w:val="18"/>
                    </w:rPr>
                  </w:pPr>
                  <w:r>
                    <w:rPr>
                      <w:rFonts w:hint="eastAsia" w:eastAsia="宋体"/>
                      <w:b/>
                      <w:bCs/>
                      <w:kern w:val="0"/>
                      <w:sz w:val="21"/>
                      <w:szCs w:val="18"/>
                    </w:rPr>
                    <w:t>无组织排放监控位置</w:t>
                  </w:r>
                </w:p>
              </w:tc>
              <w:tc>
                <w:tcPr>
                  <w:tcW w:w="2460" w:type="dxa"/>
                  <w:vAlign w:val="center"/>
                </w:tcPr>
                <w:p w14:paraId="1800A68F">
                  <w:pPr>
                    <w:spacing w:line="240" w:lineRule="auto"/>
                    <w:jc w:val="center"/>
                    <w:rPr>
                      <w:rFonts w:eastAsia="宋体"/>
                      <w:b/>
                      <w:bCs/>
                      <w:kern w:val="0"/>
                      <w:sz w:val="21"/>
                      <w:szCs w:val="18"/>
                    </w:rPr>
                  </w:pPr>
                  <w:r>
                    <w:rPr>
                      <w:rFonts w:hint="eastAsia" w:eastAsia="宋体"/>
                      <w:b/>
                      <w:bCs/>
                      <w:kern w:val="0"/>
                      <w:sz w:val="21"/>
                      <w:szCs w:val="18"/>
                    </w:rPr>
                    <w:t>标准来源</w:t>
                  </w:r>
                </w:p>
              </w:tc>
            </w:tr>
            <w:tr w14:paraId="6B6F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restart"/>
                  <w:vAlign w:val="center"/>
                </w:tcPr>
                <w:p w14:paraId="47756726">
                  <w:pPr>
                    <w:spacing w:line="240" w:lineRule="auto"/>
                    <w:jc w:val="center"/>
                    <w:rPr>
                      <w:rFonts w:eastAsia="宋体"/>
                      <w:kern w:val="0"/>
                      <w:sz w:val="21"/>
                      <w:szCs w:val="18"/>
                    </w:rPr>
                  </w:pPr>
                  <w:r>
                    <w:rPr>
                      <w:rFonts w:hint="eastAsia" w:eastAsia="宋体"/>
                      <w:sz w:val="21"/>
                      <w:szCs w:val="21"/>
                    </w:rPr>
                    <w:t>非甲烷总烃</w:t>
                  </w:r>
                </w:p>
              </w:tc>
              <w:tc>
                <w:tcPr>
                  <w:tcW w:w="1241" w:type="dxa"/>
                  <w:vAlign w:val="center"/>
                </w:tcPr>
                <w:p w14:paraId="7CDB1798">
                  <w:pPr>
                    <w:spacing w:line="240" w:lineRule="auto"/>
                    <w:jc w:val="center"/>
                    <w:rPr>
                      <w:rFonts w:eastAsia="宋体"/>
                      <w:kern w:val="0"/>
                      <w:sz w:val="21"/>
                      <w:szCs w:val="18"/>
                    </w:rPr>
                  </w:pPr>
                  <w:r>
                    <w:rPr>
                      <w:rFonts w:hint="eastAsia" w:eastAsia="宋体"/>
                      <w:kern w:val="0"/>
                      <w:sz w:val="21"/>
                      <w:szCs w:val="18"/>
                    </w:rPr>
                    <w:t>6</w:t>
                  </w:r>
                </w:p>
              </w:tc>
              <w:tc>
                <w:tcPr>
                  <w:tcW w:w="1595" w:type="dxa"/>
                  <w:vAlign w:val="center"/>
                </w:tcPr>
                <w:p w14:paraId="3EB8A0B0">
                  <w:pPr>
                    <w:spacing w:line="240" w:lineRule="auto"/>
                    <w:jc w:val="center"/>
                    <w:rPr>
                      <w:rFonts w:eastAsia="宋体"/>
                      <w:kern w:val="0"/>
                      <w:sz w:val="21"/>
                      <w:szCs w:val="18"/>
                    </w:rPr>
                  </w:pPr>
                  <w:r>
                    <w:rPr>
                      <w:rFonts w:hint="eastAsia" w:eastAsia="宋体"/>
                      <w:kern w:val="0"/>
                      <w:sz w:val="21"/>
                      <w:szCs w:val="18"/>
                    </w:rPr>
                    <w:t>监控点处1h平均浓度值</w:t>
                  </w:r>
                </w:p>
              </w:tc>
              <w:tc>
                <w:tcPr>
                  <w:tcW w:w="1773" w:type="dxa"/>
                  <w:vMerge w:val="restart"/>
                  <w:vAlign w:val="center"/>
                </w:tcPr>
                <w:p w14:paraId="2E577E1C">
                  <w:pPr>
                    <w:spacing w:line="240" w:lineRule="auto"/>
                    <w:jc w:val="center"/>
                    <w:rPr>
                      <w:rFonts w:eastAsia="宋体"/>
                      <w:kern w:val="0"/>
                      <w:sz w:val="21"/>
                      <w:szCs w:val="18"/>
                    </w:rPr>
                  </w:pPr>
                  <w:r>
                    <w:rPr>
                      <w:rFonts w:hint="eastAsia" w:eastAsia="宋体"/>
                      <w:kern w:val="0"/>
                      <w:sz w:val="21"/>
                      <w:szCs w:val="18"/>
                    </w:rPr>
                    <w:t>在厂房外设置监控点</w:t>
                  </w:r>
                </w:p>
              </w:tc>
              <w:tc>
                <w:tcPr>
                  <w:tcW w:w="2460" w:type="dxa"/>
                  <w:vMerge w:val="restart"/>
                  <w:vAlign w:val="center"/>
                </w:tcPr>
                <w:p w14:paraId="7280EC66">
                  <w:pPr>
                    <w:spacing w:line="240" w:lineRule="auto"/>
                    <w:jc w:val="center"/>
                    <w:rPr>
                      <w:rFonts w:eastAsia="宋体"/>
                      <w:kern w:val="0"/>
                      <w:sz w:val="21"/>
                      <w:szCs w:val="18"/>
                    </w:rPr>
                  </w:pPr>
                  <w:r>
                    <w:rPr>
                      <w:rFonts w:hint="eastAsia" w:eastAsia="宋体"/>
                      <w:kern w:val="0"/>
                      <w:sz w:val="21"/>
                      <w:szCs w:val="18"/>
                      <w:lang w:eastAsia="zh-CN"/>
                    </w:rPr>
                    <w:t>安徽省</w:t>
                  </w:r>
                  <w:r>
                    <w:rPr>
                      <w:rFonts w:hint="eastAsia" w:eastAsia="宋体"/>
                      <w:kern w:val="0"/>
                      <w:sz w:val="21"/>
                      <w:szCs w:val="18"/>
                    </w:rPr>
                    <w:t>《固定源挥发性有机物综合排放标准 第6部分 其他行业》（DB34/4812.6-2024）</w:t>
                  </w:r>
                </w:p>
              </w:tc>
            </w:tr>
            <w:tr w14:paraId="2EBB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continue"/>
                  <w:vAlign w:val="center"/>
                </w:tcPr>
                <w:p w14:paraId="3E9601DE">
                  <w:pPr>
                    <w:spacing w:line="240" w:lineRule="auto"/>
                    <w:jc w:val="center"/>
                    <w:rPr>
                      <w:rFonts w:eastAsia="宋体"/>
                      <w:kern w:val="0"/>
                      <w:sz w:val="21"/>
                      <w:szCs w:val="18"/>
                    </w:rPr>
                  </w:pPr>
                </w:p>
              </w:tc>
              <w:tc>
                <w:tcPr>
                  <w:tcW w:w="1241" w:type="dxa"/>
                  <w:vAlign w:val="center"/>
                </w:tcPr>
                <w:p w14:paraId="6AD7FE7D">
                  <w:pPr>
                    <w:spacing w:line="240" w:lineRule="auto"/>
                    <w:jc w:val="center"/>
                    <w:rPr>
                      <w:rFonts w:eastAsia="宋体"/>
                      <w:kern w:val="0"/>
                      <w:sz w:val="21"/>
                      <w:szCs w:val="18"/>
                    </w:rPr>
                  </w:pPr>
                  <w:r>
                    <w:rPr>
                      <w:rFonts w:hint="eastAsia" w:eastAsia="宋体"/>
                      <w:kern w:val="0"/>
                      <w:sz w:val="21"/>
                      <w:szCs w:val="18"/>
                    </w:rPr>
                    <w:t>20</w:t>
                  </w:r>
                </w:p>
              </w:tc>
              <w:tc>
                <w:tcPr>
                  <w:tcW w:w="1595" w:type="dxa"/>
                  <w:vAlign w:val="center"/>
                </w:tcPr>
                <w:p w14:paraId="3F7513A4">
                  <w:pPr>
                    <w:spacing w:line="240" w:lineRule="auto"/>
                    <w:jc w:val="center"/>
                    <w:rPr>
                      <w:rFonts w:eastAsia="宋体"/>
                      <w:kern w:val="0"/>
                      <w:sz w:val="21"/>
                      <w:szCs w:val="18"/>
                    </w:rPr>
                  </w:pPr>
                  <w:r>
                    <w:rPr>
                      <w:rFonts w:hint="eastAsia" w:eastAsia="宋体"/>
                      <w:kern w:val="0"/>
                      <w:sz w:val="21"/>
                      <w:szCs w:val="18"/>
                    </w:rPr>
                    <w:t>监控点处任意一次浓度值</w:t>
                  </w:r>
                </w:p>
              </w:tc>
              <w:tc>
                <w:tcPr>
                  <w:tcW w:w="1773" w:type="dxa"/>
                  <w:vMerge w:val="continue"/>
                  <w:vAlign w:val="center"/>
                </w:tcPr>
                <w:p w14:paraId="504863EC">
                  <w:pPr>
                    <w:spacing w:line="240" w:lineRule="auto"/>
                    <w:jc w:val="center"/>
                    <w:rPr>
                      <w:rFonts w:eastAsia="宋体"/>
                      <w:kern w:val="0"/>
                      <w:sz w:val="21"/>
                      <w:szCs w:val="18"/>
                    </w:rPr>
                  </w:pPr>
                </w:p>
              </w:tc>
              <w:tc>
                <w:tcPr>
                  <w:tcW w:w="2460" w:type="dxa"/>
                  <w:vMerge w:val="continue"/>
                  <w:vAlign w:val="center"/>
                </w:tcPr>
                <w:p w14:paraId="438D1A9A">
                  <w:pPr>
                    <w:spacing w:line="240" w:lineRule="auto"/>
                    <w:jc w:val="center"/>
                    <w:rPr>
                      <w:rFonts w:eastAsia="宋体"/>
                      <w:kern w:val="0"/>
                      <w:sz w:val="21"/>
                      <w:szCs w:val="18"/>
                    </w:rPr>
                  </w:pPr>
                </w:p>
              </w:tc>
            </w:tr>
          </w:tbl>
          <w:p w14:paraId="4094CEA7">
            <w:pPr>
              <w:spacing w:line="360" w:lineRule="auto"/>
              <w:ind w:firstLine="482" w:firstLineChars="200"/>
              <w:rPr>
                <w:b/>
                <w:bCs/>
                <w:sz w:val="24"/>
              </w:rPr>
            </w:pPr>
            <w:r>
              <w:rPr>
                <w:rFonts w:hint="eastAsia"/>
                <w:b/>
                <w:bCs/>
                <w:sz w:val="24"/>
                <w:lang w:val="en-US" w:eastAsia="zh-CN"/>
              </w:rPr>
              <w:t>三、</w:t>
            </w:r>
            <w:r>
              <w:rPr>
                <w:b/>
                <w:bCs/>
                <w:sz w:val="24"/>
              </w:rPr>
              <w:t>噪声</w:t>
            </w:r>
          </w:p>
          <w:p w14:paraId="7C9161FF">
            <w:pPr>
              <w:spacing w:line="360" w:lineRule="auto"/>
              <w:ind w:firstLine="480" w:firstLineChars="200"/>
              <w:rPr>
                <w:sz w:val="24"/>
              </w:rPr>
            </w:pPr>
            <w:r>
              <w:rPr>
                <w:rFonts w:hint="eastAsia"/>
                <w:sz w:val="24"/>
              </w:rPr>
              <w:t>本</w:t>
            </w:r>
            <w:r>
              <w:rPr>
                <w:sz w:val="24"/>
              </w:rPr>
              <w:t>项目厂界噪声排放执行《工业企业厂界环境噪声排放标准》（GB12348-2008）中</w:t>
            </w:r>
            <w:r>
              <w:rPr>
                <w:rFonts w:hint="eastAsia"/>
                <w:sz w:val="24"/>
              </w:rPr>
              <w:t>2</w:t>
            </w:r>
            <w:r>
              <w:rPr>
                <w:kern w:val="0"/>
                <w:sz w:val="24"/>
              </w:rPr>
              <w:t>类标准，具体</w:t>
            </w:r>
            <w:r>
              <w:rPr>
                <w:sz w:val="24"/>
              </w:rPr>
              <w:t>标准见下表。</w:t>
            </w:r>
          </w:p>
          <w:p w14:paraId="3C7A2D63">
            <w:pPr>
              <w:widowControl/>
              <w:numPr>
                <w:ilvl w:val="0"/>
                <w:numId w:val="2"/>
              </w:numPr>
              <w:jc w:val="center"/>
              <w:rPr>
                <w:b/>
                <w:kern w:val="0"/>
                <w:szCs w:val="21"/>
              </w:rPr>
            </w:pPr>
            <w:r>
              <w:rPr>
                <w:b/>
                <w:kern w:val="0"/>
                <w:szCs w:val="21"/>
              </w:rPr>
              <w:t>工业企业厂界环境噪声排放标准值   单位：dB（A）</w:t>
            </w:r>
          </w:p>
          <w:tbl>
            <w:tblPr>
              <w:tblStyle w:val="24"/>
              <w:tblW w:w="0" w:type="auto"/>
              <w:tblInd w:w="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421"/>
              <w:gridCol w:w="2583"/>
              <w:gridCol w:w="1975"/>
            </w:tblGrid>
            <w:tr w14:paraId="73BF2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2" w:hRule="exact"/>
              </w:trPr>
              <w:tc>
                <w:tcPr>
                  <w:tcW w:w="3421" w:type="dxa"/>
                  <w:noWrap w:val="0"/>
                  <w:vAlign w:val="center"/>
                </w:tcPr>
                <w:p w14:paraId="3015B205">
                  <w:pPr>
                    <w:jc w:val="center"/>
                    <w:rPr>
                      <w:b/>
                      <w:bCs/>
                      <w:szCs w:val="21"/>
                    </w:rPr>
                  </w:pPr>
                  <w:r>
                    <w:rPr>
                      <w:b/>
                      <w:szCs w:val="21"/>
                    </w:rPr>
                    <w:t>类别</w:t>
                  </w:r>
                </w:p>
              </w:tc>
              <w:tc>
                <w:tcPr>
                  <w:tcW w:w="2583" w:type="dxa"/>
                  <w:noWrap w:val="0"/>
                  <w:vAlign w:val="center"/>
                </w:tcPr>
                <w:p w14:paraId="20FFB329">
                  <w:pPr>
                    <w:jc w:val="center"/>
                    <w:rPr>
                      <w:b/>
                      <w:bCs/>
                      <w:szCs w:val="21"/>
                    </w:rPr>
                  </w:pPr>
                  <w:r>
                    <w:rPr>
                      <w:b/>
                      <w:bCs/>
                      <w:szCs w:val="21"/>
                    </w:rPr>
                    <w:t>昼间</w:t>
                  </w:r>
                </w:p>
              </w:tc>
              <w:tc>
                <w:tcPr>
                  <w:tcW w:w="1975" w:type="dxa"/>
                  <w:noWrap w:val="0"/>
                  <w:vAlign w:val="center"/>
                </w:tcPr>
                <w:p w14:paraId="590DACD2">
                  <w:pPr>
                    <w:jc w:val="center"/>
                    <w:rPr>
                      <w:b/>
                      <w:bCs/>
                      <w:szCs w:val="21"/>
                    </w:rPr>
                  </w:pPr>
                  <w:r>
                    <w:rPr>
                      <w:b/>
                      <w:bCs/>
                      <w:szCs w:val="21"/>
                    </w:rPr>
                    <w:t>夜间</w:t>
                  </w:r>
                </w:p>
              </w:tc>
            </w:tr>
            <w:tr w14:paraId="0EF8A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7" w:hRule="exact"/>
              </w:trPr>
              <w:tc>
                <w:tcPr>
                  <w:tcW w:w="3421" w:type="dxa"/>
                  <w:noWrap w:val="0"/>
                  <w:vAlign w:val="center"/>
                </w:tcPr>
                <w:p w14:paraId="5FCA538F">
                  <w:pPr>
                    <w:jc w:val="center"/>
                    <w:rPr>
                      <w:bCs/>
                      <w:szCs w:val="21"/>
                    </w:rPr>
                  </w:pPr>
                  <w:r>
                    <w:rPr>
                      <w:szCs w:val="21"/>
                    </w:rPr>
                    <w:t>GB12348-2008中</w:t>
                  </w:r>
                  <w:r>
                    <w:rPr>
                      <w:rFonts w:hint="eastAsia"/>
                      <w:szCs w:val="21"/>
                    </w:rPr>
                    <w:t>2</w:t>
                  </w:r>
                  <w:r>
                    <w:rPr>
                      <w:kern w:val="0"/>
                      <w:szCs w:val="21"/>
                    </w:rPr>
                    <w:t xml:space="preserve">类标准 </w:t>
                  </w:r>
                </w:p>
              </w:tc>
              <w:tc>
                <w:tcPr>
                  <w:tcW w:w="2583" w:type="dxa"/>
                  <w:noWrap w:val="0"/>
                  <w:vAlign w:val="center"/>
                </w:tcPr>
                <w:p w14:paraId="4DE4A683">
                  <w:pPr>
                    <w:jc w:val="center"/>
                    <w:rPr>
                      <w:rFonts w:hint="eastAsia"/>
                      <w:bCs/>
                      <w:szCs w:val="21"/>
                    </w:rPr>
                  </w:pPr>
                  <w:r>
                    <w:rPr>
                      <w:bCs/>
                      <w:szCs w:val="21"/>
                    </w:rPr>
                    <w:t>6</w:t>
                  </w:r>
                  <w:r>
                    <w:rPr>
                      <w:rFonts w:hint="eastAsia"/>
                      <w:bCs/>
                      <w:szCs w:val="21"/>
                    </w:rPr>
                    <w:t>0</w:t>
                  </w:r>
                </w:p>
              </w:tc>
              <w:tc>
                <w:tcPr>
                  <w:tcW w:w="1975" w:type="dxa"/>
                  <w:noWrap w:val="0"/>
                  <w:vAlign w:val="center"/>
                </w:tcPr>
                <w:p w14:paraId="4439743C">
                  <w:pPr>
                    <w:jc w:val="center"/>
                    <w:rPr>
                      <w:rFonts w:hint="eastAsia"/>
                      <w:bCs/>
                      <w:szCs w:val="21"/>
                    </w:rPr>
                  </w:pPr>
                  <w:r>
                    <w:rPr>
                      <w:bCs/>
                      <w:szCs w:val="21"/>
                    </w:rPr>
                    <w:t>5</w:t>
                  </w:r>
                  <w:r>
                    <w:rPr>
                      <w:rFonts w:hint="eastAsia"/>
                      <w:bCs/>
                      <w:szCs w:val="21"/>
                    </w:rPr>
                    <w:t>0</w:t>
                  </w:r>
                </w:p>
              </w:tc>
            </w:tr>
          </w:tbl>
          <w:p w14:paraId="49C67581">
            <w:pPr>
              <w:spacing w:line="360" w:lineRule="auto"/>
              <w:ind w:firstLine="482" w:firstLineChars="200"/>
              <w:rPr>
                <w:b/>
                <w:bCs/>
                <w:sz w:val="24"/>
              </w:rPr>
            </w:pPr>
            <w:r>
              <w:rPr>
                <w:rFonts w:hint="eastAsia"/>
                <w:b/>
                <w:bCs/>
                <w:sz w:val="24"/>
                <w:lang w:val="en-US" w:eastAsia="zh-CN"/>
              </w:rPr>
              <w:t>四、</w:t>
            </w:r>
            <w:r>
              <w:rPr>
                <w:b/>
                <w:bCs/>
                <w:sz w:val="24"/>
              </w:rPr>
              <w:t>固体废物</w:t>
            </w:r>
          </w:p>
          <w:p w14:paraId="4D12415D">
            <w:pPr>
              <w:spacing w:line="360" w:lineRule="auto"/>
              <w:ind w:firstLine="480" w:firstLineChars="200"/>
              <w:rPr>
                <w:rFonts w:ascii="宋体" w:hAnsi="宋体" w:cs="宋体"/>
                <w:kern w:val="0"/>
                <w:szCs w:val="21"/>
              </w:rPr>
            </w:pPr>
            <w:r>
              <w:rPr>
                <w:rFonts w:hint="eastAsia"/>
                <w:sz w:val="24"/>
              </w:rPr>
              <w:t>本项目固体废物贮存执行《中华人民共和国固体废物污染环境防治法》（中华人民共和国主席令第四十三号）要求；其中一般工业固废暂存参照《一般工业固体废物贮存和填埋污染控制标准》（GB18599-2020）标准要求；危险废物贮存执行《危险废物贮存污染控制标准》（GB18597-2023）要求。</w:t>
            </w:r>
          </w:p>
        </w:tc>
      </w:tr>
      <w:tr w14:paraId="22E9F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32DF0AC1">
            <w:pPr>
              <w:adjustRightInd w:val="0"/>
              <w:snapToGrid w:val="0"/>
              <w:jc w:val="center"/>
              <w:rPr>
                <w:rFonts w:hint="eastAsia" w:ascii="宋体" w:hAnsi="宋体" w:cs="宋体"/>
                <w:b/>
                <w:bCs/>
                <w:kern w:val="0"/>
                <w:szCs w:val="21"/>
              </w:rPr>
            </w:pPr>
            <w:r>
              <w:rPr>
                <w:rFonts w:hint="eastAsia" w:ascii="宋体" w:hAnsi="宋体" w:cs="宋体"/>
                <w:b/>
                <w:bCs/>
                <w:kern w:val="0"/>
                <w:szCs w:val="21"/>
              </w:rPr>
              <w:t>总量</w:t>
            </w:r>
          </w:p>
          <w:p w14:paraId="15FF2E53">
            <w:pPr>
              <w:adjustRightInd w:val="0"/>
              <w:snapToGrid w:val="0"/>
              <w:jc w:val="center"/>
              <w:rPr>
                <w:rFonts w:hint="eastAsia" w:ascii="宋体" w:hAnsi="宋体" w:cs="宋体"/>
                <w:b/>
                <w:bCs/>
                <w:kern w:val="0"/>
                <w:szCs w:val="21"/>
              </w:rPr>
            </w:pPr>
            <w:r>
              <w:rPr>
                <w:rFonts w:hint="eastAsia" w:ascii="宋体" w:hAnsi="宋体" w:cs="宋体"/>
                <w:b/>
                <w:bCs/>
                <w:kern w:val="0"/>
                <w:szCs w:val="21"/>
              </w:rPr>
              <w:t>控制</w:t>
            </w:r>
          </w:p>
          <w:p w14:paraId="3C092CB6">
            <w:pPr>
              <w:adjustRightInd w:val="0"/>
              <w:snapToGrid w:val="0"/>
              <w:jc w:val="center"/>
              <w:rPr>
                <w:rFonts w:ascii="宋体" w:hAnsi="宋体" w:cs="宋体"/>
                <w:b/>
                <w:bCs/>
                <w:kern w:val="0"/>
                <w:szCs w:val="21"/>
              </w:rPr>
            </w:pPr>
            <w:r>
              <w:rPr>
                <w:rFonts w:hint="eastAsia" w:ascii="宋体" w:hAnsi="宋体" w:cs="宋体"/>
                <w:b/>
                <w:bCs/>
                <w:kern w:val="0"/>
                <w:szCs w:val="21"/>
              </w:rPr>
              <w:t>指标</w:t>
            </w:r>
          </w:p>
        </w:tc>
        <w:tc>
          <w:tcPr>
            <w:tcW w:w="8190" w:type="dxa"/>
            <w:noWrap w:val="0"/>
            <w:vAlign w:val="center"/>
          </w:tcPr>
          <w:p w14:paraId="52DE157B">
            <w:pPr>
              <w:spacing w:line="360" w:lineRule="auto"/>
              <w:ind w:firstLine="480" w:firstLineChars="200"/>
              <w:rPr>
                <w:sz w:val="24"/>
              </w:rPr>
            </w:pPr>
            <w:r>
              <w:rPr>
                <w:sz w:val="24"/>
              </w:rPr>
              <w:t>本项目为</w:t>
            </w:r>
            <w:r>
              <w:rPr>
                <w:rFonts w:hint="eastAsia"/>
                <w:sz w:val="24"/>
              </w:rPr>
              <w:t>新建</w:t>
            </w:r>
            <w:r>
              <w:rPr>
                <w:sz w:val="24"/>
              </w:rPr>
              <w:t>项目，参照安徽省环保厅</w:t>
            </w:r>
            <w:r>
              <w:rPr>
                <w:sz w:val="24"/>
                <w:lang w:val="en-AU"/>
              </w:rPr>
              <w:t>《关于进一步加强建设项目新增大气主要污染物总量指标管理工作的通知》（皖环发[201</w:t>
            </w:r>
            <w:r>
              <w:rPr>
                <w:sz w:val="24"/>
              </w:rPr>
              <w:t>7</w:t>
            </w:r>
            <w:r>
              <w:rPr>
                <w:sz w:val="24"/>
                <w:lang w:val="en-AU"/>
              </w:rPr>
              <w:t>]</w:t>
            </w:r>
            <w:r>
              <w:rPr>
                <w:sz w:val="24"/>
              </w:rPr>
              <w:t>19</w:t>
            </w:r>
            <w:r>
              <w:rPr>
                <w:sz w:val="24"/>
                <w:lang w:val="en-AU"/>
              </w:rPr>
              <w:t>号）要求</w:t>
            </w:r>
            <w:r>
              <w:rPr>
                <w:sz w:val="24"/>
              </w:rPr>
              <w:t>，提出本项目总量控制指标为：</w:t>
            </w:r>
            <w:r>
              <w:rPr>
                <w:rFonts w:hint="eastAsia"/>
                <w:sz w:val="24"/>
              </w:rPr>
              <w:t>VOCs、</w:t>
            </w:r>
            <w:r>
              <w:rPr>
                <w:sz w:val="24"/>
              </w:rPr>
              <w:t>烟（粉）尘</w:t>
            </w:r>
            <w:r>
              <w:rPr>
                <w:rFonts w:hint="eastAsia"/>
                <w:sz w:val="24"/>
              </w:rPr>
              <w:t>、二氧化硫及氮氧化物</w:t>
            </w:r>
            <w:r>
              <w:rPr>
                <w:sz w:val="24"/>
              </w:rPr>
              <w:t>。</w:t>
            </w:r>
          </w:p>
          <w:p w14:paraId="06BF27A2">
            <w:pPr>
              <w:spacing w:line="360" w:lineRule="auto"/>
              <w:ind w:firstLine="480" w:firstLineChars="200"/>
              <w:rPr>
                <w:rFonts w:ascii="宋体" w:hAnsi="宋体" w:cs="宋体"/>
                <w:kern w:val="0"/>
                <w:szCs w:val="21"/>
              </w:rPr>
            </w:pPr>
            <w:r>
              <w:rPr>
                <w:rFonts w:hint="eastAsia"/>
                <w:sz w:val="24"/>
              </w:rPr>
              <w:t>根据工程分析，本项目污染物的排放总量建议指标：烟尘（颗粒物）：0.5326t/a；VOCs：0.0545t/a；二氧化硫：</w:t>
            </w:r>
            <w:r>
              <w:rPr>
                <w:rFonts w:hint="eastAsia"/>
                <w:sz w:val="24"/>
                <w:lang w:eastAsia="zh-CN"/>
              </w:rPr>
              <w:t>0.1658</w:t>
            </w:r>
            <w:r>
              <w:rPr>
                <w:rFonts w:hint="eastAsia"/>
                <w:sz w:val="24"/>
              </w:rPr>
              <w:t>t/a；氮氧化物：0.3865t/a。</w:t>
            </w:r>
          </w:p>
        </w:tc>
      </w:tr>
    </w:tbl>
    <w:p w14:paraId="60CED412">
      <w:pPr>
        <w:pStyle w:val="21"/>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1CE76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1997BC43">
            <w:pPr>
              <w:pStyle w:val="21"/>
              <w:adjustRightInd w:val="0"/>
              <w:snapToGrid w:val="0"/>
              <w:spacing w:before="0" w:beforeAutospacing="0" w:after="0" w:afterAutospacing="0"/>
              <w:jc w:val="center"/>
              <w:rPr>
                <w:rFonts w:hint="eastAsia" w:cs="宋体"/>
                <w:b/>
                <w:bCs/>
                <w:kern w:val="2"/>
                <w:sz w:val="21"/>
                <w:szCs w:val="21"/>
              </w:rPr>
            </w:pPr>
            <w:r>
              <w:rPr>
                <w:rFonts w:hint="eastAsia" w:cs="宋体"/>
                <w:b/>
                <w:bCs/>
                <w:kern w:val="2"/>
                <w:sz w:val="21"/>
                <w:szCs w:val="21"/>
              </w:rPr>
              <w:t>施工</w:t>
            </w:r>
          </w:p>
          <w:p w14:paraId="3B4C8121">
            <w:pPr>
              <w:pStyle w:val="21"/>
              <w:adjustRightInd w:val="0"/>
              <w:snapToGrid w:val="0"/>
              <w:spacing w:before="0" w:beforeAutospacing="0" w:after="0" w:afterAutospacing="0"/>
              <w:jc w:val="center"/>
              <w:rPr>
                <w:rFonts w:hint="eastAsia" w:cs="宋体"/>
                <w:b/>
                <w:bCs/>
                <w:kern w:val="2"/>
                <w:sz w:val="21"/>
                <w:szCs w:val="21"/>
              </w:rPr>
            </w:pPr>
            <w:r>
              <w:rPr>
                <w:rFonts w:hint="eastAsia" w:cs="宋体"/>
                <w:b/>
                <w:bCs/>
                <w:kern w:val="2"/>
                <w:sz w:val="21"/>
                <w:szCs w:val="21"/>
              </w:rPr>
              <w:t>期环</w:t>
            </w:r>
          </w:p>
          <w:p w14:paraId="63EE5D80">
            <w:pPr>
              <w:pStyle w:val="21"/>
              <w:adjustRightInd w:val="0"/>
              <w:snapToGrid w:val="0"/>
              <w:spacing w:before="0" w:beforeAutospacing="0" w:after="0" w:afterAutospacing="0"/>
              <w:jc w:val="center"/>
              <w:rPr>
                <w:rFonts w:hint="eastAsia" w:cs="宋体"/>
                <w:b/>
                <w:bCs/>
                <w:kern w:val="2"/>
                <w:sz w:val="21"/>
                <w:szCs w:val="21"/>
              </w:rPr>
            </w:pPr>
            <w:r>
              <w:rPr>
                <w:rFonts w:hint="eastAsia" w:cs="宋体"/>
                <w:b/>
                <w:bCs/>
                <w:kern w:val="2"/>
                <w:sz w:val="21"/>
                <w:szCs w:val="21"/>
              </w:rPr>
              <w:t>境保</w:t>
            </w:r>
          </w:p>
          <w:p w14:paraId="6C77ACCC">
            <w:pPr>
              <w:pStyle w:val="21"/>
              <w:adjustRightInd w:val="0"/>
              <w:snapToGrid w:val="0"/>
              <w:spacing w:before="0" w:beforeAutospacing="0" w:after="0" w:afterAutospacing="0"/>
              <w:jc w:val="center"/>
              <w:rPr>
                <w:rFonts w:hint="eastAsia" w:cs="宋体"/>
                <w:b/>
                <w:bCs/>
                <w:kern w:val="2"/>
                <w:sz w:val="21"/>
                <w:szCs w:val="21"/>
              </w:rPr>
            </w:pPr>
            <w:r>
              <w:rPr>
                <w:rFonts w:hint="eastAsia" w:cs="宋体"/>
                <w:b/>
                <w:bCs/>
                <w:kern w:val="2"/>
                <w:sz w:val="21"/>
                <w:szCs w:val="21"/>
              </w:rPr>
              <w:t>护措</w:t>
            </w:r>
          </w:p>
          <w:p w14:paraId="51B037BD">
            <w:pPr>
              <w:pStyle w:val="21"/>
              <w:adjustRightInd w:val="0"/>
              <w:snapToGrid w:val="0"/>
              <w:spacing w:before="0" w:beforeAutospacing="0" w:after="0" w:afterAutospacing="0"/>
              <w:jc w:val="center"/>
              <w:rPr>
                <w:rFonts w:hint="eastAsia" w:cs="宋体"/>
                <w:b/>
                <w:bCs/>
                <w:kern w:val="2"/>
                <w:sz w:val="21"/>
                <w:szCs w:val="21"/>
              </w:rPr>
            </w:pPr>
            <w:r>
              <w:rPr>
                <w:rFonts w:hint="eastAsia" w:cs="宋体"/>
                <w:b/>
                <w:bCs/>
                <w:kern w:val="2"/>
                <w:sz w:val="21"/>
                <w:szCs w:val="21"/>
              </w:rPr>
              <w:t>施</w:t>
            </w:r>
          </w:p>
        </w:tc>
        <w:tc>
          <w:tcPr>
            <w:tcW w:w="8162" w:type="dxa"/>
            <w:noWrap w:val="0"/>
            <w:vAlign w:val="center"/>
          </w:tcPr>
          <w:p w14:paraId="5913AE27">
            <w:pPr>
              <w:adjustRightInd w:val="0"/>
              <w:snapToGrid w:val="0"/>
              <w:spacing w:line="360" w:lineRule="auto"/>
              <w:ind w:firstLine="480" w:firstLineChars="200"/>
              <w:rPr>
                <w:szCs w:val="21"/>
              </w:rPr>
            </w:pPr>
            <w:r>
              <w:rPr>
                <w:rFonts w:hint="eastAsia"/>
                <w:sz w:val="24"/>
              </w:rPr>
              <w:t>本工程租赁乡村振兴产业园标准化厂房</w:t>
            </w:r>
            <w:r>
              <w:rPr>
                <w:sz w:val="24"/>
              </w:rPr>
              <w:t>进行</w:t>
            </w:r>
            <w:r>
              <w:rPr>
                <w:rFonts w:hint="eastAsia"/>
                <w:sz w:val="24"/>
              </w:rPr>
              <w:t>生产</w:t>
            </w:r>
            <w:r>
              <w:rPr>
                <w:sz w:val="24"/>
              </w:rPr>
              <w:t>，</w:t>
            </w:r>
            <w:r>
              <w:rPr>
                <w:rFonts w:hint="eastAsia"/>
                <w:sz w:val="24"/>
              </w:rPr>
              <w:t>目前厂房、供水、供电、排水、道路等基础工程已经全部建成。施工期的主要工作是设备的安装和调试。施工期产生的施工垃圾等固体废物委托物资回收公司处理，施工期施工人员生活污水依托现有厂房化粪池预处理，设备安装、调试产生的噪声通过设备减振、厂房隔声等降噪措施。</w:t>
            </w:r>
          </w:p>
        </w:tc>
      </w:tr>
      <w:tr w14:paraId="2C507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0021FADC">
            <w:pPr>
              <w:adjustRightInd w:val="0"/>
              <w:snapToGrid w:val="0"/>
              <w:jc w:val="center"/>
              <w:rPr>
                <w:rFonts w:hint="eastAsia" w:ascii="宋体" w:hAnsi="宋体" w:cs="宋体"/>
                <w:b/>
                <w:bCs/>
                <w:szCs w:val="21"/>
              </w:rPr>
            </w:pPr>
            <w:r>
              <w:rPr>
                <w:rFonts w:hint="eastAsia" w:ascii="宋体" w:hAnsi="宋体" w:cs="宋体"/>
                <w:b/>
                <w:bCs/>
                <w:szCs w:val="21"/>
              </w:rPr>
              <w:t>运营</w:t>
            </w:r>
          </w:p>
          <w:p w14:paraId="727513EE">
            <w:pPr>
              <w:adjustRightInd w:val="0"/>
              <w:snapToGrid w:val="0"/>
              <w:jc w:val="center"/>
              <w:rPr>
                <w:rFonts w:hint="eastAsia" w:ascii="宋体" w:hAnsi="宋体" w:cs="宋体"/>
                <w:b/>
                <w:bCs/>
                <w:szCs w:val="21"/>
              </w:rPr>
            </w:pPr>
            <w:r>
              <w:rPr>
                <w:rFonts w:hint="eastAsia" w:ascii="宋体" w:hAnsi="宋体" w:cs="宋体"/>
                <w:b/>
                <w:bCs/>
                <w:szCs w:val="21"/>
              </w:rPr>
              <w:t>期环</w:t>
            </w:r>
          </w:p>
          <w:p w14:paraId="4A9C645A">
            <w:pPr>
              <w:adjustRightInd w:val="0"/>
              <w:snapToGrid w:val="0"/>
              <w:jc w:val="center"/>
              <w:rPr>
                <w:rFonts w:hint="eastAsia" w:ascii="宋体" w:hAnsi="宋体" w:cs="宋体"/>
                <w:b/>
                <w:bCs/>
                <w:szCs w:val="21"/>
              </w:rPr>
            </w:pPr>
            <w:r>
              <w:rPr>
                <w:rFonts w:hint="eastAsia" w:ascii="宋体" w:hAnsi="宋体" w:cs="宋体"/>
                <w:b/>
                <w:bCs/>
                <w:szCs w:val="21"/>
              </w:rPr>
              <w:t>境影</w:t>
            </w:r>
          </w:p>
          <w:p w14:paraId="2202D7E2">
            <w:pPr>
              <w:adjustRightInd w:val="0"/>
              <w:snapToGrid w:val="0"/>
              <w:jc w:val="center"/>
              <w:rPr>
                <w:rFonts w:hint="eastAsia" w:ascii="宋体" w:hAnsi="宋体" w:cs="宋体"/>
                <w:b/>
                <w:bCs/>
                <w:szCs w:val="21"/>
              </w:rPr>
            </w:pPr>
            <w:r>
              <w:rPr>
                <w:rFonts w:hint="eastAsia" w:ascii="宋体" w:hAnsi="宋体" w:cs="宋体"/>
                <w:b/>
                <w:bCs/>
                <w:szCs w:val="21"/>
              </w:rPr>
              <w:t>响和</w:t>
            </w:r>
          </w:p>
          <w:p w14:paraId="41A56D95">
            <w:pPr>
              <w:adjustRightInd w:val="0"/>
              <w:snapToGrid w:val="0"/>
              <w:jc w:val="center"/>
              <w:rPr>
                <w:rFonts w:hint="eastAsia" w:ascii="宋体" w:hAnsi="宋体" w:cs="宋体"/>
                <w:b/>
                <w:bCs/>
                <w:szCs w:val="21"/>
              </w:rPr>
            </w:pPr>
            <w:r>
              <w:rPr>
                <w:rFonts w:hint="eastAsia" w:ascii="宋体" w:hAnsi="宋体" w:cs="宋体"/>
                <w:b/>
                <w:bCs/>
                <w:szCs w:val="21"/>
              </w:rPr>
              <w:t>保护</w:t>
            </w:r>
          </w:p>
          <w:p w14:paraId="7A3993D1">
            <w:pPr>
              <w:adjustRightInd w:val="0"/>
              <w:snapToGrid w:val="0"/>
              <w:jc w:val="center"/>
              <w:rPr>
                <w:rFonts w:ascii="宋体" w:hAnsi="宋体" w:cs="宋体"/>
                <w:b/>
                <w:bCs/>
                <w:szCs w:val="21"/>
              </w:rPr>
            </w:pPr>
            <w:r>
              <w:rPr>
                <w:rFonts w:hint="eastAsia" w:ascii="宋体" w:hAnsi="宋体" w:cs="宋体"/>
                <w:b/>
                <w:bCs/>
                <w:szCs w:val="21"/>
              </w:rPr>
              <w:t>措施</w:t>
            </w:r>
          </w:p>
        </w:tc>
        <w:tc>
          <w:tcPr>
            <w:tcW w:w="8162" w:type="dxa"/>
            <w:noWrap w:val="0"/>
            <w:vAlign w:val="center"/>
          </w:tcPr>
          <w:p w14:paraId="59AAB4DF">
            <w:pPr>
              <w:widowControl/>
              <w:spacing w:line="360" w:lineRule="auto"/>
              <w:ind w:firstLine="482" w:firstLineChars="200"/>
              <w:rPr>
                <w:rFonts w:hint="eastAsia"/>
                <w:b/>
                <w:bCs/>
                <w:kern w:val="0"/>
                <w:sz w:val="24"/>
                <w:lang w:bidi="ar"/>
              </w:rPr>
            </w:pPr>
            <w:r>
              <w:rPr>
                <w:rFonts w:hint="eastAsia"/>
                <w:b/>
                <w:bCs/>
                <w:kern w:val="0"/>
                <w:sz w:val="24"/>
                <w:lang w:bidi="ar"/>
              </w:rPr>
              <w:t>4.1废气</w:t>
            </w:r>
          </w:p>
          <w:p w14:paraId="1A371280">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本项目废气主要为</w:t>
            </w:r>
            <w:r>
              <w:rPr>
                <w:rFonts w:hint="default" w:ascii="Times New Roman" w:hAnsi="Times New Roman" w:eastAsia="宋体" w:cs="Times New Roman"/>
                <w:sz w:val="24"/>
                <w:szCs w:val="24"/>
                <w:lang w:val="en-US" w:eastAsia="zh-CN"/>
              </w:rPr>
              <w:t>切割粉尘</w:t>
            </w:r>
            <w:r>
              <w:rPr>
                <w:rFonts w:hint="default" w:ascii="Times New Roman" w:hAnsi="Times New Roman" w:eastAsia="宋体" w:cs="Times New Roman"/>
                <w:sz w:val="24"/>
                <w:szCs w:val="24"/>
              </w:rPr>
              <w:t>、焊接</w:t>
            </w:r>
            <w:r>
              <w:rPr>
                <w:rFonts w:hint="default" w:ascii="Times New Roman" w:hAnsi="Times New Roman" w:eastAsia="宋体" w:cs="Times New Roman"/>
                <w:sz w:val="24"/>
                <w:szCs w:val="24"/>
                <w:lang w:val="en-US" w:eastAsia="zh-CN"/>
              </w:rPr>
              <w:t>烟尘</w:t>
            </w:r>
            <w:r>
              <w:rPr>
                <w:rFonts w:hint="default" w:ascii="Times New Roman" w:hAnsi="Times New Roman" w:eastAsia="宋体" w:cs="Times New Roman"/>
                <w:sz w:val="24"/>
                <w:szCs w:val="24"/>
              </w:rPr>
              <w:t>、抛丸</w:t>
            </w:r>
            <w:r>
              <w:rPr>
                <w:rFonts w:hint="default" w:ascii="Times New Roman" w:hAnsi="Times New Roman" w:eastAsia="宋体" w:cs="Times New Roman"/>
                <w:sz w:val="24"/>
                <w:szCs w:val="24"/>
                <w:lang w:val="en-US" w:eastAsia="zh-CN"/>
              </w:rPr>
              <w:t>粉尘</w:t>
            </w:r>
            <w:r>
              <w:rPr>
                <w:rFonts w:hint="default" w:ascii="Times New Roman" w:hAnsi="Times New Roman" w:eastAsia="宋体" w:cs="Times New Roman"/>
                <w:sz w:val="24"/>
                <w:szCs w:val="24"/>
              </w:rPr>
              <w:t>、渗锌</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喷漆</w:t>
            </w:r>
            <w:r>
              <w:rPr>
                <w:rFonts w:hint="default" w:ascii="Times New Roman" w:hAnsi="Times New Roman" w:eastAsia="宋体" w:cs="Times New Roman"/>
                <w:sz w:val="24"/>
                <w:szCs w:val="24"/>
              </w:rPr>
              <w:t>废气、</w:t>
            </w:r>
            <w:r>
              <w:rPr>
                <w:rFonts w:hint="default" w:ascii="Times New Roman" w:hAnsi="Times New Roman" w:eastAsia="宋体" w:cs="Times New Roman"/>
                <w:sz w:val="24"/>
                <w:szCs w:val="24"/>
                <w:lang w:val="en-US" w:eastAsia="zh-CN"/>
              </w:rPr>
              <w:t>封闭</w:t>
            </w:r>
            <w:r>
              <w:rPr>
                <w:rFonts w:hint="default" w:ascii="Times New Roman" w:hAnsi="Times New Roman" w:eastAsia="宋体" w:cs="Times New Roman"/>
                <w:sz w:val="24"/>
                <w:szCs w:val="24"/>
              </w:rPr>
              <w:t>废气。</w:t>
            </w:r>
          </w:p>
          <w:p w14:paraId="2DA46FCB">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lang w:eastAsia="zh-CN"/>
              </w:rPr>
            </w:pPr>
            <w:bookmarkStart w:id="5" w:name="_Hlk184995462"/>
            <w:r>
              <w:rPr>
                <w:rFonts w:hint="default" w:ascii="Times New Roman" w:hAnsi="Times New Roman" w:eastAsia="宋体" w:cs="Times New Roman"/>
                <w:sz w:val="24"/>
                <w:szCs w:val="24"/>
              </w:rPr>
              <w:t>（1）切割</w:t>
            </w:r>
            <w:r>
              <w:rPr>
                <w:rFonts w:hint="default" w:ascii="Times New Roman" w:hAnsi="Times New Roman" w:eastAsia="宋体" w:cs="Times New Roman"/>
                <w:sz w:val="24"/>
                <w:szCs w:val="24"/>
                <w:lang w:val="en-US" w:eastAsia="zh-CN"/>
              </w:rPr>
              <w:t>粉尘</w:t>
            </w:r>
          </w:p>
          <w:p w14:paraId="370AB295">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项目切割粉尘</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sz w:val="24"/>
                <w:szCs w:val="24"/>
              </w:rPr>
              <w:t>切割机自带</w:t>
            </w:r>
            <w:r>
              <w:rPr>
                <w:rFonts w:hint="default" w:ascii="Times New Roman" w:hAnsi="Times New Roman" w:eastAsia="宋体" w:cs="Times New Roman"/>
                <w:sz w:val="24"/>
                <w:szCs w:val="24"/>
                <w:lang w:val="en-US" w:eastAsia="zh-CN"/>
              </w:rPr>
              <w:t>集气罩收集后经设备自带</w:t>
            </w:r>
            <w:r>
              <w:rPr>
                <w:rFonts w:hint="default" w:ascii="Times New Roman" w:hAnsi="Times New Roman" w:eastAsia="宋体" w:cs="Times New Roman"/>
                <w:sz w:val="24"/>
                <w:szCs w:val="24"/>
              </w:rPr>
              <w:t>除尘器处理，处理后</w:t>
            </w:r>
            <w:r>
              <w:rPr>
                <w:rFonts w:hint="default" w:ascii="Times New Roman" w:hAnsi="Times New Roman" w:eastAsia="宋体" w:cs="Times New Roman"/>
                <w:sz w:val="24"/>
                <w:szCs w:val="24"/>
                <w:lang w:val="en-US" w:eastAsia="zh-CN"/>
              </w:rPr>
              <w:t>车间内</w:t>
            </w:r>
            <w:r>
              <w:rPr>
                <w:rFonts w:hint="default" w:ascii="Times New Roman" w:hAnsi="Times New Roman" w:eastAsia="宋体" w:cs="Times New Roman"/>
                <w:sz w:val="24"/>
                <w:szCs w:val="24"/>
              </w:rPr>
              <w:t>无组织排放。</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bCs/>
                <w:color w:val="auto"/>
                <w:kern w:val="0"/>
                <w:sz w:val="24"/>
                <w:szCs w:val="24"/>
                <w:lang w:val="en-US" w:eastAsia="zh-CN" w:bidi="ar-SA"/>
              </w:rPr>
              <w:t>《排放源统计调查产排污核算方法和系数手册》中“下料-下料件-钢板-等离子切割”</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颗粒物的</w:t>
            </w:r>
            <w:r>
              <w:rPr>
                <w:rFonts w:hint="default" w:ascii="Times New Roman" w:hAnsi="Times New Roman" w:eastAsia="宋体" w:cs="Times New Roman"/>
                <w:sz w:val="24"/>
                <w:szCs w:val="24"/>
              </w:rPr>
              <w:t>产污系数为1.1kg/t-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rPr>
              <w:t>，本项目原料用量约为7000t，则切割粉尘产生量为7.7t/a（</w:t>
            </w:r>
            <w:r>
              <w:rPr>
                <w:rFonts w:hint="default" w:ascii="Times New Roman" w:hAnsi="Times New Roman" w:eastAsia="宋体" w:cs="Times New Roman"/>
                <w:sz w:val="24"/>
                <w:szCs w:val="24"/>
                <w:lang w:val="en-US" w:eastAsia="zh-CN"/>
              </w:rPr>
              <w:t>产生速率</w:t>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7kg/h），</w:t>
            </w:r>
            <w:r>
              <w:rPr>
                <w:rFonts w:hint="default"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rPr>
              <w:t>收集效率按90%计算，</w:t>
            </w:r>
            <w:r>
              <w:rPr>
                <w:rFonts w:hint="default" w:ascii="Times New Roman" w:hAnsi="Times New Roman" w:eastAsia="宋体" w:cs="Times New Roman"/>
                <w:sz w:val="24"/>
                <w:szCs w:val="24"/>
                <w:lang w:val="en-US" w:eastAsia="zh-CN"/>
              </w:rPr>
              <w:t>袋式</w:t>
            </w:r>
            <w:r>
              <w:rPr>
                <w:rFonts w:hint="default" w:ascii="Times New Roman" w:hAnsi="Times New Roman" w:eastAsia="宋体" w:cs="Times New Roman"/>
                <w:sz w:val="24"/>
                <w:szCs w:val="24"/>
              </w:rPr>
              <w:t>除尘器净化效率按95%计算，则经处理后切割粉尘排放量为1.1</w:t>
            </w:r>
            <w:r>
              <w:rPr>
                <w:rFonts w:hint="default" w:ascii="Times New Roman" w:hAnsi="Times New Roman" w:eastAsia="宋体" w:cs="Times New Roman"/>
                <w:sz w:val="24"/>
                <w:szCs w:val="24"/>
                <w:lang w:val="en-US" w:eastAsia="zh-CN"/>
              </w:rPr>
              <w:t>165</w:t>
            </w:r>
            <w:r>
              <w:rPr>
                <w:rFonts w:hint="default" w:ascii="Times New Roman" w:hAnsi="Times New Roman" w:eastAsia="宋体" w:cs="Times New Roman"/>
                <w:sz w:val="24"/>
                <w:szCs w:val="24"/>
              </w:rPr>
              <w:t>t/a（包括未收集直接无组织</w:t>
            </w:r>
            <w:r>
              <w:rPr>
                <w:rFonts w:hint="default" w:ascii="Times New Roman" w:hAnsi="Times New Roman" w:eastAsia="宋体" w:cs="Times New Roman"/>
                <w:sz w:val="24"/>
                <w:szCs w:val="24"/>
                <w:lang w:val="en-US" w:eastAsia="zh-CN"/>
              </w:rPr>
              <w:t>排放</w:t>
            </w:r>
            <w:r>
              <w:rPr>
                <w:rFonts w:hint="default" w:ascii="Times New Roman" w:hAnsi="Times New Roman" w:eastAsia="宋体" w:cs="Times New Roman"/>
                <w:sz w:val="24"/>
                <w:szCs w:val="24"/>
              </w:rPr>
              <w:t>的</w:t>
            </w:r>
            <w:r>
              <w:rPr>
                <w:rFonts w:hint="default" w:ascii="Times New Roman" w:hAnsi="Times New Roman" w:eastAsia="宋体" w:cs="Times New Roman"/>
                <w:sz w:val="24"/>
                <w:szCs w:val="24"/>
                <w:lang w:val="en-US" w:eastAsia="zh-CN"/>
              </w:rPr>
              <w:t>粉尘</w:t>
            </w:r>
            <w:r>
              <w:rPr>
                <w:rFonts w:hint="default" w:ascii="Times New Roman" w:hAnsi="Times New Roman" w:eastAsia="宋体" w:cs="Times New Roman"/>
                <w:sz w:val="24"/>
                <w:szCs w:val="24"/>
              </w:rPr>
              <w:t>量）。由于金属颗粒物质量较重，颗粒物散落范围很小，飘逸至车间外环境的金属颗粒物极少，切割工序按年工作3000h计算，按95%沉降在车间内计算，则切割粉尘无组织排放量为0.05</w:t>
            </w:r>
            <w:r>
              <w:rPr>
                <w:rFonts w:hint="default" w:ascii="Times New Roman" w:hAnsi="Times New Roman" w:eastAsia="宋体" w:cs="Times New Roman"/>
                <w:sz w:val="24"/>
                <w:szCs w:val="24"/>
                <w:lang w:val="en-US" w:eastAsia="zh-CN"/>
              </w:rPr>
              <w:t>58</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val="en-US" w:eastAsia="zh-CN"/>
              </w:rPr>
              <w:t>排放速率</w:t>
            </w:r>
            <w:r>
              <w:rPr>
                <w:rFonts w:hint="default" w:ascii="Times New Roman" w:hAnsi="Times New Roman" w:eastAsia="宋体" w:cs="Times New Roman"/>
                <w:sz w:val="24"/>
                <w:szCs w:val="24"/>
              </w:rPr>
              <w:t>0.01</w:t>
            </w:r>
            <w:r>
              <w:rPr>
                <w:rFonts w:hint="default" w:ascii="Times New Roman" w:hAnsi="Times New Roman" w:eastAsia="宋体" w:cs="Times New Roman"/>
                <w:sz w:val="24"/>
                <w:szCs w:val="24"/>
                <w:lang w:val="en-US" w:eastAsia="zh-CN"/>
              </w:rPr>
              <w:t>86</w:t>
            </w:r>
            <w:r>
              <w:rPr>
                <w:rFonts w:hint="default" w:ascii="Times New Roman" w:hAnsi="Times New Roman" w:eastAsia="宋体" w:cs="Times New Roman"/>
                <w:sz w:val="24"/>
                <w:szCs w:val="24"/>
              </w:rPr>
              <w:t>kg/h）。</w:t>
            </w:r>
          </w:p>
          <w:p w14:paraId="39A2A210">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（2）焊接烟尘</w:t>
            </w:r>
          </w:p>
          <w:p w14:paraId="36832E91">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本项目焊接过程产生的焊接烟尘</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sz w:val="24"/>
                <w:szCs w:val="24"/>
              </w:rPr>
              <w:t>移动式焊烟净化器处理</w:t>
            </w:r>
            <w:r>
              <w:rPr>
                <w:rFonts w:hint="default" w:ascii="Times New Roman" w:hAnsi="Times New Roman" w:eastAsia="宋体" w:cs="Times New Roman"/>
                <w:sz w:val="24"/>
                <w:szCs w:val="24"/>
                <w:lang w:val="en-US" w:eastAsia="zh-CN"/>
              </w:rPr>
              <w:t>后车间内无组织排放</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bCs/>
                <w:color w:val="auto"/>
                <w:kern w:val="0"/>
                <w:sz w:val="24"/>
                <w:szCs w:val="24"/>
                <w:lang w:val="en-US" w:eastAsia="zh-CN" w:bidi="ar-SA"/>
              </w:rPr>
              <w:t>《排放源统计调查产排污核算方法和系数手册》中“焊接-焊接件-低温钢焊条-手工电弧焊”</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颗粒物的</w:t>
            </w:r>
            <w:r>
              <w:rPr>
                <w:rFonts w:hint="default" w:ascii="Times New Roman" w:hAnsi="Times New Roman" w:eastAsia="宋体" w:cs="Times New Roman"/>
                <w:sz w:val="24"/>
                <w:szCs w:val="24"/>
              </w:rPr>
              <w:t>产污系数为</w:t>
            </w:r>
            <w:r>
              <w:rPr>
                <w:rFonts w:hint="default" w:ascii="Times New Roman" w:hAnsi="Times New Roman" w:eastAsia="宋体" w:cs="Times New Roman"/>
                <w:sz w:val="24"/>
                <w:szCs w:val="24"/>
                <w:lang w:val="en-US" w:eastAsia="zh-CN"/>
              </w:rPr>
              <w:t>20.2</w:t>
            </w:r>
            <w:r>
              <w:rPr>
                <w:rFonts w:hint="default" w:ascii="Times New Roman" w:hAnsi="Times New Roman" w:eastAsia="宋体" w:cs="Times New Roman"/>
                <w:sz w:val="24"/>
                <w:szCs w:val="24"/>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rPr>
              <w:t>，本项目原料用量为14t/a，则焊接烟尘产生量为0.2</w:t>
            </w:r>
            <w:r>
              <w:rPr>
                <w:rFonts w:hint="default" w:ascii="Times New Roman" w:hAnsi="Times New Roman" w:eastAsia="宋体" w:cs="Times New Roman"/>
                <w:sz w:val="24"/>
                <w:szCs w:val="24"/>
                <w:lang w:val="en-US" w:eastAsia="zh-CN"/>
              </w:rPr>
              <w:t>828</w:t>
            </w:r>
            <w:r>
              <w:rPr>
                <w:rFonts w:hint="default" w:ascii="Times New Roman" w:hAnsi="Times New Roman" w:eastAsia="宋体" w:cs="Times New Roman"/>
                <w:sz w:val="24"/>
                <w:szCs w:val="24"/>
              </w:rPr>
              <w:t>t/a（0.09</w:t>
            </w:r>
            <w:r>
              <w:rPr>
                <w:rFonts w:hint="default"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rPr>
              <w:t>kg/h）。</w:t>
            </w:r>
          </w:p>
          <w:p w14:paraId="263EFDEC">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本项目产生的焊接烟尘采用</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台移动式焊烟净化器处理，移动式焊烟净化器收集效率按80%计算，净化效率按90%计算，焊接工序按年工作3000h计算，则焊接烟尘无组织排放量为0.0</w:t>
            </w:r>
            <w:r>
              <w:rPr>
                <w:rFonts w:hint="default" w:ascii="Times New Roman" w:hAnsi="Times New Roman" w:eastAsia="宋体" w:cs="Times New Roman"/>
                <w:sz w:val="24"/>
                <w:szCs w:val="24"/>
                <w:lang w:val="en-US" w:eastAsia="zh-CN"/>
              </w:rPr>
              <w:t>792</w:t>
            </w:r>
            <w:r>
              <w:rPr>
                <w:rFonts w:hint="default" w:ascii="Times New Roman" w:hAnsi="Times New Roman" w:eastAsia="宋体" w:cs="Times New Roman"/>
                <w:sz w:val="24"/>
                <w:szCs w:val="24"/>
              </w:rPr>
              <w:t>t/a（0.02</w:t>
            </w:r>
            <w:r>
              <w:rPr>
                <w:rFonts w:hint="default" w:ascii="Times New Roman" w:hAnsi="Times New Roman" w:eastAsia="宋体" w:cs="Times New Roman"/>
                <w:sz w:val="24"/>
                <w:szCs w:val="24"/>
                <w:lang w:val="en-US" w:eastAsia="zh-CN"/>
              </w:rPr>
              <w:t>64</w:t>
            </w:r>
            <w:r>
              <w:rPr>
                <w:rFonts w:hint="default" w:ascii="Times New Roman" w:hAnsi="Times New Roman" w:eastAsia="宋体" w:cs="Times New Roman"/>
                <w:sz w:val="24"/>
                <w:szCs w:val="24"/>
              </w:rPr>
              <w:t>kg/h）。</w:t>
            </w:r>
          </w:p>
          <w:bookmarkEnd w:id="5"/>
          <w:p w14:paraId="7FD173A9">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（3）抛丸粉尘</w:t>
            </w:r>
          </w:p>
          <w:p w14:paraId="41878421">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本项目设2台双钩升降式抛丸机去除工件表面的锈蚀、毛刺，抛丸粉尘为密闭管道收集，</w:t>
            </w:r>
            <w:r>
              <w:rPr>
                <w:rFonts w:hint="default" w:ascii="Times New Roman" w:hAnsi="Times New Roman" w:eastAsia="宋体" w:cs="Times New Roman"/>
                <w:color w:val="auto"/>
                <w:sz w:val="24"/>
                <w:szCs w:val="24"/>
                <w:lang w:val="en-US" w:eastAsia="zh-CN"/>
              </w:rPr>
              <w:t>收集后经</w:t>
            </w:r>
            <w:r>
              <w:rPr>
                <w:rFonts w:hint="default" w:ascii="Times New Roman" w:hAnsi="Times New Roman" w:eastAsia="宋体" w:cs="Times New Roman"/>
                <w:color w:val="auto"/>
                <w:sz w:val="24"/>
                <w:szCs w:val="24"/>
              </w:rPr>
              <w:t>抛丸机自带振打式布袋除尘器处理</w:t>
            </w:r>
            <w:r>
              <w:rPr>
                <w:rFonts w:hint="default" w:ascii="Times New Roman" w:hAnsi="Times New Roman" w:eastAsia="宋体" w:cs="Times New Roman"/>
                <w:color w:val="auto"/>
                <w:sz w:val="24"/>
                <w:szCs w:val="24"/>
                <w:lang w:eastAsia="zh-CN"/>
              </w:rPr>
              <w:t>，处理</w:t>
            </w:r>
            <w:r>
              <w:rPr>
                <w:rFonts w:hint="default" w:ascii="Times New Roman" w:hAnsi="Times New Roman" w:eastAsia="宋体" w:cs="Times New Roman"/>
                <w:color w:val="auto"/>
                <w:sz w:val="24"/>
                <w:szCs w:val="24"/>
                <w:lang w:val="en-US" w:eastAsia="zh-CN"/>
              </w:rPr>
              <w:t>完成后由</w:t>
            </w:r>
            <w:r>
              <w:rPr>
                <w:rFonts w:hint="default" w:ascii="Times New Roman" w:hAnsi="Times New Roman" w:eastAsia="宋体" w:cs="Times New Roman"/>
                <w:color w:val="auto"/>
                <w:sz w:val="24"/>
                <w:szCs w:val="24"/>
                <w:lang w:eastAsia="zh-CN"/>
              </w:rPr>
              <w:t>一根17m高排气筒（DA002）排放</w:t>
            </w:r>
            <w:r>
              <w:rPr>
                <w:rFonts w:hint="default" w:ascii="Times New Roman" w:hAnsi="Times New Roman" w:eastAsia="宋体" w:cs="Times New Roman"/>
                <w:color w:val="auto"/>
                <w:sz w:val="24"/>
                <w:szCs w:val="24"/>
              </w:rPr>
              <w:t>。根据《排放源统计调查产排污核算方法和系数手册》</w:t>
            </w:r>
            <w:r>
              <w:rPr>
                <w:rFonts w:hint="default" w:ascii="Times New Roman" w:hAnsi="Times New Roman" w:eastAsia="宋体" w:cs="Times New Roman"/>
                <w:bCs/>
                <w:color w:val="auto"/>
                <w:kern w:val="0"/>
                <w:sz w:val="24"/>
                <w:szCs w:val="24"/>
                <w:lang w:val="en-US" w:eastAsia="zh-CN" w:bidi="ar-SA"/>
              </w:rPr>
              <w:t>中“预处理-干式预处理件-钢材-抛丸”</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颗粒物的</w:t>
            </w:r>
            <w:r>
              <w:rPr>
                <w:rFonts w:hint="default" w:ascii="Times New Roman" w:hAnsi="Times New Roman" w:eastAsia="宋体" w:cs="Times New Roman"/>
                <w:color w:val="auto"/>
                <w:sz w:val="24"/>
                <w:szCs w:val="24"/>
              </w:rPr>
              <w:t>产污系数为</w:t>
            </w:r>
            <w:r>
              <w:rPr>
                <w:rFonts w:hint="default"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原料</w:t>
            </w:r>
            <w:r>
              <w:rPr>
                <w:rFonts w:hint="default" w:ascii="Times New Roman" w:hAnsi="Times New Roman" w:eastAsia="宋体" w:cs="Times New Roman"/>
                <w:color w:val="auto"/>
                <w:sz w:val="24"/>
                <w:szCs w:val="24"/>
              </w:rPr>
              <w:t>，项目原料钢板使用量为7000t/a，则抛丸工序粉尘产生量约为15.33t/a（5.11kg/h），除尘器对粉尘的去除效率为98%，年抛丸时间按3000h计算，则粉尘排放量约为0.30</w:t>
            </w:r>
            <w:r>
              <w:rPr>
                <w:rFonts w:hint="default"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rPr>
              <w:t>t/a（0.102kg/h），</w:t>
            </w:r>
            <w:r>
              <w:rPr>
                <w:rFonts w:hint="default" w:ascii="Times New Roman" w:hAnsi="Times New Roman" w:eastAsia="宋体" w:cs="Times New Roman"/>
                <w:color w:val="auto"/>
                <w:sz w:val="24"/>
                <w:szCs w:val="24"/>
                <w:lang w:val="en-US" w:eastAsia="zh-CN"/>
              </w:rPr>
              <w:t>单台引</w:t>
            </w:r>
            <w:r>
              <w:rPr>
                <w:rFonts w:hint="default" w:ascii="Times New Roman" w:hAnsi="Times New Roman" w:eastAsia="宋体" w:cs="Times New Roman"/>
                <w:color w:val="auto"/>
                <w:sz w:val="24"/>
                <w:szCs w:val="24"/>
              </w:rPr>
              <w:t>风机风量为</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2台共5</w:t>
            </w:r>
            <w:r>
              <w:rPr>
                <w:rFonts w:hint="default" w:ascii="Times New Roman" w:hAnsi="Times New Roman" w:eastAsia="宋体" w:cs="Times New Roman"/>
                <w:color w:val="auto"/>
                <w:sz w:val="24"/>
                <w:szCs w:val="24"/>
              </w:rPr>
              <w:t>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，则粉尘产生浓度为</w:t>
            </w:r>
            <w:r>
              <w:rPr>
                <w:rFonts w:hint="default" w:ascii="Times New Roman" w:hAnsi="Times New Roman" w:eastAsia="宋体" w:cs="Times New Roman"/>
                <w:color w:val="auto"/>
                <w:sz w:val="24"/>
                <w:szCs w:val="24"/>
                <w:lang w:val="en-US" w:eastAsia="zh-CN"/>
              </w:rPr>
              <w:t>1022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FF0000"/>
                <w:sz w:val="24"/>
                <w:szCs w:val="24"/>
              </w:rPr>
              <w:t>排放浓度为20.44mg/m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auto"/>
                <w:sz w:val="24"/>
                <w:szCs w:val="24"/>
              </w:rPr>
              <w:t>。</w:t>
            </w:r>
          </w:p>
          <w:p w14:paraId="5D9535C4">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（4）渗锌废气</w:t>
            </w:r>
          </w:p>
          <w:p w14:paraId="3F9FEC24">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本项目拟设置</w:t>
            </w:r>
            <w:r>
              <w:rPr>
                <w:rFonts w:hint="default" w:ascii="Times New Roman" w:hAnsi="Times New Roman" w:eastAsia="宋体" w:cs="Times New Roman"/>
                <w:color w:val="auto"/>
                <w:sz w:val="24"/>
                <w:szCs w:val="24"/>
              </w:rPr>
              <w:t>两台四方燃气渗锌炉，单台</w:t>
            </w:r>
            <w:r>
              <w:rPr>
                <w:rFonts w:hint="default" w:ascii="Times New Roman" w:hAnsi="Times New Roman" w:eastAsia="宋体" w:cs="Times New Roman"/>
                <w:color w:val="auto"/>
                <w:sz w:val="24"/>
                <w:szCs w:val="24"/>
                <w:lang w:val="en-US" w:eastAsia="zh-CN"/>
              </w:rPr>
              <w:t>炉子的</w:t>
            </w:r>
            <w:r>
              <w:rPr>
                <w:rFonts w:hint="default" w:ascii="Times New Roman" w:hAnsi="Times New Roman" w:eastAsia="宋体" w:cs="Times New Roman"/>
                <w:color w:val="auto"/>
                <w:sz w:val="24"/>
                <w:szCs w:val="24"/>
              </w:rPr>
              <w:t>天然气消耗量</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/h（工作时长</w:t>
            </w:r>
            <w:r>
              <w:rPr>
                <w:rFonts w:hint="default" w:ascii="Times New Roman" w:hAnsi="Times New Roman" w:eastAsia="宋体" w:cs="Times New Roman"/>
                <w:color w:val="auto"/>
                <w:sz w:val="24"/>
                <w:szCs w:val="24"/>
                <w:lang w:val="en-US" w:eastAsia="zh-CN"/>
              </w:rPr>
              <w:t>3000h</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天然气的年消耗量为360000m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《排放源统计调查产排污核算方法和系数手册》-机械行业系数手册</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天然气工业炉窑</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产污系数可知</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产生系数为0.02Skg/万m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原料（S为天然气硫分含量，本项目取S=200mg/m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产生系数为18.7kg/万m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原料（采用低氮燃烧法可以从源头降低50%NO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的产生），颗粒物产生系数为2.86kg/万m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原料，</w:t>
            </w:r>
            <w:r>
              <w:rPr>
                <w:rFonts w:hint="default" w:ascii="Times New Roman" w:hAnsi="Times New Roman" w:eastAsia="宋体" w:cs="Times New Roman"/>
                <w:color w:val="auto"/>
                <w:sz w:val="24"/>
                <w:szCs w:val="24"/>
                <w:lang w:val="en-US" w:eastAsia="zh-CN"/>
              </w:rPr>
              <w:t>则颗粒物、SO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的产生量分别为0.103t/a、0.144t/a、0.3366t/a</w:t>
            </w:r>
            <w:r>
              <w:rPr>
                <w:rFonts w:hint="default" w:ascii="Times New Roman" w:hAnsi="Times New Roman" w:eastAsia="宋体" w:cs="Times New Roman"/>
                <w:color w:val="auto"/>
                <w:sz w:val="24"/>
                <w:szCs w:val="24"/>
              </w:rPr>
              <w:t>。</w:t>
            </w:r>
          </w:p>
          <w:p w14:paraId="2DF213E8">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w:t>
            </w:r>
            <w:r>
              <w:rPr>
                <w:rFonts w:hint="default" w:ascii="Times New Roman" w:hAnsi="Times New Roman" w:eastAsia="宋体" w:cs="Times New Roman"/>
                <w:color w:val="auto"/>
                <w:sz w:val="24"/>
                <w:szCs w:val="24"/>
                <w:lang w:val="en-US" w:eastAsia="zh-CN"/>
              </w:rPr>
              <w:t>渗锌</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kern w:val="0"/>
                <w:sz w:val="24"/>
                <w:szCs w:val="24"/>
                <w:lang w:val="en-US" w:eastAsia="zh-CN" w:bidi="ar-SA"/>
              </w:rPr>
              <w:t>采用设备密闭+引风管收集，废气收集效率按99%计。</w:t>
            </w:r>
          </w:p>
          <w:p w14:paraId="772EA8FC">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集气管道风量计算公式如下：</w:t>
            </w:r>
          </w:p>
          <w:p w14:paraId="5DC80BF1">
            <w:pPr>
              <w:keepNext w:val="0"/>
              <w:keepLines w:val="0"/>
              <w:pageBreakBefore w:val="0"/>
              <w:kinsoku/>
              <w:wordWrap/>
              <w:overflowPunct/>
              <w:topLinePunct w:val="0"/>
              <w:autoSpaceDE/>
              <w:autoSpaceDN/>
              <w:bidi w:val="0"/>
              <w:spacing w:line="360" w:lineRule="auto"/>
              <w:ind w:left="0" w:firstLine="488" w:firstLineChars="200"/>
              <w:jc w:val="center"/>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Q=r</w:t>
            </w:r>
            <w:r>
              <w:rPr>
                <w:rFonts w:hint="default" w:ascii="Times New Roman" w:hAnsi="Times New Roman" w:eastAsia="宋体" w:cs="Times New Roman"/>
                <w:color w:val="auto"/>
                <w:spacing w:val="2"/>
                <w:kern w:val="0"/>
                <w:sz w:val="24"/>
                <w:szCs w:val="24"/>
                <w:vertAlign w:val="superscript"/>
              </w:rPr>
              <w:t>2</w:t>
            </w:r>
            <w:r>
              <w:rPr>
                <w:rFonts w:hint="default" w:ascii="Times New Roman" w:hAnsi="Times New Roman" w:eastAsia="宋体" w:cs="Times New Roman"/>
                <w:color w:val="auto"/>
                <w:spacing w:val="2"/>
                <w:kern w:val="0"/>
                <w:sz w:val="24"/>
                <w:szCs w:val="24"/>
              </w:rPr>
              <w:t>×π×V×3600=0.</w:t>
            </w:r>
            <w:r>
              <w:rPr>
                <w:rFonts w:hint="default" w:ascii="Times New Roman" w:hAnsi="Times New Roman" w:eastAsia="宋体" w:cs="Times New Roman"/>
                <w:color w:val="auto"/>
                <w:spacing w:val="2"/>
                <w:kern w:val="0"/>
                <w:sz w:val="24"/>
                <w:szCs w:val="24"/>
                <w:lang w:val="en-US" w:eastAsia="zh-CN"/>
              </w:rPr>
              <w:t>1</w:t>
            </w:r>
            <w:r>
              <w:rPr>
                <w:rFonts w:hint="default" w:ascii="Times New Roman" w:hAnsi="Times New Roman" w:eastAsia="宋体" w:cs="Times New Roman"/>
                <w:color w:val="auto"/>
                <w:spacing w:val="2"/>
                <w:kern w:val="0"/>
                <w:sz w:val="24"/>
                <w:szCs w:val="24"/>
              </w:rPr>
              <w:t>×0.</w:t>
            </w:r>
            <w:r>
              <w:rPr>
                <w:rFonts w:hint="default" w:ascii="Times New Roman" w:hAnsi="Times New Roman" w:eastAsia="宋体" w:cs="Times New Roman"/>
                <w:color w:val="auto"/>
                <w:spacing w:val="2"/>
                <w:kern w:val="0"/>
                <w:sz w:val="24"/>
                <w:szCs w:val="24"/>
                <w:lang w:val="en-US" w:eastAsia="zh-CN"/>
              </w:rPr>
              <w:t>1</w:t>
            </w:r>
            <w:r>
              <w:rPr>
                <w:rFonts w:hint="default" w:ascii="Times New Roman" w:hAnsi="Times New Roman" w:eastAsia="宋体" w:cs="Times New Roman"/>
                <w:color w:val="auto"/>
                <w:spacing w:val="2"/>
                <w:kern w:val="0"/>
                <w:sz w:val="24"/>
                <w:szCs w:val="24"/>
              </w:rPr>
              <w:t>×3.14×10×3600=</w:t>
            </w:r>
            <w:r>
              <w:rPr>
                <w:rFonts w:hint="default" w:ascii="Times New Roman" w:hAnsi="Times New Roman" w:eastAsia="宋体" w:cs="Times New Roman"/>
                <w:color w:val="auto"/>
                <w:spacing w:val="2"/>
                <w:kern w:val="0"/>
                <w:sz w:val="24"/>
                <w:szCs w:val="24"/>
                <w:lang w:val="en-US" w:eastAsia="zh-CN"/>
              </w:rPr>
              <w:t>1130.4</w:t>
            </w:r>
            <w:r>
              <w:rPr>
                <w:rFonts w:hint="default" w:ascii="Times New Roman" w:hAnsi="Times New Roman" w:eastAsia="宋体" w:cs="Times New Roman"/>
                <w:color w:val="auto"/>
                <w:spacing w:val="2"/>
                <w:kern w:val="0"/>
                <w:sz w:val="24"/>
                <w:szCs w:val="24"/>
              </w:rPr>
              <w:t>m</w:t>
            </w:r>
            <w:r>
              <w:rPr>
                <w:rFonts w:hint="default" w:ascii="Times New Roman" w:hAnsi="Times New Roman" w:eastAsia="宋体" w:cs="Times New Roman"/>
                <w:color w:val="auto"/>
                <w:spacing w:val="2"/>
                <w:kern w:val="0"/>
                <w:sz w:val="24"/>
                <w:szCs w:val="24"/>
                <w:vertAlign w:val="superscript"/>
              </w:rPr>
              <w:t>3</w:t>
            </w:r>
            <w:r>
              <w:rPr>
                <w:rFonts w:hint="default" w:ascii="Times New Roman" w:hAnsi="Times New Roman" w:eastAsia="宋体" w:cs="Times New Roman"/>
                <w:color w:val="auto"/>
                <w:spacing w:val="2"/>
                <w:kern w:val="0"/>
                <w:sz w:val="24"/>
                <w:szCs w:val="24"/>
              </w:rPr>
              <w:t>/h。</w:t>
            </w:r>
          </w:p>
          <w:p w14:paraId="7DF3BC58">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Q：风机风量（m</w:t>
            </w:r>
            <w:r>
              <w:rPr>
                <w:rFonts w:hint="default" w:ascii="Times New Roman" w:hAnsi="Times New Roman" w:eastAsia="宋体" w:cs="Times New Roman"/>
                <w:color w:val="auto"/>
                <w:spacing w:val="2"/>
                <w:kern w:val="0"/>
                <w:sz w:val="24"/>
                <w:szCs w:val="24"/>
                <w:vertAlign w:val="superscript"/>
              </w:rPr>
              <w:t>3</w:t>
            </w:r>
            <w:r>
              <w:rPr>
                <w:rFonts w:hint="default" w:ascii="Times New Roman" w:hAnsi="Times New Roman" w:eastAsia="宋体" w:cs="Times New Roman"/>
                <w:color w:val="auto"/>
                <w:spacing w:val="2"/>
                <w:kern w:val="0"/>
                <w:sz w:val="24"/>
                <w:szCs w:val="24"/>
              </w:rPr>
              <w:t>/h）</w:t>
            </w:r>
          </w:p>
          <w:p w14:paraId="21CF4968">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r：管道半径（取0.</w:t>
            </w:r>
            <w:r>
              <w:rPr>
                <w:rFonts w:hint="default" w:ascii="Times New Roman" w:hAnsi="Times New Roman" w:eastAsia="宋体" w:cs="Times New Roman"/>
                <w:color w:val="auto"/>
                <w:spacing w:val="2"/>
                <w:kern w:val="0"/>
                <w:sz w:val="24"/>
                <w:szCs w:val="24"/>
                <w:lang w:val="en-US" w:eastAsia="zh-CN"/>
              </w:rPr>
              <w:t>18</w:t>
            </w:r>
            <w:r>
              <w:rPr>
                <w:rFonts w:hint="default" w:ascii="Times New Roman" w:hAnsi="Times New Roman" w:eastAsia="宋体" w:cs="Times New Roman"/>
                <w:color w:val="auto"/>
                <w:spacing w:val="2"/>
                <w:kern w:val="0"/>
                <w:sz w:val="24"/>
                <w:szCs w:val="24"/>
              </w:rPr>
              <w:t>m）</w:t>
            </w:r>
          </w:p>
          <w:p w14:paraId="20BEC8DF">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π：圆周率，取3.14</w:t>
            </w:r>
          </w:p>
          <w:p w14:paraId="4417C8B0">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V：排气筒风速。参照《大气污染治理工程技术导则》（HJ2000-2010）中，流速宜取5~15m/s，本次评价取值10m/s。</w:t>
            </w:r>
          </w:p>
          <w:p w14:paraId="2723E110">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rPr>
              <w:t>因此，</w:t>
            </w:r>
            <w:r>
              <w:rPr>
                <w:rFonts w:hint="default" w:ascii="Times New Roman" w:hAnsi="Times New Roman" w:eastAsia="宋体" w:cs="Times New Roman"/>
                <w:color w:val="auto"/>
                <w:sz w:val="24"/>
                <w:szCs w:val="24"/>
                <w:lang w:val="en-US" w:eastAsia="zh-CN"/>
              </w:rPr>
              <w:t>渗锌</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kern w:val="0"/>
                <w:sz w:val="24"/>
                <w:szCs w:val="24"/>
              </w:rPr>
              <w:t>计算风量为</w:t>
            </w:r>
            <w:r>
              <w:rPr>
                <w:rFonts w:hint="default" w:ascii="Times New Roman" w:hAnsi="Times New Roman" w:eastAsia="宋体" w:cs="Times New Roman"/>
                <w:color w:val="auto"/>
                <w:spacing w:val="2"/>
                <w:kern w:val="0"/>
                <w:sz w:val="24"/>
                <w:szCs w:val="24"/>
                <w:lang w:val="en-US" w:eastAsia="zh-CN"/>
              </w:rPr>
              <w:t>1130.4</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eastAsia="宋体" w:cs="Times New Roman"/>
                <w:color w:val="auto"/>
                <w:kern w:val="0"/>
                <w:sz w:val="24"/>
                <w:szCs w:val="24"/>
                <w:lang w:val="en-US" w:eastAsia="zh-CN"/>
              </w:rPr>
              <w:t>综合考虑损耗风量，</w:t>
            </w:r>
            <w:r>
              <w:rPr>
                <w:rFonts w:hint="default" w:ascii="Times New Roman" w:hAnsi="Times New Roman" w:eastAsia="宋体" w:cs="Times New Roman"/>
                <w:color w:val="auto"/>
                <w:kern w:val="0"/>
                <w:sz w:val="24"/>
                <w:szCs w:val="24"/>
              </w:rPr>
              <w:t>风机风量取</w:t>
            </w:r>
            <w:r>
              <w:rPr>
                <w:rFonts w:hint="default" w:ascii="Times New Roman" w:hAnsi="Times New Roman" w:eastAsia="宋体" w:cs="Times New Roman"/>
                <w:color w:val="auto"/>
                <w:kern w:val="0"/>
                <w:sz w:val="24"/>
                <w:szCs w:val="24"/>
                <w:lang w:val="en-US" w:eastAsia="zh-CN"/>
              </w:rPr>
              <w:t>2000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p>
          <w:p w14:paraId="07BACC0C">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四方燃气渗锌炉</w:t>
            </w:r>
            <w:r>
              <w:rPr>
                <w:rFonts w:hint="default" w:ascii="Times New Roman" w:hAnsi="Times New Roman" w:eastAsia="宋体" w:cs="Times New Roman"/>
                <w:color w:val="auto"/>
                <w:sz w:val="24"/>
                <w:szCs w:val="24"/>
                <w:lang w:val="en-US" w:eastAsia="zh-CN"/>
              </w:rPr>
              <w:t>为全密闭自动化设备，同时配套低氮燃烧器，渗锌</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sz w:val="24"/>
                <w:szCs w:val="24"/>
                <w:lang w:val="en-US" w:eastAsia="zh-CN"/>
              </w:rPr>
              <w:t>在密闭设备中通过引风管收集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处理</w:t>
            </w:r>
            <w:r>
              <w:rPr>
                <w:rFonts w:hint="default" w:ascii="Times New Roman" w:hAnsi="Times New Roman" w:eastAsia="宋体" w:cs="Times New Roman"/>
                <w:color w:val="auto"/>
                <w:sz w:val="24"/>
                <w:szCs w:val="24"/>
                <w:lang w:val="en-US" w:eastAsia="zh-CN"/>
              </w:rPr>
              <w:t>完成后由</w:t>
            </w:r>
            <w:r>
              <w:rPr>
                <w:rFonts w:hint="default" w:ascii="Times New Roman" w:hAnsi="Times New Roman" w:eastAsia="宋体" w:cs="Times New Roman"/>
                <w:color w:val="auto"/>
                <w:sz w:val="24"/>
                <w:szCs w:val="24"/>
                <w:lang w:eastAsia="zh-CN"/>
              </w:rPr>
              <w:t>一根17m高排气筒（DA00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配套低氮燃烧器氮氧化物的产生量可减少50%，则颗粒物、SO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的有组织排放量分别为0.102t/a、0.143t/a、0.3332t/a，无组织排放量分别为0.001t/a、0.001t/a、0.0034t/a。</w:t>
            </w:r>
          </w:p>
          <w:p w14:paraId="1B2A4D2D">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）喷漆废气</w:t>
            </w:r>
          </w:p>
          <w:p w14:paraId="0A048A0F">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项目喷漆晾干工序使用水性漆为水性环氧底漆，主要目的为防锈防腐，项目仅喷一道防锈底漆，喷漆晾干过程会产生漆雾颗粒、非甲烷总烃。</w:t>
            </w:r>
            <w:r>
              <w:rPr>
                <w:rFonts w:hint="default" w:ascii="Times New Roman" w:hAnsi="Times New Roman" w:eastAsia="宋体" w:cs="Times New Roman"/>
                <w:color w:val="auto"/>
                <w:sz w:val="24"/>
                <w:szCs w:val="24"/>
                <w:lang w:val="en-US" w:eastAsia="zh-CN"/>
              </w:rPr>
              <w:t>本项目喷漆废气在干式喷漆室经全封闭微负压收集后，通过管道引入一套“过滤棉+两级活性炭吸附”设施处理，处理完成由一根17m高排气筒（DA001）排放。喷漆工序</w:t>
            </w:r>
            <w:r>
              <w:rPr>
                <w:rFonts w:hint="default" w:ascii="Times New Roman" w:hAnsi="Times New Roman" w:eastAsia="宋体" w:cs="Times New Roman"/>
                <w:color w:val="auto"/>
                <w:sz w:val="24"/>
                <w:szCs w:val="24"/>
              </w:rPr>
              <w:t>水性环氧底漆年用量为</w:t>
            </w:r>
            <w:r>
              <w:rPr>
                <w:rFonts w:hint="default" w:ascii="Times New Roman" w:hAnsi="Times New Roman" w:eastAsia="宋体" w:cs="Times New Roman"/>
                <w:color w:val="auto"/>
                <w:sz w:val="24"/>
                <w:szCs w:val="24"/>
                <w:lang w:val="en-US" w:eastAsia="zh-CN"/>
              </w:rPr>
              <w:t>2.34</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eastAsia="zh-CN"/>
              </w:rPr>
              <w:t>。</w:t>
            </w:r>
          </w:p>
          <w:p w14:paraId="163BE373">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本次环评按照以下经验公式计算得出</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负压所需风量L。</w:t>
            </w:r>
          </w:p>
          <w:p w14:paraId="5448145C">
            <w:pPr>
              <w:keepNext w:val="0"/>
              <w:keepLines w:val="0"/>
              <w:pageBreakBefore w:val="0"/>
              <w:kinsoku/>
              <w:wordWrap/>
              <w:overflowPunct/>
              <w:topLinePunct w:val="0"/>
              <w:autoSpaceDE/>
              <w:autoSpaceDN/>
              <w:bidi w:val="0"/>
              <w:spacing w:line="360" w:lineRule="auto"/>
              <w:ind w:left="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L=V*C</w:t>
            </w:r>
          </w:p>
          <w:p w14:paraId="2D22514B">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其中：V——</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体积（长*宽*高），</w:t>
            </w:r>
            <w:r>
              <w:rPr>
                <w:rFonts w:hint="default" w:ascii="Times New Roman" w:hAnsi="Times New Roman" w:eastAsia="宋体" w:cs="Times New Roman"/>
                <w:color w:val="auto"/>
                <w:sz w:val="24"/>
                <w:szCs w:val="24"/>
                <w:lang w:val="en-US" w:eastAsia="zh-CN"/>
              </w:rPr>
              <w:t>喷漆房内部体积按照13m×10m×6m=780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计算</w:t>
            </w:r>
            <w:r>
              <w:rPr>
                <w:rFonts w:hint="default" w:ascii="Times New Roman" w:hAnsi="Times New Roman" w:eastAsia="宋体" w:cs="Times New Roman"/>
                <w:color w:val="auto"/>
                <w:sz w:val="24"/>
                <w:szCs w:val="24"/>
              </w:rPr>
              <w:t>；</w:t>
            </w:r>
          </w:p>
          <w:p w14:paraId="63586849">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C——换气次数，不小于</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次/h；</w:t>
            </w:r>
          </w:p>
          <w:p w14:paraId="6CF047F5">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经计算，</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负压风量约为</w:t>
            </w:r>
            <w:r>
              <w:rPr>
                <w:rFonts w:hint="default" w:ascii="Times New Roman" w:hAnsi="Times New Roman" w:eastAsia="宋体" w:cs="Times New Roman"/>
                <w:color w:val="auto"/>
                <w:sz w:val="24"/>
                <w:szCs w:val="24"/>
                <w:lang w:val="en-US" w:eastAsia="zh-CN"/>
              </w:rPr>
              <w:t>780</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/h，本项目风量取</w:t>
            </w:r>
            <w:r>
              <w:rPr>
                <w:rFonts w:hint="default" w:ascii="Times New Roman" w:hAnsi="Times New Roman" w:eastAsia="宋体" w:cs="Times New Roman"/>
                <w:color w:val="auto"/>
                <w:sz w:val="24"/>
                <w:szCs w:val="24"/>
                <w:lang w:val="en-US" w:eastAsia="zh-CN"/>
              </w:rPr>
              <w:t>900</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p>
          <w:p w14:paraId="284B08F1">
            <w:pPr>
              <w:keepNext w:val="0"/>
              <w:keepLines w:val="0"/>
              <w:pageBreakBefore w:val="0"/>
              <w:widowControl/>
              <w:numPr>
                <w:ilvl w:val="0"/>
                <w:numId w:val="0"/>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sz w:val="24"/>
                <w:szCs w:val="24"/>
              </w:rPr>
              <w:t>漆雾颗粒</w:t>
            </w:r>
          </w:p>
          <w:p w14:paraId="24447ABF">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喷漆晾干工序涂料的利用率为70%~80%，本评价以保守70%计算，即有30%的漆雾产生，另外65%漆料粘附在工件表面，另5%成为漆渣。</w:t>
            </w:r>
            <w:r>
              <w:rPr>
                <w:rFonts w:hint="default" w:ascii="Times New Roman" w:hAnsi="Times New Roman" w:eastAsia="宋体" w:cs="Times New Roman"/>
                <w:color w:val="auto"/>
                <w:sz w:val="24"/>
                <w:szCs w:val="24"/>
                <w:lang w:val="en-US" w:eastAsia="zh-CN"/>
              </w:rPr>
              <w:t>根据附件3底漆的检测报告可知，不挥发物含量</w:t>
            </w:r>
            <w:r>
              <w:rPr>
                <w:rFonts w:hint="default" w:ascii="Times New Roman" w:hAnsi="Times New Roman" w:eastAsia="宋体" w:cs="Times New Roman"/>
                <w:color w:val="auto"/>
                <w:sz w:val="24"/>
                <w:szCs w:val="24"/>
              </w:rPr>
              <w:t>占比</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%，则本项目喷涂过程漆雾产生量为0.</w:t>
            </w:r>
            <w:r>
              <w:rPr>
                <w:rFonts w:hint="default" w:ascii="Times New Roman" w:hAnsi="Times New Roman" w:eastAsia="宋体" w:cs="Times New Roman"/>
                <w:color w:val="auto"/>
                <w:sz w:val="24"/>
                <w:szCs w:val="24"/>
                <w:lang w:val="en-US" w:eastAsia="zh-CN"/>
              </w:rPr>
              <w:t>379</w:t>
            </w:r>
            <w:r>
              <w:rPr>
                <w:rFonts w:hint="default" w:ascii="Times New Roman" w:hAnsi="Times New Roman" w:eastAsia="宋体" w:cs="Times New Roman"/>
                <w:color w:val="auto"/>
                <w:sz w:val="24"/>
                <w:szCs w:val="24"/>
              </w:rPr>
              <w:t>t/a。</w:t>
            </w:r>
          </w:p>
          <w:p w14:paraId="14FC6923">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照中文科技期刊数据库收录的《涂装指南（2005年第4期）》中“关于几种常见喷漆室漆雾处理方式的比较”一文中，水幕式喷漆室漆雾去除效率为80〜90%，干式喷漆室（使用纤维滤网）漆雾去除效率为90〜95%。本项目采用干式喷漆室+过滤棉去除漆雾颗粒，漆雾去除效率按90%计。喷漆房全封闭负压收集，</w:t>
            </w:r>
            <w:r>
              <w:rPr>
                <w:rFonts w:hint="default" w:ascii="Times New Roman" w:hAnsi="Times New Roman" w:eastAsia="宋体" w:cs="Times New Roman"/>
                <w:color w:val="auto"/>
                <w:sz w:val="24"/>
                <w:szCs w:val="24"/>
                <w:lang w:val="en-US" w:eastAsia="zh-CN"/>
              </w:rPr>
              <w:t>收</w:t>
            </w:r>
            <w:r>
              <w:rPr>
                <w:rFonts w:hint="default" w:ascii="Times New Roman" w:hAnsi="Times New Roman" w:eastAsia="宋体" w:cs="Times New Roman"/>
                <w:color w:val="auto"/>
                <w:sz w:val="24"/>
                <w:szCs w:val="24"/>
              </w:rPr>
              <w:t>集效率按95%计，则漆雾有组织</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rPr>
              <w:t>量为0.</w:t>
            </w:r>
            <w:r>
              <w:rPr>
                <w:rFonts w:hint="default" w:ascii="Times New Roman" w:hAnsi="Times New Roman" w:eastAsia="宋体" w:cs="Times New Roman"/>
                <w:color w:val="auto"/>
                <w:sz w:val="24"/>
                <w:szCs w:val="24"/>
                <w:lang w:val="en-US" w:eastAsia="zh-CN"/>
              </w:rPr>
              <w:t>036</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rPr>
              <w:t>排放量为0.0</w:t>
            </w:r>
            <w:r>
              <w:rPr>
                <w:rFonts w:hint="default" w:ascii="Times New Roman" w:hAnsi="Times New Roman" w:eastAsia="宋体" w:cs="Times New Roman"/>
                <w:color w:val="auto"/>
                <w:sz w:val="24"/>
                <w:szCs w:val="24"/>
                <w:lang w:val="en-US" w:eastAsia="zh-CN"/>
              </w:rPr>
              <w:t>1895</w:t>
            </w:r>
            <w:r>
              <w:rPr>
                <w:rFonts w:hint="default" w:ascii="Times New Roman" w:hAnsi="Times New Roman" w:eastAsia="宋体" w:cs="Times New Roman"/>
                <w:color w:val="auto"/>
                <w:sz w:val="24"/>
                <w:szCs w:val="24"/>
              </w:rPr>
              <w:t>t/a。</w:t>
            </w:r>
          </w:p>
          <w:p w14:paraId="747093DE">
            <w:pPr>
              <w:keepNext w:val="0"/>
              <w:keepLines w:val="0"/>
              <w:pageBreakBefore w:val="0"/>
              <w:widowControl/>
              <w:numPr>
                <w:ilvl w:val="0"/>
                <w:numId w:val="0"/>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sz w:val="24"/>
                <w:szCs w:val="24"/>
              </w:rPr>
              <w:t>有机废气</w:t>
            </w:r>
          </w:p>
          <w:p w14:paraId="062E1909">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水性环氧底漆挥发份占比8.2%，</w:t>
            </w:r>
            <w:r>
              <w:rPr>
                <w:rFonts w:hint="default"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rPr>
              <w:t>非甲烷总烃产生量为0.</w:t>
            </w:r>
            <w:r>
              <w:rPr>
                <w:rFonts w:hint="default" w:ascii="Times New Roman" w:hAnsi="Times New Roman" w:eastAsia="宋体" w:cs="Times New Roman"/>
                <w:color w:val="auto"/>
                <w:sz w:val="24"/>
                <w:szCs w:val="24"/>
                <w:lang w:val="en-US" w:eastAsia="zh-CN"/>
              </w:rPr>
              <w:t>192</w:t>
            </w:r>
            <w:r>
              <w:rPr>
                <w:rFonts w:hint="default" w:ascii="Times New Roman" w:hAnsi="Times New Roman" w:eastAsia="宋体" w:cs="Times New Roman"/>
                <w:color w:val="auto"/>
                <w:sz w:val="24"/>
                <w:szCs w:val="24"/>
              </w:rPr>
              <w:t>t/a，项目采取两级活性炭（活性炭纤维+活性炭颗粒）吸附装置处理有机废气，收集效率按95%，处理效率按90%计算，则非甲烷总烃有组织排放量为0.</w:t>
            </w:r>
            <w:r>
              <w:rPr>
                <w:rFonts w:hint="default" w:ascii="Times New Roman" w:hAnsi="Times New Roman" w:eastAsia="宋体" w:cs="Times New Roman"/>
                <w:color w:val="auto"/>
                <w:sz w:val="24"/>
                <w:szCs w:val="24"/>
                <w:lang w:val="en-US" w:eastAsia="zh-CN"/>
              </w:rPr>
              <w:t>0182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无组织排放量为0.0</w:t>
            </w:r>
            <w:r>
              <w:rPr>
                <w:rFonts w:hint="default" w:ascii="Times New Roman" w:hAnsi="Times New Roman" w:eastAsia="宋体" w:cs="Times New Roman"/>
                <w:color w:val="auto"/>
                <w:sz w:val="24"/>
                <w:szCs w:val="24"/>
                <w:lang w:val="en-US" w:eastAsia="zh-CN"/>
              </w:rPr>
              <w:t>096</w:t>
            </w:r>
            <w:r>
              <w:rPr>
                <w:rFonts w:hint="default" w:ascii="Times New Roman" w:hAnsi="Times New Roman" w:eastAsia="宋体" w:cs="Times New Roman"/>
                <w:color w:val="auto"/>
                <w:sz w:val="24"/>
                <w:szCs w:val="24"/>
              </w:rPr>
              <w:t>t/a。</w:t>
            </w:r>
          </w:p>
          <w:p w14:paraId="37AEB00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（6）封闭废气</w:t>
            </w:r>
          </w:p>
          <w:p w14:paraId="736DD44F">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封闭废气中含有漆雾颗粒、有机废气、颗粒物、SO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项目钝化封闭过程使用水性环氧底漆作为封闭漆，年用量为4.66t。封闭完成后使用燃气烘干炉进行固化处理，燃气烘干炉的</w:t>
            </w:r>
            <w:r>
              <w:rPr>
                <w:rFonts w:hint="default" w:ascii="Times New Roman" w:hAnsi="Times New Roman" w:eastAsia="宋体" w:cs="Times New Roman"/>
                <w:color w:val="auto"/>
                <w:sz w:val="24"/>
                <w:szCs w:val="24"/>
              </w:rPr>
              <w:t>天然气消耗量</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/h（工作时长</w:t>
            </w:r>
            <w:r>
              <w:rPr>
                <w:rFonts w:hint="default" w:ascii="Times New Roman" w:hAnsi="Times New Roman" w:eastAsia="宋体" w:cs="Times New Roman"/>
                <w:color w:val="auto"/>
                <w:sz w:val="24"/>
                <w:szCs w:val="24"/>
                <w:lang w:val="en-US" w:eastAsia="zh-CN"/>
              </w:rPr>
              <w:t>3000h</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天然气的年消耗量为60000m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燃气烘干炉为全密闭设备，配套</w:t>
            </w:r>
            <w:r>
              <w:rPr>
                <w:rFonts w:hint="default" w:ascii="Times New Roman" w:hAnsi="Times New Roman" w:eastAsia="宋体" w:cs="Times New Roman"/>
                <w:color w:val="auto"/>
                <w:sz w:val="24"/>
                <w:szCs w:val="24"/>
              </w:rPr>
              <w:t>低氮燃烧器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封闭废气在密闭设备中通过引风管收集引入一套“过滤棉+两级活性炭吸附”设施处理，处理完成由一根17m高排气筒（DA001）排放</w:t>
            </w:r>
            <w:r>
              <w:rPr>
                <w:rFonts w:hint="default" w:ascii="Times New Roman" w:hAnsi="Times New Roman" w:eastAsia="宋体" w:cs="Times New Roman"/>
                <w:color w:val="auto"/>
                <w:sz w:val="24"/>
                <w:szCs w:val="24"/>
                <w:vertAlign w:val="baseline"/>
                <w:lang w:val="en-US" w:eastAsia="zh-CN"/>
              </w:rPr>
              <w:t>。</w:t>
            </w:r>
          </w:p>
          <w:p w14:paraId="6388CD9B">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w:t>
            </w:r>
            <w:r>
              <w:rPr>
                <w:rFonts w:hint="default" w:ascii="Times New Roman" w:hAnsi="Times New Roman" w:eastAsia="宋体" w:cs="Times New Roman"/>
                <w:color w:val="auto"/>
                <w:sz w:val="24"/>
                <w:szCs w:val="24"/>
                <w:lang w:val="en-US" w:eastAsia="zh-CN"/>
              </w:rPr>
              <w:t>封闭</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kern w:val="0"/>
                <w:sz w:val="24"/>
                <w:szCs w:val="24"/>
                <w:lang w:val="en-US" w:eastAsia="zh-CN" w:bidi="ar-SA"/>
              </w:rPr>
              <w:t>采用设备密闭+引风管收集，废气收集效率按95%计。</w:t>
            </w:r>
          </w:p>
          <w:p w14:paraId="49C8EE22">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集气管道风量计算公式如下：</w:t>
            </w:r>
          </w:p>
          <w:p w14:paraId="7EBB93F4">
            <w:pPr>
              <w:keepNext w:val="0"/>
              <w:keepLines w:val="0"/>
              <w:pageBreakBefore w:val="0"/>
              <w:kinsoku/>
              <w:wordWrap/>
              <w:overflowPunct/>
              <w:topLinePunct w:val="0"/>
              <w:autoSpaceDE/>
              <w:autoSpaceDN/>
              <w:bidi w:val="0"/>
              <w:spacing w:line="360" w:lineRule="auto"/>
              <w:ind w:left="0" w:firstLine="488" w:firstLineChars="200"/>
              <w:jc w:val="center"/>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Q=r</w:t>
            </w:r>
            <w:r>
              <w:rPr>
                <w:rFonts w:hint="default" w:ascii="Times New Roman" w:hAnsi="Times New Roman" w:eastAsia="宋体" w:cs="Times New Roman"/>
                <w:color w:val="auto"/>
                <w:spacing w:val="2"/>
                <w:kern w:val="0"/>
                <w:sz w:val="24"/>
                <w:szCs w:val="24"/>
                <w:vertAlign w:val="superscript"/>
              </w:rPr>
              <w:t>2</w:t>
            </w:r>
            <w:r>
              <w:rPr>
                <w:rFonts w:hint="default" w:ascii="Times New Roman" w:hAnsi="Times New Roman" w:eastAsia="宋体" w:cs="Times New Roman"/>
                <w:color w:val="auto"/>
                <w:spacing w:val="2"/>
                <w:kern w:val="0"/>
                <w:sz w:val="24"/>
                <w:szCs w:val="24"/>
              </w:rPr>
              <w:t>×π×V×3600=0.</w:t>
            </w:r>
            <w:r>
              <w:rPr>
                <w:rFonts w:hint="default" w:ascii="Times New Roman" w:hAnsi="Times New Roman" w:eastAsia="宋体" w:cs="Times New Roman"/>
                <w:color w:val="auto"/>
                <w:spacing w:val="2"/>
                <w:kern w:val="0"/>
                <w:sz w:val="24"/>
                <w:szCs w:val="24"/>
                <w:lang w:val="en-US" w:eastAsia="zh-CN"/>
              </w:rPr>
              <w:t>1</w:t>
            </w:r>
            <w:r>
              <w:rPr>
                <w:rFonts w:hint="default" w:ascii="Times New Roman" w:hAnsi="Times New Roman" w:eastAsia="宋体" w:cs="Times New Roman"/>
                <w:color w:val="auto"/>
                <w:spacing w:val="2"/>
                <w:kern w:val="0"/>
                <w:sz w:val="24"/>
                <w:szCs w:val="24"/>
              </w:rPr>
              <w:t>×0.</w:t>
            </w:r>
            <w:r>
              <w:rPr>
                <w:rFonts w:hint="default" w:ascii="Times New Roman" w:hAnsi="Times New Roman" w:eastAsia="宋体" w:cs="Times New Roman"/>
                <w:color w:val="auto"/>
                <w:spacing w:val="2"/>
                <w:kern w:val="0"/>
                <w:sz w:val="24"/>
                <w:szCs w:val="24"/>
                <w:lang w:val="en-US" w:eastAsia="zh-CN"/>
              </w:rPr>
              <w:t>1</w:t>
            </w:r>
            <w:r>
              <w:rPr>
                <w:rFonts w:hint="default" w:ascii="Times New Roman" w:hAnsi="Times New Roman" w:eastAsia="宋体" w:cs="Times New Roman"/>
                <w:color w:val="auto"/>
                <w:spacing w:val="2"/>
                <w:kern w:val="0"/>
                <w:sz w:val="24"/>
                <w:szCs w:val="24"/>
              </w:rPr>
              <w:t>×3.14×10×3600=</w:t>
            </w:r>
            <w:r>
              <w:rPr>
                <w:rFonts w:hint="default" w:ascii="Times New Roman" w:hAnsi="Times New Roman" w:eastAsia="宋体" w:cs="Times New Roman"/>
                <w:color w:val="auto"/>
                <w:spacing w:val="2"/>
                <w:kern w:val="0"/>
                <w:sz w:val="24"/>
                <w:szCs w:val="24"/>
                <w:lang w:val="en-US" w:eastAsia="zh-CN"/>
              </w:rPr>
              <w:t>1130.4</w:t>
            </w:r>
            <w:r>
              <w:rPr>
                <w:rFonts w:hint="default" w:ascii="Times New Roman" w:hAnsi="Times New Roman" w:eastAsia="宋体" w:cs="Times New Roman"/>
                <w:color w:val="auto"/>
                <w:spacing w:val="2"/>
                <w:kern w:val="0"/>
                <w:sz w:val="24"/>
                <w:szCs w:val="24"/>
              </w:rPr>
              <w:t>m</w:t>
            </w:r>
            <w:r>
              <w:rPr>
                <w:rFonts w:hint="default" w:ascii="Times New Roman" w:hAnsi="Times New Roman" w:eastAsia="宋体" w:cs="Times New Roman"/>
                <w:color w:val="auto"/>
                <w:spacing w:val="2"/>
                <w:kern w:val="0"/>
                <w:sz w:val="24"/>
                <w:szCs w:val="24"/>
                <w:vertAlign w:val="superscript"/>
              </w:rPr>
              <w:t>3</w:t>
            </w:r>
            <w:r>
              <w:rPr>
                <w:rFonts w:hint="default" w:ascii="Times New Roman" w:hAnsi="Times New Roman" w:eastAsia="宋体" w:cs="Times New Roman"/>
                <w:color w:val="auto"/>
                <w:spacing w:val="2"/>
                <w:kern w:val="0"/>
                <w:sz w:val="24"/>
                <w:szCs w:val="24"/>
              </w:rPr>
              <w:t>/h。</w:t>
            </w:r>
          </w:p>
          <w:p w14:paraId="5C01A588">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Q：风机风量（m</w:t>
            </w:r>
            <w:r>
              <w:rPr>
                <w:rFonts w:hint="default" w:ascii="Times New Roman" w:hAnsi="Times New Roman" w:eastAsia="宋体" w:cs="Times New Roman"/>
                <w:color w:val="auto"/>
                <w:spacing w:val="2"/>
                <w:kern w:val="0"/>
                <w:sz w:val="24"/>
                <w:szCs w:val="24"/>
                <w:vertAlign w:val="superscript"/>
              </w:rPr>
              <w:t>3</w:t>
            </w:r>
            <w:r>
              <w:rPr>
                <w:rFonts w:hint="default" w:ascii="Times New Roman" w:hAnsi="Times New Roman" w:eastAsia="宋体" w:cs="Times New Roman"/>
                <w:color w:val="auto"/>
                <w:spacing w:val="2"/>
                <w:kern w:val="0"/>
                <w:sz w:val="24"/>
                <w:szCs w:val="24"/>
              </w:rPr>
              <w:t>/h）</w:t>
            </w:r>
          </w:p>
          <w:p w14:paraId="00A5183F">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r：管道半径（取0.</w:t>
            </w:r>
            <w:r>
              <w:rPr>
                <w:rFonts w:hint="default" w:ascii="Times New Roman" w:hAnsi="Times New Roman" w:eastAsia="宋体" w:cs="Times New Roman"/>
                <w:color w:val="auto"/>
                <w:spacing w:val="2"/>
                <w:kern w:val="0"/>
                <w:sz w:val="24"/>
                <w:szCs w:val="24"/>
                <w:lang w:val="en-US" w:eastAsia="zh-CN"/>
              </w:rPr>
              <w:t>1</w:t>
            </w:r>
            <w:r>
              <w:rPr>
                <w:rFonts w:hint="default" w:ascii="Times New Roman" w:hAnsi="Times New Roman" w:eastAsia="宋体" w:cs="Times New Roman"/>
                <w:color w:val="auto"/>
                <w:spacing w:val="2"/>
                <w:kern w:val="0"/>
                <w:sz w:val="24"/>
                <w:szCs w:val="24"/>
              </w:rPr>
              <w:t>m）</w:t>
            </w:r>
          </w:p>
          <w:p w14:paraId="27C56AAA">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π：圆周率，取3.14</w:t>
            </w:r>
          </w:p>
          <w:p w14:paraId="44FDB049">
            <w:pPr>
              <w:keepNext w:val="0"/>
              <w:keepLines w:val="0"/>
              <w:pageBreakBefore w:val="0"/>
              <w:kinsoku/>
              <w:wordWrap/>
              <w:overflowPunct/>
              <w:topLinePunct w:val="0"/>
              <w:autoSpaceDE/>
              <w:autoSpaceDN/>
              <w:bidi w:val="0"/>
              <w:spacing w:line="360" w:lineRule="auto"/>
              <w:ind w:left="0" w:firstLine="488" w:firstLineChars="200"/>
              <w:jc w:val="both"/>
              <w:textAlignment w:val="auto"/>
              <w:rPr>
                <w:rFonts w:hint="default" w:ascii="Times New Roman" w:hAnsi="Times New Roman" w:eastAsia="宋体" w:cs="Times New Roman"/>
                <w:color w:val="auto"/>
                <w:spacing w:val="2"/>
                <w:kern w:val="0"/>
                <w:sz w:val="24"/>
                <w:szCs w:val="24"/>
              </w:rPr>
            </w:pPr>
            <w:r>
              <w:rPr>
                <w:rFonts w:hint="default" w:ascii="Times New Roman" w:hAnsi="Times New Roman" w:eastAsia="宋体" w:cs="Times New Roman"/>
                <w:color w:val="auto"/>
                <w:spacing w:val="2"/>
                <w:kern w:val="0"/>
                <w:sz w:val="24"/>
                <w:szCs w:val="24"/>
              </w:rPr>
              <w:t>V：排气筒风速。参照《大气污染治理工程技术导则》（HJ2000-2010）中，流速宜取5~15m/s，本次评价取值10m/s。</w:t>
            </w:r>
          </w:p>
          <w:p w14:paraId="4EDABCA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因此，</w:t>
            </w:r>
            <w:r>
              <w:rPr>
                <w:rFonts w:hint="default" w:ascii="Times New Roman" w:hAnsi="Times New Roman" w:eastAsia="宋体" w:cs="Times New Roman"/>
                <w:color w:val="auto"/>
                <w:kern w:val="2"/>
                <w:sz w:val="24"/>
                <w:szCs w:val="24"/>
                <w:lang w:val="en-US" w:eastAsia="zh-CN" w:bidi="ar-SA"/>
              </w:rPr>
              <w:t>渗锌废气</w:t>
            </w:r>
            <w:r>
              <w:rPr>
                <w:rFonts w:hint="default" w:ascii="Times New Roman" w:hAnsi="Times New Roman" w:eastAsia="宋体" w:cs="Times New Roman"/>
                <w:color w:val="auto"/>
                <w:kern w:val="0"/>
                <w:sz w:val="24"/>
                <w:szCs w:val="24"/>
                <w:lang w:val="en-US" w:eastAsia="zh-CN" w:bidi="ar-SA"/>
              </w:rPr>
              <w:t>计算风量为</w:t>
            </w:r>
            <w:r>
              <w:rPr>
                <w:rFonts w:hint="default" w:ascii="Times New Roman" w:hAnsi="Times New Roman" w:eastAsia="宋体" w:cs="Times New Roman"/>
                <w:color w:val="auto"/>
                <w:spacing w:val="2"/>
                <w:kern w:val="0"/>
                <w:sz w:val="24"/>
                <w:szCs w:val="24"/>
                <w:lang w:val="en-US" w:eastAsia="zh-CN" w:bidi="ar-SA"/>
              </w:rPr>
              <w:t>1130.4</w:t>
            </w:r>
            <w:r>
              <w:rPr>
                <w:rFonts w:hint="default" w:ascii="Times New Roman" w:hAnsi="Times New Roman" w:eastAsia="宋体" w:cs="Times New Roman"/>
                <w:color w:val="auto"/>
                <w:kern w:val="0"/>
                <w:sz w:val="24"/>
                <w:szCs w:val="24"/>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/h。综合考虑损耗风量，风机风量取2000m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/h。</w:t>
            </w:r>
          </w:p>
          <w:p w14:paraId="173A50E9">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kern w:val="2"/>
                <w:sz w:val="24"/>
                <w:szCs w:val="24"/>
                <w:vertAlign w:val="subscript"/>
                <w:lang w:val="en-US" w:eastAsia="zh-CN" w:bidi="ar-SA"/>
              </w:rPr>
            </w:pPr>
            <w:r>
              <w:rPr>
                <w:rFonts w:hint="default" w:ascii="Times New Roman" w:hAnsi="Times New Roman" w:eastAsia="宋体" w:cs="Times New Roman"/>
                <w:color w:val="auto"/>
                <w:kern w:val="2"/>
                <w:sz w:val="24"/>
                <w:szCs w:val="24"/>
                <w:lang w:val="en-US" w:eastAsia="zh-CN" w:bidi="ar-SA"/>
              </w:rPr>
              <w:t>①颗粒物、SO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p>
          <w:p w14:paraId="50F01C35">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根据《排放源统计调查产排污核算方法和系数手册》-机械行业系数手册中天然气工业炉窑的产污系数可知，SO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产生系数为0.02Skg/万m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原料（S为天然气硫分含量，本项目取S=200mg/m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r>
              <w:rPr>
                <w:rFonts w:hint="default" w:ascii="Times New Roman" w:hAnsi="Times New Roman" w:eastAsia="宋体" w:cs="Times New Roman"/>
                <w:color w:val="auto"/>
                <w:kern w:val="2"/>
                <w:sz w:val="24"/>
                <w:szCs w:val="24"/>
                <w:lang w:val="en-US" w:eastAsia="zh-CN" w:bidi="ar-SA"/>
              </w:rPr>
              <w:t>产生系数为18.7kg/万m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原料（采用低氮燃烧法可以从源头降低50%NO</w:t>
            </w:r>
            <w:r>
              <w:rPr>
                <w:rFonts w:hint="default" w:ascii="Times New Roman" w:hAnsi="Times New Roman" w:eastAsia="宋体" w:cs="Times New Roman"/>
                <w:color w:val="auto"/>
                <w:kern w:val="2"/>
                <w:sz w:val="24"/>
                <w:szCs w:val="24"/>
                <w:vertAlign w:val="subscript"/>
                <w:lang w:val="en-US" w:eastAsia="zh-CN" w:bidi="ar-SA"/>
              </w:rPr>
              <w:t>x</w:t>
            </w:r>
            <w:r>
              <w:rPr>
                <w:rFonts w:hint="default" w:ascii="Times New Roman" w:hAnsi="Times New Roman" w:eastAsia="宋体" w:cs="Times New Roman"/>
                <w:color w:val="auto"/>
                <w:kern w:val="2"/>
                <w:sz w:val="24"/>
                <w:szCs w:val="24"/>
                <w:lang w:val="en-US" w:eastAsia="zh-CN" w:bidi="ar-SA"/>
              </w:rPr>
              <w:t>的产生），颗粒物产生系数为2.86kg/万m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原料，则颗粒物、SO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r>
              <w:rPr>
                <w:rFonts w:hint="default" w:ascii="Times New Roman" w:hAnsi="Times New Roman" w:eastAsia="宋体" w:cs="Times New Roman"/>
                <w:color w:val="auto"/>
                <w:kern w:val="2"/>
                <w:sz w:val="24"/>
                <w:szCs w:val="24"/>
                <w:lang w:val="en-US" w:eastAsia="zh-CN" w:bidi="ar-SA"/>
              </w:rPr>
              <w:t>的产生量分别为0.01716t/a、0.024t/a、0.0561t/a；配套低氮燃烧器氮氧化物的产生量可减少50%，则颗粒物、SO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r>
              <w:rPr>
                <w:rFonts w:hint="default" w:ascii="Times New Roman" w:hAnsi="Times New Roman" w:eastAsia="宋体" w:cs="Times New Roman"/>
                <w:color w:val="auto"/>
                <w:kern w:val="2"/>
                <w:sz w:val="24"/>
                <w:szCs w:val="24"/>
                <w:lang w:val="en-US" w:eastAsia="zh-CN" w:bidi="ar-SA"/>
              </w:rPr>
              <w:t>的有组织排放量分别为0.0163t/a、0.0228t/a、0.0533t/a，无组织排放量分别为0.00086t/a、0.0012t/a、0.0028t/a。</w:t>
            </w:r>
          </w:p>
          <w:p w14:paraId="24015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②漆雾颗粒</w:t>
            </w:r>
          </w:p>
          <w:p w14:paraId="244781D7">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封闭</w:t>
            </w:r>
            <w:r>
              <w:rPr>
                <w:rFonts w:hint="default" w:ascii="Times New Roman" w:hAnsi="Times New Roman" w:eastAsia="宋体" w:cs="Times New Roman"/>
                <w:color w:val="auto"/>
                <w:sz w:val="24"/>
                <w:szCs w:val="24"/>
              </w:rPr>
              <w:t>工序涂料的利用率为70%~80%，本评价以保守70%计算，即有30%的漆雾产生，另外65%漆料粘附在工件表面，另5%成为漆渣。</w:t>
            </w:r>
            <w:r>
              <w:rPr>
                <w:rFonts w:hint="default" w:ascii="Times New Roman" w:hAnsi="Times New Roman" w:eastAsia="宋体" w:cs="Times New Roman"/>
                <w:color w:val="auto"/>
                <w:sz w:val="24"/>
                <w:szCs w:val="24"/>
                <w:lang w:val="en-US" w:eastAsia="zh-CN"/>
              </w:rPr>
              <w:t>根据附件3底漆的检测报告可知，不挥发物含量</w:t>
            </w:r>
            <w:r>
              <w:rPr>
                <w:rFonts w:hint="default" w:ascii="Times New Roman" w:hAnsi="Times New Roman" w:eastAsia="宋体" w:cs="Times New Roman"/>
                <w:color w:val="auto"/>
                <w:sz w:val="24"/>
                <w:szCs w:val="24"/>
              </w:rPr>
              <w:t>占比</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%，则本项目</w:t>
            </w:r>
            <w:r>
              <w:rPr>
                <w:rFonts w:hint="default" w:ascii="Times New Roman" w:hAnsi="Times New Roman" w:eastAsia="宋体" w:cs="Times New Roman"/>
                <w:color w:val="auto"/>
                <w:sz w:val="24"/>
                <w:szCs w:val="24"/>
                <w:lang w:val="en-US" w:eastAsia="zh-CN"/>
              </w:rPr>
              <w:t>封闭</w:t>
            </w:r>
            <w:r>
              <w:rPr>
                <w:rFonts w:hint="default" w:ascii="Times New Roman" w:hAnsi="Times New Roman" w:eastAsia="宋体" w:cs="Times New Roman"/>
                <w:color w:val="auto"/>
                <w:sz w:val="24"/>
                <w:szCs w:val="24"/>
              </w:rPr>
              <w:t>过程漆雾产生量为0.</w:t>
            </w:r>
            <w:r>
              <w:rPr>
                <w:rFonts w:hint="default" w:ascii="Times New Roman" w:hAnsi="Times New Roman" w:eastAsia="宋体" w:cs="Times New Roman"/>
                <w:color w:val="auto"/>
                <w:sz w:val="24"/>
                <w:szCs w:val="24"/>
                <w:lang w:val="en-US" w:eastAsia="zh-CN"/>
              </w:rPr>
              <w:t>755</w:t>
            </w:r>
            <w:r>
              <w:rPr>
                <w:rFonts w:hint="default" w:ascii="Times New Roman" w:hAnsi="Times New Roman" w:eastAsia="宋体" w:cs="Times New Roman"/>
                <w:color w:val="auto"/>
                <w:sz w:val="24"/>
                <w:szCs w:val="24"/>
              </w:rPr>
              <w:t>t/a。</w:t>
            </w:r>
          </w:p>
          <w:p w14:paraId="0540682E">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照中文科技期刊数据库收录的《涂装指南（2005年第4期）》中“关于几种常见喷漆室漆雾处理方式的比较”一文中，水幕式喷漆室漆雾去除效率为80〜90%，干式喷漆室（使用纤维滤网）漆雾去除效率为90〜95%。本项目采用干式喷漆室+过滤棉去除漆雾颗粒，漆雾去除效率按90%计。喷漆房全封闭负压收集，</w:t>
            </w:r>
            <w:r>
              <w:rPr>
                <w:rFonts w:hint="default" w:ascii="Times New Roman" w:hAnsi="Times New Roman" w:eastAsia="宋体" w:cs="Times New Roman"/>
                <w:color w:val="auto"/>
                <w:sz w:val="24"/>
                <w:szCs w:val="24"/>
                <w:lang w:val="en-US" w:eastAsia="zh-CN"/>
              </w:rPr>
              <w:t>收</w:t>
            </w:r>
            <w:r>
              <w:rPr>
                <w:rFonts w:hint="default" w:ascii="Times New Roman" w:hAnsi="Times New Roman" w:eastAsia="宋体" w:cs="Times New Roman"/>
                <w:color w:val="auto"/>
                <w:sz w:val="24"/>
                <w:szCs w:val="24"/>
              </w:rPr>
              <w:t>集效率按95%计，则漆雾有组织</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rPr>
              <w:t>量为0.</w:t>
            </w:r>
            <w:r>
              <w:rPr>
                <w:rFonts w:hint="default" w:ascii="Times New Roman" w:hAnsi="Times New Roman" w:eastAsia="宋体" w:cs="Times New Roman"/>
                <w:color w:val="auto"/>
                <w:sz w:val="24"/>
                <w:szCs w:val="24"/>
                <w:lang w:val="en-US" w:eastAsia="zh-CN"/>
              </w:rPr>
              <w:t>0717</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rPr>
              <w:t>排放量为0.0</w:t>
            </w:r>
            <w:r>
              <w:rPr>
                <w:rFonts w:hint="default" w:ascii="Times New Roman" w:hAnsi="Times New Roman" w:eastAsia="宋体" w:cs="Times New Roman"/>
                <w:color w:val="auto"/>
                <w:sz w:val="24"/>
                <w:szCs w:val="24"/>
                <w:lang w:val="en-US" w:eastAsia="zh-CN"/>
              </w:rPr>
              <w:t>3775</w:t>
            </w:r>
            <w:r>
              <w:rPr>
                <w:rFonts w:hint="default" w:ascii="Times New Roman" w:hAnsi="Times New Roman" w:eastAsia="宋体" w:cs="Times New Roman"/>
                <w:color w:val="auto"/>
                <w:sz w:val="24"/>
                <w:szCs w:val="24"/>
              </w:rPr>
              <w:t>t/a。</w:t>
            </w:r>
          </w:p>
          <w:p w14:paraId="05B7C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③</w:t>
            </w:r>
            <w:r>
              <w:rPr>
                <w:rFonts w:hint="default" w:ascii="Times New Roman" w:hAnsi="Times New Roman" w:eastAsia="宋体" w:cs="Times New Roman"/>
                <w:color w:val="auto"/>
                <w:sz w:val="24"/>
                <w:szCs w:val="24"/>
              </w:rPr>
              <w:t>有机废气</w:t>
            </w:r>
          </w:p>
          <w:p w14:paraId="3EF7356C">
            <w:pPr>
              <w:pStyle w:val="11"/>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项目水性环氧底漆挥发份占比8.2%，则非甲烷总烃产生量为0.382t/a，项目采取两级活性炭（活性炭纤维+活性炭颗粒）吸附装置处理有机废气，收集效率按95%，处理效率按90%计算，则非甲烷总烃有组织排放量为</w:t>
            </w:r>
            <w:r>
              <w:rPr>
                <w:rFonts w:hint="default" w:ascii="Times New Roman" w:hAnsi="Times New Roman" w:eastAsia="宋体" w:cs="Times New Roman"/>
                <w:color w:val="FF0000"/>
                <w:kern w:val="2"/>
                <w:sz w:val="24"/>
                <w:szCs w:val="24"/>
                <w:lang w:val="en-US" w:eastAsia="zh-CN" w:bidi="ar-SA"/>
              </w:rPr>
              <w:t>0.0363t/a</w:t>
            </w:r>
            <w:r>
              <w:rPr>
                <w:rFonts w:hint="default" w:ascii="Times New Roman" w:hAnsi="Times New Roman" w:eastAsia="宋体" w:cs="Times New Roman"/>
                <w:color w:val="auto"/>
                <w:kern w:val="2"/>
                <w:sz w:val="24"/>
                <w:szCs w:val="24"/>
                <w:lang w:val="en-US" w:eastAsia="zh-CN" w:bidi="ar-SA"/>
              </w:rPr>
              <w:t>，无组织排放量为0.0191t/a。</w:t>
            </w:r>
          </w:p>
          <w:p w14:paraId="2684DB2C">
            <w:pPr>
              <w:pStyle w:val="11"/>
              <w:ind w:firstLine="480" w:firstLineChars="200"/>
              <w:rPr>
                <w:rFonts w:hAnsi="宋体" w:eastAsia="宋体"/>
                <w:sz w:val="24"/>
              </w:rPr>
            </w:pPr>
            <w:r>
              <w:rPr>
                <w:rFonts w:hint="eastAsia" w:hAnsi="宋体" w:eastAsia="宋体"/>
                <w:sz w:val="24"/>
              </w:rPr>
              <w:t>本项目漆料平衡见下图。</w:t>
            </w:r>
          </w:p>
          <w:p w14:paraId="4B6AB0D9">
            <w:pPr>
              <w:pStyle w:val="11"/>
              <w:rPr>
                <w:rFonts w:hint="eastAsia" w:hAnsi="宋体" w:eastAsia="宋体"/>
                <w:sz w:val="21"/>
                <w:szCs w:val="21"/>
                <w:lang w:eastAsia="zh-CN"/>
              </w:rPr>
            </w:pPr>
            <w:r>
              <w:rPr>
                <w:rFonts w:hint="eastAsia" w:hAnsi="宋体" w:eastAsia="宋体"/>
                <w:sz w:val="21"/>
                <w:szCs w:val="21"/>
                <w:lang w:eastAsia="zh-CN"/>
              </w:rPr>
              <w:drawing>
                <wp:inline distT="0" distB="0" distL="114300" distR="114300">
                  <wp:extent cx="5034915" cy="2927350"/>
                  <wp:effectExtent l="0" t="0" r="0" b="0"/>
                  <wp:docPr id="15"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3" descr="wps"/>
                          <pic:cNvPicPr>
                            <a:picLocks noChangeAspect="1"/>
                          </pic:cNvPicPr>
                        </pic:nvPicPr>
                        <pic:blipFill>
                          <a:blip r:embed="rId13"/>
                          <a:stretch>
                            <a:fillRect/>
                          </a:stretch>
                        </pic:blipFill>
                        <pic:spPr>
                          <a:xfrm>
                            <a:off x="0" y="0"/>
                            <a:ext cx="5034915" cy="2927350"/>
                          </a:xfrm>
                          <a:prstGeom prst="rect">
                            <a:avLst/>
                          </a:prstGeom>
                        </pic:spPr>
                      </pic:pic>
                    </a:graphicData>
                  </a:graphic>
                </wp:inline>
              </w:drawing>
            </w:r>
          </w:p>
          <w:p w14:paraId="1AECBD4F">
            <w:pPr>
              <w:spacing w:line="360" w:lineRule="auto"/>
              <w:jc w:val="center"/>
              <w:rPr>
                <w:rFonts w:hint="eastAsia"/>
                <w:b/>
                <w:bCs/>
                <w:kern w:val="0"/>
                <w:szCs w:val="21"/>
                <w:lang w:bidi="ar"/>
              </w:rPr>
            </w:pPr>
            <w:r>
              <w:rPr>
                <w:rFonts w:hint="eastAsia"/>
                <w:b/>
                <w:bCs/>
                <w:kern w:val="0"/>
                <w:szCs w:val="21"/>
                <w:lang w:bidi="ar"/>
              </w:rPr>
              <w:t xml:space="preserve">图4 </w:t>
            </w:r>
            <w:r>
              <w:rPr>
                <w:rFonts w:hint="eastAsia" w:ascii="宋体" w:hAnsi="宋体"/>
                <w:b/>
                <w:bCs/>
                <w:szCs w:val="21"/>
              </w:rPr>
              <w:t>漆料平衡</w:t>
            </w:r>
          </w:p>
          <w:p w14:paraId="41AB9268">
            <w:pPr>
              <w:spacing w:line="360" w:lineRule="auto"/>
              <w:ind w:firstLine="480" w:firstLineChars="200"/>
              <w:rPr>
                <w:kern w:val="0"/>
                <w:sz w:val="24"/>
                <w:lang w:bidi="ar"/>
              </w:rPr>
            </w:pPr>
            <w:r>
              <w:rPr>
                <w:rFonts w:hint="eastAsia"/>
                <w:kern w:val="0"/>
                <w:sz w:val="24"/>
                <w:lang w:bidi="ar"/>
              </w:rPr>
              <w:t>本</w:t>
            </w:r>
            <w:r>
              <w:rPr>
                <w:kern w:val="0"/>
                <w:sz w:val="24"/>
                <w:lang w:bidi="ar"/>
              </w:rPr>
              <w:t>项目有组织废气收集及排放情况见下列表。</w:t>
            </w:r>
          </w:p>
          <w:p w14:paraId="29AA5905">
            <w:pPr>
              <w:widowControl/>
              <w:numPr>
                <w:ilvl w:val="0"/>
                <w:numId w:val="2"/>
              </w:numPr>
              <w:jc w:val="center"/>
              <w:rPr>
                <w:b/>
                <w:kern w:val="0"/>
                <w:szCs w:val="21"/>
              </w:rPr>
            </w:pPr>
            <w:r>
              <w:rPr>
                <w:b/>
                <w:kern w:val="0"/>
                <w:szCs w:val="21"/>
              </w:rPr>
              <w:t>废气收集设施相关参数一览表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632"/>
              <w:gridCol w:w="2078"/>
              <w:gridCol w:w="1591"/>
              <w:gridCol w:w="1243"/>
            </w:tblGrid>
            <w:tr w14:paraId="6C3C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noWrap w:val="0"/>
                  <w:vAlign w:val="center"/>
                </w:tcPr>
                <w:p w14:paraId="47F7EE7B">
                  <w:pPr>
                    <w:spacing w:line="240" w:lineRule="atLeast"/>
                    <w:jc w:val="center"/>
                    <w:rPr>
                      <w:b/>
                      <w:bCs/>
                      <w:szCs w:val="21"/>
                    </w:rPr>
                  </w:pPr>
                  <w:r>
                    <w:rPr>
                      <w:b/>
                      <w:bCs/>
                      <w:szCs w:val="21"/>
                    </w:rPr>
                    <w:t>生产环节</w:t>
                  </w:r>
                </w:p>
              </w:tc>
              <w:tc>
                <w:tcPr>
                  <w:tcW w:w="1028" w:type="pct"/>
                  <w:noWrap w:val="0"/>
                  <w:vAlign w:val="center"/>
                </w:tcPr>
                <w:p w14:paraId="242C3A06">
                  <w:pPr>
                    <w:spacing w:line="240" w:lineRule="atLeast"/>
                    <w:jc w:val="center"/>
                    <w:rPr>
                      <w:b/>
                      <w:bCs/>
                      <w:szCs w:val="21"/>
                    </w:rPr>
                  </w:pPr>
                  <w:r>
                    <w:rPr>
                      <w:b/>
                      <w:bCs/>
                      <w:szCs w:val="21"/>
                    </w:rPr>
                    <w:t>污染物种类</w:t>
                  </w:r>
                </w:p>
              </w:tc>
              <w:tc>
                <w:tcPr>
                  <w:tcW w:w="1309" w:type="pct"/>
                  <w:noWrap w:val="0"/>
                  <w:vAlign w:val="center"/>
                </w:tcPr>
                <w:p w14:paraId="780AAB3E">
                  <w:pPr>
                    <w:spacing w:line="240" w:lineRule="atLeast"/>
                    <w:jc w:val="center"/>
                    <w:rPr>
                      <w:b/>
                      <w:bCs/>
                      <w:szCs w:val="21"/>
                    </w:rPr>
                  </w:pPr>
                  <w:r>
                    <w:rPr>
                      <w:b/>
                      <w:bCs/>
                      <w:szCs w:val="21"/>
                    </w:rPr>
                    <w:t>收集方式</w:t>
                  </w:r>
                </w:p>
              </w:tc>
              <w:tc>
                <w:tcPr>
                  <w:tcW w:w="1002" w:type="pct"/>
                  <w:noWrap w:val="0"/>
                  <w:vAlign w:val="center"/>
                </w:tcPr>
                <w:p w14:paraId="5B68B057">
                  <w:pPr>
                    <w:spacing w:line="240" w:lineRule="atLeast"/>
                    <w:jc w:val="center"/>
                    <w:rPr>
                      <w:b/>
                      <w:bCs/>
                      <w:szCs w:val="21"/>
                    </w:rPr>
                  </w:pPr>
                  <w:r>
                    <w:rPr>
                      <w:b/>
                      <w:bCs/>
                      <w:szCs w:val="21"/>
                    </w:rPr>
                    <w:t>收集设施数量</w:t>
                  </w:r>
                </w:p>
              </w:tc>
              <w:tc>
                <w:tcPr>
                  <w:tcW w:w="783" w:type="pct"/>
                  <w:noWrap w:val="0"/>
                  <w:vAlign w:val="center"/>
                </w:tcPr>
                <w:p w14:paraId="3584FC95">
                  <w:pPr>
                    <w:spacing w:line="240" w:lineRule="atLeast"/>
                    <w:jc w:val="center"/>
                    <w:rPr>
                      <w:rFonts w:hint="eastAsia" w:eastAsia="宋体"/>
                      <w:b/>
                      <w:bCs/>
                      <w:szCs w:val="21"/>
                      <w:lang w:val="en-US" w:eastAsia="zh-CN"/>
                    </w:rPr>
                  </w:pPr>
                  <w:r>
                    <w:rPr>
                      <w:rFonts w:hint="eastAsia"/>
                      <w:b/>
                      <w:bCs/>
                      <w:szCs w:val="21"/>
                      <w:lang w:val="en-US" w:eastAsia="zh-CN"/>
                    </w:rPr>
                    <w:t>风机风量</w:t>
                  </w:r>
                  <w:r>
                    <w:rPr>
                      <w:b/>
                      <w:bCs/>
                      <w:color w:val="auto"/>
                    </w:rPr>
                    <w:t>m</w:t>
                  </w:r>
                  <w:r>
                    <w:rPr>
                      <w:b/>
                      <w:bCs/>
                      <w:color w:val="auto"/>
                      <w:kern w:val="0"/>
                      <w:szCs w:val="21"/>
                      <w:vertAlign w:val="superscript"/>
                      <w:lang w:bidi="ar"/>
                    </w:rPr>
                    <w:t>3</w:t>
                  </w:r>
                  <w:r>
                    <w:rPr>
                      <w:b/>
                      <w:bCs/>
                      <w:color w:val="auto"/>
                      <w:kern w:val="0"/>
                      <w:szCs w:val="21"/>
                      <w:lang w:bidi="ar"/>
                    </w:rPr>
                    <w:t>/h</w:t>
                  </w:r>
                </w:p>
              </w:tc>
            </w:tr>
            <w:tr w14:paraId="2B80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restart"/>
                  <w:noWrap w:val="0"/>
                  <w:vAlign w:val="center"/>
                </w:tcPr>
                <w:p w14:paraId="5E29F0CA">
                  <w:pPr>
                    <w:spacing w:line="240" w:lineRule="atLeast"/>
                    <w:jc w:val="center"/>
                    <w:rPr>
                      <w:rFonts w:hint="eastAsia"/>
                      <w:szCs w:val="21"/>
                    </w:rPr>
                  </w:pPr>
                  <w:r>
                    <w:rPr>
                      <w:rFonts w:hint="eastAsia"/>
                      <w:szCs w:val="21"/>
                    </w:rPr>
                    <w:t>喷漆</w:t>
                  </w:r>
                </w:p>
              </w:tc>
              <w:tc>
                <w:tcPr>
                  <w:tcW w:w="1028" w:type="pct"/>
                  <w:noWrap w:val="0"/>
                  <w:vAlign w:val="center"/>
                </w:tcPr>
                <w:p w14:paraId="56A3DD3F">
                  <w:pPr>
                    <w:spacing w:line="240" w:lineRule="atLeast"/>
                    <w:jc w:val="center"/>
                    <w:rPr>
                      <w:rFonts w:hint="eastAsia"/>
                      <w:szCs w:val="21"/>
                    </w:rPr>
                  </w:pPr>
                  <w:r>
                    <w:rPr>
                      <w:rFonts w:hint="eastAsia"/>
                      <w:szCs w:val="21"/>
                    </w:rPr>
                    <w:t>漆雾</w:t>
                  </w:r>
                  <w:r>
                    <w:rPr>
                      <w:rFonts w:hint="eastAsia"/>
                      <w:szCs w:val="21"/>
                      <w:lang w:val="en-US" w:eastAsia="zh-CN"/>
                    </w:rPr>
                    <w:t>颗粒</w:t>
                  </w:r>
                </w:p>
              </w:tc>
              <w:tc>
                <w:tcPr>
                  <w:tcW w:w="1309" w:type="pct"/>
                  <w:vMerge w:val="restart"/>
                  <w:noWrap w:val="0"/>
                  <w:vAlign w:val="center"/>
                </w:tcPr>
                <w:p w14:paraId="54043456">
                  <w:pPr>
                    <w:spacing w:line="240" w:lineRule="atLeast"/>
                    <w:jc w:val="center"/>
                    <w:rPr>
                      <w:szCs w:val="21"/>
                    </w:rPr>
                  </w:pPr>
                  <w:r>
                    <w:rPr>
                      <w:rFonts w:hint="eastAsia"/>
                      <w:szCs w:val="21"/>
                    </w:rPr>
                    <w:t>喷漆房全封闭</w:t>
                  </w:r>
                  <w:r>
                    <w:rPr>
                      <w:rFonts w:hint="eastAsia"/>
                      <w:szCs w:val="21"/>
                      <w:lang w:val="en-US" w:eastAsia="zh-CN"/>
                    </w:rPr>
                    <w:t>微负压</w:t>
                  </w:r>
                  <w:r>
                    <w:rPr>
                      <w:szCs w:val="21"/>
                    </w:rPr>
                    <w:t>收集</w:t>
                  </w:r>
                </w:p>
              </w:tc>
              <w:tc>
                <w:tcPr>
                  <w:tcW w:w="1002" w:type="pct"/>
                  <w:vMerge w:val="restart"/>
                  <w:noWrap w:val="0"/>
                  <w:vAlign w:val="center"/>
                </w:tcPr>
                <w:p w14:paraId="65109CC3">
                  <w:pPr>
                    <w:spacing w:line="240" w:lineRule="atLeast"/>
                    <w:jc w:val="center"/>
                    <w:rPr>
                      <w:rFonts w:hint="default"/>
                      <w:szCs w:val="21"/>
                      <w:lang w:val="en-US"/>
                    </w:rPr>
                  </w:pPr>
                  <w:r>
                    <w:rPr>
                      <w:rFonts w:hint="eastAsia"/>
                      <w:szCs w:val="21"/>
                      <w:lang w:val="en-US" w:eastAsia="zh-CN"/>
                    </w:rPr>
                    <w:t>1个</w:t>
                  </w:r>
                </w:p>
              </w:tc>
              <w:tc>
                <w:tcPr>
                  <w:tcW w:w="783" w:type="pct"/>
                  <w:vMerge w:val="restart"/>
                  <w:noWrap w:val="0"/>
                  <w:vAlign w:val="center"/>
                </w:tcPr>
                <w:p w14:paraId="100740C0">
                  <w:pPr>
                    <w:spacing w:line="240" w:lineRule="atLeast"/>
                    <w:jc w:val="center"/>
                    <w:rPr>
                      <w:rFonts w:hint="default" w:eastAsia="宋体"/>
                      <w:szCs w:val="21"/>
                      <w:lang w:val="en-US" w:eastAsia="zh-CN"/>
                    </w:rPr>
                  </w:pPr>
                  <w:r>
                    <w:rPr>
                      <w:rFonts w:hint="eastAsia"/>
                      <w:szCs w:val="21"/>
                      <w:lang w:val="en-US" w:eastAsia="zh-CN"/>
                    </w:rPr>
                    <w:t>9000</w:t>
                  </w:r>
                </w:p>
              </w:tc>
            </w:tr>
            <w:tr w14:paraId="24C0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vAlign w:val="center"/>
                </w:tcPr>
                <w:p w14:paraId="1D6DA8DE">
                  <w:pPr>
                    <w:spacing w:line="240" w:lineRule="atLeast"/>
                    <w:jc w:val="center"/>
                    <w:rPr>
                      <w:rFonts w:hint="eastAsia"/>
                      <w:szCs w:val="21"/>
                    </w:rPr>
                  </w:pPr>
                </w:p>
              </w:tc>
              <w:tc>
                <w:tcPr>
                  <w:tcW w:w="1028" w:type="pct"/>
                  <w:noWrap w:val="0"/>
                  <w:vAlign w:val="center"/>
                </w:tcPr>
                <w:p w14:paraId="5E051E4C">
                  <w:pPr>
                    <w:spacing w:line="240" w:lineRule="atLeast"/>
                    <w:jc w:val="center"/>
                    <w:rPr>
                      <w:rFonts w:hint="eastAsia"/>
                      <w:szCs w:val="21"/>
                    </w:rPr>
                  </w:pPr>
                  <w:r>
                    <w:rPr>
                      <w:rFonts w:hint="eastAsia"/>
                      <w:szCs w:val="21"/>
                    </w:rPr>
                    <w:t>非甲烷总烃</w:t>
                  </w:r>
                </w:p>
              </w:tc>
              <w:tc>
                <w:tcPr>
                  <w:tcW w:w="1309" w:type="pct"/>
                  <w:vMerge w:val="continue"/>
                  <w:noWrap w:val="0"/>
                  <w:vAlign w:val="center"/>
                </w:tcPr>
                <w:p w14:paraId="25AD8643">
                  <w:pPr>
                    <w:spacing w:line="240" w:lineRule="atLeast"/>
                    <w:jc w:val="center"/>
                    <w:rPr>
                      <w:rFonts w:hint="eastAsia"/>
                      <w:szCs w:val="21"/>
                    </w:rPr>
                  </w:pPr>
                </w:p>
              </w:tc>
              <w:tc>
                <w:tcPr>
                  <w:tcW w:w="1002" w:type="pct"/>
                  <w:vMerge w:val="continue"/>
                  <w:noWrap w:val="0"/>
                  <w:vAlign w:val="center"/>
                </w:tcPr>
                <w:p w14:paraId="7133DB35">
                  <w:pPr>
                    <w:spacing w:line="240" w:lineRule="atLeast"/>
                    <w:jc w:val="center"/>
                    <w:rPr>
                      <w:rFonts w:hint="eastAsia"/>
                      <w:szCs w:val="21"/>
                    </w:rPr>
                  </w:pPr>
                </w:p>
              </w:tc>
              <w:tc>
                <w:tcPr>
                  <w:tcW w:w="783" w:type="pct"/>
                  <w:vMerge w:val="continue"/>
                  <w:noWrap w:val="0"/>
                  <w:vAlign w:val="center"/>
                </w:tcPr>
                <w:p w14:paraId="471A7A38">
                  <w:pPr>
                    <w:spacing w:line="240" w:lineRule="atLeast"/>
                    <w:jc w:val="center"/>
                    <w:rPr>
                      <w:szCs w:val="21"/>
                    </w:rPr>
                  </w:pPr>
                </w:p>
              </w:tc>
            </w:tr>
            <w:tr w14:paraId="7ADC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restart"/>
                  <w:noWrap w:val="0"/>
                  <w:vAlign w:val="center"/>
                </w:tcPr>
                <w:p w14:paraId="6F5B35BC">
                  <w:pPr>
                    <w:spacing w:line="240" w:lineRule="atLeast"/>
                    <w:jc w:val="center"/>
                    <w:rPr>
                      <w:rFonts w:hint="eastAsia"/>
                      <w:szCs w:val="21"/>
                    </w:rPr>
                  </w:pPr>
                  <w:r>
                    <w:rPr>
                      <w:rFonts w:hint="eastAsia"/>
                      <w:szCs w:val="21"/>
                      <w:lang w:val="en-US" w:eastAsia="zh-CN"/>
                    </w:rPr>
                    <w:t>钝化封闭</w:t>
                  </w:r>
                </w:p>
              </w:tc>
              <w:tc>
                <w:tcPr>
                  <w:tcW w:w="1028" w:type="pct"/>
                  <w:noWrap w:val="0"/>
                  <w:vAlign w:val="center"/>
                </w:tcPr>
                <w:p w14:paraId="03EE70E8">
                  <w:pPr>
                    <w:spacing w:line="240" w:lineRule="atLeast"/>
                    <w:jc w:val="center"/>
                    <w:rPr>
                      <w:rFonts w:hint="eastAsia" w:eastAsia="宋体"/>
                      <w:szCs w:val="21"/>
                      <w:lang w:eastAsia="zh-CN"/>
                    </w:rPr>
                  </w:pPr>
                  <w:r>
                    <w:rPr>
                      <w:rFonts w:hint="eastAsia"/>
                      <w:szCs w:val="21"/>
                      <w:lang w:val="en-US" w:eastAsia="zh-CN"/>
                    </w:rPr>
                    <w:t>漆雾颗粒</w:t>
                  </w:r>
                </w:p>
              </w:tc>
              <w:tc>
                <w:tcPr>
                  <w:tcW w:w="1309" w:type="pct"/>
                  <w:vMerge w:val="restart"/>
                  <w:noWrap w:val="0"/>
                  <w:vAlign w:val="center"/>
                </w:tcPr>
                <w:p w14:paraId="5631DD40">
                  <w:pPr>
                    <w:spacing w:line="240" w:lineRule="atLeast"/>
                    <w:jc w:val="center"/>
                    <w:rPr>
                      <w:rFonts w:hint="eastAsia"/>
                      <w:szCs w:val="21"/>
                    </w:rPr>
                  </w:pPr>
                  <w:r>
                    <w:rPr>
                      <w:rFonts w:hint="eastAsia"/>
                      <w:szCs w:val="21"/>
                    </w:rPr>
                    <w:t>燃气烘干炉全封闭，</w:t>
                  </w:r>
                  <w:r>
                    <w:rPr>
                      <w:rFonts w:hint="eastAsia"/>
                      <w:szCs w:val="21"/>
                      <w:lang w:val="en-US" w:eastAsia="zh-CN"/>
                    </w:rPr>
                    <w:t>引风管负压</w:t>
                  </w:r>
                  <w:r>
                    <w:rPr>
                      <w:szCs w:val="21"/>
                    </w:rPr>
                    <w:t>收集</w:t>
                  </w:r>
                </w:p>
              </w:tc>
              <w:tc>
                <w:tcPr>
                  <w:tcW w:w="1002" w:type="pct"/>
                  <w:vMerge w:val="restart"/>
                  <w:noWrap w:val="0"/>
                  <w:vAlign w:val="center"/>
                </w:tcPr>
                <w:p w14:paraId="0D0012F5">
                  <w:pPr>
                    <w:spacing w:line="240" w:lineRule="atLeast"/>
                    <w:jc w:val="center"/>
                    <w:rPr>
                      <w:rFonts w:hint="eastAsia"/>
                      <w:szCs w:val="21"/>
                    </w:rPr>
                  </w:pPr>
                  <w:r>
                    <w:rPr>
                      <w:rFonts w:hint="eastAsia"/>
                      <w:szCs w:val="21"/>
                    </w:rPr>
                    <w:t>1套</w:t>
                  </w:r>
                </w:p>
              </w:tc>
              <w:tc>
                <w:tcPr>
                  <w:tcW w:w="783" w:type="pct"/>
                  <w:vMerge w:val="restart"/>
                  <w:noWrap w:val="0"/>
                  <w:vAlign w:val="center"/>
                </w:tcPr>
                <w:p w14:paraId="5E60E1BF">
                  <w:pPr>
                    <w:spacing w:line="240" w:lineRule="atLeast"/>
                    <w:jc w:val="center"/>
                    <w:rPr>
                      <w:rFonts w:hint="default" w:eastAsia="宋体"/>
                      <w:szCs w:val="21"/>
                      <w:lang w:val="en-US" w:eastAsia="zh-CN"/>
                    </w:rPr>
                  </w:pPr>
                  <w:r>
                    <w:rPr>
                      <w:rFonts w:hint="eastAsia"/>
                      <w:szCs w:val="21"/>
                      <w:lang w:val="en-US" w:eastAsia="zh-CN"/>
                    </w:rPr>
                    <w:t>2000</w:t>
                  </w:r>
                </w:p>
              </w:tc>
            </w:tr>
            <w:tr w14:paraId="6660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vAlign w:val="center"/>
                </w:tcPr>
                <w:p w14:paraId="2D5D3C83">
                  <w:pPr>
                    <w:spacing w:line="240" w:lineRule="atLeast"/>
                    <w:jc w:val="center"/>
                    <w:rPr>
                      <w:rFonts w:hint="eastAsia"/>
                      <w:szCs w:val="21"/>
                      <w:lang w:val="en-US" w:eastAsia="zh-CN"/>
                    </w:rPr>
                  </w:pPr>
                </w:p>
              </w:tc>
              <w:tc>
                <w:tcPr>
                  <w:tcW w:w="1028" w:type="pct"/>
                  <w:noWrap w:val="0"/>
                  <w:vAlign w:val="center"/>
                </w:tcPr>
                <w:p w14:paraId="78BB00CC">
                  <w:pPr>
                    <w:spacing w:line="240" w:lineRule="atLeast"/>
                    <w:jc w:val="center"/>
                    <w:rPr>
                      <w:rFonts w:hint="eastAsia"/>
                      <w:szCs w:val="21"/>
                    </w:rPr>
                  </w:pPr>
                  <w:r>
                    <w:rPr>
                      <w:rFonts w:hint="eastAsia"/>
                      <w:szCs w:val="21"/>
                    </w:rPr>
                    <w:t>非甲烷总烃</w:t>
                  </w:r>
                </w:p>
              </w:tc>
              <w:tc>
                <w:tcPr>
                  <w:tcW w:w="1309" w:type="pct"/>
                  <w:vMerge w:val="continue"/>
                  <w:noWrap w:val="0"/>
                  <w:vAlign w:val="center"/>
                </w:tcPr>
                <w:p w14:paraId="083A043C">
                  <w:pPr>
                    <w:spacing w:line="240" w:lineRule="atLeast"/>
                    <w:jc w:val="center"/>
                    <w:rPr>
                      <w:rFonts w:hint="eastAsia"/>
                      <w:szCs w:val="21"/>
                    </w:rPr>
                  </w:pPr>
                </w:p>
              </w:tc>
              <w:tc>
                <w:tcPr>
                  <w:tcW w:w="1002" w:type="pct"/>
                  <w:vMerge w:val="continue"/>
                  <w:noWrap w:val="0"/>
                  <w:vAlign w:val="center"/>
                </w:tcPr>
                <w:p w14:paraId="1C74AB67">
                  <w:pPr>
                    <w:spacing w:line="240" w:lineRule="atLeast"/>
                    <w:jc w:val="center"/>
                    <w:rPr>
                      <w:rFonts w:hint="eastAsia"/>
                      <w:szCs w:val="21"/>
                    </w:rPr>
                  </w:pPr>
                </w:p>
              </w:tc>
              <w:tc>
                <w:tcPr>
                  <w:tcW w:w="783" w:type="pct"/>
                  <w:vMerge w:val="continue"/>
                  <w:noWrap w:val="0"/>
                  <w:vAlign w:val="center"/>
                </w:tcPr>
                <w:p w14:paraId="3B8F60BF">
                  <w:pPr>
                    <w:spacing w:line="240" w:lineRule="atLeast"/>
                    <w:jc w:val="center"/>
                    <w:rPr>
                      <w:szCs w:val="21"/>
                    </w:rPr>
                  </w:pPr>
                </w:p>
              </w:tc>
            </w:tr>
            <w:tr w14:paraId="1DF4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vAlign w:val="center"/>
                </w:tcPr>
                <w:p w14:paraId="5859F680">
                  <w:pPr>
                    <w:spacing w:line="240" w:lineRule="atLeast"/>
                    <w:jc w:val="center"/>
                    <w:rPr>
                      <w:rFonts w:hint="eastAsia"/>
                      <w:szCs w:val="21"/>
                    </w:rPr>
                  </w:pPr>
                </w:p>
              </w:tc>
              <w:tc>
                <w:tcPr>
                  <w:tcW w:w="1028" w:type="pct"/>
                  <w:noWrap w:val="0"/>
                  <w:vAlign w:val="center"/>
                </w:tcPr>
                <w:p w14:paraId="544FB305">
                  <w:pPr>
                    <w:spacing w:line="240" w:lineRule="atLeast"/>
                    <w:jc w:val="center"/>
                    <w:rPr>
                      <w:rFonts w:hint="eastAsia"/>
                      <w:szCs w:val="21"/>
                    </w:rPr>
                  </w:pPr>
                  <w:r>
                    <w:rPr>
                      <w:rFonts w:hint="eastAsia"/>
                      <w:szCs w:val="21"/>
                    </w:rPr>
                    <w:t>SO</w:t>
                  </w:r>
                  <w:r>
                    <w:rPr>
                      <w:rFonts w:hint="eastAsia"/>
                      <w:szCs w:val="21"/>
                      <w:vertAlign w:val="subscript"/>
                    </w:rPr>
                    <w:t>2</w:t>
                  </w:r>
                </w:p>
              </w:tc>
              <w:tc>
                <w:tcPr>
                  <w:tcW w:w="1309" w:type="pct"/>
                  <w:vMerge w:val="continue"/>
                  <w:noWrap w:val="0"/>
                  <w:vAlign w:val="center"/>
                </w:tcPr>
                <w:p w14:paraId="5E628285">
                  <w:pPr>
                    <w:spacing w:line="240" w:lineRule="atLeast"/>
                    <w:jc w:val="center"/>
                    <w:rPr>
                      <w:rFonts w:hint="eastAsia"/>
                      <w:szCs w:val="21"/>
                    </w:rPr>
                  </w:pPr>
                </w:p>
              </w:tc>
              <w:tc>
                <w:tcPr>
                  <w:tcW w:w="1002" w:type="pct"/>
                  <w:vMerge w:val="continue"/>
                  <w:noWrap w:val="0"/>
                  <w:vAlign w:val="center"/>
                </w:tcPr>
                <w:p w14:paraId="504CF25C">
                  <w:pPr>
                    <w:spacing w:line="240" w:lineRule="atLeast"/>
                    <w:jc w:val="center"/>
                    <w:rPr>
                      <w:rFonts w:hint="eastAsia"/>
                      <w:szCs w:val="21"/>
                    </w:rPr>
                  </w:pPr>
                </w:p>
              </w:tc>
              <w:tc>
                <w:tcPr>
                  <w:tcW w:w="783" w:type="pct"/>
                  <w:vMerge w:val="continue"/>
                  <w:noWrap w:val="0"/>
                  <w:vAlign w:val="center"/>
                </w:tcPr>
                <w:p w14:paraId="17D80F4D">
                  <w:pPr>
                    <w:spacing w:line="240" w:lineRule="atLeast"/>
                    <w:jc w:val="center"/>
                    <w:rPr>
                      <w:rFonts w:hint="eastAsia"/>
                      <w:szCs w:val="21"/>
                    </w:rPr>
                  </w:pPr>
                </w:p>
              </w:tc>
            </w:tr>
            <w:tr w14:paraId="2EFC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vAlign w:val="center"/>
                </w:tcPr>
                <w:p w14:paraId="38F00A86">
                  <w:pPr>
                    <w:spacing w:line="240" w:lineRule="atLeast"/>
                    <w:jc w:val="center"/>
                    <w:rPr>
                      <w:rFonts w:hint="eastAsia"/>
                      <w:szCs w:val="21"/>
                    </w:rPr>
                  </w:pPr>
                </w:p>
              </w:tc>
              <w:tc>
                <w:tcPr>
                  <w:tcW w:w="1028" w:type="pct"/>
                  <w:noWrap w:val="0"/>
                  <w:vAlign w:val="center"/>
                </w:tcPr>
                <w:p w14:paraId="4020AB90">
                  <w:pPr>
                    <w:spacing w:line="240" w:lineRule="atLeast"/>
                    <w:jc w:val="center"/>
                    <w:rPr>
                      <w:rFonts w:hint="eastAsia"/>
                      <w:szCs w:val="21"/>
                    </w:rPr>
                  </w:pPr>
                  <w:r>
                    <w:rPr>
                      <w:rFonts w:hint="eastAsia"/>
                      <w:szCs w:val="21"/>
                    </w:rPr>
                    <w:t>NO</w:t>
                  </w:r>
                  <w:r>
                    <w:rPr>
                      <w:rFonts w:hint="eastAsia"/>
                      <w:szCs w:val="21"/>
                      <w:vertAlign w:val="subscript"/>
                    </w:rPr>
                    <w:t>x</w:t>
                  </w:r>
                </w:p>
              </w:tc>
              <w:tc>
                <w:tcPr>
                  <w:tcW w:w="1309" w:type="pct"/>
                  <w:vMerge w:val="continue"/>
                  <w:noWrap w:val="0"/>
                  <w:vAlign w:val="center"/>
                </w:tcPr>
                <w:p w14:paraId="28ADBB99">
                  <w:pPr>
                    <w:spacing w:line="240" w:lineRule="atLeast"/>
                    <w:jc w:val="center"/>
                    <w:rPr>
                      <w:rFonts w:hint="eastAsia"/>
                      <w:szCs w:val="21"/>
                    </w:rPr>
                  </w:pPr>
                </w:p>
              </w:tc>
              <w:tc>
                <w:tcPr>
                  <w:tcW w:w="1002" w:type="pct"/>
                  <w:vMerge w:val="continue"/>
                  <w:noWrap w:val="0"/>
                  <w:vAlign w:val="center"/>
                </w:tcPr>
                <w:p w14:paraId="3F279D2D">
                  <w:pPr>
                    <w:spacing w:line="240" w:lineRule="atLeast"/>
                    <w:jc w:val="center"/>
                    <w:rPr>
                      <w:rFonts w:hint="eastAsia"/>
                      <w:szCs w:val="21"/>
                    </w:rPr>
                  </w:pPr>
                </w:p>
              </w:tc>
              <w:tc>
                <w:tcPr>
                  <w:tcW w:w="783" w:type="pct"/>
                  <w:vMerge w:val="continue"/>
                  <w:noWrap w:val="0"/>
                  <w:vAlign w:val="center"/>
                </w:tcPr>
                <w:p w14:paraId="3FADBCDD">
                  <w:pPr>
                    <w:spacing w:line="240" w:lineRule="atLeast"/>
                    <w:jc w:val="center"/>
                    <w:rPr>
                      <w:rFonts w:hint="eastAsia"/>
                      <w:szCs w:val="21"/>
                    </w:rPr>
                  </w:pPr>
                </w:p>
              </w:tc>
            </w:tr>
            <w:tr w14:paraId="15F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vAlign w:val="center"/>
                </w:tcPr>
                <w:p w14:paraId="3107F4A5">
                  <w:pPr>
                    <w:spacing w:line="240" w:lineRule="atLeast"/>
                    <w:jc w:val="center"/>
                    <w:rPr>
                      <w:rFonts w:hint="eastAsia"/>
                      <w:szCs w:val="21"/>
                    </w:rPr>
                  </w:pPr>
                </w:p>
              </w:tc>
              <w:tc>
                <w:tcPr>
                  <w:tcW w:w="1028" w:type="pct"/>
                  <w:noWrap w:val="0"/>
                  <w:vAlign w:val="center"/>
                </w:tcPr>
                <w:p w14:paraId="6FA5EB11">
                  <w:pPr>
                    <w:spacing w:line="240" w:lineRule="atLeast"/>
                    <w:jc w:val="center"/>
                    <w:rPr>
                      <w:rFonts w:hint="eastAsia"/>
                      <w:szCs w:val="21"/>
                    </w:rPr>
                  </w:pPr>
                  <w:r>
                    <w:rPr>
                      <w:rFonts w:hint="eastAsia"/>
                      <w:szCs w:val="21"/>
                    </w:rPr>
                    <w:t>颗粒物</w:t>
                  </w:r>
                </w:p>
              </w:tc>
              <w:tc>
                <w:tcPr>
                  <w:tcW w:w="1309" w:type="pct"/>
                  <w:vMerge w:val="continue"/>
                  <w:noWrap w:val="0"/>
                  <w:vAlign w:val="center"/>
                </w:tcPr>
                <w:p w14:paraId="75160E8B">
                  <w:pPr>
                    <w:spacing w:line="240" w:lineRule="atLeast"/>
                    <w:jc w:val="center"/>
                    <w:rPr>
                      <w:rFonts w:hint="eastAsia"/>
                      <w:szCs w:val="21"/>
                    </w:rPr>
                  </w:pPr>
                </w:p>
              </w:tc>
              <w:tc>
                <w:tcPr>
                  <w:tcW w:w="1002" w:type="pct"/>
                  <w:vMerge w:val="continue"/>
                  <w:noWrap w:val="0"/>
                  <w:vAlign w:val="center"/>
                </w:tcPr>
                <w:p w14:paraId="4E495337">
                  <w:pPr>
                    <w:spacing w:line="240" w:lineRule="atLeast"/>
                    <w:jc w:val="center"/>
                    <w:rPr>
                      <w:rFonts w:hint="eastAsia"/>
                      <w:szCs w:val="21"/>
                    </w:rPr>
                  </w:pPr>
                </w:p>
              </w:tc>
              <w:tc>
                <w:tcPr>
                  <w:tcW w:w="783" w:type="pct"/>
                  <w:vMerge w:val="continue"/>
                  <w:noWrap w:val="0"/>
                  <w:vAlign w:val="center"/>
                </w:tcPr>
                <w:p w14:paraId="3BAF6CE0">
                  <w:pPr>
                    <w:spacing w:line="240" w:lineRule="atLeast"/>
                    <w:jc w:val="center"/>
                    <w:rPr>
                      <w:rFonts w:hint="eastAsia"/>
                      <w:szCs w:val="21"/>
                    </w:rPr>
                  </w:pPr>
                </w:p>
              </w:tc>
            </w:tr>
            <w:tr w14:paraId="362B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restart"/>
                  <w:shd w:val="clear" w:color="auto" w:fill="auto"/>
                  <w:noWrap w:val="0"/>
                  <w:vAlign w:val="center"/>
                </w:tcPr>
                <w:p w14:paraId="473498DF">
                  <w:pPr>
                    <w:spacing w:line="240" w:lineRule="atLeast"/>
                    <w:jc w:val="center"/>
                    <w:rPr>
                      <w:rFonts w:hint="eastAsia" w:eastAsia="宋体"/>
                      <w:szCs w:val="21"/>
                      <w:lang w:val="en-US" w:eastAsia="zh-CN"/>
                    </w:rPr>
                  </w:pPr>
                  <w:r>
                    <w:rPr>
                      <w:rFonts w:hint="eastAsia"/>
                      <w:szCs w:val="21"/>
                      <w:lang w:val="en-US" w:eastAsia="zh-CN"/>
                    </w:rPr>
                    <w:t>渗锌</w:t>
                  </w:r>
                </w:p>
              </w:tc>
              <w:tc>
                <w:tcPr>
                  <w:tcW w:w="1028" w:type="pct"/>
                  <w:shd w:val="clear" w:color="auto" w:fill="auto"/>
                  <w:noWrap w:val="0"/>
                  <w:vAlign w:val="center"/>
                </w:tcPr>
                <w:p w14:paraId="49197E97">
                  <w:pPr>
                    <w:spacing w:line="240" w:lineRule="atLeast"/>
                    <w:jc w:val="center"/>
                    <w:rPr>
                      <w:rFonts w:hint="eastAsia"/>
                      <w:szCs w:val="21"/>
                    </w:rPr>
                  </w:pPr>
                  <w:r>
                    <w:rPr>
                      <w:rFonts w:hint="eastAsia"/>
                      <w:szCs w:val="21"/>
                    </w:rPr>
                    <w:t>SO</w:t>
                  </w:r>
                  <w:r>
                    <w:rPr>
                      <w:rFonts w:hint="eastAsia"/>
                      <w:szCs w:val="21"/>
                      <w:vertAlign w:val="subscript"/>
                    </w:rPr>
                    <w:t>2</w:t>
                  </w:r>
                </w:p>
              </w:tc>
              <w:tc>
                <w:tcPr>
                  <w:tcW w:w="1309" w:type="pct"/>
                  <w:vMerge w:val="restart"/>
                  <w:shd w:val="clear" w:color="auto" w:fill="auto"/>
                  <w:noWrap w:val="0"/>
                  <w:vAlign w:val="center"/>
                </w:tcPr>
                <w:p w14:paraId="3C870741">
                  <w:pPr>
                    <w:spacing w:line="240" w:lineRule="atLeast"/>
                    <w:jc w:val="center"/>
                    <w:rPr>
                      <w:rFonts w:hint="default" w:eastAsia="宋体"/>
                      <w:szCs w:val="21"/>
                      <w:lang w:val="en-US" w:eastAsia="zh-CN"/>
                    </w:rPr>
                  </w:pPr>
                  <w:r>
                    <w:rPr>
                      <w:rFonts w:hint="eastAsia"/>
                      <w:szCs w:val="21"/>
                      <w:lang w:val="en-US" w:eastAsia="zh-CN"/>
                    </w:rPr>
                    <w:t>渗锌炉全密闭，引风管负压</w:t>
                  </w:r>
                  <w:r>
                    <w:rPr>
                      <w:szCs w:val="21"/>
                    </w:rPr>
                    <w:t>收集</w:t>
                  </w:r>
                </w:p>
              </w:tc>
              <w:tc>
                <w:tcPr>
                  <w:tcW w:w="1002" w:type="pct"/>
                  <w:vMerge w:val="restart"/>
                  <w:shd w:val="clear" w:color="auto" w:fill="auto"/>
                  <w:noWrap w:val="0"/>
                  <w:vAlign w:val="center"/>
                </w:tcPr>
                <w:p w14:paraId="4D14ABF8">
                  <w:pPr>
                    <w:spacing w:line="240" w:lineRule="atLeast"/>
                    <w:jc w:val="center"/>
                    <w:rPr>
                      <w:rFonts w:hint="default" w:eastAsia="宋体"/>
                      <w:szCs w:val="21"/>
                      <w:lang w:val="en-US" w:eastAsia="zh-CN"/>
                    </w:rPr>
                  </w:pPr>
                  <w:r>
                    <w:rPr>
                      <w:rFonts w:hint="eastAsia"/>
                      <w:szCs w:val="21"/>
                      <w:lang w:val="en-US" w:eastAsia="zh-CN"/>
                    </w:rPr>
                    <w:t>1套</w:t>
                  </w:r>
                </w:p>
              </w:tc>
              <w:tc>
                <w:tcPr>
                  <w:tcW w:w="783" w:type="pct"/>
                  <w:vMerge w:val="restart"/>
                  <w:noWrap w:val="0"/>
                  <w:vAlign w:val="center"/>
                </w:tcPr>
                <w:p w14:paraId="40D7C77E">
                  <w:pPr>
                    <w:spacing w:line="240" w:lineRule="atLeast"/>
                    <w:jc w:val="center"/>
                    <w:rPr>
                      <w:rFonts w:hint="default"/>
                      <w:szCs w:val="21"/>
                      <w:lang w:val="en-US" w:eastAsia="zh-CN"/>
                    </w:rPr>
                  </w:pPr>
                  <w:r>
                    <w:rPr>
                      <w:rFonts w:hint="eastAsia"/>
                      <w:szCs w:val="21"/>
                      <w:lang w:val="en-US" w:eastAsia="zh-CN"/>
                    </w:rPr>
                    <w:t>2000</w:t>
                  </w:r>
                </w:p>
              </w:tc>
            </w:tr>
            <w:tr w14:paraId="2E07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shd w:val="clear" w:color="auto" w:fill="auto"/>
                  <w:noWrap w:val="0"/>
                  <w:vAlign w:val="center"/>
                </w:tcPr>
                <w:p w14:paraId="4CABBFCB">
                  <w:pPr>
                    <w:spacing w:line="240" w:lineRule="atLeast"/>
                    <w:jc w:val="center"/>
                    <w:rPr>
                      <w:rFonts w:hint="eastAsia"/>
                      <w:szCs w:val="21"/>
                      <w:lang w:val="en-US" w:eastAsia="zh-CN"/>
                    </w:rPr>
                  </w:pPr>
                </w:p>
              </w:tc>
              <w:tc>
                <w:tcPr>
                  <w:tcW w:w="1028" w:type="pct"/>
                  <w:shd w:val="clear" w:color="auto" w:fill="auto"/>
                  <w:noWrap w:val="0"/>
                  <w:vAlign w:val="center"/>
                </w:tcPr>
                <w:p w14:paraId="1CF78DCC">
                  <w:pPr>
                    <w:spacing w:line="240" w:lineRule="atLeast"/>
                    <w:jc w:val="center"/>
                    <w:rPr>
                      <w:rFonts w:hint="eastAsia"/>
                      <w:szCs w:val="21"/>
                    </w:rPr>
                  </w:pPr>
                  <w:r>
                    <w:rPr>
                      <w:rFonts w:hint="eastAsia"/>
                      <w:szCs w:val="21"/>
                    </w:rPr>
                    <w:t>NO</w:t>
                  </w:r>
                  <w:r>
                    <w:rPr>
                      <w:rFonts w:hint="eastAsia"/>
                      <w:szCs w:val="21"/>
                      <w:vertAlign w:val="subscript"/>
                    </w:rPr>
                    <w:t>x</w:t>
                  </w:r>
                </w:p>
              </w:tc>
              <w:tc>
                <w:tcPr>
                  <w:tcW w:w="1309" w:type="pct"/>
                  <w:vMerge w:val="continue"/>
                  <w:shd w:val="clear" w:color="auto" w:fill="auto"/>
                  <w:noWrap w:val="0"/>
                  <w:vAlign w:val="center"/>
                </w:tcPr>
                <w:p w14:paraId="7CD22FF5">
                  <w:pPr>
                    <w:spacing w:line="240" w:lineRule="atLeast"/>
                    <w:jc w:val="center"/>
                    <w:rPr>
                      <w:rFonts w:hint="eastAsia"/>
                      <w:szCs w:val="21"/>
                    </w:rPr>
                  </w:pPr>
                </w:p>
              </w:tc>
              <w:tc>
                <w:tcPr>
                  <w:tcW w:w="1002" w:type="pct"/>
                  <w:vMerge w:val="continue"/>
                  <w:shd w:val="clear" w:color="auto" w:fill="auto"/>
                  <w:noWrap w:val="0"/>
                  <w:vAlign w:val="center"/>
                </w:tcPr>
                <w:p w14:paraId="785CBE0F">
                  <w:pPr>
                    <w:spacing w:line="240" w:lineRule="atLeast"/>
                    <w:jc w:val="center"/>
                    <w:rPr>
                      <w:rFonts w:hint="eastAsia"/>
                      <w:szCs w:val="21"/>
                    </w:rPr>
                  </w:pPr>
                </w:p>
              </w:tc>
              <w:tc>
                <w:tcPr>
                  <w:tcW w:w="783" w:type="pct"/>
                  <w:vMerge w:val="continue"/>
                  <w:noWrap w:val="0"/>
                  <w:vAlign w:val="center"/>
                </w:tcPr>
                <w:p w14:paraId="7089860A">
                  <w:pPr>
                    <w:spacing w:line="240" w:lineRule="atLeast"/>
                    <w:jc w:val="center"/>
                    <w:rPr>
                      <w:rFonts w:hint="eastAsia"/>
                      <w:szCs w:val="21"/>
                      <w:lang w:val="en-US" w:eastAsia="zh-CN"/>
                    </w:rPr>
                  </w:pPr>
                </w:p>
              </w:tc>
            </w:tr>
            <w:tr w14:paraId="4EEF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shd w:val="clear" w:color="auto" w:fill="auto"/>
                  <w:noWrap w:val="0"/>
                  <w:vAlign w:val="center"/>
                </w:tcPr>
                <w:p w14:paraId="492FF7A7">
                  <w:pPr>
                    <w:spacing w:line="240" w:lineRule="atLeast"/>
                    <w:jc w:val="center"/>
                    <w:rPr>
                      <w:rFonts w:hint="eastAsia"/>
                      <w:szCs w:val="21"/>
                      <w:lang w:val="en-US" w:eastAsia="zh-CN"/>
                    </w:rPr>
                  </w:pPr>
                </w:p>
              </w:tc>
              <w:tc>
                <w:tcPr>
                  <w:tcW w:w="1028" w:type="pct"/>
                  <w:shd w:val="clear" w:color="auto" w:fill="auto"/>
                  <w:noWrap w:val="0"/>
                  <w:vAlign w:val="center"/>
                </w:tcPr>
                <w:p w14:paraId="2C0B2699">
                  <w:pPr>
                    <w:spacing w:line="240" w:lineRule="atLeast"/>
                    <w:jc w:val="center"/>
                    <w:rPr>
                      <w:rFonts w:hint="eastAsia"/>
                      <w:szCs w:val="21"/>
                    </w:rPr>
                  </w:pPr>
                  <w:r>
                    <w:rPr>
                      <w:rFonts w:hint="eastAsia"/>
                      <w:szCs w:val="21"/>
                    </w:rPr>
                    <w:t>颗粒物</w:t>
                  </w:r>
                </w:p>
              </w:tc>
              <w:tc>
                <w:tcPr>
                  <w:tcW w:w="1309" w:type="pct"/>
                  <w:vMerge w:val="continue"/>
                  <w:shd w:val="clear" w:color="auto" w:fill="auto"/>
                  <w:noWrap w:val="0"/>
                  <w:vAlign w:val="center"/>
                </w:tcPr>
                <w:p w14:paraId="4DA075F8">
                  <w:pPr>
                    <w:spacing w:line="240" w:lineRule="atLeast"/>
                    <w:jc w:val="center"/>
                    <w:rPr>
                      <w:rFonts w:hint="eastAsia"/>
                      <w:szCs w:val="21"/>
                    </w:rPr>
                  </w:pPr>
                </w:p>
              </w:tc>
              <w:tc>
                <w:tcPr>
                  <w:tcW w:w="1002" w:type="pct"/>
                  <w:vMerge w:val="continue"/>
                  <w:shd w:val="clear" w:color="auto" w:fill="auto"/>
                  <w:noWrap w:val="0"/>
                  <w:vAlign w:val="center"/>
                </w:tcPr>
                <w:p w14:paraId="64E0D670">
                  <w:pPr>
                    <w:spacing w:line="240" w:lineRule="atLeast"/>
                    <w:jc w:val="center"/>
                    <w:rPr>
                      <w:rFonts w:hint="eastAsia"/>
                      <w:szCs w:val="21"/>
                    </w:rPr>
                  </w:pPr>
                </w:p>
              </w:tc>
              <w:tc>
                <w:tcPr>
                  <w:tcW w:w="783" w:type="pct"/>
                  <w:vMerge w:val="continue"/>
                  <w:noWrap w:val="0"/>
                  <w:vAlign w:val="center"/>
                </w:tcPr>
                <w:p w14:paraId="765F24ED">
                  <w:pPr>
                    <w:spacing w:line="240" w:lineRule="atLeast"/>
                    <w:jc w:val="center"/>
                    <w:rPr>
                      <w:rFonts w:hint="eastAsia"/>
                      <w:szCs w:val="21"/>
                      <w:lang w:val="en-US" w:eastAsia="zh-CN"/>
                    </w:rPr>
                  </w:pPr>
                </w:p>
              </w:tc>
            </w:tr>
            <w:tr w14:paraId="294C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noWrap w:val="0"/>
                  <w:vAlign w:val="center"/>
                </w:tcPr>
                <w:p w14:paraId="66C94DAB">
                  <w:pPr>
                    <w:spacing w:line="240" w:lineRule="atLeast"/>
                    <w:jc w:val="center"/>
                    <w:rPr>
                      <w:rFonts w:hint="eastAsia"/>
                      <w:szCs w:val="21"/>
                    </w:rPr>
                  </w:pPr>
                  <w:r>
                    <w:rPr>
                      <w:rFonts w:hint="eastAsia"/>
                      <w:szCs w:val="21"/>
                    </w:rPr>
                    <w:t>切割下料</w:t>
                  </w:r>
                </w:p>
              </w:tc>
              <w:tc>
                <w:tcPr>
                  <w:tcW w:w="1028" w:type="pct"/>
                  <w:noWrap w:val="0"/>
                  <w:vAlign w:val="center"/>
                </w:tcPr>
                <w:p w14:paraId="15455249">
                  <w:pPr>
                    <w:spacing w:line="240" w:lineRule="atLeast"/>
                    <w:jc w:val="center"/>
                    <w:rPr>
                      <w:rFonts w:hint="eastAsia"/>
                      <w:szCs w:val="21"/>
                    </w:rPr>
                  </w:pPr>
                  <w:r>
                    <w:rPr>
                      <w:rFonts w:hint="eastAsia"/>
                      <w:szCs w:val="21"/>
                    </w:rPr>
                    <w:t>颗粒物</w:t>
                  </w:r>
                </w:p>
              </w:tc>
              <w:tc>
                <w:tcPr>
                  <w:tcW w:w="1309" w:type="pct"/>
                  <w:noWrap w:val="0"/>
                  <w:vAlign w:val="center"/>
                </w:tcPr>
                <w:p w14:paraId="1A68A17E">
                  <w:pPr>
                    <w:spacing w:line="240" w:lineRule="atLeast"/>
                    <w:jc w:val="center"/>
                    <w:rPr>
                      <w:rFonts w:hint="eastAsia"/>
                      <w:szCs w:val="21"/>
                    </w:rPr>
                  </w:pPr>
                  <w:r>
                    <w:rPr>
                      <w:rFonts w:hint="eastAsia"/>
                      <w:szCs w:val="21"/>
                    </w:rPr>
                    <w:t>设备自带集气罩</w:t>
                  </w:r>
                </w:p>
              </w:tc>
              <w:tc>
                <w:tcPr>
                  <w:tcW w:w="1002" w:type="pct"/>
                  <w:noWrap w:val="0"/>
                  <w:vAlign w:val="center"/>
                </w:tcPr>
                <w:p w14:paraId="7BE95EBF">
                  <w:pPr>
                    <w:spacing w:line="240" w:lineRule="atLeast"/>
                    <w:jc w:val="center"/>
                    <w:rPr>
                      <w:rFonts w:hint="eastAsia"/>
                      <w:szCs w:val="21"/>
                    </w:rPr>
                  </w:pPr>
                  <w:r>
                    <w:rPr>
                      <w:rFonts w:hint="eastAsia"/>
                      <w:szCs w:val="21"/>
                      <w:lang w:val="en-US" w:eastAsia="zh-CN"/>
                    </w:rPr>
                    <w:t>4</w:t>
                  </w:r>
                  <w:r>
                    <w:rPr>
                      <w:rFonts w:hint="eastAsia"/>
                      <w:szCs w:val="21"/>
                    </w:rPr>
                    <w:t>个集气罩</w:t>
                  </w:r>
                </w:p>
              </w:tc>
              <w:tc>
                <w:tcPr>
                  <w:tcW w:w="783" w:type="pct"/>
                  <w:shd w:val="clear" w:color="auto" w:fill="auto"/>
                  <w:noWrap w:val="0"/>
                  <w:vAlign w:val="center"/>
                </w:tcPr>
                <w:p w14:paraId="7D58875D">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r>
            <w:tr w14:paraId="7DEA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noWrap w:val="0"/>
                  <w:vAlign w:val="center"/>
                </w:tcPr>
                <w:p w14:paraId="07F8650D">
                  <w:pPr>
                    <w:spacing w:line="240" w:lineRule="atLeast"/>
                    <w:jc w:val="center"/>
                    <w:rPr>
                      <w:rFonts w:hint="eastAsia"/>
                      <w:szCs w:val="21"/>
                    </w:rPr>
                  </w:pPr>
                  <w:r>
                    <w:rPr>
                      <w:rFonts w:hint="eastAsia"/>
                      <w:szCs w:val="21"/>
                    </w:rPr>
                    <w:t>焊接</w:t>
                  </w:r>
                </w:p>
              </w:tc>
              <w:tc>
                <w:tcPr>
                  <w:tcW w:w="1028" w:type="pct"/>
                  <w:noWrap w:val="0"/>
                  <w:vAlign w:val="center"/>
                </w:tcPr>
                <w:p w14:paraId="1F8E794A">
                  <w:pPr>
                    <w:spacing w:line="240" w:lineRule="atLeast"/>
                    <w:jc w:val="center"/>
                    <w:rPr>
                      <w:rFonts w:hint="eastAsia"/>
                      <w:szCs w:val="21"/>
                    </w:rPr>
                  </w:pPr>
                  <w:r>
                    <w:rPr>
                      <w:rFonts w:hint="eastAsia"/>
                      <w:szCs w:val="21"/>
                    </w:rPr>
                    <w:t>焊接烟尘</w:t>
                  </w:r>
                </w:p>
              </w:tc>
              <w:tc>
                <w:tcPr>
                  <w:tcW w:w="1309" w:type="pct"/>
                  <w:noWrap w:val="0"/>
                  <w:vAlign w:val="center"/>
                </w:tcPr>
                <w:p w14:paraId="52CB41DA">
                  <w:pPr>
                    <w:spacing w:line="240" w:lineRule="atLeast"/>
                    <w:jc w:val="center"/>
                    <w:rPr>
                      <w:rFonts w:hint="eastAsia"/>
                      <w:szCs w:val="21"/>
                    </w:rPr>
                  </w:pPr>
                  <w:r>
                    <w:rPr>
                      <w:rFonts w:hint="eastAsia"/>
                      <w:szCs w:val="21"/>
                    </w:rPr>
                    <w:t>移动式焊烟净化器</w:t>
                  </w:r>
                </w:p>
              </w:tc>
              <w:tc>
                <w:tcPr>
                  <w:tcW w:w="1002" w:type="pct"/>
                  <w:noWrap w:val="0"/>
                  <w:vAlign w:val="center"/>
                </w:tcPr>
                <w:p w14:paraId="10008FD2">
                  <w:pPr>
                    <w:spacing w:line="240" w:lineRule="atLeast"/>
                    <w:jc w:val="center"/>
                    <w:rPr>
                      <w:rFonts w:hint="eastAsia"/>
                      <w:szCs w:val="21"/>
                    </w:rPr>
                  </w:pPr>
                  <w:r>
                    <w:rPr>
                      <w:rFonts w:hint="eastAsia"/>
                      <w:szCs w:val="21"/>
                      <w:lang w:val="en-US" w:eastAsia="zh-CN"/>
                    </w:rPr>
                    <w:t>6</w:t>
                  </w:r>
                  <w:r>
                    <w:rPr>
                      <w:rFonts w:hint="eastAsia"/>
                      <w:szCs w:val="21"/>
                    </w:rPr>
                    <w:t>台</w:t>
                  </w:r>
                </w:p>
              </w:tc>
              <w:tc>
                <w:tcPr>
                  <w:tcW w:w="783" w:type="pct"/>
                  <w:noWrap w:val="0"/>
                  <w:vAlign w:val="center"/>
                </w:tcPr>
                <w:p w14:paraId="72C80F22">
                  <w:pPr>
                    <w:spacing w:line="240" w:lineRule="atLeast"/>
                    <w:jc w:val="center"/>
                    <w:rPr>
                      <w:szCs w:val="21"/>
                    </w:rPr>
                  </w:pPr>
                  <w:r>
                    <w:rPr>
                      <w:rFonts w:hint="eastAsia"/>
                      <w:szCs w:val="21"/>
                      <w:lang w:val="en-US" w:eastAsia="zh-CN"/>
                    </w:rPr>
                    <w:t>/</w:t>
                  </w:r>
                </w:p>
              </w:tc>
            </w:tr>
            <w:tr w14:paraId="0A27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shd w:val="clear" w:color="auto" w:fill="auto"/>
                  <w:noWrap w:val="0"/>
                  <w:vAlign w:val="center"/>
                </w:tcPr>
                <w:p w14:paraId="1B8FAB69">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Cs w:val="21"/>
                    </w:rPr>
                    <w:t>抛丸</w:t>
                  </w:r>
                </w:p>
              </w:tc>
              <w:tc>
                <w:tcPr>
                  <w:tcW w:w="1028" w:type="pct"/>
                  <w:shd w:val="clear" w:color="auto" w:fill="auto"/>
                  <w:noWrap w:val="0"/>
                  <w:vAlign w:val="center"/>
                </w:tcPr>
                <w:p w14:paraId="0702B042">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Cs w:val="21"/>
                    </w:rPr>
                    <w:t>颗粒物</w:t>
                  </w:r>
                </w:p>
              </w:tc>
              <w:tc>
                <w:tcPr>
                  <w:tcW w:w="1309" w:type="pct"/>
                  <w:shd w:val="clear" w:color="auto" w:fill="auto"/>
                  <w:noWrap w:val="0"/>
                  <w:vAlign w:val="center"/>
                </w:tcPr>
                <w:p w14:paraId="5707272E">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Cs w:val="21"/>
                    </w:rPr>
                    <w:t>密闭设备，管道收集</w:t>
                  </w:r>
                </w:p>
              </w:tc>
              <w:tc>
                <w:tcPr>
                  <w:tcW w:w="1002" w:type="pct"/>
                  <w:shd w:val="clear" w:color="auto" w:fill="auto"/>
                  <w:noWrap w:val="0"/>
                  <w:vAlign w:val="center"/>
                </w:tcPr>
                <w:p w14:paraId="060B8D51">
                  <w:pPr>
                    <w:spacing w:line="240" w:lineRule="atLeast"/>
                    <w:jc w:val="center"/>
                    <w:rPr>
                      <w:rFonts w:hint="eastAsia" w:ascii="Times New Roman" w:hAnsi="Times New Roman" w:eastAsia="宋体" w:cs="Times New Roman"/>
                      <w:kern w:val="2"/>
                      <w:sz w:val="21"/>
                      <w:szCs w:val="21"/>
                      <w:lang w:val="en-US" w:eastAsia="zh-CN" w:bidi="ar-SA"/>
                    </w:rPr>
                  </w:pPr>
                  <w:r>
                    <w:rPr>
                      <w:rFonts w:hint="eastAsia"/>
                      <w:szCs w:val="21"/>
                    </w:rPr>
                    <w:t>2套</w:t>
                  </w:r>
                </w:p>
              </w:tc>
              <w:tc>
                <w:tcPr>
                  <w:tcW w:w="783" w:type="pct"/>
                  <w:noWrap w:val="0"/>
                  <w:vAlign w:val="center"/>
                </w:tcPr>
                <w:p w14:paraId="06540058">
                  <w:pPr>
                    <w:spacing w:line="240" w:lineRule="atLeast"/>
                    <w:jc w:val="center"/>
                    <w:rPr>
                      <w:rFonts w:hint="default" w:eastAsia="宋体"/>
                      <w:szCs w:val="21"/>
                      <w:lang w:val="en-US" w:eastAsia="zh-CN"/>
                    </w:rPr>
                  </w:pPr>
                  <w:r>
                    <w:rPr>
                      <w:rFonts w:hint="eastAsia"/>
                      <w:szCs w:val="21"/>
                      <w:lang w:val="en-US" w:eastAsia="zh-CN"/>
                    </w:rPr>
                    <w:t>5000</w:t>
                  </w:r>
                </w:p>
              </w:tc>
            </w:tr>
          </w:tbl>
          <w:p w14:paraId="5D446153">
            <w:pPr>
              <w:widowControl/>
              <w:numPr>
                <w:ilvl w:val="0"/>
                <w:numId w:val="2"/>
              </w:numPr>
              <w:ind w:left="420" w:hanging="420"/>
              <w:jc w:val="center"/>
              <w:rPr>
                <w:rFonts w:ascii="Times New Roman" w:hAnsi="Times New Roman" w:cs="Times New Roman"/>
                <w:b/>
                <w:color w:val="auto"/>
                <w:kern w:val="0"/>
                <w:szCs w:val="21"/>
              </w:rPr>
            </w:pPr>
            <w:r>
              <w:rPr>
                <w:rFonts w:hint="eastAsia" w:ascii="Times New Roman" w:hAnsi="Times New Roman" w:cs="Times New Roman"/>
                <w:b/>
                <w:color w:val="auto"/>
                <w:kern w:val="0"/>
                <w:szCs w:val="21"/>
              </w:rPr>
              <w:t>本项目</w:t>
            </w:r>
            <w:r>
              <w:rPr>
                <w:rFonts w:ascii="Times New Roman" w:hAnsi="Times New Roman" w:cs="Times New Roman"/>
                <w:b/>
                <w:color w:val="auto"/>
                <w:kern w:val="0"/>
                <w:szCs w:val="21"/>
                <w:lang w:val="zh-TW"/>
              </w:rPr>
              <w:t>无组织</w:t>
            </w:r>
            <w:r>
              <w:rPr>
                <w:rFonts w:ascii="Times New Roman" w:hAnsi="Times New Roman" w:cs="Times New Roman"/>
                <w:b/>
                <w:color w:val="auto"/>
                <w:kern w:val="0"/>
                <w:szCs w:val="21"/>
                <w:lang w:val="zh-TW" w:eastAsia="zh-TW"/>
              </w:rPr>
              <w:t>废气污染源汇总表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0"/>
              <w:gridCol w:w="432"/>
              <w:gridCol w:w="786"/>
              <w:gridCol w:w="1437"/>
              <w:gridCol w:w="814"/>
              <w:gridCol w:w="918"/>
              <w:gridCol w:w="776"/>
              <w:gridCol w:w="935"/>
              <w:gridCol w:w="1303"/>
            </w:tblGrid>
            <w:tr w14:paraId="784C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7966A9A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zh-TW" w:eastAsia="zh-TW" w:bidi="ar"/>
                    </w:rPr>
                    <w:t>序号</w:t>
                  </w:r>
                </w:p>
              </w:tc>
              <w:tc>
                <w:tcPr>
                  <w:tcW w:w="767" w:type="pct"/>
                  <w:gridSpan w:val="2"/>
                  <w:vAlign w:val="center"/>
                </w:tcPr>
                <w:p w14:paraId="3FC16E3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zh-TW" w:eastAsia="zh-TW" w:bidi="ar"/>
                    </w:rPr>
                    <w:t>污染</w:t>
                  </w:r>
                  <w:r>
                    <w:rPr>
                      <w:rFonts w:hint="default" w:ascii="Times New Roman" w:hAnsi="Times New Roman" w:eastAsia="宋体" w:cs="Times New Roman"/>
                      <w:b/>
                      <w:bCs/>
                      <w:color w:val="auto"/>
                      <w:kern w:val="0"/>
                      <w:sz w:val="21"/>
                      <w:szCs w:val="21"/>
                      <w:lang w:bidi="ar"/>
                    </w:rPr>
                    <w:t>源</w:t>
                  </w:r>
                </w:p>
              </w:tc>
              <w:tc>
                <w:tcPr>
                  <w:tcW w:w="905" w:type="pct"/>
                  <w:vAlign w:val="center"/>
                </w:tcPr>
                <w:p w14:paraId="4A89510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w:t>
                  </w:r>
                </w:p>
              </w:tc>
              <w:tc>
                <w:tcPr>
                  <w:tcW w:w="513" w:type="pct"/>
                  <w:vAlign w:val="center"/>
                </w:tcPr>
                <w:p w14:paraId="44B8108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zh-TW" w:bidi="ar"/>
                    </w:rPr>
                    <w:t>产生量</w:t>
                  </w:r>
                  <w:r>
                    <w:rPr>
                      <w:rFonts w:hint="default" w:ascii="Times New Roman" w:hAnsi="Times New Roman" w:eastAsia="宋体" w:cs="Times New Roman"/>
                      <w:b/>
                      <w:bCs/>
                      <w:color w:val="auto"/>
                      <w:kern w:val="0"/>
                      <w:sz w:val="21"/>
                      <w:szCs w:val="21"/>
                      <w:lang w:bidi="ar"/>
                    </w:rPr>
                    <w:t>(kg/a)</w:t>
                  </w:r>
                </w:p>
              </w:tc>
              <w:tc>
                <w:tcPr>
                  <w:tcW w:w="578" w:type="pct"/>
                  <w:vAlign w:val="center"/>
                </w:tcPr>
                <w:p w14:paraId="2201D01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zh-TW" w:bidi="ar"/>
                    </w:rPr>
                    <w:t>产生速率（</w:t>
                  </w:r>
                  <w:r>
                    <w:rPr>
                      <w:rFonts w:hint="default" w:ascii="Times New Roman" w:hAnsi="Times New Roman" w:eastAsia="宋体" w:cs="Times New Roman"/>
                      <w:b/>
                      <w:bCs/>
                      <w:color w:val="auto"/>
                      <w:kern w:val="0"/>
                      <w:sz w:val="21"/>
                      <w:szCs w:val="21"/>
                      <w:lang w:bidi="ar"/>
                    </w:rPr>
                    <w:t>kg/h</w:t>
                  </w:r>
                  <w:r>
                    <w:rPr>
                      <w:rFonts w:hint="default" w:ascii="Times New Roman" w:hAnsi="Times New Roman" w:eastAsia="宋体" w:cs="Times New Roman"/>
                      <w:b/>
                      <w:bCs/>
                      <w:color w:val="auto"/>
                      <w:kern w:val="0"/>
                      <w:sz w:val="21"/>
                      <w:szCs w:val="21"/>
                      <w:lang w:val="zh-TW" w:bidi="ar"/>
                    </w:rPr>
                    <w:t>）</w:t>
                  </w:r>
                </w:p>
              </w:tc>
              <w:tc>
                <w:tcPr>
                  <w:tcW w:w="489" w:type="pct"/>
                  <w:vAlign w:val="center"/>
                </w:tcPr>
                <w:p w14:paraId="53AEFDF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val="zh-TW" w:bidi="ar"/>
                    </w:rPr>
                  </w:pPr>
                  <w:r>
                    <w:rPr>
                      <w:rFonts w:hint="default" w:ascii="Times New Roman" w:hAnsi="Times New Roman" w:eastAsia="宋体" w:cs="Times New Roman"/>
                      <w:b/>
                      <w:bCs/>
                      <w:color w:val="auto"/>
                      <w:kern w:val="0"/>
                      <w:sz w:val="21"/>
                      <w:szCs w:val="21"/>
                      <w:lang w:val="zh-TW" w:bidi="ar"/>
                    </w:rPr>
                    <w:t>排放量</w:t>
                  </w:r>
                  <w:r>
                    <w:rPr>
                      <w:rFonts w:hint="default" w:ascii="Times New Roman" w:hAnsi="Times New Roman" w:eastAsia="宋体" w:cs="Times New Roman"/>
                      <w:b/>
                      <w:bCs/>
                      <w:color w:val="auto"/>
                      <w:kern w:val="0"/>
                      <w:sz w:val="21"/>
                      <w:szCs w:val="21"/>
                      <w:lang w:bidi="ar"/>
                    </w:rPr>
                    <w:t>(kg/a)</w:t>
                  </w:r>
                </w:p>
              </w:tc>
              <w:tc>
                <w:tcPr>
                  <w:tcW w:w="589" w:type="pct"/>
                  <w:vAlign w:val="center"/>
                </w:tcPr>
                <w:p w14:paraId="69D8D4E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val="zh-TW" w:bidi="ar"/>
                    </w:rPr>
                  </w:pPr>
                  <w:r>
                    <w:rPr>
                      <w:rFonts w:hint="default" w:ascii="Times New Roman" w:hAnsi="Times New Roman" w:eastAsia="宋体" w:cs="Times New Roman"/>
                      <w:b/>
                      <w:bCs/>
                      <w:color w:val="auto"/>
                      <w:kern w:val="0"/>
                      <w:sz w:val="21"/>
                      <w:szCs w:val="21"/>
                      <w:lang w:val="zh-TW" w:bidi="ar"/>
                    </w:rPr>
                    <w:t>排放速率（</w:t>
                  </w:r>
                  <w:r>
                    <w:rPr>
                      <w:rFonts w:hint="default" w:ascii="Times New Roman" w:hAnsi="Times New Roman" w:eastAsia="宋体" w:cs="Times New Roman"/>
                      <w:b/>
                      <w:bCs/>
                      <w:color w:val="auto"/>
                      <w:kern w:val="0"/>
                      <w:sz w:val="21"/>
                      <w:szCs w:val="21"/>
                      <w:lang w:bidi="ar"/>
                    </w:rPr>
                    <w:t>kg/h</w:t>
                  </w:r>
                  <w:r>
                    <w:rPr>
                      <w:rFonts w:hint="default" w:ascii="Times New Roman" w:hAnsi="Times New Roman" w:eastAsia="宋体" w:cs="Times New Roman"/>
                      <w:b/>
                      <w:bCs/>
                      <w:color w:val="auto"/>
                      <w:kern w:val="0"/>
                      <w:sz w:val="21"/>
                      <w:szCs w:val="21"/>
                      <w:lang w:val="zh-TW" w:bidi="ar"/>
                    </w:rPr>
                    <w:t>）</w:t>
                  </w:r>
                </w:p>
              </w:tc>
              <w:tc>
                <w:tcPr>
                  <w:tcW w:w="821" w:type="pct"/>
                  <w:vAlign w:val="center"/>
                </w:tcPr>
                <w:p w14:paraId="14610D4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lang w:val="zh-TW" w:bidi="ar"/>
                    </w:rPr>
                  </w:pPr>
                  <w:r>
                    <w:rPr>
                      <w:rFonts w:hint="default" w:ascii="Times New Roman" w:hAnsi="Times New Roman" w:eastAsia="宋体" w:cs="Times New Roman"/>
                      <w:b/>
                      <w:bCs/>
                      <w:color w:val="auto"/>
                      <w:kern w:val="0"/>
                      <w:sz w:val="21"/>
                      <w:szCs w:val="21"/>
                      <w:lang w:val="zh-TW" w:bidi="ar"/>
                    </w:rPr>
                    <w:t>排放源参数</w:t>
                  </w:r>
                </w:p>
              </w:tc>
            </w:tr>
            <w:tr w14:paraId="62B6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3D276FF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272" w:type="pct"/>
                  <w:vMerge w:val="restart"/>
                  <w:vAlign w:val="center"/>
                </w:tcPr>
                <w:p w14:paraId="73B46EA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sz w:val="21"/>
                      <w:szCs w:val="21"/>
                      <w:lang w:val="en-US" w:eastAsia="zh-CN"/>
                    </w:rPr>
                    <w:t>生产厂房</w:t>
                  </w:r>
                </w:p>
              </w:tc>
              <w:tc>
                <w:tcPr>
                  <w:tcW w:w="494" w:type="pct"/>
                  <w:vMerge w:val="restart"/>
                  <w:vAlign w:val="center"/>
                </w:tcPr>
                <w:p w14:paraId="725F954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渗锌</w:t>
                  </w:r>
                </w:p>
              </w:tc>
              <w:tc>
                <w:tcPr>
                  <w:tcW w:w="905" w:type="pct"/>
                  <w:vAlign w:val="center"/>
                </w:tcPr>
                <w:p w14:paraId="403B318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513" w:type="pct"/>
                  <w:vAlign w:val="center"/>
                </w:tcPr>
                <w:p w14:paraId="05193B8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bidi="ar"/>
                    </w:rPr>
                    <w:t>1</w:t>
                  </w:r>
                </w:p>
              </w:tc>
              <w:tc>
                <w:tcPr>
                  <w:tcW w:w="578" w:type="pct"/>
                  <w:vAlign w:val="center"/>
                </w:tcPr>
                <w:p w14:paraId="6C93C4B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333</w:t>
                  </w:r>
                </w:p>
              </w:tc>
              <w:tc>
                <w:tcPr>
                  <w:tcW w:w="489" w:type="pct"/>
                  <w:vAlign w:val="center"/>
                </w:tcPr>
                <w:p w14:paraId="7424225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1</w:t>
                  </w:r>
                </w:p>
              </w:tc>
              <w:tc>
                <w:tcPr>
                  <w:tcW w:w="589" w:type="pct"/>
                  <w:vAlign w:val="center"/>
                </w:tcPr>
                <w:p w14:paraId="16D3B72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333</w:t>
                  </w:r>
                </w:p>
              </w:tc>
              <w:tc>
                <w:tcPr>
                  <w:tcW w:w="821" w:type="pct"/>
                  <w:vMerge w:val="restart"/>
                  <w:vAlign w:val="center"/>
                </w:tcPr>
                <w:p w14:paraId="71DDD19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124752m</w:t>
                  </w:r>
                  <w:r>
                    <w:rPr>
                      <w:rFonts w:hint="default" w:ascii="Times New Roman" w:hAnsi="Times New Roman" w:eastAsia="宋体" w:cs="Times New Roman"/>
                      <w:color w:val="auto"/>
                      <w:kern w:val="0"/>
                      <w:sz w:val="21"/>
                      <w:szCs w:val="21"/>
                      <w:vertAlign w:val="superscript"/>
                      <w:lang w:val="en-US" w:eastAsia="zh-CN" w:bidi="ar"/>
                    </w:rPr>
                    <w:t>3</w:t>
                  </w:r>
                </w:p>
              </w:tc>
            </w:tr>
            <w:tr w14:paraId="52ED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2CE1A2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w:t>
                  </w:r>
                </w:p>
              </w:tc>
              <w:tc>
                <w:tcPr>
                  <w:tcW w:w="272" w:type="pct"/>
                  <w:vMerge w:val="continue"/>
                  <w:vAlign w:val="center"/>
                </w:tcPr>
                <w:p w14:paraId="7F7B9A5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494" w:type="pct"/>
                  <w:vMerge w:val="continue"/>
                  <w:vAlign w:val="center"/>
                </w:tcPr>
                <w:p w14:paraId="44F622D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905" w:type="pct"/>
                  <w:vAlign w:val="center"/>
                </w:tcPr>
                <w:p w14:paraId="0963BC2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513" w:type="pct"/>
                  <w:vAlign w:val="center"/>
                </w:tcPr>
                <w:p w14:paraId="26B06B2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cs="Times New Roman"/>
                      <w:color w:val="auto"/>
                      <w:kern w:val="0"/>
                      <w:sz w:val="21"/>
                      <w:szCs w:val="21"/>
                      <w:lang w:val="en-US" w:eastAsia="zh-CN" w:bidi="ar"/>
                    </w:rPr>
                    <w:t>.4</w:t>
                  </w:r>
                </w:p>
              </w:tc>
              <w:tc>
                <w:tcPr>
                  <w:tcW w:w="578" w:type="pct"/>
                  <w:vAlign w:val="center"/>
                </w:tcPr>
                <w:p w14:paraId="1257AC5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cs="Times New Roman"/>
                      <w:color w:val="auto"/>
                      <w:kern w:val="0"/>
                      <w:sz w:val="21"/>
                      <w:szCs w:val="21"/>
                      <w:lang w:val="en-US" w:eastAsia="zh-CN" w:bidi="ar"/>
                    </w:rPr>
                    <w:t>113</w:t>
                  </w:r>
                </w:p>
              </w:tc>
              <w:tc>
                <w:tcPr>
                  <w:tcW w:w="933" w:type="dxa"/>
                  <w:vAlign w:val="center"/>
                </w:tcPr>
                <w:p w14:paraId="20A0CDC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cs="Times New Roman"/>
                      <w:color w:val="auto"/>
                      <w:kern w:val="0"/>
                      <w:sz w:val="21"/>
                      <w:szCs w:val="21"/>
                      <w:lang w:val="en-US" w:eastAsia="zh-CN" w:bidi="ar"/>
                    </w:rPr>
                    <w:t>.4</w:t>
                  </w:r>
                </w:p>
              </w:tc>
              <w:tc>
                <w:tcPr>
                  <w:tcW w:w="1123" w:type="dxa"/>
                  <w:vAlign w:val="center"/>
                </w:tcPr>
                <w:p w14:paraId="485310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cs="Times New Roman"/>
                      <w:color w:val="auto"/>
                      <w:kern w:val="0"/>
                      <w:sz w:val="21"/>
                      <w:szCs w:val="21"/>
                      <w:lang w:val="en-US" w:eastAsia="zh-CN" w:bidi="ar"/>
                    </w:rPr>
                    <w:t>113</w:t>
                  </w:r>
                </w:p>
              </w:tc>
              <w:tc>
                <w:tcPr>
                  <w:tcW w:w="821" w:type="pct"/>
                  <w:vMerge w:val="continue"/>
                  <w:vAlign w:val="center"/>
                </w:tcPr>
                <w:p w14:paraId="1DB07B8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r w14:paraId="0EE3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2ADB97F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w:t>
                  </w:r>
                </w:p>
              </w:tc>
              <w:tc>
                <w:tcPr>
                  <w:tcW w:w="272" w:type="pct"/>
                  <w:vMerge w:val="continue"/>
                  <w:vAlign w:val="center"/>
                </w:tcPr>
                <w:p w14:paraId="266980F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494" w:type="pct"/>
                  <w:vMerge w:val="continue"/>
                  <w:vAlign w:val="center"/>
                </w:tcPr>
                <w:p w14:paraId="7D8E02C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905" w:type="pct"/>
                  <w:vAlign w:val="center"/>
                </w:tcPr>
                <w:p w14:paraId="422746D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颗粒物</w:t>
                  </w:r>
                </w:p>
              </w:tc>
              <w:tc>
                <w:tcPr>
                  <w:tcW w:w="513" w:type="pct"/>
                  <w:vAlign w:val="center"/>
                </w:tcPr>
                <w:p w14:paraId="19F7CB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bidi="ar"/>
                    </w:rPr>
                    <w:t>1</w:t>
                  </w:r>
                </w:p>
              </w:tc>
              <w:tc>
                <w:tcPr>
                  <w:tcW w:w="578" w:type="pct"/>
                  <w:vAlign w:val="center"/>
                </w:tcPr>
                <w:p w14:paraId="0540D6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333</w:t>
                  </w:r>
                </w:p>
              </w:tc>
              <w:tc>
                <w:tcPr>
                  <w:tcW w:w="489" w:type="pct"/>
                  <w:vAlign w:val="center"/>
                </w:tcPr>
                <w:p w14:paraId="1FCAEB5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1</w:t>
                  </w:r>
                </w:p>
              </w:tc>
              <w:tc>
                <w:tcPr>
                  <w:tcW w:w="589" w:type="pct"/>
                  <w:vAlign w:val="center"/>
                </w:tcPr>
                <w:p w14:paraId="3A65C88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333</w:t>
                  </w:r>
                </w:p>
              </w:tc>
              <w:tc>
                <w:tcPr>
                  <w:tcW w:w="821" w:type="pct"/>
                  <w:vMerge w:val="continue"/>
                  <w:vAlign w:val="center"/>
                </w:tcPr>
                <w:p w14:paraId="5EE06CB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r w14:paraId="26A5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60603C0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w:t>
                  </w:r>
                </w:p>
              </w:tc>
              <w:tc>
                <w:tcPr>
                  <w:tcW w:w="272" w:type="pct"/>
                  <w:vMerge w:val="continue"/>
                  <w:vAlign w:val="center"/>
                </w:tcPr>
                <w:p w14:paraId="0BDC69A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Align w:val="center"/>
                </w:tcPr>
                <w:p w14:paraId="6ED8154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rPr>
                    <w:t>切割</w:t>
                  </w:r>
                </w:p>
              </w:tc>
              <w:tc>
                <w:tcPr>
                  <w:tcW w:w="905" w:type="pct"/>
                  <w:vAlign w:val="center"/>
                </w:tcPr>
                <w:p w14:paraId="749588D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13" w:type="pct"/>
                  <w:vAlign w:val="center"/>
                </w:tcPr>
                <w:p w14:paraId="699A227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55.8</w:t>
                  </w:r>
                </w:p>
              </w:tc>
              <w:tc>
                <w:tcPr>
                  <w:tcW w:w="578" w:type="pct"/>
                  <w:vAlign w:val="center"/>
                </w:tcPr>
                <w:p w14:paraId="6F2DB7B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0.0186</w:t>
                  </w:r>
                </w:p>
              </w:tc>
              <w:tc>
                <w:tcPr>
                  <w:tcW w:w="489" w:type="pct"/>
                  <w:vAlign w:val="center"/>
                </w:tcPr>
                <w:p w14:paraId="11FAF8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55.8</w:t>
                  </w:r>
                </w:p>
              </w:tc>
              <w:tc>
                <w:tcPr>
                  <w:tcW w:w="589" w:type="pct"/>
                  <w:vAlign w:val="center"/>
                </w:tcPr>
                <w:p w14:paraId="08DBDF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0.0186</w:t>
                  </w:r>
                </w:p>
              </w:tc>
              <w:tc>
                <w:tcPr>
                  <w:tcW w:w="821" w:type="pct"/>
                  <w:vMerge w:val="continue"/>
                  <w:vAlign w:val="center"/>
                </w:tcPr>
                <w:p w14:paraId="5969ED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r w14:paraId="6FB5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359258F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p>
              </w:tc>
              <w:tc>
                <w:tcPr>
                  <w:tcW w:w="272" w:type="pct"/>
                  <w:vMerge w:val="continue"/>
                  <w:vAlign w:val="center"/>
                </w:tcPr>
                <w:p w14:paraId="5E74D4D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Align w:val="center"/>
                </w:tcPr>
                <w:p w14:paraId="4C4471C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焊接</w:t>
                  </w:r>
                </w:p>
              </w:tc>
              <w:tc>
                <w:tcPr>
                  <w:tcW w:w="905" w:type="pct"/>
                  <w:vAlign w:val="center"/>
                </w:tcPr>
                <w:p w14:paraId="463BD44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颗粒物</w:t>
                  </w:r>
                </w:p>
              </w:tc>
              <w:tc>
                <w:tcPr>
                  <w:tcW w:w="513" w:type="pct"/>
                  <w:vAlign w:val="center"/>
                </w:tcPr>
                <w:p w14:paraId="281EBB1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79.2</w:t>
                  </w:r>
                </w:p>
              </w:tc>
              <w:tc>
                <w:tcPr>
                  <w:tcW w:w="578" w:type="pct"/>
                  <w:vAlign w:val="center"/>
                </w:tcPr>
                <w:p w14:paraId="364B36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0.0264</w:t>
                  </w:r>
                </w:p>
              </w:tc>
              <w:tc>
                <w:tcPr>
                  <w:tcW w:w="489" w:type="pct"/>
                  <w:shd w:val="clear" w:color="auto" w:fill="auto"/>
                  <w:vAlign w:val="center"/>
                </w:tcPr>
                <w:p w14:paraId="66EBFDA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79.2</w:t>
                  </w:r>
                </w:p>
              </w:tc>
              <w:tc>
                <w:tcPr>
                  <w:tcW w:w="589" w:type="pct"/>
                  <w:shd w:val="clear" w:color="auto" w:fill="auto"/>
                  <w:vAlign w:val="center"/>
                </w:tcPr>
                <w:p w14:paraId="5A37D77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0.0264</w:t>
                  </w:r>
                </w:p>
              </w:tc>
              <w:tc>
                <w:tcPr>
                  <w:tcW w:w="821" w:type="pct"/>
                  <w:vMerge w:val="continue"/>
                  <w:vAlign w:val="center"/>
                </w:tcPr>
                <w:p w14:paraId="1F7569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661A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6BE8C00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w:t>
                  </w:r>
                </w:p>
              </w:tc>
              <w:tc>
                <w:tcPr>
                  <w:tcW w:w="272" w:type="pct"/>
                  <w:vMerge w:val="continue"/>
                  <w:vAlign w:val="center"/>
                </w:tcPr>
                <w:p w14:paraId="0C29C3E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Merge w:val="restart"/>
                  <w:vAlign w:val="center"/>
                </w:tcPr>
                <w:p w14:paraId="3B4D470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封闭</w:t>
                  </w:r>
                </w:p>
              </w:tc>
              <w:tc>
                <w:tcPr>
                  <w:tcW w:w="905" w:type="pct"/>
                  <w:vAlign w:val="center"/>
                </w:tcPr>
                <w:p w14:paraId="7FD057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颗粒物</w:t>
                  </w:r>
                </w:p>
              </w:tc>
              <w:tc>
                <w:tcPr>
                  <w:tcW w:w="513" w:type="pct"/>
                  <w:vAlign w:val="center"/>
                </w:tcPr>
                <w:p w14:paraId="2F6D496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default" w:ascii="Times New Roman" w:hAnsi="Times New Roman" w:cs="Times New Roman"/>
                      <w:color w:val="auto"/>
                      <w:kern w:val="0"/>
                      <w:sz w:val="21"/>
                      <w:szCs w:val="21"/>
                      <w:lang w:val="en-US" w:eastAsia="zh-CN" w:bidi="ar"/>
                    </w:rPr>
                    <w:t>86</w:t>
                  </w:r>
                </w:p>
              </w:tc>
              <w:tc>
                <w:tcPr>
                  <w:tcW w:w="1102" w:type="dxa"/>
                  <w:vAlign w:val="center"/>
                </w:tcPr>
                <w:p w14:paraId="5AB144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0.000287</w:t>
                  </w:r>
                </w:p>
              </w:tc>
              <w:tc>
                <w:tcPr>
                  <w:tcW w:w="933" w:type="dxa"/>
                  <w:shd w:val="clear" w:color="auto" w:fill="auto"/>
                  <w:vAlign w:val="center"/>
                </w:tcPr>
                <w:p w14:paraId="5E81A6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default" w:ascii="Times New Roman" w:hAnsi="Times New Roman" w:cs="Times New Roman"/>
                      <w:color w:val="auto"/>
                      <w:kern w:val="0"/>
                      <w:sz w:val="21"/>
                      <w:szCs w:val="21"/>
                      <w:lang w:val="en-US" w:eastAsia="zh-CN" w:bidi="ar"/>
                    </w:rPr>
                    <w:t>86</w:t>
                  </w:r>
                </w:p>
              </w:tc>
              <w:tc>
                <w:tcPr>
                  <w:tcW w:w="1123" w:type="dxa"/>
                  <w:shd w:val="clear" w:color="auto" w:fill="auto"/>
                  <w:vAlign w:val="center"/>
                </w:tcPr>
                <w:p w14:paraId="7CF8F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0.000287</w:t>
                  </w:r>
                </w:p>
              </w:tc>
              <w:tc>
                <w:tcPr>
                  <w:tcW w:w="821" w:type="pct"/>
                  <w:vMerge w:val="continue"/>
                  <w:vAlign w:val="center"/>
                </w:tcPr>
                <w:p w14:paraId="4F39FB2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6DD6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706570B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w:t>
                  </w:r>
                </w:p>
              </w:tc>
              <w:tc>
                <w:tcPr>
                  <w:tcW w:w="272" w:type="pct"/>
                  <w:vMerge w:val="continue"/>
                  <w:vAlign w:val="center"/>
                </w:tcPr>
                <w:p w14:paraId="240F479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Merge w:val="continue"/>
                  <w:vAlign w:val="center"/>
                </w:tcPr>
                <w:p w14:paraId="6774DE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rPr>
                  </w:pPr>
                </w:p>
              </w:tc>
              <w:tc>
                <w:tcPr>
                  <w:tcW w:w="905" w:type="pct"/>
                  <w:shd w:val="clear" w:color="auto" w:fill="auto"/>
                  <w:vAlign w:val="center"/>
                </w:tcPr>
                <w:p w14:paraId="630EC7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513" w:type="pct"/>
                  <w:vAlign w:val="center"/>
                </w:tcPr>
                <w:p w14:paraId="39F3425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.2</w:t>
                  </w:r>
                </w:p>
              </w:tc>
              <w:tc>
                <w:tcPr>
                  <w:tcW w:w="1102" w:type="dxa"/>
                  <w:vAlign w:val="center"/>
                </w:tcPr>
                <w:p w14:paraId="247E3C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933" w:type="dxa"/>
                  <w:shd w:val="clear" w:color="auto" w:fill="auto"/>
                  <w:vAlign w:val="center"/>
                </w:tcPr>
                <w:p w14:paraId="37CEEE4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.2</w:t>
                  </w:r>
                </w:p>
              </w:tc>
              <w:tc>
                <w:tcPr>
                  <w:tcW w:w="1123" w:type="dxa"/>
                  <w:shd w:val="clear" w:color="auto" w:fill="auto"/>
                  <w:vAlign w:val="center"/>
                </w:tcPr>
                <w:p w14:paraId="4945B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821" w:type="pct"/>
                  <w:vMerge w:val="continue"/>
                  <w:vAlign w:val="center"/>
                </w:tcPr>
                <w:p w14:paraId="7FA77F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05DF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15EB678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w:t>
                  </w:r>
                </w:p>
              </w:tc>
              <w:tc>
                <w:tcPr>
                  <w:tcW w:w="272" w:type="pct"/>
                  <w:vMerge w:val="continue"/>
                  <w:vAlign w:val="center"/>
                </w:tcPr>
                <w:p w14:paraId="67B2749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Merge w:val="continue"/>
                  <w:vAlign w:val="center"/>
                </w:tcPr>
                <w:p w14:paraId="687F696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rPr>
                  </w:pPr>
                </w:p>
              </w:tc>
              <w:tc>
                <w:tcPr>
                  <w:tcW w:w="905" w:type="pct"/>
                  <w:shd w:val="clear" w:color="auto" w:fill="auto"/>
                  <w:vAlign w:val="center"/>
                </w:tcPr>
                <w:p w14:paraId="23AC9EE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513" w:type="pct"/>
                  <w:vAlign w:val="center"/>
                </w:tcPr>
                <w:p w14:paraId="0321A7A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2.8</w:t>
                  </w:r>
                </w:p>
              </w:tc>
              <w:tc>
                <w:tcPr>
                  <w:tcW w:w="1102" w:type="dxa"/>
                  <w:vAlign w:val="center"/>
                </w:tcPr>
                <w:p w14:paraId="351E71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0.000933</w:t>
                  </w:r>
                </w:p>
              </w:tc>
              <w:tc>
                <w:tcPr>
                  <w:tcW w:w="933" w:type="dxa"/>
                  <w:shd w:val="clear" w:color="auto" w:fill="auto"/>
                  <w:vAlign w:val="center"/>
                </w:tcPr>
                <w:p w14:paraId="710CD43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2.8</w:t>
                  </w:r>
                </w:p>
              </w:tc>
              <w:tc>
                <w:tcPr>
                  <w:tcW w:w="1123" w:type="dxa"/>
                  <w:shd w:val="clear" w:color="auto" w:fill="auto"/>
                  <w:vAlign w:val="center"/>
                </w:tcPr>
                <w:p w14:paraId="4642EC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0.000933</w:t>
                  </w:r>
                </w:p>
              </w:tc>
              <w:tc>
                <w:tcPr>
                  <w:tcW w:w="821" w:type="pct"/>
                  <w:vMerge w:val="continue"/>
                  <w:vAlign w:val="center"/>
                </w:tcPr>
                <w:p w14:paraId="1CECB6E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3D77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755C51C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11</w:t>
                  </w:r>
                </w:p>
              </w:tc>
              <w:tc>
                <w:tcPr>
                  <w:tcW w:w="272" w:type="pct"/>
                  <w:vMerge w:val="continue"/>
                  <w:vAlign w:val="center"/>
                </w:tcPr>
                <w:p w14:paraId="41FB21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Merge w:val="continue"/>
                  <w:vAlign w:val="center"/>
                </w:tcPr>
                <w:p w14:paraId="20E66CF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rPr>
                  </w:pPr>
                </w:p>
              </w:tc>
              <w:tc>
                <w:tcPr>
                  <w:tcW w:w="905" w:type="pct"/>
                  <w:shd w:val="clear" w:color="auto" w:fill="auto"/>
                  <w:vAlign w:val="center"/>
                </w:tcPr>
                <w:p w14:paraId="2F6BB29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漆雾颗粒</w:t>
                  </w:r>
                </w:p>
              </w:tc>
              <w:tc>
                <w:tcPr>
                  <w:tcW w:w="513" w:type="pct"/>
                  <w:vAlign w:val="center"/>
                </w:tcPr>
                <w:p w14:paraId="14FD96D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37.75</w:t>
                  </w:r>
                </w:p>
              </w:tc>
              <w:tc>
                <w:tcPr>
                  <w:tcW w:w="1102" w:type="dxa"/>
                  <w:vAlign w:val="center"/>
                </w:tcPr>
                <w:p w14:paraId="6BEA63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0.0126</w:t>
                  </w:r>
                </w:p>
              </w:tc>
              <w:tc>
                <w:tcPr>
                  <w:tcW w:w="933" w:type="dxa"/>
                  <w:shd w:val="clear" w:color="auto" w:fill="auto"/>
                  <w:vAlign w:val="center"/>
                </w:tcPr>
                <w:p w14:paraId="3EC037F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37.75</w:t>
                  </w:r>
                </w:p>
              </w:tc>
              <w:tc>
                <w:tcPr>
                  <w:tcW w:w="1123" w:type="dxa"/>
                  <w:shd w:val="clear" w:color="auto" w:fill="auto"/>
                  <w:vAlign w:val="center"/>
                </w:tcPr>
                <w:p w14:paraId="0D6863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0.0126</w:t>
                  </w:r>
                </w:p>
              </w:tc>
              <w:tc>
                <w:tcPr>
                  <w:tcW w:w="821" w:type="pct"/>
                  <w:vMerge w:val="continue"/>
                  <w:vAlign w:val="center"/>
                </w:tcPr>
                <w:p w14:paraId="6A4040E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09DC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185B446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272" w:type="pct"/>
                  <w:vMerge w:val="continue"/>
                  <w:vAlign w:val="center"/>
                </w:tcPr>
                <w:p w14:paraId="5B5AF6A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bidi="ar"/>
                    </w:rPr>
                  </w:pPr>
                </w:p>
              </w:tc>
              <w:tc>
                <w:tcPr>
                  <w:tcW w:w="494" w:type="pct"/>
                  <w:vMerge w:val="continue"/>
                  <w:vAlign w:val="center"/>
                </w:tcPr>
                <w:p w14:paraId="4E4DB28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rPr>
                  </w:pPr>
                </w:p>
              </w:tc>
              <w:tc>
                <w:tcPr>
                  <w:tcW w:w="905" w:type="pct"/>
                  <w:shd w:val="clear" w:color="auto" w:fill="auto"/>
                  <w:vAlign w:val="center"/>
                </w:tcPr>
                <w:p w14:paraId="295AC9D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非甲烷总烃</w:t>
                  </w:r>
                </w:p>
              </w:tc>
              <w:tc>
                <w:tcPr>
                  <w:tcW w:w="513" w:type="pct"/>
                  <w:vAlign w:val="center"/>
                </w:tcPr>
                <w:p w14:paraId="137E61B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19.1</w:t>
                  </w:r>
                </w:p>
              </w:tc>
              <w:tc>
                <w:tcPr>
                  <w:tcW w:w="1102" w:type="dxa"/>
                  <w:vAlign w:val="center"/>
                </w:tcPr>
                <w:p w14:paraId="69C27C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0.00637</w:t>
                  </w:r>
                </w:p>
              </w:tc>
              <w:tc>
                <w:tcPr>
                  <w:tcW w:w="933" w:type="dxa"/>
                  <w:shd w:val="clear" w:color="auto" w:fill="auto"/>
                  <w:vAlign w:val="center"/>
                </w:tcPr>
                <w:p w14:paraId="2C22BB5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19.1</w:t>
                  </w:r>
                </w:p>
              </w:tc>
              <w:tc>
                <w:tcPr>
                  <w:tcW w:w="1123" w:type="dxa"/>
                  <w:shd w:val="clear" w:color="auto" w:fill="auto"/>
                  <w:vAlign w:val="center"/>
                </w:tcPr>
                <w:p w14:paraId="1DEA18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0.00637</w:t>
                  </w:r>
                </w:p>
              </w:tc>
              <w:tc>
                <w:tcPr>
                  <w:tcW w:w="821" w:type="pct"/>
                  <w:vMerge w:val="continue"/>
                  <w:vAlign w:val="center"/>
                </w:tcPr>
                <w:p w14:paraId="2DB0E1F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1EDC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426ACE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13</w:t>
                  </w:r>
                </w:p>
              </w:tc>
              <w:tc>
                <w:tcPr>
                  <w:tcW w:w="272" w:type="pct"/>
                  <w:vMerge w:val="restart"/>
                  <w:vAlign w:val="center"/>
                </w:tcPr>
                <w:p w14:paraId="5D8EEEE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喷漆房</w:t>
                  </w:r>
                </w:p>
              </w:tc>
              <w:tc>
                <w:tcPr>
                  <w:tcW w:w="494" w:type="pct"/>
                  <w:vMerge w:val="restart"/>
                  <w:vAlign w:val="center"/>
                </w:tcPr>
                <w:p w14:paraId="1B7F920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喷漆</w:t>
                  </w:r>
                </w:p>
              </w:tc>
              <w:tc>
                <w:tcPr>
                  <w:tcW w:w="905" w:type="pct"/>
                  <w:vAlign w:val="center"/>
                </w:tcPr>
                <w:p w14:paraId="5D582B4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漆雾颗粒</w:t>
                  </w:r>
                </w:p>
              </w:tc>
              <w:tc>
                <w:tcPr>
                  <w:tcW w:w="513" w:type="pct"/>
                  <w:vAlign w:val="center"/>
                </w:tcPr>
                <w:p w14:paraId="07417C6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18.95</w:t>
                  </w:r>
                </w:p>
              </w:tc>
              <w:tc>
                <w:tcPr>
                  <w:tcW w:w="578" w:type="pct"/>
                  <w:vAlign w:val="center"/>
                </w:tcPr>
                <w:p w14:paraId="6349CD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0.0063</w:t>
                  </w:r>
                </w:p>
              </w:tc>
              <w:tc>
                <w:tcPr>
                  <w:tcW w:w="489" w:type="pct"/>
                  <w:shd w:val="clear" w:color="auto" w:fill="auto"/>
                  <w:vAlign w:val="center"/>
                </w:tcPr>
                <w:p w14:paraId="4504C69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18.95</w:t>
                  </w:r>
                </w:p>
              </w:tc>
              <w:tc>
                <w:tcPr>
                  <w:tcW w:w="589" w:type="pct"/>
                  <w:shd w:val="clear" w:color="auto" w:fill="auto"/>
                  <w:vAlign w:val="center"/>
                </w:tcPr>
                <w:p w14:paraId="38462C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0.0063</w:t>
                  </w:r>
                </w:p>
              </w:tc>
              <w:tc>
                <w:tcPr>
                  <w:tcW w:w="821" w:type="pct"/>
                  <w:vMerge w:val="restart"/>
                  <w:vAlign w:val="center"/>
                </w:tcPr>
                <w:p w14:paraId="2EC1581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1040m</w:t>
                  </w:r>
                  <w:r>
                    <w:rPr>
                      <w:rFonts w:hint="default" w:ascii="Times New Roman" w:hAnsi="Times New Roman" w:eastAsia="宋体" w:cs="Times New Roman"/>
                      <w:color w:val="auto"/>
                      <w:kern w:val="0"/>
                      <w:sz w:val="21"/>
                      <w:szCs w:val="21"/>
                      <w:vertAlign w:val="superscript"/>
                      <w:lang w:val="en-US" w:eastAsia="zh-CN" w:bidi="ar"/>
                    </w:rPr>
                    <w:t>3</w:t>
                  </w:r>
                </w:p>
              </w:tc>
            </w:tr>
            <w:tr w14:paraId="42C8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Align w:val="center"/>
                </w:tcPr>
                <w:p w14:paraId="3F92D6C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272" w:type="pct"/>
                  <w:vMerge w:val="continue"/>
                  <w:vAlign w:val="center"/>
                </w:tcPr>
                <w:p w14:paraId="039B43B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
                    </w:rPr>
                  </w:pPr>
                </w:p>
              </w:tc>
              <w:tc>
                <w:tcPr>
                  <w:tcW w:w="494" w:type="pct"/>
                  <w:vMerge w:val="continue"/>
                  <w:vAlign w:val="center"/>
                </w:tcPr>
                <w:p w14:paraId="54FF1C6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rPr>
                  </w:pPr>
                </w:p>
              </w:tc>
              <w:tc>
                <w:tcPr>
                  <w:tcW w:w="905" w:type="pct"/>
                  <w:vAlign w:val="center"/>
                </w:tcPr>
                <w:p w14:paraId="021E828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非甲烷总烃</w:t>
                  </w:r>
                </w:p>
              </w:tc>
              <w:tc>
                <w:tcPr>
                  <w:tcW w:w="513" w:type="pct"/>
                  <w:vAlign w:val="center"/>
                </w:tcPr>
                <w:p w14:paraId="7EA73D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9.6</w:t>
                  </w:r>
                </w:p>
              </w:tc>
              <w:tc>
                <w:tcPr>
                  <w:tcW w:w="578" w:type="pct"/>
                  <w:vAlign w:val="center"/>
                </w:tcPr>
                <w:p w14:paraId="2EFBC9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0.0032</w:t>
                  </w:r>
                </w:p>
              </w:tc>
              <w:tc>
                <w:tcPr>
                  <w:tcW w:w="489" w:type="pct"/>
                  <w:shd w:val="clear" w:color="auto" w:fill="auto"/>
                  <w:vAlign w:val="center"/>
                </w:tcPr>
                <w:p w14:paraId="16E8DD5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9.6</w:t>
                  </w:r>
                </w:p>
              </w:tc>
              <w:tc>
                <w:tcPr>
                  <w:tcW w:w="589" w:type="pct"/>
                  <w:shd w:val="clear" w:color="auto" w:fill="auto"/>
                  <w:vAlign w:val="center"/>
                </w:tcPr>
                <w:p w14:paraId="458A8DB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0.0032</w:t>
                  </w:r>
                </w:p>
              </w:tc>
              <w:tc>
                <w:tcPr>
                  <w:tcW w:w="821" w:type="pct"/>
                  <w:vMerge w:val="continue"/>
                  <w:vAlign w:val="center"/>
                </w:tcPr>
                <w:p w14:paraId="6FFCD83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p>
              </w:tc>
            </w:tr>
            <w:tr w14:paraId="6E5B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restart"/>
                  <w:vAlign w:val="center"/>
                </w:tcPr>
                <w:p w14:paraId="077DD7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15</w:t>
                  </w:r>
                </w:p>
              </w:tc>
              <w:tc>
                <w:tcPr>
                  <w:tcW w:w="767" w:type="pct"/>
                  <w:gridSpan w:val="2"/>
                  <w:vMerge w:val="restart"/>
                  <w:vAlign w:val="center"/>
                </w:tcPr>
                <w:p w14:paraId="1C37CDA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905" w:type="pct"/>
                  <w:vAlign w:val="center"/>
                </w:tcPr>
                <w:p w14:paraId="5EE8D1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978" w:type="dxa"/>
                  <w:vAlign w:val="center"/>
                </w:tcPr>
                <w:p w14:paraId="0A5788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02" w:type="dxa"/>
                  <w:vAlign w:val="center"/>
                </w:tcPr>
                <w:p w14:paraId="3A82D4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0.000733</w:t>
                  </w:r>
                </w:p>
              </w:tc>
              <w:tc>
                <w:tcPr>
                  <w:tcW w:w="933" w:type="dxa"/>
                  <w:vAlign w:val="center"/>
                </w:tcPr>
                <w:p w14:paraId="7BD39F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23" w:type="dxa"/>
                  <w:vAlign w:val="center"/>
                </w:tcPr>
                <w:p w14:paraId="230DD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0.000733</w:t>
                  </w:r>
                </w:p>
              </w:tc>
              <w:tc>
                <w:tcPr>
                  <w:tcW w:w="821" w:type="pct"/>
                  <w:vMerge w:val="restart"/>
                  <w:vAlign w:val="center"/>
                </w:tcPr>
                <w:p w14:paraId="5514345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14:paraId="788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6A5562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c>
                <w:tcPr>
                  <w:tcW w:w="767" w:type="pct"/>
                  <w:gridSpan w:val="2"/>
                  <w:vMerge w:val="continue"/>
                  <w:vAlign w:val="center"/>
                </w:tcPr>
                <w:p w14:paraId="5C6048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05" w:type="pct"/>
                  <w:vAlign w:val="center"/>
                </w:tcPr>
                <w:p w14:paraId="2EF402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978" w:type="dxa"/>
                  <w:vAlign w:val="center"/>
                </w:tcPr>
                <w:p w14:paraId="4BD3C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102" w:type="dxa"/>
                  <w:vAlign w:val="center"/>
                </w:tcPr>
                <w:p w14:paraId="18082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0.002063</w:t>
                  </w:r>
                </w:p>
              </w:tc>
              <w:tc>
                <w:tcPr>
                  <w:tcW w:w="933" w:type="dxa"/>
                  <w:vAlign w:val="center"/>
                </w:tcPr>
                <w:p w14:paraId="74359D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123" w:type="dxa"/>
                  <w:vAlign w:val="center"/>
                </w:tcPr>
                <w:p w14:paraId="14F214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0.002063</w:t>
                  </w:r>
                </w:p>
              </w:tc>
              <w:tc>
                <w:tcPr>
                  <w:tcW w:w="821" w:type="pct"/>
                  <w:vMerge w:val="continue"/>
                  <w:vAlign w:val="center"/>
                </w:tcPr>
                <w:p w14:paraId="205CD5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r w14:paraId="745B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3244AC5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c>
                <w:tcPr>
                  <w:tcW w:w="767" w:type="pct"/>
                  <w:gridSpan w:val="2"/>
                  <w:vMerge w:val="continue"/>
                  <w:vAlign w:val="center"/>
                </w:tcPr>
                <w:p w14:paraId="2DE1D9A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05" w:type="pct"/>
                  <w:vAlign w:val="center"/>
                </w:tcPr>
                <w:p w14:paraId="2CC647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8" w:type="dxa"/>
                  <w:vAlign w:val="center"/>
                </w:tcPr>
                <w:p w14:paraId="6D5FA4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193.56</w:t>
                  </w:r>
                </w:p>
              </w:tc>
              <w:tc>
                <w:tcPr>
                  <w:tcW w:w="1102" w:type="dxa"/>
                  <w:vAlign w:val="center"/>
                </w:tcPr>
                <w:p w14:paraId="7795F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0.06452</w:t>
                  </w:r>
                </w:p>
              </w:tc>
              <w:tc>
                <w:tcPr>
                  <w:tcW w:w="933" w:type="dxa"/>
                  <w:vAlign w:val="center"/>
                </w:tcPr>
                <w:p w14:paraId="2F3FFE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193.56</w:t>
                  </w:r>
                </w:p>
              </w:tc>
              <w:tc>
                <w:tcPr>
                  <w:tcW w:w="1123" w:type="dxa"/>
                  <w:vAlign w:val="center"/>
                </w:tcPr>
                <w:p w14:paraId="74D25C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0.06452</w:t>
                  </w:r>
                </w:p>
              </w:tc>
              <w:tc>
                <w:tcPr>
                  <w:tcW w:w="821" w:type="pct"/>
                  <w:vMerge w:val="continue"/>
                  <w:vAlign w:val="center"/>
                </w:tcPr>
                <w:p w14:paraId="7CEA2EF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r w14:paraId="39EA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4" w:type="pct"/>
                  <w:vMerge w:val="continue"/>
                  <w:vAlign w:val="center"/>
                </w:tcPr>
                <w:p w14:paraId="2506A0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c>
                <w:tcPr>
                  <w:tcW w:w="767" w:type="pct"/>
                  <w:gridSpan w:val="2"/>
                  <w:vMerge w:val="continue"/>
                  <w:vAlign w:val="center"/>
                </w:tcPr>
                <w:p w14:paraId="14E2771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05" w:type="pct"/>
                  <w:vAlign w:val="center"/>
                </w:tcPr>
                <w:p w14:paraId="3E5F1A4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非甲烷总烃</w:t>
                  </w:r>
                </w:p>
              </w:tc>
              <w:tc>
                <w:tcPr>
                  <w:tcW w:w="978" w:type="dxa"/>
                  <w:vAlign w:val="center"/>
                </w:tcPr>
                <w:p w14:paraId="5E90FD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1102" w:type="dxa"/>
                  <w:vAlign w:val="center"/>
                </w:tcPr>
                <w:p w14:paraId="25A763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0.00957</w:t>
                  </w:r>
                </w:p>
              </w:tc>
              <w:tc>
                <w:tcPr>
                  <w:tcW w:w="933" w:type="dxa"/>
                  <w:vAlign w:val="center"/>
                </w:tcPr>
                <w:p w14:paraId="0857A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1123" w:type="dxa"/>
                  <w:vAlign w:val="center"/>
                </w:tcPr>
                <w:p w14:paraId="23DFCA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0.00957</w:t>
                  </w:r>
                </w:p>
              </w:tc>
              <w:tc>
                <w:tcPr>
                  <w:tcW w:w="821" w:type="pct"/>
                  <w:vMerge w:val="continue"/>
                  <w:vAlign w:val="center"/>
                </w:tcPr>
                <w:p w14:paraId="38430D4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bidi="ar"/>
                    </w:rPr>
                  </w:pPr>
                </w:p>
              </w:tc>
            </w:tr>
          </w:tbl>
          <w:p w14:paraId="350ED376">
            <w:pPr>
              <w:adjustRightInd w:val="0"/>
              <w:snapToGrid w:val="0"/>
              <w:rPr>
                <w:rFonts w:ascii="宋体" w:hAnsi="宋体" w:cs="宋体"/>
                <w:bCs/>
                <w:spacing w:val="-10"/>
                <w:szCs w:val="21"/>
              </w:rPr>
            </w:pPr>
          </w:p>
        </w:tc>
      </w:tr>
    </w:tbl>
    <w:p w14:paraId="215C000F">
      <w:pPr>
        <w:adjustRightInd w:val="0"/>
        <w:snapToGrid w:val="0"/>
        <w:spacing w:line="360" w:lineRule="auto"/>
        <w:rPr>
          <w:rFonts w:hint="eastAsia" w:ascii="宋体" w:cs="宋体"/>
          <w:b/>
          <w:kern w:val="0"/>
          <w:szCs w:val="21"/>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42"/>
      </w:tblGrid>
      <w:tr w14:paraId="1628467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918" w:hRule="atLeast"/>
        </w:trPr>
        <w:tc>
          <w:tcPr>
            <w:tcW w:w="14120" w:type="dxa"/>
            <w:noWrap w:val="0"/>
            <w:vAlign w:val="top"/>
          </w:tcPr>
          <w:p w14:paraId="520BE68F">
            <w:pPr>
              <w:widowControl/>
              <w:numPr>
                <w:ilvl w:val="0"/>
                <w:numId w:val="2"/>
              </w:numPr>
              <w:jc w:val="center"/>
              <w:rPr>
                <w:b/>
                <w:kern w:val="0"/>
                <w:szCs w:val="21"/>
              </w:rPr>
            </w:pPr>
            <w:r>
              <w:rPr>
                <w:b/>
                <w:kern w:val="0"/>
                <w:szCs w:val="21"/>
              </w:rPr>
              <w:t>项目有组织大气污染物排放情况一览表</w:t>
            </w:r>
          </w:p>
          <w:tbl>
            <w:tblPr>
              <w:tblStyle w:val="24"/>
              <w:tblW w:w="496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75"/>
              <w:gridCol w:w="465"/>
              <w:gridCol w:w="908"/>
              <w:gridCol w:w="789"/>
              <w:gridCol w:w="957"/>
              <w:gridCol w:w="816"/>
              <w:gridCol w:w="3525"/>
              <w:gridCol w:w="517"/>
              <w:gridCol w:w="512"/>
              <w:gridCol w:w="861"/>
              <w:gridCol w:w="755"/>
              <w:gridCol w:w="730"/>
              <w:gridCol w:w="385"/>
              <w:gridCol w:w="385"/>
              <w:gridCol w:w="387"/>
              <w:gridCol w:w="692"/>
              <w:gridCol w:w="576"/>
            </w:tblGrid>
            <w:tr w14:paraId="26F3DB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38" w:hRule="atLeast"/>
                <w:jc w:val="center"/>
              </w:trPr>
              <w:tc>
                <w:tcPr>
                  <w:tcW w:w="208" w:type="pct"/>
                  <w:vMerge w:val="restart"/>
                  <w:noWrap w:val="0"/>
                  <w:vAlign w:val="center"/>
                </w:tcPr>
                <w:p w14:paraId="66621063">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bookmarkStart w:id="6" w:name="_Hlk185110568"/>
                  <w:r>
                    <w:rPr>
                      <w:rFonts w:ascii="Times New Roman" w:hAnsi="Times New Roman" w:eastAsia="宋体" w:cs="Times New Roman"/>
                      <w:b/>
                      <w:color w:val="auto"/>
                      <w:kern w:val="0"/>
                      <w:sz w:val="18"/>
                      <w:szCs w:val="18"/>
                      <w:lang w:val="en-US" w:eastAsia="zh-CN" w:bidi="ar-SA"/>
                    </w:rPr>
                    <w:t>排放源编号</w:t>
                  </w:r>
                </w:p>
              </w:tc>
              <w:tc>
                <w:tcPr>
                  <w:tcW w:w="168" w:type="pct"/>
                  <w:vMerge w:val="restart"/>
                  <w:noWrap w:val="0"/>
                  <w:vAlign w:val="center"/>
                </w:tcPr>
                <w:p w14:paraId="178A0966">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污染源</w:t>
                  </w:r>
                </w:p>
              </w:tc>
              <w:tc>
                <w:tcPr>
                  <w:tcW w:w="328" w:type="pct"/>
                  <w:vMerge w:val="restart"/>
                  <w:noWrap w:val="0"/>
                  <w:vAlign w:val="center"/>
                </w:tcPr>
                <w:p w14:paraId="44F19E58">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污染物</w:t>
                  </w:r>
                </w:p>
                <w:p w14:paraId="2956F82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名称</w:t>
                  </w:r>
                </w:p>
              </w:tc>
              <w:tc>
                <w:tcPr>
                  <w:tcW w:w="926" w:type="pct"/>
                  <w:gridSpan w:val="3"/>
                  <w:noWrap w:val="0"/>
                  <w:vAlign w:val="center"/>
                </w:tcPr>
                <w:p w14:paraId="2041316E">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产生状况</w:t>
                  </w:r>
                </w:p>
              </w:tc>
              <w:tc>
                <w:tcPr>
                  <w:tcW w:w="1274" w:type="pct"/>
                  <w:vMerge w:val="restart"/>
                  <w:noWrap w:val="0"/>
                  <w:vAlign w:val="center"/>
                </w:tcPr>
                <w:p w14:paraId="06335221">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处理措施</w:t>
                  </w:r>
                </w:p>
              </w:tc>
              <w:tc>
                <w:tcPr>
                  <w:tcW w:w="187" w:type="pct"/>
                  <w:vMerge w:val="restart"/>
                  <w:noWrap w:val="0"/>
                  <w:vAlign w:val="center"/>
                </w:tcPr>
                <w:p w14:paraId="35E0B16B">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hint="eastAsia" w:ascii="Times New Roman" w:hAnsi="Times New Roman" w:eastAsia="宋体" w:cs="Times New Roman"/>
                      <w:b/>
                      <w:color w:val="auto"/>
                      <w:kern w:val="0"/>
                      <w:sz w:val="18"/>
                      <w:szCs w:val="18"/>
                      <w:lang w:val="en-US" w:eastAsia="zh-CN" w:bidi="ar-SA"/>
                    </w:rPr>
                  </w:pPr>
                  <w:r>
                    <w:rPr>
                      <w:rFonts w:hint="eastAsia" w:ascii="Times New Roman" w:hAnsi="Times New Roman" w:eastAsia="宋体" w:cs="Times New Roman"/>
                      <w:b/>
                      <w:color w:val="auto"/>
                      <w:kern w:val="0"/>
                      <w:sz w:val="18"/>
                      <w:szCs w:val="18"/>
                      <w:lang w:val="en-US" w:eastAsia="zh-CN" w:bidi="ar-SA"/>
                    </w:rPr>
                    <w:t>收集效率</w:t>
                  </w:r>
                </w:p>
              </w:tc>
              <w:tc>
                <w:tcPr>
                  <w:tcW w:w="185" w:type="pct"/>
                  <w:vMerge w:val="restart"/>
                  <w:noWrap w:val="0"/>
                  <w:vAlign w:val="center"/>
                </w:tcPr>
                <w:p w14:paraId="3FB2D10A">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去除率</w:t>
                  </w:r>
                </w:p>
              </w:tc>
              <w:tc>
                <w:tcPr>
                  <w:tcW w:w="846" w:type="pct"/>
                  <w:gridSpan w:val="3"/>
                  <w:noWrap w:val="0"/>
                  <w:vAlign w:val="center"/>
                </w:tcPr>
                <w:p w14:paraId="4A5F41D3">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排放状况</w:t>
                  </w:r>
                </w:p>
              </w:tc>
              <w:tc>
                <w:tcPr>
                  <w:tcW w:w="668" w:type="pct"/>
                  <w:gridSpan w:val="4"/>
                  <w:noWrap w:val="0"/>
                  <w:vAlign w:val="center"/>
                </w:tcPr>
                <w:p w14:paraId="4F7C4B9F">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排放源参数</w:t>
                  </w:r>
                </w:p>
              </w:tc>
              <w:tc>
                <w:tcPr>
                  <w:tcW w:w="206" w:type="pct"/>
                  <w:vMerge w:val="restart"/>
                  <w:noWrap w:val="0"/>
                  <w:vAlign w:val="center"/>
                </w:tcPr>
                <w:p w14:paraId="1EC27117">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年排放时间</w:t>
                  </w:r>
                  <w:r>
                    <w:rPr>
                      <w:rFonts w:hint="eastAsia" w:ascii="Times New Roman" w:hAnsi="Times New Roman" w:eastAsia="宋体" w:cs="Times New Roman"/>
                      <w:b/>
                      <w:color w:val="auto"/>
                      <w:kern w:val="0"/>
                      <w:sz w:val="18"/>
                      <w:szCs w:val="18"/>
                      <w:lang w:val="en-US" w:eastAsia="zh-CN" w:bidi="ar-SA"/>
                    </w:rPr>
                    <w:t>h</w:t>
                  </w:r>
                </w:p>
              </w:tc>
            </w:tr>
            <w:tr w14:paraId="1F1CB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38" w:hRule="atLeast"/>
                <w:jc w:val="center"/>
              </w:trPr>
              <w:tc>
                <w:tcPr>
                  <w:tcW w:w="208" w:type="pct"/>
                  <w:vMerge w:val="continue"/>
                  <w:noWrap w:val="0"/>
                  <w:vAlign w:val="center"/>
                </w:tcPr>
                <w:p w14:paraId="7D111D99">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168" w:type="pct"/>
                  <w:vMerge w:val="continue"/>
                  <w:noWrap w:val="0"/>
                  <w:vAlign w:val="center"/>
                </w:tcPr>
                <w:p w14:paraId="064D7A4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328" w:type="pct"/>
                  <w:vMerge w:val="continue"/>
                  <w:noWrap w:val="0"/>
                  <w:vAlign w:val="center"/>
                </w:tcPr>
                <w:p w14:paraId="24008B49">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285" w:type="pct"/>
                  <w:noWrap w:val="0"/>
                  <w:vAlign w:val="center"/>
                </w:tcPr>
                <w:p w14:paraId="3DB2139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速率</w:t>
                  </w:r>
                </w:p>
                <w:p w14:paraId="0CCA6DE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kg/h</w:t>
                  </w:r>
                </w:p>
              </w:tc>
              <w:tc>
                <w:tcPr>
                  <w:tcW w:w="346" w:type="pct"/>
                  <w:noWrap w:val="0"/>
                  <w:vAlign w:val="center"/>
                </w:tcPr>
                <w:p w14:paraId="53B4D49A">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产生量</w:t>
                  </w:r>
                </w:p>
                <w:p w14:paraId="09DB61A7">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t/a</w:t>
                  </w:r>
                </w:p>
              </w:tc>
              <w:tc>
                <w:tcPr>
                  <w:tcW w:w="294" w:type="pct"/>
                  <w:noWrap w:val="0"/>
                  <w:vAlign w:val="center"/>
                </w:tcPr>
                <w:p w14:paraId="7216B6D5">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浓度</w:t>
                  </w:r>
                </w:p>
                <w:p w14:paraId="6E7C23D2">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mg/m</w:t>
                  </w:r>
                  <w:r>
                    <w:rPr>
                      <w:rFonts w:ascii="Times New Roman" w:hAnsi="Times New Roman" w:eastAsia="宋体" w:cs="Times New Roman"/>
                      <w:b/>
                      <w:color w:val="auto"/>
                      <w:kern w:val="0"/>
                      <w:sz w:val="18"/>
                      <w:szCs w:val="18"/>
                      <w:vertAlign w:val="superscript"/>
                      <w:lang w:val="en-US" w:eastAsia="zh-CN" w:bidi="ar-SA"/>
                    </w:rPr>
                    <w:t>3</w:t>
                  </w:r>
                </w:p>
              </w:tc>
              <w:tc>
                <w:tcPr>
                  <w:tcW w:w="1274" w:type="pct"/>
                  <w:vMerge w:val="continue"/>
                  <w:noWrap w:val="0"/>
                  <w:vAlign w:val="center"/>
                </w:tcPr>
                <w:p w14:paraId="06398B68">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187" w:type="pct"/>
                  <w:vMerge w:val="continue"/>
                  <w:noWrap w:val="0"/>
                  <w:vAlign w:val="center"/>
                </w:tcPr>
                <w:p w14:paraId="2F84EA95">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185" w:type="pct"/>
                  <w:vMerge w:val="continue"/>
                  <w:noWrap w:val="0"/>
                  <w:vAlign w:val="center"/>
                </w:tcPr>
                <w:p w14:paraId="41C1CC4B">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c>
                <w:tcPr>
                  <w:tcW w:w="307" w:type="pct"/>
                  <w:noWrap w:val="0"/>
                  <w:vAlign w:val="center"/>
                </w:tcPr>
                <w:p w14:paraId="1FC34EF6">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速率</w:t>
                  </w:r>
                </w:p>
                <w:p w14:paraId="333E641B">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kg/h</w:t>
                  </w:r>
                </w:p>
              </w:tc>
              <w:tc>
                <w:tcPr>
                  <w:tcW w:w="273" w:type="pct"/>
                  <w:noWrap w:val="0"/>
                  <w:vAlign w:val="center"/>
                </w:tcPr>
                <w:p w14:paraId="418AF207">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排放量</w:t>
                  </w:r>
                </w:p>
                <w:p w14:paraId="3D098749">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t/a</w:t>
                  </w:r>
                </w:p>
              </w:tc>
              <w:tc>
                <w:tcPr>
                  <w:tcW w:w="264" w:type="pct"/>
                  <w:noWrap w:val="0"/>
                  <w:vAlign w:val="center"/>
                </w:tcPr>
                <w:p w14:paraId="3EB248BC">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浓度</w:t>
                  </w:r>
                </w:p>
                <w:p w14:paraId="0D779D11">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mg/m</w:t>
                  </w:r>
                  <w:r>
                    <w:rPr>
                      <w:rFonts w:ascii="Times New Roman" w:hAnsi="Times New Roman" w:eastAsia="宋体" w:cs="Times New Roman"/>
                      <w:b/>
                      <w:color w:val="auto"/>
                      <w:kern w:val="0"/>
                      <w:sz w:val="18"/>
                      <w:szCs w:val="18"/>
                      <w:vertAlign w:val="superscript"/>
                      <w:lang w:val="en-US" w:eastAsia="zh-CN" w:bidi="ar-SA"/>
                    </w:rPr>
                    <w:t>3</w:t>
                  </w:r>
                </w:p>
              </w:tc>
              <w:tc>
                <w:tcPr>
                  <w:tcW w:w="139" w:type="pct"/>
                  <w:noWrap w:val="0"/>
                  <w:vAlign w:val="center"/>
                </w:tcPr>
                <w:p w14:paraId="3A1BAF2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高度</w:t>
                  </w:r>
                </w:p>
                <w:p w14:paraId="545D894B">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m</w:t>
                  </w:r>
                </w:p>
              </w:tc>
              <w:tc>
                <w:tcPr>
                  <w:tcW w:w="139" w:type="pct"/>
                  <w:noWrap w:val="0"/>
                  <w:vAlign w:val="center"/>
                </w:tcPr>
                <w:p w14:paraId="3F65CBF5">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直径</w:t>
                  </w:r>
                </w:p>
                <w:p w14:paraId="35DC607D">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m</w:t>
                  </w:r>
                </w:p>
              </w:tc>
              <w:tc>
                <w:tcPr>
                  <w:tcW w:w="140" w:type="pct"/>
                  <w:noWrap w:val="0"/>
                  <w:vAlign w:val="center"/>
                </w:tcPr>
                <w:p w14:paraId="62B67375">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温度</w:t>
                  </w:r>
                </w:p>
                <w:p w14:paraId="738BA0F4">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w:t>
                  </w:r>
                </w:p>
              </w:tc>
              <w:tc>
                <w:tcPr>
                  <w:tcW w:w="248" w:type="pct"/>
                  <w:noWrap w:val="0"/>
                  <w:vAlign w:val="center"/>
                </w:tcPr>
                <w:p w14:paraId="36A1B57A">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排气量</w:t>
                  </w:r>
                </w:p>
                <w:p w14:paraId="4B570769">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r>
                    <w:rPr>
                      <w:rFonts w:ascii="Times New Roman" w:hAnsi="Times New Roman" w:eastAsia="宋体" w:cs="Times New Roman"/>
                      <w:b/>
                      <w:color w:val="auto"/>
                      <w:kern w:val="0"/>
                      <w:sz w:val="18"/>
                      <w:szCs w:val="18"/>
                      <w:lang w:val="en-US" w:eastAsia="zh-CN" w:bidi="ar-SA"/>
                    </w:rPr>
                    <w:t>Nm</w:t>
                  </w:r>
                  <w:r>
                    <w:rPr>
                      <w:rFonts w:ascii="Times New Roman" w:hAnsi="Times New Roman" w:eastAsia="宋体" w:cs="Times New Roman"/>
                      <w:b/>
                      <w:color w:val="auto"/>
                      <w:kern w:val="0"/>
                      <w:sz w:val="18"/>
                      <w:szCs w:val="18"/>
                      <w:vertAlign w:val="superscript"/>
                      <w:lang w:val="en-US" w:eastAsia="zh-CN" w:bidi="ar-SA"/>
                    </w:rPr>
                    <w:t>3</w:t>
                  </w:r>
                  <w:r>
                    <w:rPr>
                      <w:rFonts w:ascii="Times New Roman" w:hAnsi="Times New Roman" w:eastAsia="宋体" w:cs="Times New Roman"/>
                      <w:b/>
                      <w:color w:val="auto"/>
                      <w:kern w:val="0"/>
                      <w:sz w:val="18"/>
                      <w:szCs w:val="18"/>
                      <w:lang w:val="en-US" w:eastAsia="zh-CN" w:bidi="ar-SA"/>
                    </w:rPr>
                    <w:t>/h</w:t>
                  </w:r>
                </w:p>
              </w:tc>
              <w:tc>
                <w:tcPr>
                  <w:tcW w:w="206" w:type="pct"/>
                  <w:vMerge w:val="continue"/>
                  <w:noWrap w:val="0"/>
                  <w:vAlign w:val="center"/>
                </w:tcPr>
                <w:p w14:paraId="711FBBD7">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ight="0" w:rightChars="0"/>
                    <w:jc w:val="center"/>
                    <w:textAlignment w:val="baseline"/>
                    <w:rPr>
                      <w:rFonts w:ascii="Times New Roman" w:hAnsi="Times New Roman" w:eastAsia="宋体" w:cs="Times New Roman"/>
                      <w:b/>
                      <w:color w:val="auto"/>
                      <w:kern w:val="0"/>
                      <w:sz w:val="18"/>
                      <w:szCs w:val="18"/>
                      <w:lang w:val="en-US" w:eastAsia="zh-CN" w:bidi="ar-SA"/>
                    </w:rPr>
                  </w:pPr>
                </w:p>
              </w:tc>
            </w:tr>
            <w:tr w14:paraId="3DD7E9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restart"/>
                  <w:noWrap w:val="0"/>
                  <w:vAlign w:val="center"/>
                </w:tcPr>
                <w:p w14:paraId="7A6C1D9D">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DA001</w:t>
                  </w:r>
                </w:p>
              </w:tc>
              <w:tc>
                <w:tcPr>
                  <w:tcW w:w="168" w:type="pct"/>
                  <w:vMerge w:val="restart"/>
                  <w:noWrap w:val="0"/>
                  <w:vAlign w:val="center"/>
                </w:tcPr>
                <w:p w14:paraId="1D1440EC">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喷漆</w:t>
                  </w:r>
                </w:p>
              </w:tc>
              <w:tc>
                <w:tcPr>
                  <w:tcW w:w="328" w:type="pct"/>
                  <w:shd w:val="clear" w:color="auto" w:fill="auto"/>
                  <w:noWrap w:val="0"/>
                  <w:vAlign w:val="center"/>
                </w:tcPr>
                <w:p w14:paraId="0DE02D43">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漆雾</w:t>
                  </w:r>
                  <w:r>
                    <w:rPr>
                      <w:rFonts w:hint="eastAsia" w:ascii="Times New Roman" w:hAnsi="Times New Roman" w:eastAsia="宋体" w:cs="Times New Roman"/>
                      <w:color w:val="auto"/>
                      <w:sz w:val="18"/>
                      <w:szCs w:val="18"/>
                      <w:lang w:val="en-US" w:eastAsia="zh-CN"/>
                    </w:rPr>
                    <w:t>颗粒</w:t>
                  </w:r>
                </w:p>
              </w:tc>
              <w:tc>
                <w:tcPr>
                  <w:tcW w:w="1186" w:type="dxa"/>
                  <w:noWrap w:val="0"/>
                  <w:vAlign w:val="center"/>
                </w:tcPr>
                <w:p w14:paraId="27B4C1CC">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0.126 </w:t>
                  </w:r>
                </w:p>
              </w:tc>
              <w:tc>
                <w:tcPr>
                  <w:tcW w:w="1440" w:type="dxa"/>
                  <w:noWrap w:val="0"/>
                  <w:vAlign w:val="center"/>
                </w:tcPr>
                <w:p w14:paraId="19382CE8">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0.379</w:t>
                  </w:r>
                </w:p>
              </w:tc>
              <w:tc>
                <w:tcPr>
                  <w:tcW w:w="816" w:type="dxa"/>
                  <w:noWrap w:val="0"/>
                  <w:vAlign w:val="center"/>
                </w:tcPr>
                <w:p w14:paraId="42A5B045">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9.718 </w:t>
                  </w:r>
                </w:p>
              </w:tc>
              <w:tc>
                <w:tcPr>
                  <w:tcW w:w="1274" w:type="pct"/>
                  <w:vMerge w:val="restart"/>
                  <w:noWrap w:val="0"/>
                  <w:vAlign w:val="center"/>
                </w:tcPr>
                <w:p w14:paraId="4A88D14C">
                  <w:pPr>
                    <w:keepNext w:val="0"/>
                    <w:keepLines w:val="0"/>
                    <w:pageBreakBefore w:val="0"/>
                    <w:kinsoku/>
                    <w:wordWrap/>
                    <w:topLinePunct w:val="0"/>
                    <w:autoSpaceDE/>
                    <w:autoSpaceDN/>
                    <w:bidi w:val="0"/>
                    <w:spacing w:line="240" w:lineRule="auto"/>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rPr>
                    <w:t>喷漆房全封闭</w:t>
                  </w:r>
                  <w:r>
                    <w:rPr>
                      <w:rFonts w:hint="eastAsia" w:ascii="Times New Roman" w:hAnsi="Times New Roman" w:eastAsia="宋体" w:cs="Times New Roman"/>
                      <w:color w:val="auto"/>
                      <w:sz w:val="18"/>
                      <w:szCs w:val="18"/>
                      <w:lang w:val="en-US" w:eastAsia="zh-CN"/>
                    </w:rPr>
                    <w:t>微负压</w:t>
                  </w:r>
                  <w:r>
                    <w:rPr>
                      <w:rFonts w:ascii="Times New Roman" w:hAnsi="Times New Roman" w:eastAsia="宋体" w:cs="Times New Roman"/>
                      <w:color w:val="auto"/>
                      <w:sz w:val="18"/>
                      <w:szCs w:val="18"/>
                    </w:rPr>
                    <w:t>收集</w:t>
                  </w:r>
                  <w:r>
                    <w:rPr>
                      <w:rFonts w:hint="eastAsia" w:ascii="Times New Roman" w:hAnsi="Times New Roman" w:eastAsia="宋体" w:cs="Times New Roman"/>
                      <w:color w:val="auto"/>
                      <w:sz w:val="18"/>
                      <w:szCs w:val="18"/>
                      <w:lang w:eastAsia="zh-CN"/>
                    </w:rPr>
                    <w:t>，通过管道引入一套“过滤棉+两级活性炭吸附”设施处理</w:t>
                  </w:r>
                </w:p>
              </w:tc>
              <w:tc>
                <w:tcPr>
                  <w:tcW w:w="187" w:type="pct"/>
                  <w:noWrap w:val="0"/>
                  <w:vAlign w:val="center"/>
                </w:tcPr>
                <w:p w14:paraId="1C032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49F14F71">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1294" w:type="dxa"/>
                  <w:noWrap w:val="0"/>
                  <w:vAlign w:val="center"/>
                </w:tcPr>
                <w:p w14:paraId="4EB49C54">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0.012 </w:t>
                  </w:r>
                </w:p>
              </w:tc>
              <w:tc>
                <w:tcPr>
                  <w:tcW w:w="1136" w:type="dxa"/>
                  <w:noWrap w:val="0"/>
                  <w:vAlign w:val="center"/>
                </w:tcPr>
                <w:p w14:paraId="10D88507">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0.036 </w:t>
                  </w:r>
                </w:p>
              </w:tc>
              <w:tc>
                <w:tcPr>
                  <w:tcW w:w="730" w:type="dxa"/>
                  <w:noWrap w:val="0"/>
                  <w:vAlign w:val="center"/>
                </w:tcPr>
                <w:p w14:paraId="484771F1">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0.9232 </w:t>
                  </w:r>
                </w:p>
              </w:tc>
              <w:tc>
                <w:tcPr>
                  <w:tcW w:w="139" w:type="pct"/>
                  <w:vMerge w:val="restart"/>
                  <w:noWrap w:val="0"/>
                  <w:vAlign w:val="center"/>
                </w:tcPr>
                <w:p w14:paraId="4D5F5E9B">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7</w:t>
                  </w:r>
                </w:p>
              </w:tc>
              <w:tc>
                <w:tcPr>
                  <w:tcW w:w="139" w:type="pct"/>
                  <w:vMerge w:val="restart"/>
                  <w:noWrap w:val="0"/>
                  <w:vAlign w:val="center"/>
                </w:tcPr>
                <w:p w14:paraId="59CC8D4D">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140" w:type="pct"/>
                  <w:vMerge w:val="restart"/>
                  <w:noWrap w:val="0"/>
                  <w:vAlign w:val="center"/>
                </w:tcPr>
                <w:p w14:paraId="01E32B02">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248" w:type="pct"/>
                  <w:vMerge w:val="restart"/>
                  <w:noWrap w:val="0"/>
                  <w:vAlign w:val="center"/>
                </w:tcPr>
                <w:p w14:paraId="63650A31">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13</w:t>
                  </w:r>
                  <w:r>
                    <w:rPr>
                      <w:rFonts w:ascii="Times New Roman" w:hAnsi="Times New Roman" w:eastAsia="宋体" w:cs="Times New Roman"/>
                      <w:color w:val="auto"/>
                      <w:sz w:val="18"/>
                      <w:szCs w:val="18"/>
                    </w:rPr>
                    <w:t>000</w:t>
                  </w:r>
                </w:p>
              </w:tc>
              <w:tc>
                <w:tcPr>
                  <w:tcW w:w="206" w:type="pct"/>
                  <w:vMerge w:val="restart"/>
                  <w:noWrap w:val="0"/>
                  <w:vAlign w:val="center"/>
                </w:tcPr>
                <w:p w14:paraId="3FE5D9B7">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300</w:t>
                  </w:r>
                  <w:r>
                    <w:rPr>
                      <w:rFonts w:ascii="Times New Roman" w:hAnsi="Times New Roman" w:eastAsia="宋体" w:cs="Times New Roman"/>
                      <w:color w:val="auto"/>
                      <w:sz w:val="18"/>
                      <w:szCs w:val="18"/>
                    </w:rPr>
                    <w:t>0</w:t>
                  </w:r>
                </w:p>
              </w:tc>
            </w:tr>
            <w:tr w14:paraId="2F3041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496C0BC1">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1C61F3F6">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65141976">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非甲烷总烃</w:t>
                  </w:r>
                </w:p>
              </w:tc>
              <w:tc>
                <w:tcPr>
                  <w:tcW w:w="1186" w:type="dxa"/>
                  <w:noWrap w:val="0"/>
                  <w:vAlign w:val="center"/>
                </w:tcPr>
                <w:p w14:paraId="24CFFDFC">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0.064 </w:t>
                  </w:r>
                </w:p>
              </w:tc>
              <w:tc>
                <w:tcPr>
                  <w:tcW w:w="1440" w:type="dxa"/>
                  <w:noWrap w:val="0"/>
                  <w:vAlign w:val="center"/>
                </w:tcPr>
                <w:p w14:paraId="5402431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0.192</w:t>
                  </w:r>
                </w:p>
              </w:tc>
              <w:tc>
                <w:tcPr>
                  <w:tcW w:w="816" w:type="dxa"/>
                  <w:noWrap w:val="0"/>
                  <w:vAlign w:val="center"/>
                </w:tcPr>
                <w:p w14:paraId="73AA1D36">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4.923 </w:t>
                  </w:r>
                </w:p>
              </w:tc>
              <w:tc>
                <w:tcPr>
                  <w:tcW w:w="1274" w:type="pct"/>
                  <w:vMerge w:val="continue"/>
                  <w:noWrap w:val="0"/>
                  <w:vAlign w:val="center"/>
                </w:tcPr>
                <w:p w14:paraId="3418E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shd w:val="clear" w:color="auto" w:fill="auto"/>
                  <w:noWrap w:val="0"/>
                  <w:vAlign w:val="center"/>
                </w:tcPr>
                <w:p w14:paraId="76FF8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95%</w:t>
                  </w:r>
                </w:p>
              </w:tc>
              <w:tc>
                <w:tcPr>
                  <w:tcW w:w="185" w:type="pct"/>
                  <w:shd w:val="clear" w:color="auto" w:fill="auto"/>
                  <w:noWrap w:val="0"/>
                  <w:vAlign w:val="center"/>
                </w:tcPr>
                <w:p w14:paraId="739AC7F9">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90%</w:t>
                  </w:r>
                </w:p>
              </w:tc>
              <w:tc>
                <w:tcPr>
                  <w:tcW w:w="1294" w:type="dxa"/>
                  <w:noWrap w:val="0"/>
                  <w:vAlign w:val="center"/>
                </w:tcPr>
                <w:p w14:paraId="6486B118">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0.0061 </w:t>
                  </w:r>
                </w:p>
              </w:tc>
              <w:tc>
                <w:tcPr>
                  <w:tcW w:w="1136" w:type="dxa"/>
                  <w:noWrap w:val="0"/>
                  <w:vAlign w:val="center"/>
                </w:tcPr>
                <w:p w14:paraId="3C09C85C">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0.0182 </w:t>
                  </w:r>
                </w:p>
              </w:tc>
              <w:tc>
                <w:tcPr>
                  <w:tcW w:w="730" w:type="dxa"/>
                  <w:noWrap w:val="0"/>
                  <w:vAlign w:val="center"/>
                </w:tcPr>
                <w:p w14:paraId="628D768B">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0.4677 </w:t>
                  </w:r>
                </w:p>
              </w:tc>
              <w:tc>
                <w:tcPr>
                  <w:tcW w:w="139" w:type="pct"/>
                  <w:vMerge w:val="continue"/>
                  <w:noWrap w:val="0"/>
                  <w:vAlign w:val="center"/>
                </w:tcPr>
                <w:p w14:paraId="2BD20A78">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46CC450E">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1F54F07C">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25CC2F95">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192E6EB9">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706D4F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44E86ECE">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restart"/>
                  <w:noWrap w:val="0"/>
                  <w:vAlign w:val="center"/>
                </w:tcPr>
                <w:p w14:paraId="4AAD8881">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钝化封闭</w:t>
                  </w:r>
                </w:p>
              </w:tc>
              <w:tc>
                <w:tcPr>
                  <w:tcW w:w="328" w:type="pct"/>
                  <w:shd w:val="clear" w:color="auto" w:fill="auto"/>
                  <w:noWrap w:val="0"/>
                  <w:vAlign w:val="center"/>
                </w:tcPr>
                <w:p w14:paraId="6A91B7BE">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漆雾颗粒</w:t>
                  </w:r>
                </w:p>
              </w:tc>
              <w:tc>
                <w:tcPr>
                  <w:tcW w:w="1186" w:type="dxa"/>
                  <w:noWrap w:val="0"/>
                  <w:vAlign w:val="center"/>
                </w:tcPr>
                <w:p w14:paraId="027F9EEB">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0.252 </w:t>
                  </w:r>
                </w:p>
              </w:tc>
              <w:tc>
                <w:tcPr>
                  <w:tcW w:w="1440" w:type="dxa"/>
                  <w:noWrap w:val="0"/>
                  <w:vAlign w:val="center"/>
                </w:tcPr>
                <w:p w14:paraId="0D588BED">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0.755</w:t>
                  </w:r>
                </w:p>
              </w:tc>
              <w:tc>
                <w:tcPr>
                  <w:tcW w:w="816" w:type="dxa"/>
                  <w:noWrap w:val="0"/>
                  <w:vAlign w:val="center"/>
                </w:tcPr>
                <w:p w14:paraId="0FBA6320">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19.359 </w:t>
                  </w:r>
                </w:p>
              </w:tc>
              <w:tc>
                <w:tcPr>
                  <w:tcW w:w="1274" w:type="pct"/>
                  <w:vMerge w:val="restart"/>
                  <w:noWrap w:val="0"/>
                  <w:vAlign w:val="center"/>
                </w:tcPr>
                <w:p w14:paraId="459422C2">
                  <w:pPr>
                    <w:keepNext w:val="0"/>
                    <w:keepLines w:val="0"/>
                    <w:pageBreakBefore w:val="0"/>
                    <w:widowControl/>
                    <w:kinsoku/>
                    <w:wordWrap/>
                    <w:topLinePunct w:val="0"/>
                    <w:autoSpaceDE/>
                    <w:autoSpaceDN/>
                    <w:bidi w:val="0"/>
                    <w:spacing w:line="240" w:lineRule="auto"/>
                    <w:jc w:val="center"/>
                    <w:textAlignment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封闭废气</w:t>
                  </w:r>
                  <w:r>
                    <w:rPr>
                      <w:rFonts w:hint="eastAsia" w:ascii="Times New Roman" w:hAnsi="Times New Roman" w:eastAsia="宋体" w:cs="Times New Roman"/>
                      <w:color w:val="auto"/>
                      <w:sz w:val="18"/>
                      <w:szCs w:val="18"/>
                    </w:rPr>
                    <w:t>经</w:t>
                  </w:r>
                  <w:r>
                    <w:rPr>
                      <w:rFonts w:hint="eastAsia" w:ascii="Times New Roman" w:hAnsi="Times New Roman" w:eastAsia="宋体" w:cs="Times New Roman"/>
                      <w:color w:val="auto"/>
                      <w:sz w:val="18"/>
                      <w:szCs w:val="18"/>
                      <w:lang w:eastAsia="zh-CN"/>
                    </w:rPr>
                    <w:t>配套</w:t>
                  </w:r>
                  <w:r>
                    <w:rPr>
                      <w:rFonts w:hint="eastAsia" w:ascii="Times New Roman" w:hAnsi="Times New Roman" w:eastAsia="宋体" w:cs="Times New Roman"/>
                      <w:color w:val="auto"/>
                      <w:sz w:val="18"/>
                      <w:szCs w:val="18"/>
                    </w:rPr>
                    <w:t>低氮燃烧器</w:t>
                  </w:r>
                  <w:r>
                    <w:rPr>
                      <w:rFonts w:hint="eastAsia" w:ascii="Times New Roman" w:hAnsi="Times New Roman" w:eastAsia="宋体" w:cs="Times New Roman"/>
                      <w:color w:val="auto"/>
                      <w:sz w:val="18"/>
                      <w:szCs w:val="18"/>
                      <w:lang w:val="en-US" w:eastAsia="zh-CN"/>
                    </w:rPr>
                    <w:t>后</w:t>
                  </w:r>
                  <w:r>
                    <w:rPr>
                      <w:rFonts w:hint="eastAsia"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通过引风管负压</w:t>
                  </w:r>
                  <w:r>
                    <w:rPr>
                      <w:rFonts w:ascii="Times New Roman" w:hAnsi="Times New Roman" w:eastAsia="宋体" w:cs="Times New Roman"/>
                      <w:color w:val="auto"/>
                      <w:sz w:val="18"/>
                      <w:szCs w:val="18"/>
                    </w:rPr>
                    <w:t>收集</w:t>
                  </w:r>
                  <w:r>
                    <w:rPr>
                      <w:rFonts w:hint="eastAsia" w:ascii="Times New Roman" w:hAnsi="Times New Roman" w:eastAsia="宋体" w:cs="Times New Roman"/>
                      <w:color w:val="auto"/>
                      <w:sz w:val="18"/>
                      <w:szCs w:val="18"/>
                      <w:lang w:val="en-US" w:eastAsia="zh-CN"/>
                    </w:rPr>
                    <w:t>，与喷漆废气共用</w:t>
                  </w:r>
                  <w:r>
                    <w:rPr>
                      <w:rFonts w:hint="eastAsia" w:ascii="Times New Roman" w:hAnsi="Times New Roman" w:eastAsia="宋体" w:cs="Times New Roman"/>
                      <w:color w:val="auto"/>
                      <w:sz w:val="18"/>
                      <w:szCs w:val="18"/>
                      <w:lang w:eastAsia="zh-CN"/>
                    </w:rPr>
                    <w:t>一套“过滤棉+两级活性炭吸附”设施处理</w:t>
                  </w:r>
                </w:p>
              </w:tc>
              <w:tc>
                <w:tcPr>
                  <w:tcW w:w="187" w:type="pct"/>
                  <w:noWrap w:val="0"/>
                  <w:vAlign w:val="center"/>
                </w:tcPr>
                <w:p w14:paraId="192B0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2D68ADA5">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90%</w:t>
                  </w:r>
                </w:p>
              </w:tc>
              <w:tc>
                <w:tcPr>
                  <w:tcW w:w="1294" w:type="dxa"/>
                  <w:noWrap w:val="0"/>
                  <w:vAlign w:val="center"/>
                </w:tcPr>
                <w:p w14:paraId="1471FDF3">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0.0239 </w:t>
                  </w:r>
                </w:p>
              </w:tc>
              <w:tc>
                <w:tcPr>
                  <w:tcW w:w="1136" w:type="dxa"/>
                  <w:noWrap w:val="0"/>
                  <w:vAlign w:val="center"/>
                </w:tcPr>
                <w:p w14:paraId="617D40DA">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0.0717 </w:t>
                  </w:r>
                </w:p>
              </w:tc>
              <w:tc>
                <w:tcPr>
                  <w:tcW w:w="730" w:type="dxa"/>
                  <w:noWrap w:val="0"/>
                  <w:vAlign w:val="center"/>
                </w:tcPr>
                <w:p w14:paraId="4A583352">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1.8391 </w:t>
                  </w:r>
                </w:p>
              </w:tc>
              <w:tc>
                <w:tcPr>
                  <w:tcW w:w="139" w:type="pct"/>
                  <w:vMerge w:val="continue"/>
                  <w:noWrap w:val="0"/>
                  <w:vAlign w:val="center"/>
                </w:tcPr>
                <w:p w14:paraId="53B1035A">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3E2C6B3B">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54C18508">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6050856E">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15F882C2">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44F16C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00B7196D">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00B62819">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2D68882C">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非甲烷总烃</w:t>
                  </w:r>
                </w:p>
              </w:tc>
              <w:tc>
                <w:tcPr>
                  <w:tcW w:w="1186" w:type="dxa"/>
                  <w:noWrap w:val="0"/>
                  <w:vAlign w:val="center"/>
                </w:tcPr>
                <w:p w14:paraId="04614957">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0.127 </w:t>
                  </w:r>
                </w:p>
              </w:tc>
              <w:tc>
                <w:tcPr>
                  <w:tcW w:w="1440" w:type="dxa"/>
                  <w:noWrap w:val="0"/>
                  <w:vAlign w:val="center"/>
                </w:tcPr>
                <w:p w14:paraId="66BCE0A9">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0.382</w:t>
                  </w:r>
                </w:p>
              </w:tc>
              <w:tc>
                <w:tcPr>
                  <w:tcW w:w="816" w:type="dxa"/>
                  <w:noWrap w:val="0"/>
                  <w:vAlign w:val="center"/>
                </w:tcPr>
                <w:p w14:paraId="128018EC">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9.795 </w:t>
                  </w:r>
                </w:p>
              </w:tc>
              <w:tc>
                <w:tcPr>
                  <w:tcW w:w="1274" w:type="pct"/>
                  <w:vMerge w:val="continue"/>
                  <w:noWrap w:val="0"/>
                  <w:vAlign w:val="center"/>
                </w:tcPr>
                <w:p w14:paraId="5DBE5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noWrap w:val="0"/>
                  <w:vAlign w:val="center"/>
                </w:tcPr>
                <w:p w14:paraId="26671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65FC3283">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90%</w:t>
                  </w:r>
                </w:p>
              </w:tc>
              <w:tc>
                <w:tcPr>
                  <w:tcW w:w="1294" w:type="dxa"/>
                  <w:noWrap w:val="0"/>
                  <w:vAlign w:val="center"/>
                </w:tcPr>
                <w:p w14:paraId="2E3DFFB2">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0.0121 </w:t>
                  </w:r>
                </w:p>
              </w:tc>
              <w:tc>
                <w:tcPr>
                  <w:tcW w:w="1136" w:type="dxa"/>
                  <w:noWrap w:val="0"/>
                  <w:vAlign w:val="center"/>
                </w:tcPr>
                <w:p w14:paraId="01E2292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0.0363 </w:t>
                  </w:r>
                </w:p>
              </w:tc>
              <w:tc>
                <w:tcPr>
                  <w:tcW w:w="730" w:type="dxa"/>
                  <w:noWrap w:val="0"/>
                  <w:vAlign w:val="center"/>
                </w:tcPr>
                <w:p w14:paraId="0928D631">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0.9305 </w:t>
                  </w:r>
                </w:p>
              </w:tc>
              <w:tc>
                <w:tcPr>
                  <w:tcW w:w="139" w:type="pct"/>
                  <w:vMerge w:val="continue"/>
                  <w:noWrap w:val="0"/>
                  <w:vAlign w:val="center"/>
                </w:tcPr>
                <w:p w14:paraId="4D4C73FA">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0E222DF1">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4BD44DD9">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5CA8A473">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5E24ADE1">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09F16C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4F3A7493">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33674CBD">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617EF188">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SO</w:t>
                  </w:r>
                  <w:r>
                    <w:rPr>
                      <w:rFonts w:hint="eastAsia" w:ascii="Times New Roman" w:hAnsi="Times New Roman" w:eastAsia="宋体" w:cs="Times New Roman"/>
                      <w:color w:val="auto"/>
                      <w:sz w:val="18"/>
                      <w:szCs w:val="18"/>
                      <w:vertAlign w:val="subscript"/>
                    </w:rPr>
                    <w:t>2</w:t>
                  </w:r>
                </w:p>
              </w:tc>
              <w:tc>
                <w:tcPr>
                  <w:tcW w:w="1186" w:type="dxa"/>
                  <w:noWrap w:val="0"/>
                  <w:vAlign w:val="center"/>
                </w:tcPr>
                <w:p w14:paraId="5C68F473">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0.008 </w:t>
                  </w:r>
                </w:p>
              </w:tc>
              <w:tc>
                <w:tcPr>
                  <w:tcW w:w="1440" w:type="dxa"/>
                  <w:noWrap w:val="0"/>
                  <w:vAlign w:val="center"/>
                </w:tcPr>
                <w:p w14:paraId="5BECB9A5">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0.024</w:t>
                  </w:r>
                </w:p>
              </w:tc>
              <w:tc>
                <w:tcPr>
                  <w:tcW w:w="816" w:type="dxa"/>
                  <w:noWrap w:val="0"/>
                  <w:vAlign w:val="center"/>
                </w:tcPr>
                <w:p w14:paraId="146D499B">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0.615 </w:t>
                  </w:r>
                </w:p>
              </w:tc>
              <w:tc>
                <w:tcPr>
                  <w:tcW w:w="1274" w:type="pct"/>
                  <w:vMerge w:val="continue"/>
                  <w:noWrap w:val="0"/>
                  <w:vAlign w:val="center"/>
                </w:tcPr>
                <w:p w14:paraId="77115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noWrap w:val="0"/>
                  <w:vAlign w:val="center"/>
                </w:tcPr>
                <w:p w14:paraId="0B41D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2AD45009">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cs="Times New Roman"/>
                      <w:color w:val="auto"/>
                      <w:sz w:val="18"/>
                      <w:szCs w:val="18"/>
                      <w:lang w:val="en-US" w:eastAsia="zh-CN"/>
                    </w:rPr>
                    <w:t>0</w:t>
                  </w:r>
                </w:p>
              </w:tc>
              <w:tc>
                <w:tcPr>
                  <w:tcW w:w="1294" w:type="dxa"/>
                  <w:noWrap w:val="0"/>
                  <w:vAlign w:val="center"/>
                </w:tcPr>
                <w:p w14:paraId="18040F94">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0.0076 </w:t>
                  </w:r>
                </w:p>
              </w:tc>
              <w:tc>
                <w:tcPr>
                  <w:tcW w:w="1136" w:type="dxa"/>
                  <w:noWrap w:val="0"/>
                  <w:vAlign w:val="center"/>
                </w:tcPr>
                <w:p w14:paraId="40B2CBF4">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0.0228 </w:t>
                  </w:r>
                </w:p>
              </w:tc>
              <w:tc>
                <w:tcPr>
                  <w:tcW w:w="730" w:type="dxa"/>
                  <w:noWrap w:val="0"/>
                  <w:vAlign w:val="center"/>
                </w:tcPr>
                <w:p w14:paraId="2855D5CE">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0.5846 </w:t>
                  </w:r>
                </w:p>
              </w:tc>
              <w:tc>
                <w:tcPr>
                  <w:tcW w:w="139" w:type="pct"/>
                  <w:vMerge w:val="continue"/>
                  <w:noWrap w:val="0"/>
                  <w:vAlign w:val="center"/>
                </w:tcPr>
                <w:p w14:paraId="4BD771ED">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0658D174">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5DAC5CF1">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74258BD6">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1F0651F2">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59574A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5780E851">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73C756C0">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1B596646">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NO</w:t>
                  </w:r>
                  <w:r>
                    <w:rPr>
                      <w:rFonts w:hint="eastAsia" w:ascii="Times New Roman" w:hAnsi="Times New Roman" w:eastAsia="宋体" w:cs="Times New Roman"/>
                      <w:color w:val="auto"/>
                      <w:sz w:val="18"/>
                      <w:szCs w:val="18"/>
                      <w:vertAlign w:val="subscript"/>
                    </w:rPr>
                    <w:t>x</w:t>
                  </w:r>
                </w:p>
              </w:tc>
              <w:tc>
                <w:tcPr>
                  <w:tcW w:w="1186" w:type="dxa"/>
                  <w:noWrap w:val="0"/>
                  <w:vAlign w:val="center"/>
                </w:tcPr>
                <w:p w14:paraId="3F054B8A">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0.0187 </w:t>
                  </w:r>
                </w:p>
              </w:tc>
              <w:tc>
                <w:tcPr>
                  <w:tcW w:w="1440" w:type="dxa"/>
                  <w:noWrap w:val="0"/>
                  <w:vAlign w:val="center"/>
                </w:tcPr>
                <w:p w14:paraId="29BF0B02">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0.0561</w:t>
                  </w:r>
                </w:p>
              </w:tc>
              <w:tc>
                <w:tcPr>
                  <w:tcW w:w="816" w:type="dxa"/>
                  <w:noWrap w:val="0"/>
                  <w:vAlign w:val="center"/>
                </w:tcPr>
                <w:p w14:paraId="16B62499">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1.438 </w:t>
                  </w:r>
                </w:p>
              </w:tc>
              <w:tc>
                <w:tcPr>
                  <w:tcW w:w="1274" w:type="pct"/>
                  <w:vMerge w:val="continue"/>
                  <w:noWrap w:val="0"/>
                  <w:vAlign w:val="center"/>
                </w:tcPr>
                <w:p w14:paraId="41E43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noWrap w:val="0"/>
                  <w:vAlign w:val="center"/>
                </w:tcPr>
                <w:p w14:paraId="06B53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7D2CF140">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w:t>
                  </w:r>
                </w:p>
              </w:tc>
              <w:tc>
                <w:tcPr>
                  <w:tcW w:w="1294" w:type="dxa"/>
                  <w:noWrap w:val="0"/>
                  <w:vAlign w:val="center"/>
                </w:tcPr>
                <w:p w14:paraId="7360F438">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0.0178 </w:t>
                  </w:r>
                </w:p>
              </w:tc>
              <w:tc>
                <w:tcPr>
                  <w:tcW w:w="1136" w:type="dxa"/>
                  <w:noWrap w:val="0"/>
                  <w:vAlign w:val="center"/>
                </w:tcPr>
                <w:p w14:paraId="53731F7A">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0.0533 </w:t>
                  </w:r>
                </w:p>
              </w:tc>
              <w:tc>
                <w:tcPr>
                  <w:tcW w:w="730" w:type="dxa"/>
                  <w:noWrap w:val="0"/>
                  <w:vAlign w:val="center"/>
                </w:tcPr>
                <w:p w14:paraId="6ED463E4">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1.3665 </w:t>
                  </w:r>
                </w:p>
              </w:tc>
              <w:tc>
                <w:tcPr>
                  <w:tcW w:w="139" w:type="pct"/>
                  <w:vMerge w:val="continue"/>
                  <w:noWrap w:val="0"/>
                  <w:vAlign w:val="center"/>
                </w:tcPr>
                <w:p w14:paraId="15D3BA5B">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4B2EDE3D">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3ACFA043">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21B6ACBF">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24E8CB3F">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708B8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49120E69">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732C99C3">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29489D9B">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颗粒物</w:t>
                  </w:r>
                </w:p>
              </w:tc>
              <w:tc>
                <w:tcPr>
                  <w:tcW w:w="1186" w:type="dxa"/>
                  <w:noWrap w:val="0"/>
                  <w:vAlign w:val="center"/>
                </w:tcPr>
                <w:p w14:paraId="29912950">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0.0057 </w:t>
                  </w:r>
                </w:p>
              </w:tc>
              <w:tc>
                <w:tcPr>
                  <w:tcW w:w="1440" w:type="dxa"/>
                  <w:noWrap w:val="0"/>
                  <w:vAlign w:val="center"/>
                </w:tcPr>
                <w:p w14:paraId="2903439C">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0.01716</w:t>
                  </w:r>
                </w:p>
              </w:tc>
              <w:tc>
                <w:tcPr>
                  <w:tcW w:w="816" w:type="dxa"/>
                  <w:noWrap w:val="0"/>
                  <w:vAlign w:val="center"/>
                </w:tcPr>
                <w:p w14:paraId="5F0DA251">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0.440 </w:t>
                  </w:r>
                </w:p>
              </w:tc>
              <w:tc>
                <w:tcPr>
                  <w:tcW w:w="1274" w:type="pct"/>
                  <w:vMerge w:val="continue"/>
                  <w:noWrap w:val="0"/>
                  <w:vAlign w:val="center"/>
                </w:tcPr>
                <w:p w14:paraId="504F7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noWrap w:val="0"/>
                  <w:vAlign w:val="center"/>
                </w:tcPr>
                <w:p w14:paraId="5A8524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w:t>
                  </w:r>
                </w:p>
              </w:tc>
              <w:tc>
                <w:tcPr>
                  <w:tcW w:w="185" w:type="pct"/>
                  <w:noWrap w:val="0"/>
                  <w:vAlign w:val="center"/>
                </w:tcPr>
                <w:p w14:paraId="5C57202B">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hint="eastAsia" w:cs="Times New Roman"/>
                      <w:color w:val="auto"/>
                      <w:sz w:val="18"/>
                      <w:szCs w:val="18"/>
                      <w:lang w:val="en-US" w:eastAsia="zh-CN"/>
                    </w:rPr>
                    <w:t>0</w:t>
                  </w:r>
                </w:p>
              </w:tc>
              <w:tc>
                <w:tcPr>
                  <w:tcW w:w="1294" w:type="dxa"/>
                  <w:noWrap w:val="0"/>
                  <w:vAlign w:val="center"/>
                </w:tcPr>
                <w:p w14:paraId="2C5D1079">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0.0054 </w:t>
                  </w:r>
                </w:p>
              </w:tc>
              <w:tc>
                <w:tcPr>
                  <w:tcW w:w="1136" w:type="dxa"/>
                  <w:noWrap w:val="0"/>
                  <w:vAlign w:val="center"/>
                </w:tcPr>
                <w:p w14:paraId="48770A0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0.0163 </w:t>
                  </w:r>
                </w:p>
              </w:tc>
              <w:tc>
                <w:tcPr>
                  <w:tcW w:w="730" w:type="dxa"/>
                  <w:noWrap w:val="0"/>
                  <w:vAlign w:val="center"/>
                </w:tcPr>
                <w:p w14:paraId="53D60A0F">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0.418 </w:t>
                  </w:r>
                </w:p>
              </w:tc>
              <w:tc>
                <w:tcPr>
                  <w:tcW w:w="139" w:type="pct"/>
                  <w:vMerge w:val="continue"/>
                  <w:noWrap w:val="0"/>
                  <w:vAlign w:val="center"/>
                </w:tcPr>
                <w:p w14:paraId="317D2E74">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1FE04D2E">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54080ED0">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169778E2">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4ACD1967">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0B62FA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7FB06311">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restart"/>
                  <w:noWrap w:val="0"/>
                  <w:vAlign w:val="center"/>
                </w:tcPr>
                <w:p w14:paraId="1561ED2D">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渗锌</w:t>
                  </w:r>
                </w:p>
              </w:tc>
              <w:tc>
                <w:tcPr>
                  <w:tcW w:w="328" w:type="pct"/>
                  <w:shd w:val="clear" w:color="auto" w:fill="auto"/>
                  <w:noWrap w:val="0"/>
                  <w:vAlign w:val="center"/>
                </w:tcPr>
                <w:p w14:paraId="2D73ADD3">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SO</w:t>
                  </w:r>
                  <w:r>
                    <w:rPr>
                      <w:rFonts w:hint="eastAsia" w:ascii="Times New Roman" w:hAnsi="Times New Roman" w:eastAsia="宋体" w:cs="Times New Roman"/>
                      <w:color w:val="auto"/>
                      <w:sz w:val="18"/>
                      <w:szCs w:val="18"/>
                      <w:vertAlign w:val="subscript"/>
                    </w:rPr>
                    <w:t>2</w:t>
                  </w:r>
                </w:p>
              </w:tc>
              <w:tc>
                <w:tcPr>
                  <w:tcW w:w="1186" w:type="dxa"/>
                  <w:noWrap w:val="0"/>
                  <w:vAlign w:val="center"/>
                </w:tcPr>
                <w:p w14:paraId="646223B2">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0.048 </w:t>
                  </w:r>
                </w:p>
              </w:tc>
              <w:tc>
                <w:tcPr>
                  <w:tcW w:w="1440" w:type="dxa"/>
                  <w:noWrap w:val="0"/>
                  <w:vAlign w:val="center"/>
                </w:tcPr>
                <w:p w14:paraId="1398DF5E">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0.144</w:t>
                  </w:r>
                </w:p>
              </w:tc>
              <w:tc>
                <w:tcPr>
                  <w:tcW w:w="816" w:type="dxa"/>
                  <w:noWrap w:val="0"/>
                  <w:vAlign w:val="center"/>
                </w:tcPr>
                <w:p w14:paraId="14A263EC">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3.692 </w:t>
                  </w:r>
                </w:p>
              </w:tc>
              <w:tc>
                <w:tcPr>
                  <w:tcW w:w="1274" w:type="pct"/>
                  <w:vMerge w:val="restart"/>
                  <w:noWrap w:val="0"/>
                  <w:vAlign w:val="center"/>
                </w:tcPr>
                <w:p w14:paraId="1CCE4CF6">
                  <w:pPr>
                    <w:keepNext w:val="0"/>
                    <w:keepLines w:val="0"/>
                    <w:pageBreakBefore w:val="0"/>
                    <w:kinsoku/>
                    <w:wordWrap/>
                    <w:topLinePunct w:val="0"/>
                    <w:autoSpaceDE/>
                    <w:autoSpaceDN/>
                    <w:bidi w:val="0"/>
                    <w:spacing w:line="240" w:lineRule="auto"/>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渗锌废气在密闭设备中经</w:t>
                  </w:r>
                  <w:r>
                    <w:rPr>
                      <w:rFonts w:hint="eastAsia" w:ascii="Times New Roman" w:hAnsi="Times New Roman" w:eastAsia="宋体" w:cs="Times New Roman"/>
                      <w:color w:val="auto"/>
                      <w:sz w:val="18"/>
                      <w:szCs w:val="18"/>
                      <w:lang w:eastAsia="zh-CN"/>
                    </w:rPr>
                    <w:t>配套</w:t>
                  </w:r>
                  <w:r>
                    <w:rPr>
                      <w:rFonts w:hint="eastAsia" w:ascii="Times New Roman" w:hAnsi="Times New Roman" w:eastAsia="宋体" w:cs="Times New Roman"/>
                      <w:color w:val="auto"/>
                      <w:sz w:val="18"/>
                      <w:szCs w:val="18"/>
                    </w:rPr>
                    <w:t>低氮燃烧</w:t>
                  </w:r>
                  <w:r>
                    <w:rPr>
                      <w:rFonts w:hint="eastAsia" w:ascii="Times New Roman" w:hAnsi="Times New Roman" w:eastAsia="宋体" w:cs="Times New Roman"/>
                      <w:color w:val="auto"/>
                      <w:sz w:val="18"/>
                      <w:szCs w:val="18"/>
                      <w:lang w:eastAsia="zh-CN"/>
                    </w:rPr>
                    <w:t>后，</w:t>
                  </w:r>
                  <w:r>
                    <w:rPr>
                      <w:rFonts w:hint="eastAsia" w:ascii="Times New Roman" w:hAnsi="Times New Roman" w:eastAsia="宋体" w:cs="Times New Roman"/>
                      <w:color w:val="auto"/>
                      <w:sz w:val="18"/>
                      <w:szCs w:val="18"/>
                    </w:rPr>
                    <w:t>通过引风管收集</w:t>
                  </w:r>
                </w:p>
              </w:tc>
              <w:tc>
                <w:tcPr>
                  <w:tcW w:w="187" w:type="pct"/>
                  <w:noWrap w:val="0"/>
                  <w:vAlign w:val="center"/>
                </w:tcPr>
                <w:p w14:paraId="19E699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99%</w:t>
                  </w:r>
                </w:p>
              </w:tc>
              <w:tc>
                <w:tcPr>
                  <w:tcW w:w="185" w:type="pct"/>
                  <w:noWrap w:val="0"/>
                  <w:vAlign w:val="center"/>
                </w:tcPr>
                <w:p w14:paraId="1EB4C2A7">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4" w:type="dxa"/>
                  <w:noWrap w:val="0"/>
                  <w:vAlign w:val="center"/>
                </w:tcPr>
                <w:p w14:paraId="02F2EC6F">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0.0475 </w:t>
                  </w:r>
                </w:p>
              </w:tc>
              <w:tc>
                <w:tcPr>
                  <w:tcW w:w="1136" w:type="dxa"/>
                  <w:noWrap w:val="0"/>
                  <w:vAlign w:val="center"/>
                </w:tcPr>
                <w:p w14:paraId="6E2A4C84">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0.143 </w:t>
                  </w:r>
                </w:p>
              </w:tc>
              <w:tc>
                <w:tcPr>
                  <w:tcW w:w="730" w:type="dxa"/>
                  <w:noWrap w:val="0"/>
                  <w:vAlign w:val="center"/>
                </w:tcPr>
                <w:p w14:paraId="2D4B0315">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3.6554 </w:t>
                  </w:r>
                </w:p>
              </w:tc>
              <w:tc>
                <w:tcPr>
                  <w:tcW w:w="139" w:type="pct"/>
                  <w:vMerge w:val="continue"/>
                  <w:noWrap w:val="0"/>
                  <w:vAlign w:val="center"/>
                </w:tcPr>
                <w:p w14:paraId="01B6F443">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5985D818">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71122C07">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229E2E65">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7B84DAD8">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76074A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8" w:hRule="atLeast"/>
                <w:jc w:val="center"/>
              </w:trPr>
              <w:tc>
                <w:tcPr>
                  <w:tcW w:w="208" w:type="pct"/>
                  <w:vMerge w:val="continue"/>
                  <w:noWrap w:val="0"/>
                  <w:vAlign w:val="center"/>
                </w:tcPr>
                <w:p w14:paraId="200ECBBC">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2FA4EADE">
                  <w:pPr>
                    <w:keepNext w:val="0"/>
                    <w:keepLines w:val="0"/>
                    <w:pageBreakBefore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p>
              </w:tc>
              <w:tc>
                <w:tcPr>
                  <w:tcW w:w="328" w:type="pct"/>
                  <w:shd w:val="clear" w:color="auto" w:fill="auto"/>
                  <w:noWrap w:val="0"/>
                  <w:vAlign w:val="center"/>
                </w:tcPr>
                <w:p w14:paraId="588F9458">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NO</w:t>
                  </w:r>
                  <w:r>
                    <w:rPr>
                      <w:rFonts w:hint="eastAsia" w:ascii="Times New Roman" w:hAnsi="Times New Roman" w:eastAsia="宋体" w:cs="Times New Roman"/>
                      <w:color w:val="auto"/>
                      <w:sz w:val="18"/>
                      <w:szCs w:val="18"/>
                      <w:vertAlign w:val="subscript"/>
                    </w:rPr>
                    <w:t>x</w:t>
                  </w:r>
                </w:p>
              </w:tc>
              <w:tc>
                <w:tcPr>
                  <w:tcW w:w="1186" w:type="dxa"/>
                  <w:noWrap w:val="0"/>
                  <w:vAlign w:val="center"/>
                </w:tcPr>
                <w:p w14:paraId="52964573">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0.112 </w:t>
                  </w:r>
                </w:p>
              </w:tc>
              <w:tc>
                <w:tcPr>
                  <w:tcW w:w="1440" w:type="dxa"/>
                  <w:noWrap w:val="0"/>
                  <w:vAlign w:val="center"/>
                </w:tcPr>
                <w:p w14:paraId="4388508C">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0.3366</w:t>
                  </w:r>
                </w:p>
              </w:tc>
              <w:tc>
                <w:tcPr>
                  <w:tcW w:w="816" w:type="dxa"/>
                  <w:noWrap w:val="0"/>
                  <w:vAlign w:val="center"/>
                </w:tcPr>
                <w:p w14:paraId="459B94FF">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8.631 </w:t>
                  </w:r>
                </w:p>
              </w:tc>
              <w:tc>
                <w:tcPr>
                  <w:tcW w:w="1274" w:type="pct"/>
                  <w:vMerge w:val="continue"/>
                  <w:noWrap w:val="0"/>
                  <w:vAlign w:val="center"/>
                </w:tcPr>
                <w:p w14:paraId="37DC19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p>
              </w:tc>
              <w:tc>
                <w:tcPr>
                  <w:tcW w:w="187" w:type="pct"/>
                  <w:noWrap w:val="0"/>
                  <w:vAlign w:val="center"/>
                </w:tcPr>
                <w:p w14:paraId="4189FA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99%</w:t>
                  </w:r>
                </w:p>
              </w:tc>
              <w:tc>
                <w:tcPr>
                  <w:tcW w:w="185" w:type="pct"/>
                  <w:noWrap w:val="0"/>
                  <w:vAlign w:val="center"/>
                </w:tcPr>
                <w:p w14:paraId="20B619DC">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1294" w:type="dxa"/>
                  <w:noWrap w:val="0"/>
                  <w:vAlign w:val="center"/>
                </w:tcPr>
                <w:p w14:paraId="27AA5256">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0.1111 </w:t>
                  </w:r>
                </w:p>
              </w:tc>
              <w:tc>
                <w:tcPr>
                  <w:tcW w:w="1136" w:type="dxa"/>
                  <w:noWrap w:val="0"/>
                  <w:vAlign w:val="center"/>
                </w:tcPr>
                <w:p w14:paraId="6E0B416D">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0.3332 </w:t>
                  </w:r>
                </w:p>
              </w:tc>
              <w:tc>
                <w:tcPr>
                  <w:tcW w:w="730" w:type="dxa"/>
                  <w:noWrap w:val="0"/>
                  <w:vAlign w:val="center"/>
                </w:tcPr>
                <w:p w14:paraId="4F8651FF">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8.5445 </w:t>
                  </w:r>
                </w:p>
              </w:tc>
              <w:tc>
                <w:tcPr>
                  <w:tcW w:w="139" w:type="pct"/>
                  <w:vMerge w:val="continue"/>
                  <w:noWrap w:val="0"/>
                  <w:vAlign w:val="center"/>
                </w:tcPr>
                <w:p w14:paraId="340C2539">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64DC7163">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140" w:type="pct"/>
                  <w:vMerge w:val="continue"/>
                  <w:noWrap w:val="0"/>
                  <w:vAlign w:val="center"/>
                </w:tcPr>
                <w:p w14:paraId="70A1026A">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48" w:type="pct"/>
                  <w:vMerge w:val="continue"/>
                  <w:noWrap w:val="0"/>
                  <w:vAlign w:val="center"/>
                </w:tcPr>
                <w:p w14:paraId="552CF07F">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206" w:type="pct"/>
                  <w:vMerge w:val="continue"/>
                  <w:noWrap w:val="0"/>
                  <w:vAlign w:val="center"/>
                </w:tcPr>
                <w:p w14:paraId="5AB2E9D8">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r>
            <w:tr w14:paraId="5EEC5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25" w:hRule="atLeast"/>
                <w:jc w:val="center"/>
              </w:trPr>
              <w:tc>
                <w:tcPr>
                  <w:tcW w:w="208" w:type="pct"/>
                  <w:vMerge w:val="continue"/>
                  <w:noWrap w:val="0"/>
                  <w:vAlign w:val="center"/>
                </w:tcPr>
                <w:p w14:paraId="107292C5">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37CA88AF">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p>
              </w:tc>
              <w:tc>
                <w:tcPr>
                  <w:tcW w:w="328" w:type="pct"/>
                  <w:shd w:val="clear" w:color="auto" w:fill="auto"/>
                  <w:noWrap w:val="0"/>
                  <w:vAlign w:val="center"/>
                </w:tcPr>
                <w:p w14:paraId="08C29457">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颗粒物</w:t>
                  </w:r>
                </w:p>
              </w:tc>
              <w:tc>
                <w:tcPr>
                  <w:tcW w:w="1186" w:type="dxa"/>
                  <w:noWrap w:val="0"/>
                  <w:vAlign w:val="center"/>
                </w:tcPr>
                <w:p w14:paraId="76812654">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0.034 </w:t>
                  </w:r>
                </w:p>
              </w:tc>
              <w:tc>
                <w:tcPr>
                  <w:tcW w:w="1440" w:type="dxa"/>
                  <w:noWrap w:val="0"/>
                  <w:vAlign w:val="center"/>
                </w:tcPr>
                <w:p w14:paraId="56764B02">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0.103</w:t>
                  </w:r>
                </w:p>
              </w:tc>
              <w:tc>
                <w:tcPr>
                  <w:tcW w:w="816" w:type="dxa"/>
                  <w:noWrap w:val="0"/>
                  <w:vAlign w:val="center"/>
                </w:tcPr>
                <w:p w14:paraId="0C52AD8C">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2.641 </w:t>
                  </w:r>
                </w:p>
              </w:tc>
              <w:tc>
                <w:tcPr>
                  <w:tcW w:w="1274" w:type="pct"/>
                  <w:vMerge w:val="continue"/>
                  <w:noWrap w:val="0"/>
                  <w:vAlign w:val="center"/>
                </w:tcPr>
                <w:p w14:paraId="289C09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Cs/>
                      <w:color w:val="auto"/>
                      <w:sz w:val="18"/>
                      <w:szCs w:val="18"/>
                    </w:rPr>
                  </w:pPr>
                </w:p>
              </w:tc>
              <w:tc>
                <w:tcPr>
                  <w:tcW w:w="187" w:type="pct"/>
                  <w:noWrap w:val="0"/>
                  <w:vAlign w:val="center"/>
                </w:tcPr>
                <w:p w14:paraId="49252C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bCs/>
                      <w:color w:val="auto"/>
                      <w:sz w:val="18"/>
                      <w:szCs w:val="18"/>
                    </w:rPr>
                  </w:pPr>
                  <w:r>
                    <w:rPr>
                      <w:rFonts w:hint="eastAsia" w:ascii="Times New Roman" w:hAnsi="Times New Roman" w:eastAsia="宋体" w:cs="Times New Roman"/>
                      <w:color w:val="auto"/>
                      <w:sz w:val="18"/>
                      <w:szCs w:val="18"/>
                      <w:lang w:val="en-US" w:eastAsia="zh-CN"/>
                    </w:rPr>
                    <w:t>99%</w:t>
                  </w:r>
                </w:p>
              </w:tc>
              <w:tc>
                <w:tcPr>
                  <w:tcW w:w="185" w:type="pct"/>
                  <w:noWrap w:val="0"/>
                  <w:vAlign w:val="center"/>
                </w:tcPr>
                <w:p w14:paraId="04EFDD3D">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1294" w:type="dxa"/>
                  <w:noWrap w:val="0"/>
                  <w:vAlign w:val="center"/>
                </w:tcPr>
                <w:p w14:paraId="3205E272">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0.034 </w:t>
                  </w:r>
                </w:p>
              </w:tc>
              <w:tc>
                <w:tcPr>
                  <w:tcW w:w="1136" w:type="dxa"/>
                  <w:noWrap w:val="0"/>
                  <w:vAlign w:val="center"/>
                </w:tcPr>
                <w:p w14:paraId="35594BA7">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0.102 </w:t>
                  </w:r>
                </w:p>
              </w:tc>
              <w:tc>
                <w:tcPr>
                  <w:tcW w:w="730" w:type="dxa"/>
                  <w:noWrap w:val="0"/>
                  <w:vAlign w:val="center"/>
                </w:tcPr>
                <w:p w14:paraId="326623E9">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2.6146 </w:t>
                  </w:r>
                </w:p>
              </w:tc>
              <w:tc>
                <w:tcPr>
                  <w:tcW w:w="139" w:type="pct"/>
                  <w:vMerge w:val="continue"/>
                  <w:noWrap w:val="0"/>
                  <w:vAlign w:val="center"/>
                </w:tcPr>
                <w:p w14:paraId="513DA5C4">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63F03827">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40" w:type="pct"/>
                  <w:vMerge w:val="continue"/>
                  <w:noWrap w:val="0"/>
                  <w:vAlign w:val="center"/>
                </w:tcPr>
                <w:p w14:paraId="50FAC6FD">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48" w:type="pct"/>
                  <w:vMerge w:val="continue"/>
                  <w:noWrap w:val="0"/>
                  <w:vAlign w:val="center"/>
                </w:tcPr>
                <w:p w14:paraId="74F5FE51">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06" w:type="pct"/>
                  <w:vMerge w:val="continue"/>
                  <w:noWrap w:val="0"/>
                  <w:vAlign w:val="center"/>
                </w:tcPr>
                <w:p w14:paraId="0C9AE913">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4145C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08" w:hRule="atLeast"/>
                <w:jc w:val="center"/>
              </w:trPr>
              <w:tc>
                <w:tcPr>
                  <w:tcW w:w="208" w:type="pct"/>
                  <w:vMerge w:val="continue"/>
                  <w:noWrap w:val="0"/>
                  <w:vAlign w:val="center"/>
                </w:tcPr>
                <w:p w14:paraId="4F523DA4">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restart"/>
                  <w:noWrap w:val="0"/>
                  <w:vAlign w:val="center"/>
                </w:tcPr>
                <w:p w14:paraId="1AC57C9C">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合计</w:t>
                  </w:r>
                </w:p>
              </w:tc>
              <w:tc>
                <w:tcPr>
                  <w:tcW w:w="328" w:type="pct"/>
                  <w:shd w:val="clear" w:color="auto" w:fill="auto"/>
                  <w:noWrap w:val="0"/>
                  <w:vAlign w:val="center"/>
                </w:tcPr>
                <w:p w14:paraId="0A174DFC">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颗粒物</w:t>
                  </w:r>
                </w:p>
              </w:tc>
              <w:tc>
                <w:tcPr>
                  <w:tcW w:w="1186" w:type="dxa"/>
                  <w:noWrap w:val="0"/>
                  <w:vAlign w:val="center"/>
                </w:tcPr>
                <w:p w14:paraId="35C8AC3B">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0.418 </w:t>
                  </w:r>
                </w:p>
              </w:tc>
              <w:tc>
                <w:tcPr>
                  <w:tcW w:w="1440" w:type="dxa"/>
                  <w:noWrap w:val="0"/>
                  <w:vAlign w:val="center"/>
                </w:tcPr>
                <w:p w14:paraId="6AB3C9B8">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1.25416</w:t>
                  </w:r>
                </w:p>
              </w:tc>
              <w:tc>
                <w:tcPr>
                  <w:tcW w:w="816" w:type="dxa"/>
                  <w:noWrap w:val="0"/>
                  <w:vAlign w:val="center"/>
                </w:tcPr>
                <w:p w14:paraId="49AF9EA3">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32.158 </w:t>
                  </w:r>
                </w:p>
              </w:tc>
              <w:tc>
                <w:tcPr>
                  <w:tcW w:w="1274" w:type="pct"/>
                  <w:vMerge w:val="restart"/>
                  <w:noWrap w:val="0"/>
                  <w:vAlign w:val="center"/>
                </w:tcPr>
                <w:p w14:paraId="064B6FFB">
                  <w:pPr>
                    <w:keepNext w:val="0"/>
                    <w:keepLines w:val="0"/>
                    <w:pageBreakBefore w:val="0"/>
                    <w:widowControl/>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372" w:type="pct"/>
                  <w:gridSpan w:val="2"/>
                  <w:vMerge w:val="restart"/>
                  <w:noWrap w:val="0"/>
                  <w:vAlign w:val="center"/>
                </w:tcPr>
                <w:p w14:paraId="7B437584">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1294" w:type="dxa"/>
                  <w:noWrap w:val="0"/>
                  <w:vAlign w:val="center"/>
                </w:tcPr>
                <w:p w14:paraId="2A0FAB82">
                  <w:pPr>
                    <w:keepNext w:val="0"/>
                    <w:keepLines w:val="0"/>
                    <w:pageBreakBefore w:val="0"/>
                    <w:widowControl/>
                    <w:suppressLineNumbers w:val="0"/>
                    <w:kinsoku/>
                    <w:wordWrap/>
                    <w:topLinePunct w:val="0"/>
                    <w:autoSpaceDE/>
                    <w:autoSpaceDN/>
                    <w:bidi w:val="0"/>
                    <w:spacing w:line="240" w:lineRule="auto"/>
                    <w:jc w:val="center"/>
                    <w:textAlignment w:val="center"/>
                    <w:rPr>
                      <w:rFonts w:ascii="Times New Roman" w:hAnsi="Times New Roman" w:eastAsia="宋体" w:cs="Times New Roman"/>
                      <w:color w:val="auto"/>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0.0753 </w:t>
                  </w:r>
                </w:p>
              </w:tc>
              <w:tc>
                <w:tcPr>
                  <w:tcW w:w="1136" w:type="dxa"/>
                  <w:noWrap w:val="0"/>
                  <w:vAlign w:val="center"/>
                </w:tcPr>
                <w:p w14:paraId="4E0ECF1A">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0.226 </w:t>
                  </w:r>
                </w:p>
              </w:tc>
              <w:tc>
                <w:tcPr>
                  <w:tcW w:w="730" w:type="dxa"/>
                  <w:noWrap w:val="0"/>
                  <w:vAlign w:val="center"/>
                </w:tcPr>
                <w:p w14:paraId="46E5CF0C">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FF0000"/>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5.7949 </w:t>
                  </w:r>
                </w:p>
              </w:tc>
              <w:tc>
                <w:tcPr>
                  <w:tcW w:w="139" w:type="pct"/>
                  <w:vMerge w:val="continue"/>
                  <w:noWrap w:val="0"/>
                  <w:vAlign w:val="center"/>
                </w:tcPr>
                <w:p w14:paraId="636ECADE">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75BFD9C8">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40" w:type="pct"/>
                  <w:vMerge w:val="continue"/>
                  <w:noWrap w:val="0"/>
                  <w:vAlign w:val="center"/>
                </w:tcPr>
                <w:p w14:paraId="149EB961">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48" w:type="pct"/>
                  <w:vMerge w:val="continue"/>
                  <w:noWrap w:val="0"/>
                  <w:vAlign w:val="center"/>
                </w:tcPr>
                <w:p w14:paraId="18827B86">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06" w:type="pct"/>
                  <w:vMerge w:val="continue"/>
                  <w:noWrap w:val="0"/>
                  <w:vAlign w:val="center"/>
                </w:tcPr>
                <w:p w14:paraId="7AAAC746">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6BB4F3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208" w:type="pct"/>
                  <w:vMerge w:val="continue"/>
                  <w:noWrap w:val="0"/>
                  <w:vAlign w:val="center"/>
                </w:tcPr>
                <w:p w14:paraId="2F0437F2">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068B69F7">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p>
              </w:tc>
              <w:tc>
                <w:tcPr>
                  <w:tcW w:w="328" w:type="pct"/>
                  <w:shd w:val="clear" w:color="auto" w:fill="auto"/>
                  <w:noWrap w:val="0"/>
                  <w:vAlign w:val="center"/>
                </w:tcPr>
                <w:p w14:paraId="15226642">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SO</w:t>
                  </w:r>
                  <w:r>
                    <w:rPr>
                      <w:rFonts w:hint="eastAsia" w:ascii="Times New Roman" w:hAnsi="Times New Roman" w:eastAsia="宋体" w:cs="Times New Roman"/>
                      <w:color w:val="auto"/>
                      <w:sz w:val="18"/>
                      <w:szCs w:val="18"/>
                      <w:vertAlign w:val="subscript"/>
                    </w:rPr>
                    <w:t>2</w:t>
                  </w:r>
                </w:p>
              </w:tc>
              <w:tc>
                <w:tcPr>
                  <w:tcW w:w="1186" w:type="dxa"/>
                  <w:noWrap w:val="0"/>
                  <w:vAlign w:val="center"/>
                </w:tcPr>
                <w:p w14:paraId="752EC381">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0.056 </w:t>
                  </w:r>
                </w:p>
              </w:tc>
              <w:tc>
                <w:tcPr>
                  <w:tcW w:w="1440" w:type="dxa"/>
                  <w:noWrap w:val="0"/>
                  <w:vAlign w:val="center"/>
                </w:tcPr>
                <w:p w14:paraId="5C3A21AF">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0.168</w:t>
                  </w:r>
                </w:p>
              </w:tc>
              <w:tc>
                <w:tcPr>
                  <w:tcW w:w="816" w:type="dxa"/>
                  <w:noWrap w:val="0"/>
                  <w:vAlign w:val="center"/>
                </w:tcPr>
                <w:p w14:paraId="7D30BB8E">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4.308 </w:t>
                  </w:r>
                </w:p>
              </w:tc>
              <w:tc>
                <w:tcPr>
                  <w:tcW w:w="1274" w:type="pct"/>
                  <w:vMerge w:val="continue"/>
                  <w:noWrap w:val="0"/>
                  <w:vAlign w:val="center"/>
                </w:tcPr>
                <w:p w14:paraId="30725C84">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372" w:type="pct"/>
                  <w:gridSpan w:val="2"/>
                  <w:vMerge w:val="continue"/>
                  <w:noWrap w:val="0"/>
                  <w:vAlign w:val="center"/>
                </w:tcPr>
                <w:p w14:paraId="59021855">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294" w:type="dxa"/>
                  <w:noWrap w:val="0"/>
                  <w:vAlign w:val="center"/>
                </w:tcPr>
                <w:p w14:paraId="5948C0CF">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0.0551 </w:t>
                  </w:r>
                </w:p>
              </w:tc>
              <w:tc>
                <w:tcPr>
                  <w:tcW w:w="1136" w:type="dxa"/>
                  <w:noWrap w:val="0"/>
                  <w:vAlign w:val="center"/>
                </w:tcPr>
                <w:p w14:paraId="7BF2D215">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eastAsia" w:cs="Times New Roman"/>
                      <w:i w:val="0"/>
                      <w:iCs w:val="0"/>
                      <w:color w:val="000000"/>
                      <w:kern w:val="0"/>
                      <w:sz w:val="18"/>
                      <w:szCs w:val="18"/>
                      <w:u w:val="none"/>
                      <w:lang w:val="en-US" w:eastAsia="zh-CN" w:bidi="ar"/>
                    </w:rPr>
                    <w:t>0.1658</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730" w:type="dxa"/>
                  <w:noWrap w:val="0"/>
                  <w:vAlign w:val="center"/>
                </w:tcPr>
                <w:p w14:paraId="3556B736">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FF0000"/>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4.2400 </w:t>
                  </w:r>
                </w:p>
              </w:tc>
              <w:tc>
                <w:tcPr>
                  <w:tcW w:w="139" w:type="pct"/>
                  <w:vMerge w:val="continue"/>
                  <w:noWrap w:val="0"/>
                  <w:vAlign w:val="center"/>
                </w:tcPr>
                <w:p w14:paraId="1512EB51">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482066D2">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40" w:type="pct"/>
                  <w:vMerge w:val="continue"/>
                  <w:noWrap w:val="0"/>
                  <w:vAlign w:val="center"/>
                </w:tcPr>
                <w:p w14:paraId="4474997D">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48" w:type="pct"/>
                  <w:vMerge w:val="continue"/>
                  <w:noWrap w:val="0"/>
                  <w:vAlign w:val="center"/>
                </w:tcPr>
                <w:p w14:paraId="3FBB023A">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06" w:type="pct"/>
                  <w:vMerge w:val="continue"/>
                  <w:noWrap w:val="0"/>
                  <w:vAlign w:val="center"/>
                </w:tcPr>
                <w:p w14:paraId="6BF6C424">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75AA41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208" w:type="pct"/>
                  <w:vMerge w:val="continue"/>
                  <w:noWrap w:val="0"/>
                  <w:vAlign w:val="center"/>
                </w:tcPr>
                <w:p w14:paraId="0C32DA6A">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21D15F4D">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p>
              </w:tc>
              <w:tc>
                <w:tcPr>
                  <w:tcW w:w="328" w:type="pct"/>
                  <w:shd w:val="clear" w:color="auto" w:fill="auto"/>
                  <w:noWrap w:val="0"/>
                  <w:vAlign w:val="center"/>
                </w:tcPr>
                <w:p w14:paraId="1E311D6E">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NO</w:t>
                  </w:r>
                  <w:r>
                    <w:rPr>
                      <w:rFonts w:hint="eastAsia" w:ascii="Times New Roman" w:hAnsi="Times New Roman" w:eastAsia="宋体" w:cs="Times New Roman"/>
                      <w:color w:val="auto"/>
                      <w:sz w:val="18"/>
                      <w:szCs w:val="18"/>
                      <w:vertAlign w:val="subscript"/>
                    </w:rPr>
                    <w:t>x</w:t>
                  </w:r>
                </w:p>
              </w:tc>
              <w:tc>
                <w:tcPr>
                  <w:tcW w:w="1186" w:type="dxa"/>
                  <w:noWrap w:val="0"/>
                  <w:vAlign w:val="center"/>
                </w:tcPr>
                <w:p w14:paraId="0E244A7A">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0.131 </w:t>
                  </w:r>
                </w:p>
              </w:tc>
              <w:tc>
                <w:tcPr>
                  <w:tcW w:w="1440" w:type="dxa"/>
                  <w:noWrap w:val="0"/>
                  <w:vAlign w:val="center"/>
                </w:tcPr>
                <w:p w14:paraId="6723165C">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0.3927</w:t>
                  </w:r>
                </w:p>
              </w:tc>
              <w:tc>
                <w:tcPr>
                  <w:tcW w:w="816" w:type="dxa"/>
                  <w:noWrap w:val="0"/>
                  <w:vAlign w:val="center"/>
                </w:tcPr>
                <w:p w14:paraId="6A79D709">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10.069 </w:t>
                  </w:r>
                </w:p>
              </w:tc>
              <w:tc>
                <w:tcPr>
                  <w:tcW w:w="1274" w:type="pct"/>
                  <w:vMerge w:val="continue"/>
                  <w:noWrap w:val="0"/>
                  <w:vAlign w:val="center"/>
                </w:tcPr>
                <w:p w14:paraId="50502E26">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372" w:type="pct"/>
                  <w:gridSpan w:val="2"/>
                  <w:vMerge w:val="continue"/>
                  <w:noWrap w:val="0"/>
                  <w:vAlign w:val="center"/>
                </w:tcPr>
                <w:p w14:paraId="61F89D4B">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294" w:type="dxa"/>
                  <w:noWrap w:val="0"/>
                  <w:vAlign w:val="center"/>
                </w:tcPr>
                <w:p w14:paraId="7B67D2D6">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0.1288 </w:t>
                  </w:r>
                </w:p>
              </w:tc>
              <w:tc>
                <w:tcPr>
                  <w:tcW w:w="1136" w:type="dxa"/>
                  <w:noWrap w:val="0"/>
                  <w:vAlign w:val="center"/>
                </w:tcPr>
                <w:p w14:paraId="6A055267">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0.3865 </w:t>
                  </w:r>
                </w:p>
              </w:tc>
              <w:tc>
                <w:tcPr>
                  <w:tcW w:w="730" w:type="dxa"/>
                  <w:noWrap w:val="0"/>
                  <w:vAlign w:val="center"/>
                </w:tcPr>
                <w:p w14:paraId="28E9D370">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FF0000"/>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9.9110 </w:t>
                  </w:r>
                </w:p>
              </w:tc>
              <w:tc>
                <w:tcPr>
                  <w:tcW w:w="139" w:type="pct"/>
                  <w:vMerge w:val="continue"/>
                  <w:noWrap w:val="0"/>
                  <w:vAlign w:val="center"/>
                </w:tcPr>
                <w:p w14:paraId="56BFFE73">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67D8C693">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40" w:type="pct"/>
                  <w:vMerge w:val="continue"/>
                  <w:noWrap w:val="0"/>
                  <w:vAlign w:val="center"/>
                </w:tcPr>
                <w:p w14:paraId="057447B4">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48" w:type="pct"/>
                  <w:vMerge w:val="continue"/>
                  <w:noWrap w:val="0"/>
                  <w:vAlign w:val="center"/>
                </w:tcPr>
                <w:p w14:paraId="17D3E74C">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06" w:type="pct"/>
                  <w:vMerge w:val="continue"/>
                  <w:noWrap w:val="0"/>
                  <w:vAlign w:val="center"/>
                </w:tcPr>
                <w:p w14:paraId="534568C4">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0C7DB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208" w:type="pct"/>
                  <w:vMerge w:val="continue"/>
                  <w:noWrap w:val="0"/>
                  <w:vAlign w:val="center"/>
                </w:tcPr>
                <w:p w14:paraId="0296C596">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p>
              </w:tc>
              <w:tc>
                <w:tcPr>
                  <w:tcW w:w="168" w:type="pct"/>
                  <w:vMerge w:val="continue"/>
                  <w:noWrap w:val="0"/>
                  <w:vAlign w:val="center"/>
                </w:tcPr>
                <w:p w14:paraId="6F9BC043">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p>
              </w:tc>
              <w:tc>
                <w:tcPr>
                  <w:tcW w:w="328" w:type="pct"/>
                  <w:shd w:val="clear" w:color="auto" w:fill="auto"/>
                  <w:noWrap w:val="0"/>
                  <w:vAlign w:val="center"/>
                </w:tcPr>
                <w:p w14:paraId="4EE51B11">
                  <w:pPr>
                    <w:keepNext w:val="0"/>
                    <w:keepLines w:val="0"/>
                    <w:pageBreakBefore w:val="0"/>
                    <w:widowControl/>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非甲烷总烃</w:t>
                  </w:r>
                </w:p>
              </w:tc>
              <w:tc>
                <w:tcPr>
                  <w:tcW w:w="1186" w:type="dxa"/>
                  <w:noWrap w:val="0"/>
                  <w:vAlign w:val="center"/>
                </w:tcPr>
                <w:p w14:paraId="52BAE8DE">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0.191 </w:t>
                  </w:r>
                </w:p>
              </w:tc>
              <w:tc>
                <w:tcPr>
                  <w:tcW w:w="1440" w:type="dxa"/>
                  <w:noWrap w:val="0"/>
                  <w:vAlign w:val="center"/>
                </w:tcPr>
                <w:p w14:paraId="7AFB8322">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0.574</w:t>
                  </w:r>
                </w:p>
              </w:tc>
              <w:tc>
                <w:tcPr>
                  <w:tcW w:w="816" w:type="dxa"/>
                  <w:noWrap w:val="0"/>
                  <w:vAlign w:val="center"/>
                </w:tcPr>
                <w:p w14:paraId="28A244D5">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14.718 </w:t>
                  </w:r>
                </w:p>
              </w:tc>
              <w:tc>
                <w:tcPr>
                  <w:tcW w:w="1274" w:type="pct"/>
                  <w:vMerge w:val="continue"/>
                  <w:noWrap w:val="0"/>
                  <w:vAlign w:val="center"/>
                </w:tcPr>
                <w:p w14:paraId="4A510BB4">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372" w:type="pct"/>
                  <w:gridSpan w:val="2"/>
                  <w:vMerge w:val="continue"/>
                  <w:noWrap w:val="0"/>
                  <w:vAlign w:val="center"/>
                </w:tcPr>
                <w:p w14:paraId="77A2CEC3">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294" w:type="dxa"/>
                  <w:noWrap w:val="0"/>
                  <w:vAlign w:val="center"/>
                </w:tcPr>
                <w:p w14:paraId="11FD8F14">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0.0182 </w:t>
                  </w:r>
                </w:p>
              </w:tc>
              <w:tc>
                <w:tcPr>
                  <w:tcW w:w="1136" w:type="dxa"/>
                  <w:noWrap w:val="0"/>
                  <w:vAlign w:val="center"/>
                </w:tcPr>
                <w:p w14:paraId="58368337">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0.0545 </w:t>
                  </w:r>
                </w:p>
              </w:tc>
              <w:tc>
                <w:tcPr>
                  <w:tcW w:w="730" w:type="dxa"/>
                  <w:noWrap w:val="0"/>
                  <w:vAlign w:val="center"/>
                </w:tcPr>
                <w:p w14:paraId="7BDA07E9">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FF0000"/>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1.3982 </w:t>
                  </w:r>
                </w:p>
              </w:tc>
              <w:tc>
                <w:tcPr>
                  <w:tcW w:w="139" w:type="pct"/>
                  <w:vMerge w:val="continue"/>
                  <w:noWrap w:val="0"/>
                  <w:vAlign w:val="center"/>
                </w:tcPr>
                <w:p w14:paraId="38538FF0">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39" w:type="pct"/>
                  <w:vMerge w:val="continue"/>
                  <w:noWrap w:val="0"/>
                  <w:vAlign w:val="center"/>
                </w:tcPr>
                <w:p w14:paraId="1A9D8A22">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140" w:type="pct"/>
                  <w:vMerge w:val="continue"/>
                  <w:noWrap w:val="0"/>
                  <w:vAlign w:val="center"/>
                </w:tcPr>
                <w:p w14:paraId="50E81B02">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48" w:type="pct"/>
                  <w:vMerge w:val="continue"/>
                  <w:noWrap w:val="0"/>
                  <w:vAlign w:val="center"/>
                </w:tcPr>
                <w:p w14:paraId="13137D54">
                  <w:pPr>
                    <w:keepNext w:val="0"/>
                    <w:keepLines w:val="0"/>
                    <w:pageBreakBefore w:val="0"/>
                    <w:widowControl/>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c>
                <w:tcPr>
                  <w:tcW w:w="206" w:type="pct"/>
                  <w:vMerge w:val="continue"/>
                  <w:noWrap w:val="0"/>
                  <w:vAlign w:val="center"/>
                </w:tcPr>
                <w:p w14:paraId="1ED4909F">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31370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208" w:type="pct"/>
                  <w:noWrap w:val="0"/>
                  <w:vAlign w:val="center"/>
                </w:tcPr>
                <w:p w14:paraId="2BF4C876">
                  <w:pPr>
                    <w:keepNext w:val="0"/>
                    <w:keepLines w:val="0"/>
                    <w:pageBreakBefore w:val="0"/>
                    <w:kinsoku/>
                    <w:wordWrap/>
                    <w:topLinePunct w:val="0"/>
                    <w:autoSpaceDE/>
                    <w:autoSpaceDN/>
                    <w:bidi w:val="0"/>
                    <w:adjustRightInd w:val="0"/>
                    <w:snapToGrid w:val="0"/>
                    <w:spacing w:line="240" w:lineRule="auto"/>
                    <w:ind w:left="0" w:leftChars="0" w:right="0" w:right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D</w:t>
                  </w:r>
                  <w:r>
                    <w:rPr>
                      <w:rFonts w:ascii="Times New Roman" w:hAnsi="Times New Roman" w:eastAsia="宋体" w:cs="Times New Roman"/>
                      <w:color w:val="auto"/>
                      <w:sz w:val="18"/>
                      <w:szCs w:val="18"/>
                    </w:rPr>
                    <w:t>A002</w:t>
                  </w:r>
                </w:p>
              </w:tc>
              <w:tc>
                <w:tcPr>
                  <w:tcW w:w="168" w:type="pct"/>
                  <w:noWrap w:val="0"/>
                  <w:vAlign w:val="center"/>
                </w:tcPr>
                <w:p w14:paraId="2BE45355">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抛丸</w:t>
                  </w:r>
                </w:p>
              </w:tc>
              <w:tc>
                <w:tcPr>
                  <w:tcW w:w="328" w:type="pct"/>
                  <w:shd w:val="clear" w:color="auto" w:fill="auto"/>
                  <w:noWrap w:val="0"/>
                  <w:vAlign w:val="center"/>
                </w:tcPr>
                <w:p w14:paraId="3EA8E7D3">
                  <w:pPr>
                    <w:keepNext w:val="0"/>
                    <w:keepLines w:val="0"/>
                    <w:pageBreakBefore w:val="0"/>
                    <w:widowControl/>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val="en-US" w:eastAsia="zh-CN" w:bidi="ar"/>
                    </w:rPr>
                  </w:pPr>
                  <w:r>
                    <w:rPr>
                      <w:rFonts w:ascii="Times New Roman" w:hAnsi="Times New Roman" w:eastAsia="宋体" w:cs="Times New Roman"/>
                      <w:bCs/>
                      <w:color w:val="auto"/>
                      <w:sz w:val="18"/>
                      <w:szCs w:val="18"/>
                    </w:rPr>
                    <w:t>颗粒物</w:t>
                  </w:r>
                </w:p>
              </w:tc>
              <w:tc>
                <w:tcPr>
                  <w:tcW w:w="1186" w:type="dxa"/>
                  <w:noWrap w:val="0"/>
                  <w:vAlign w:val="center"/>
                </w:tcPr>
                <w:p w14:paraId="589D04C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5.110 </w:t>
                  </w:r>
                </w:p>
              </w:tc>
              <w:tc>
                <w:tcPr>
                  <w:tcW w:w="1440" w:type="dxa"/>
                  <w:noWrap w:val="0"/>
                  <w:vAlign w:val="center"/>
                </w:tcPr>
                <w:p w14:paraId="3FF0E42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15.33</w:t>
                  </w:r>
                </w:p>
              </w:tc>
              <w:tc>
                <w:tcPr>
                  <w:tcW w:w="816" w:type="dxa"/>
                  <w:noWrap w:val="0"/>
                  <w:vAlign w:val="center"/>
                </w:tcPr>
                <w:p w14:paraId="52A4921C">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1022</w:t>
                  </w:r>
                </w:p>
              </w:tc>
              <w:tc>
                <w:tcPr>
                  <w:tcW w:w="1274" w:type="pct"/>
                  <w:noWrap w:val="0"/>
                  <w:vAlign w:val="center"/>
                </w:tcPr>
                <w:p w14:paraId="6B6C5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抛丸粉尘为密闭管道收集，收集后经抛丸机自带振打式布袋除尘器处理</w:t>
                  </w:r>
                </w:p>
              </w:tc>
              <w:tc>
                <w:tcPr>
                  <w:tcW w:w="187" w:type="pct"/>
                  <w:noWrap w:val="0"/>
                  <w:vAlign w:val="center"/>
                </w:tcPr>
                <w:p w14:paraId="1B05C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185" w:type="pct"/>
                  <w:noWrap w:val="0"/>
                  <w:vAlign w:val="center"/>
                </w:tcPr>
                <w:p w14:paraId="77C79F3D">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98%</w:t>
                  </w:r>
                </w:p>
              </w:tc>
              <w:tc>
                <w:tcPr>
                  <w:tcW w:w="1294" w:type="dxa"/>
                  <w:noWrap w:val="0"/>
                  <w:vAlign w:val="center"/>
                </w:tcPr>
                <w:p w14:paraId="4CBE0430">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0.1022 </w:t>
                  </w:r>
                </w:p>
              </w:tc>
              <w:tc>
                <w:tcPr>
                  <w:tcW w:w="1136" w:type="dxa"/>
                  <w:noWrap w:val="0"/>
                  <w:vAlign w:val="center"/>
                </w:tcPr>
                <w:p w14:paraId="4BD77517">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0.3066 </w:t>
                  </w:r>
                </w:p>
              </w:tc>
              <w:tc>
                <w:tcPr>
                  <w:tcW w:w="730" w:type="dxa"/>
                  <w:noWrap w:val="0"/>
                  <w:vAlign w:val="center"/>
                </w:tcPr>
                <w:p w14:paraId="754CD3AA">
                  <w:pPr>
                    <w:keepNext w:val="0"/>
                    <w:keepLines w:val="0"/>
                    <w:pageBreakBefore w:val="0"/>
                    <w:widowControl/>
                    <w:suppressLineNumbers w:val="0"/>
                    <w:kinsoku/>
                    <w:wordWrap/>
                    <w:topLinePunct w:val="0"/>
                    <w:autoSpaceDE/>
                    <w:autoSpaceDN/>
                    <w:bidi w:val="0"/>
                    <w:spacing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20.44</w:t>
                  </w:r>
                </w:p>
              </w:tc>
              <w:tc>
                <w:tcPr>
                  <w:tcW w:w="139" w:type="pct"/>
                  <w:noWrap w:val="0"/>
                  <w:vAlign w:val="center"/>
                </w:tcPr>
                <w:p w14:paraId="6E5DE2DB">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7</w:t>
                  </w:r>
                </w:p>
              </w:tc>
              <w:tc>
                <w:tcPr>
                  <w:tcW w:w="139" w:type="pct"/>
                  <w:noWrap w:val="0"/>
                  <w:vAlign w:val="center"/>
                </w:tcPr>
                <w:p w14:paraId="1A65B784">
                  <w:pPr>
                    <w:keepNext w:val="0"/>
                    <w:keepLines w:val="0"/>
                    <w:pageBreakBefore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0.</w:t>
                  </w:r>
                  <w:r>
                    <w:rPr>
                      <w:rFonts w:hint="eastAsia" w:ascii="Times New Roman" w:hAnsi="Times New Roman" w:eastAsia="宋体" w:cs="Times New Roman"/>
                      <w:color w:val="auto"/>
                      <w:sz w:val="18"/>
                      <w:szCs w:val="18"/>
                      <w:lang w:val="en-US" w:eastAsia="zh-CN"/>
                    </w:rPr>
                    <w:t>6</w:t>
                  </w:r>
                </w:p>
              </w:tc>
              <w:tc>
                <w:tcPr>
                  <w:tcW w:w="140" w:type="pct"/>
                  <w:noWrap w:val="0"/>
                  <w:vAlign w:val="center"/>
                </w:tcPr>
                <w:p w14:paraId="522ACEEE">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248" w:type="pct"/>
                  <w:noWrap w:val="0"/>
                  <w:vAlign w:val="center"/>
                </w:tcPr>
                <w:p w14:paraId="11C50855">
                  <w:pPr>
                    <w:keepNext w:val="0"/>
                    <w:keepLines w:val="0"/>
                    <w:pageBreakBefore w:val="0"/>
                    <w:widowControl/>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5000</w:t>
                  </w:r>
                </w:p>
              </w:tc>
              <w:tc>
                <w:tcPr>
                  <w:tcW w:w="206" w:type="pct"/>
                  <w:vMerge w:val="continue"/>
                  <w:noWrap w:val="0"/>
                  <w:vAlign w:val="center"/>
                </w:tcPr>
                <w:p w14:paraId="593F24D3">
                  <w:pPr>
                    <w:keepNext w:val="0"/>
                    <w:keepLines w:val="0"/>
                    <w:pageBreakBefore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sz w:val="18"/>
                      <w:szCs w:val="18"/>
                    </w:rPr>
                  </w:pPr>
                </w:p>
              </w:tc>
            </w:tr>
            <w:tr w14:paraId="37328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376" w:type="pct"/>
                  <w:gridSpan w:val="2"/>
                  <w:vMerge w:val="restart"/>
                  <w:noWrap w:val="0"/>
                  <w:vAlign w:val="center"/>
                </w:tcPr>
                <w:p w14:paraId="4838FDAC">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排放量合计</w:t>
                  </w:r>
                </w:p>
              </w:tc>
              <w:tc>
                <w:tcPr>
                  <w:tcW w:w="3210" w:type="pct"/>
                  <w:gridSpan w:val="8"/>
                  <w:shd w:val="clear" w:color="auto" w:fill="auto"/>
                  <w:noWrap w:val="0"/>
                  <w:vAlign w:val="center"/>
                </w:tcPr>
                <w:p w14:paraId="0E50FFB2">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ascii="Times New Roman" w:hAnsi="Times New Roman" w:eastAsia="宋体" w:cs="Times New Roman"/>
                      <w:bCs/>
                      <w:color w:val="auto"/>
                      <w:sz w:val="18"/>
                      <w:szCs w:val="18"/>
                    </w:rPr>
                    <w:t>颗粒物</w:t>
                  </w:r>
                  <w:r>
                    <w:rPr>
                      <w:rFonts w:hint="eastAsia" w:ascii="Times New Roman" w:hAnsi="Times New Roman" w:eastAsia="宋体" w:cs="Times New Roman"/>
                      <w:bCs/>
                      <w:color w:val="auto"/>
                      <w:sz w:val="18"/>
                      <w:szCs w:val="18"/>
                      <w:lang w:val="en-US" w:eastAsia="zh-CN"/>
                    </w:rPr>
                    <w:t>t/a</w:t>
                  </w:r>
                </w:p>
              </w:tc>
              <w:tc>
                <w:tcPr>
                  <w:tcW w:w="1413" w:type="pct"/>
                  <w:gridSpan w:val="7"/>
                  <w:noWrap w:val="0"/>
                  <w:vAlign w:val="center"/>
                </w:tcPr>
                <w:p w14:paraId="4AA59CAD">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r>
                    <w:rPr>
                      <w:rFonts w:hint="eastAsia" w:cs="Times New Roman"/>
                      <w:color w:val="auto"/>
                      <w:sz w:val="18"/>
                      <w:szCs w:val="18"/>
                      <w:lang w:val="en-US" w:eastAsia="zh-CN"/>
                    </w:rPr>
                    <w:t>326</w:t>
                  </w:r>
                </w:p>
              </w:tc>
            </w:tr>
            <w:tr w14:paraId="12208F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376" w:type="pct"/>
                  <w:gridSpan w:val="2"/>
                  <w:vMerge w:val="continue"/>
                  <w:noWrap w:val="0"/>
                  <w:vAlign w:val="center"/>
                </w:tcPr>
                <w:p w14:paraId="109D88CE">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3210" w:type="pct"/>
                  <w:gridSpan w:val="8"/>
                  <w:shd w:val="clear" w:color="auto" w:fill="auto"/>
                  <w:noWrap w:val="0"/>
                  <w:vAlign w:val="center"/>
                </w:tcPr>
                <w:p w14:paraId="6B30958B">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r>
                    <w:rPr>
                      <w:rFonts w:hint="eastAsia" w:ascii="Times New Roman" w:hAnsi="Times New Roman" w:eastAsia="宋体" w:cs="Times New Roman"/>
                      <w:color w:val="auto"/>
                      <w:sz w:val="18"/>
                      <w:szCs w:val="18"/>
                      <w:vertAlign w:val="baseline"/>
                      <w:lang w:val="en-US" w:eastAsia="zh-CN"/>
                    </w:rPr>
                    <w:t xml:space="preserve"> </w:t>
                  </w:r>
                  <w:r>
                    <w:rPr>
                      <w:rFonts w:hint="eastAsia" w:ascii="Times New Roman" w:hAnsi="Times New Roman" w:eastAsia="宋体" w:cs="Times New Roman"/>
                      <w:bCs/>
                      <w:color w:val="auto"/>
                      <w:sz w:val="18"/>
                      <w:szCs w:val="18"/>
                      <w:lang w:val="en-US" w:eastAsia="zh-CN"/>
                    </w:rPr>
                    <w:t>t/a</w:t>
                  </w:r>
                </w:p>
              </w:tc>
              <w:tc>
                <w:tcPr>
                  <w:tcW w:w="5880" w:type="dxa"/>
                  <w:gridSpan w:val="7"/>
                  <w:shd w:val="clear" w:color="auto" w:fill="auto"/>
                  <w:noWrap w:val="0"/>
                  <w:vAlign w:val="center"/>
                </w:tcPr>
                <w:p w14:paraId="4390A0DE">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cs="Times New Roman"/>
                      <w:i w:val="0"/>
                      <w:iCs w:val="0"/>
                      <w:color w:val="000000"/>
                      <w:kern w:val="0"/>
                      <w:sz w:val="18"/>
                      <w:szCs w:val="18"/>
                      <w:u w:val="none"/>
                      <w:lang w:val="en-US" w:eastAsia="zh-CN" w:bidi="ar"/>
                    </w:rPr>
                    <w:t>0.1658</w:t>
                  </w:r>
                  <w:r>
                    <w:rPr>
                      <w:rFonts w:hint="default" w:ascii="Times New Roman" w:hAnsi="Times New Roman" w:eastAsia="宋体" w:cs="Times New Roman"/>
                      <w:i w:val="0"/>
                      <w:iCs w:val="0"/>
                      <w:color w:val="000000"/>
                      <w:kern w:val="0"/>
                      <w:sz w:val="18"/>
                      <w:szCs w:val="18"/>
                      <w:u w:val="none"/>
                      <w:lang w:val="en-US" w:eastAsia="zh-CN" w:bidi="ar"/>
                    </w:rPr>
                    <w:t xml:space="preserve"> </w:t>
                  </w:r>
                </w:p>
              </w:tc>
            </w:tr>
            <w:tr w14:paraId="3757F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376" w:type="pct"/>
                  <w:gridSpan w:val="2"/>
                  <w:vMerge w:val="continue"/>
                  <w:noWrap w:val="0"/>
                  <w:vAlign w:val="center"/>
                </w:tcPr>
                <w:p w14:paraId="0F21EA51">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3210" w:type="pct"/>
                  <w:gridSpan w:val="8"/>
                  <w:shd w:val="clear" w:color="auto" w:fill="auto"/>
                  <w:noWrap w:val="0"/>
                  <w:vAlign w:val="center"/>
                </w:tcPr>
                <w:p w14:paraId="7220DC95">
                  <w:pPr>
                    <w:keepNext w:val="0"/>
                    <w:keepLines w:val="0"/>
                    <w:pageBreakBefore w:val="0"/>
                    <w:kinsoku/>
                    <w:wordWrap/>
                    <w:topLinePunct w:val="0"/>
                    <w:autoSpaceDE/>
                    <w:autoSpaceDN/>
                    <w:bidi w:val="0"/>
                    <w:spacing w:line="240" w:lineRule="auto"/>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rPr>
                    <w:t>NO</w:t>
                  </w:r>
                  <w:r>
                    <w:rPr>
                      <w:rFonts w:hint="default" w:ascii="Times New Roman" w:hAnsi="Times New Roman" w:eastAsia="宋体" w:cs="Times New Roman"/>
                      <w:color w:val="auto"/>
                      <w:sz w:val="18"/>
                      <w:szCs w:val="18"/>
                      <w:vertAlign w:val="subscript"/>
                    </w:rPr>
                    <w:t>x</w:t>
                  </w:r>
                  <w:r>
                    <w:rPr>
                      <w:rFonts w:hint="eastAsia" w:ascii="Times New Roman" w:hAnsi="Times New Roman" w:eastAsia="宋体" w:cs="Times New Roman"/>
                      <w:color w:val="auto"/>
                      <w:sz w:val="18"/>
                      <w:szCs w:val="18"/>
                      <w:vertAlign w:val="baseline"/>
                      <w:lang w:val="en-US" w:eastAsia="zh-CN"/>
                    </w:rPr>
                    <w:t xml:space="preserve"> </w:t>
                  </w:r>
                  <w:r>
                    <w:rPr>
                      <w:rFonts w:hint="eastAsia" w:ascii="Times New Roman" w:hAnsi="Times New Roman" w:eastAsia="宋体" w:cs="Times New Roman"/>
                      <w:bCs/>
                      <w:color w:val="auto"/>
                      <w:sz w:val="18"/>
                      <w:szCs w:val="18"/>
                      <w:lang w:val="en-US" w:eastAsia="zh-CN"/>
                    </w:rPr>
                    <w:t>t/a</w:t>
                  </w:r>
                </w:p>
              </w:tc>
              <w:tc>
                <w:tcPr>
                  <w:tcW w:w="5880" w:type="dxa"/>
                  <w:gridSpan w:val="7"/>
                  <w:shd w:val="clear" w:color="auto" w:fill="auto"/>
                  <w:noWrap w:val="0"/>
                  <w:vAlign w:val="center"/>
                </w:tcPr>
                <w:p w14:paraId="470874DA">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0.3865 </w:t>
                  </w:r>
                </w:p>
              </w:tc>
            </w:tr>
            <w:tr w14:paraId="6DB705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41" w:hRule="atLeast"/>
                <w:jc w:val="center"/>
              </w:trPr>
              <w:tc>
                <w:tcPr>
                  <w:tcW w:w="376" w:type="pct"/>
                  <w:gridSpan w:val="2"/>
                  <w:vMerge w:val="continue"/>
                  <w:noWrap w:val="0"/>
                  <w:vAlign w:val="center"/>
                </w:tcPr>
                <w:p w14:paraId="6013FB60">
                  <w:pPr>
                    <w:keepNext w:val="0"/>
                    <w:keepLines w:val="0"/>
                    <w:pageBreakBefore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color w:val="auto"/>
                      <w:sz w:val="18"/>
                      <w:szCs w:val="18"/>
                      <w:lang w:val="en-US" w:eastAsia="zh-CN"/>
                    </w:rPr>
                  </w:pPr>
                </w:p>
              </w:tc>
              <w:tc>
                <w:tcPr>
                  <w:tcW w:w="3210" w:type="pct"/>
                  <w:gridSpan w:val="8"/>
                  <w:shd w:val="clear" w:color="auto" w:fill="auto"/>
                  <w:noWrap w:val="0"/>
                  <w:vAlign w:val="center"/>
                </w:tcPr>
                <w:p w14:paraId="2A417B11">
                  <w:pPr>
                    <w:keepNext w:val="0"/>
                    <w:keepLines w:val="0"/>
                    <w:pageBreakBefore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bCs/>
                      <w:color w:val="auto"/>
                      <w:kern w:val="2"/>
                      <w:sz w:val="18"/>
                      <w:szCs w:val="18"/>
                      <w:lang w:val="en-US" w:eastAsia="zh-CN" w:bidi="ar-SA"/>
                    </w:rPr>
                  </w:pPr>
                  <w:r>
                    <w:rPr>
                      <w:rFonts w:ascii="Times New Roman" w:hAnsi="Times New Roman" w:eastAsia="宋体" w:cs="Times New Roman"/>
                      <w:bCs/>
                      <w:color w:val="auto"/>
                      <w:sz w:val="18"/>
                      <w:szCs w:val="18"/>
                    </w:rPr>
                    <w:t>非甲烷总烃</w:t>
                  </w:r>
                  <w:r>
                    <w:rPr>
                      <w:rFonts w:hint="eastAsia" w:ascii="Times New Roman" w:hAnsi="Times New Roman" w:eastAsia="宋体" w:cs="Times New Roman"/>
                      <w:bCs/>
                      <w:color w:val="auto"/>
                      <w:sz w:val="18"/>
                      <w:szCs w:val="18"/>
                      <w:lang w:val="en-US" w:eastAsia="zh-CN"/>
                    </w:rPr>
                    <w:t>t/a</w:t>
                  </w:r>
                </w:p>
              </w:tc>
              <w:tc>
                <w:tcPr>
                  <w:tcW w:w="5880" w:type="dxa"/>
                  <w:gridSpan w:val="7"/>
                  <w:shd w:val="clear" w:color="auto" w:fill="auto"/>
                  <w:noWrap w:val="0"/>
                  <w:vAlign w:val="center"/>
                </w:tcPr>
                <w:p w14:paraId="60F92A98">
                  <w:pPr>
                    <w:keepNext w:val="0"/>
                    <w:keepLines w:val="0"/>
                    <w:pageBreakBefore w:val="0"/>
                    <w:widowControl/>
                    <w:suppressLineNumbers w:val="0"/>
                    <w:kinsoku/>
                    <w:wordWrap/>
                    <w:topLinePunct w:val="0"/>
                    <w:autoSpaceDE/>
                    <w:autoSpaceDN/>
                    <w:bidi w:val="0"/>
                    <w:spacing w:line="240" w:lineRule="auto"/>
                    <w:jc w:val="center"/>
                    <w:textAlignment w:val="center"/>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0.0545 </w:t>
                  </w:r>
                </w:p>
              </w:tc>
            </w:tr>
          </w:tbl>
          <w:p w14:paraId="7882829F">
            <w:pPr>
              <w:widowControl/>
              <w:numPr>
                <w:ilvl w:val="0"/>
                <w:numId w:val="2"/>
              </w:numPr>
              <w:jc w:val="center"/>
              <w:rPr>
                <w:rFonts w:hint="eastAsia"/>
                <w:b/>
                <w:kern w:val="0"/>
                <w:szCs w:val="21"/>
              </w:rPr>
            </w:pPr>
            <w:r>
              <w:rPr>
                <w:b/>
                <w:kern w:val="0"/>
                <w:szCs w:val="21"/>
              </w:rPr>
              <w:t>项目大气</w:t>
            </w:r>
            <w:r>
              <w:rPr>
                <w:rFonts w:hint="eastAsia"/>
                <w:b/>
                <w:kern w:val="0"/>
                <w:szCs w:val="21"/>
              </w:rPr>
              <w:t>排放口基本</w:t>
            </w:r>
            <w:r>
              <w:rPr>
                <w:b/>
                <w:kern w:val="0"/>
                <w:szCs w:val="21"/>
              </w:rPr>
              <w:t>情况一览表</w:t>
            </w:r>
          </w:p>
          <w:tbl>
            <w:tblPr>
              <w:tblStyle w:val="24"/>
              <w:tblW w:w="13916"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575"/>
              <w:gridCol w:w="891"/>
              <w:gridCol w:w="1358"/>
              <w:gridCol w:w="958"/>
              <w:gridCol w:w="932"/>
              <w:gridCol w:w="1438"/>
              <w:gridCol w:w="1358"/>
              <w:gridCol w:w="878"/>
              <w:gridCol w:w="905"/>
              <w:gridCol w:w="734"/>
              <w:gridCol w:w="1265"/>
              <w:gridCol w:w="1744"/>
              <w:gridCol w:w="880"/>
            </w:tblGrid>
            <w:tr w14:paraId="59CA35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8" w:hRule="atLeast"/>
              </w:trPr>
              <w:tc>
                <w:tcPr>
                  <w:tcW w:w="575" w:type="dxa"/>
                  <w:vMerge w:val="restart"/>
                  <w:tcBorders>
                    <w:bottom w:val="single" w:color="000000" w:sz="4" w:space="0"/>
                    <w:right w:val="single" w:color="000000" w:sz="4" w:space="0"/>
                  </w:tcBorders>
                  <w:noWrap w:val="0"/>
                  <w:tcMar>
                    <w:top w:w="12" w:type="dxa"/>
                    <w:left w:w="12" w:type="dxa"/>
                    <w:right w:w="12" w:type="dxa"/>
                  </w:tcMar>
                  <w:vAlign w:val="center"/>
                </w:tcPr>
                <w:p w14:paraId="6C17147D">
                  <w:pPr>
                    <w:widowControl/>
                    <w:jc w:val="center"/>
                    <w:textAlignment w:val="center"/>
                    <w:rPr>
                      <w:szCs w:val="21"/>
                    </w:rPr>
                  </w:pPr>
                  <w:r>
                    <w:rPr>
                      <w:rFonts w:hint="eastAsia"/>
                      <w:szCs w:val="21"/>
                    </w:rPr>
                    <w:t>序号</w:t>
                  </w:r>
                </w:p>
              </w:tc>
              <w:tc>
                <w:tcPr>
                  <w:tcW w:w="891" w:type="dxa"/>
                  <w:vMerge w:val="restart"/>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043C2602">
                  <w:pPr>
                    <w:widowControl/>
                    <w:jc w:val="center"/>
                    <w:textAlignment w:val="center"/>
                    <w:rPr>
                      <w:rFonts w:hint="eastAsia"/>
                      <w:szCs w:val="21"/>
                    </w:rPr>
                  </w:pPr>
                  <w:r>
                    <w:rPr>
                      <w:rFonts w:hint="eastAsia"/>
                      <w:szCs w:val="21"/>
                    </w:rPr>
                    <w:t>排放口编号</w:t>
                  </w:r>
                </w:p>
              </w:tc>
              <w:tc>
                <w:tcPr>
                  <w:tcW w:w="1358" w:type="dxa"/>
                  <w:vMerge w:val="restart"/>
                  <w:tcBorders>
                    <w:left w:val="single" w:color="000000" w:sz="4" w:space="0"/>
                    <w:right w:val="single" w:color="000000" w:sz="4" w:space="0"/>
                  </w:tcBorders>
                  <w:noWrap w:val="0"/>
                  <w:tcMar>
                    <w:top w:w="12" w:type="dxa"/>
                    <w:left w:w="12" w:type="dxa"/>
                    <w:right w:w="12" w:type="dxa"/>
                  </w:tcMar>
                  <w:vAlign w:val="center"/>
                </w:tcPr>
                <w:p w14:paraId="683C5B28">
                  <w:pPr>
                    <w:widowControl/>
                    <w:jc w:val="center"/>
                    <w:textAlignment w:val="center"/>
                    <w:rPr>
                      <w:rFonts w:hint="eastAsia"/>
                      <w:szCs w:val="21"/>
                    </w:rPr>
                  </w:pPr>
                  <w:r>
                    <w:rPr>
                      <w:rFonts w:hint="eastAsia"/>
                      <w:szCs w:val="21"/>
                    </w:rPr>
                    <w:t>污染物种类</w:t>
                  </w:r>
                </w:p>
              </w:tc>
              <w:tc>
                <w:tcPr>
                  <w:tcW w:w="1890" w:type="dxa"/>
                  <w:gridSpan w:val="2"/>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502AE15B">
                  <w:pPr>
                    <w:widowControl/>
                    <w:jc w:val="center"/>
                    <w:textAlignment w:val="center"/>
                    <w:rPr>
                      <w:rFonts w:hint="eastAsia"/>
                      <w:szCs w:val="21"/>
                    </w:rPr>
                  </w:pPr>
                  <w:r>
                    <w:rPr>
                      <w:rFonts w:hint="eastAsia"/>
                      <w:szCs w:val="21"/>
                    </w:rPr>
                    <w:t>排放标准</w:t>
                  </w:r>
                </w:p>
              </w:tc>
              <w:tc>
                <w:tcPr>
                  <w:tcW w:w="2796" w:type="dxa"/>
                  <w:gridSpan w:val="2"/>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151084E0">
                  <w:pPr>
                    <w:widowControl/>
                    <w:jc w:val="center"/>
                    <w:textAlignment w:val="center"/>
                    <w:rPr>
                      <w:rFonts w:hint="eastAsia"/>
                      <w:szCs w:val="21"/>
                    </w:rPr>
                  </w:pPr>
                  <w:r>
                    <w:rPr>
                      <w:rFonts w:hint="eastAsia"/>
                      <w:szCs w:val="21"/>
                    </w:rPr>
                    <w:t>排放口地理坐标（1）</w:t>
                  </w:r>
                </w:p>
              </w:tc>
              <w:tc>
                <w:tcPr>
                  <w:tcW w:w="2517" w:type="dxa"/>
                  <w:gridSpan w:val="3"/>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6E92766F">
                  <w:pPr>
                    <w:widowControl/>
                    <w:jc w:val="center"/>
                    <w:textAlignment w:val="center"/>
                    <w:rPr>
                      <w:rFonts w:hint="eastAsia"/>
                      <w:szCs w:val="21"/>
                    </w:rPr>
                  </w:pPr>
                  <w:r>
                    <w:rPr>
                      <w:rFonts w:hint="eastAsia"/>
                      <w:szCs w:val="21"/>
                    </w:rPr>
                    <w:t>排气筒参数</w:t>
                  </w:r>
                </w:p>
              </w:tc>
              <w:tc>
                <w:tcPr>
                  <w:tcW w:w="3889" w:type="dxa"/>
                  <w:gridSpan w:val="3"/>
                  <w:tcBorders>
                    <w:left w:val="single" w:color="000000" w:sz="4" w:space="0"/>
                    <w:bottom w:val="single" w:color="000000" w:sz="4" w:space="0"/>
                  </w:tcBorders>
                  <w:noWrap/>
                  <w:tcMar>
                    <w:top w:w="12" w:type="dxa"/>
                    <w:left w:w="12" w:type="dxa"/>
                    <w:right w:w="12" w:type="dxa"/>
                  </w:tcMar>
                  <w:vAlign w:val="center"/>
                </w:tcPr>
                <w:p w14:paraId="12EE71E5">
                  <w:pPr>
                    <w:widowControl/>
                    <w:jc w:val="center"/>
                    <w:textAlignment w:val="center"/>
                    <w:rPr>
                      <w:rFonts w:hint="eastAsia"/>
                      <w:szCs w:val="21"/>
                    </w:rPr>
                  </w:pPr>
                  <w:r>
                    <w:rPr>
                      <w:rFonts w:hint="eastAsia"/>
                      <w:szCs w:val="21"/>
                    </w:rPr>
                    <w:t>监测要求</w:t>
                  </w:r>
                </w:p>
              </w:tc>
            </w:tr>
            <w:tr w14:paraId="1327FB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44" w:hRule="atLeast"/>
              </w:trPr>
              <w:tc>
                <w:tcPr>
                  <w:tcW w:w="575" w:type="dxa"/>
                  <w:vMerge w:val="continue"/>
                  <w:tcBorders>
                    <w:top w:val="single" w:color="000000" w:sz="4" w:space="0"/>
                    <w:bottom w:val="single" w:color="000000" w:sz="4" w:space="0"/>
                    <w:right w:val="single" w:color="000000" w:sz="4" w:space="0"/>
                  </w:tcBorders>
                  <w:noWrap w:val="0"/>
                  <w:tcMar>
                    <w:top w:w="12" w:type="dxa"/>
                    <w:left w:w="12" w:type="dxa"/>
                    <w:right w:w="12" w:type="dxa"/>
                  </w:tcMar>
                  <w:vAlign w:val="center"/>
                </w:tcPr>
                <w:p w14:paraId="22998F7B">
                  <w:pPr>
                    <w:widowControl/>
                    <w:jc w:val="center"/>
                    <w:textAlignment w:val="center"/>
                    <w:rPr>
                      <w:rFonts w:hint="eastAsia"/>
                      <w:szCs w:val="21"/>
                    </w:rPr>
                  </w:pPr>
                </w:p>
              </w:tc>
              <w:tc>
                <w:tcPr>
                  <w:tcW w:w="8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CE6662">
                  <w:pPr>
                    <w:widowControl/>
                    <w:jc w:val="center"/>
                    <w:textAlignment w:val="center"/>
                    <w:rPr>
                      <w:rFonts w:hint="eastAsia"/>
                      <w:szCs w:val="21"/>
                    </w:rPr>
                  </w:pPr>
                </w:p>
              </w:tc>
              <w:tc>
                <w:tcPr>
                  <w:tcW w:w="1358"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316E67D5">
                  <w:pPr>
                    <w:widowControl/>
                    <w:jc w:val="center"/>
                    <w:textAlignment w:val="center"/>
                    <w:rPr>
                      <w:rFonts w:hint="eastAsia"/>
                      <w:szCs w:val="21"/>
                    </w:rPr>
                  </w:pPr>
                </w:p>
              </w:tc>
              <w:tc>
                <w:tcPr>
                  <w:tcW w:w="9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8B6F48">
                  <w:pPr>
                    <w:widowControl/>
                    <w:jc w:val="center"/>
                    <w:textAlignment w:val="center"/>
                    <w:rPr>
                      <w:szCs w:val="21"/>
                    </w:rPr>
                  </w:pPr>
                  <w:r>
                    <w:rPr>
                      <w:szCs w:val="21"/>
                    </w:rPr>
                    <w:t>浓度</w:t>
                  </w:r>
                </w:p>
                <w:p w14:paraId="0E0C880C">
                  <w:pPr>
                    <w:widowControl/>
                    <w:jc w:val="center"/>
                    <w:textAlignment w:val="center"/>
                    <w:rPr>
                      <w:rFonts w:hint="eastAsia"/>
                      <w:szCs w:val="21"/>
                    </w:rPr>
                  </w:pPr>
                  <w:r>
                    <w:rPr>
                      <w:szCs w:val="21"/>
                    </w:rPr>
                    <w:t>(mg/m</w:t>
                  </w:r>
                  <w:r>
                    <w:rPr>
                      <w:szCs w:val="21"/>
                      <w:vertAlign w:val="superscript"/>
                    </w:rPr>
                    <w:t>3</w:t>
                  </w:r>
                  <w:r>
                    <w:rPr>
                      <w:szCs w:val="21"/>
                    </w:rPr>
                    <w:t>)</w:t>
                  </w:r>
                </w:p>
              </w:tc>
              <w:tc>
                <w:tcPr>
                  <w:tcW w:w="93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1929EC">
                  <w:pPr>
                    <w:widowControl/>
                    <w:jc w:val="center"/>
                    <w:textAlignment w:val="center"/>
                    <w:rPr>
                      <w:szCs w:val="21"/>
                    </w:rPr>
                  </w:pPr>
                  <w:r>
                    <w:rPr>
                      <w:szCs w:val="21"/>
                    </w:rPr>
                    <w:t>速率</w:t>
                  </w:r>
                </w:p>
                <w:p w14:paraId="5254613D">
                  <w:pPr>
                    <w:widowControl/>
                    <w:jc w:val="center"/>
                    <w:textAlignment w:val="center"/>
                    <w:rPr>
                      <w:rFonts w:hint="eastAsia"/>
                      <w:szCs w:val="21"/>
                    </w:rPr>
                  </w:pPr>
                  <w:r>
                    <w:rPr>
                      <w:szCs w:val="21"/>
                    </w:rPr>
                    <w:t>(kg/h)</w:t>
                  </w:r>
                </w:p>
              </w:tc>
              <w:tc>
                <w:tcPr>
                  <w:tcW w:w="143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8B8C9F">
                  <w:pPr>
                    <w:widowControl/>
                    <w:jc w:val="center"/>
                    <w:textAlignment w:val="center"/>
                    <w:rPr>
                      <w:rFonts w:hint="eastAsia"/>
                      <w:szCs w:val="21"/>
                    </w:rPr>
                  </w:pPr>
                  <w:r>
                    <w:rPr>
                      <w:rFonts w:hint="eastAsia"/>
                      <w:szCs w:val="21"/>
                    </w:rPr>
                    <w:t>经度</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91A7AC">
                  <w:pPr>
                    <w:widowControl/>
                    <w:jc w:val="center"/>
                    <w:textAlignment w:val="center"/>
                    <w:rPr>
                      <w:rFonts w:hint="eastAsia"/>
                      <w:szCs w:val="21"/>
                    </w:rPr>
                  </w:pPr>
                  <w:r>
                    <w:rPr>
                      <w:rFonts w:hint="eastAsia"/>
                      <w:szCs w:val="21"/>
                    </w:rPr>
                    <w:t>纬度</w:t>
                  </w:r>
                </w:p>
              </w:tc>
              <w:tc>
                <w:tcPr>
                  <w:tcW w:w="8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17CA59">
                  <w:pPr>
                    <w:widowControl/>
                    <w:jc w:val="center"/>
                    <w:textAlignment w:val="center"/>
                    <w:rPr>
                      <w:rFonts w:hint="eastAsia"/>
                      <w:szCs w:val="21"/>
                    </w:rPr>
                  </w:pPr>
                  <w:r>
                    <w:rPr>
                      <w:rFonts w:hint="eastAsia"/>
                      <w:szCs w:val="21"/>
                    </w:rPr>
                    <w:t>高度</w:t>
                  </w:r>
                </w:p>
                <w:p w14:paraId="4386FD1B">
                  <w:pPr>
                    <w:widowControl/>
                    <w:jc w:val="center"/>
                    <w:textAlignment w:val="center"/>
                    <w:rPr>
                      <w:rFonts w:hint="eastAsia"/>
                      <w:szCs w:val="21"/>
                    </w:rPr>
                  </w:pPr>
                  <w:r>
                    <w:rPr>
                      <w:rFonts w:hint="eastAsia"/>
                      <w:szCs w:val="21"/>
                    </w:rPr>
                    <w:t>（m）</w:t>
                  </w:r>
                </w:p>
              </w:tc>
              <w:tc>
                <w:tcPr>
                  <w:tcW w:w="9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A2AA4C">
                  <w:pPr>
                    <w:widowControl/>
                    <w:jc w:val="center"/>
                    <w:textAlignment w:val="center"/>
                    <w:rPr>
                      <w:rFonts w:hint="eastAsia"/>
                      <w:szCs w:val="21"/>
                    </w:rPr>
                  </w:pPr>
                  <w:r>
                    <w:rPr>
                      <w:rFonts w:hint="eastAsia"/>
                      <w:szCs w:val="21"/>
                    </w:rPr>
                    <w:t>出口内径（m）</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BDAE7F">
                  <w:pPr>
                    <w:widowControl/>
                    <w:jc w:val="center"/>
                    <w:textAlignment w:val="center"/>
                    <w:rPr>
                      <w:rFonts w:hint="eastAsia"/>
                      <w:szCs w:val="21"/>
                    </w:rPr>
                  </w:pPr>
                  <w:r>
                    <w:rPr>
                      <w:rFonts w:hint="eastAsia"/>
                      <w:szCs w:val="21"/>
                    </w:rPr>
                    <w:t>温度</w:t>
                  </w:r>
                </w:p>
                <w:p w14:paraId="7C39AD67">
                  <w:pPr>
                    <w:widowControl/>
                    <w:jc w:val="center"/>
                    <w:textAlignment w:val="center"/>
                    <w:rPr>
                      <w:rFonts w:hint="eastAsia"/>
                      <w:szCs w:val="21"/>
                    </w:rPr>
                  </w:pPr>
                  <w:r>
                    <w:rPr>
                      <w:rFonts w:hint="eastAsia"/>
                      <w:szCs w:val="21"/>
                    </w:rPr>
                    <w:t>（℃）</w:t>
                  </w:r>
                </w:p>
              </w:tc>
              <w:tc>
                <w:tcPr>
                  <w:tcW w:w="12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545BB78">
                  <w:pPr>
                    <w:widowControl/>
                    <w:jc w:val="center"/>
                    <w:textAlignment w:val="center"/>
                    <w:rPr>
                      <w:rFonts w:hint="eastAsia"/>
                      <w:szCs w:val="21"/>
                    </w:rPr>
                  </w:pPr>
                  <w:r>
                    <w:rPr>
                      <w:rFonts w:hint="eastAsia"/>
                      <w:szCs w:val="21"/>
                    </w:rPr>
                    <w:t>监测点位</w:t>
                  </w:r>
                </w:p>
              </w:tc>
              <w:tc>
                <w:tcPr>
                  <w:tcW w:w="1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338AAED">
                  <w:pPr>
                    <w:widowControl/>
                    <w:jc w:val="center"/>
                    <w:textAlignment w:val="center"/>
                    <w:rPr>
                      <w:rFonts w:hint="eastAsia"/>
                      <w:szCs w:val="21"/>
                    </w:rPr>
                  </w:pPr>
                  <w:r>
                    <w:rPr>
                      <w:rFonts w:hint="eastAsia"/>
                      <w:szCs w:val="21"/>
                    </w:rPr>
                    <w:t>监测因子</w:t>
                  </w:r>
                </w:p>
              </w:tc>
              <w:tc>
                <w:tcPr>
                  <w:tcW w:w="880" w:type="dxa"/>
                  <w:tcBorders>
                    <w:top w:val="single" w:color="000000" w:sz="4" w:space="0"/>
                    <w:left w:val="single" w:color="000000" w:sz="4" w:space="0"/>
                    <w:bottom w:val="single" w:color="000000" w:sz="4" w:space="0"/>
                  </w:tcBorders>
                  <w:noWrap/>
                  <w:tcMar>
                    <w:top w:w="12" w:type="dxa"/>
                    <w:left w:w="12" w:type="dxa"/>
                    <w:right w:w="12" w:type="dxa"/>
                  </w:tcMar>
                  <w:vAlign w:val="center"/>
                </w:tcPr>
                <w:p w14:paraId="189E036B">
                  <w:pPr>
                    <w:widowControl/>
                    <w:jc w:val="center"/>
                    <w:textAlignment w:val="center"/>
                    <w:rPr>
                      <w:rFonts w:hint="eastAsia"/>
                      <w:szCs w:val="21"/>
                    </w:rPr>
                  </w:pPr>
                  <w:r>
                    <w:rPr>
                      <w:rFonts w:hint="eastAsia"/>
                      <w:szCs w:val="21"/>
                    </w:rPr>
                    <w:t>监测频次</w:t>
                  </w:r>
                </w:p>
              </w:tc>
            </w:tr>
            <w:tr w14:paraId="713202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5" w:hRule="atLeast"/>
              </w:trPr>
              <w:tc>
                <w:tcPr>
                  <w:tcW w:w="575" w:type="dxa"/>
                  <w:vMerge w:val="restart"/>
                  <w:tcBorders>
                    <w:top w:val="single" w:color="000000" w:sz="4" w:space="0"/>
                    <w:right w:val="single" w:color="000000" w:sz="4" w:space="0"/>
                  </w:tcBorders>
                  <w:noWrap w:val="0"/>
                  <w:tcMar>
                    <w:top w:w="12" w:type="dxa"/>
                    <w:left w:w="12" w:type="dxa"/>
                    <w:right w:w="12" w:type="dxa"/>
                  </w:tcMar>
                  <w:vAlign w:val="center"/>
                </w:tcPr>
                <w:p w14:paraId="49C7B358">
                  <w:pPr>
                    <w:widowControl/>
                    <w:jc w:val="center"/>
                    <w:textAlignment w:val="center"/>
                    <w:rPr>
                      <w:rFonts w:hint="eastAsia"/>
                      <w:szCs w:val="21"/>
                    </w:rPr>
                  </w:pPr>
                  <w:r>
                    <w:rPr>
                      <w:rFonts w:hint="eastAsia"/>
                      <w:szCs w:val="21"/>
                    </w:rPr>
                    <w:t>1</w:t>
                  </w:r>
                </w:p>
              </w:tc>
              <w:tc>
                <w:tcPr>
                  <w:tcW w:w="891"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67D96C5C">
                  <w:pPr>
                    <w:widowControl/>
                    <w:jc w:val="center"/>
                    <w:textAlignment w:val="center"/>
                    <w:rPr>
                      <w:rFonts w:hint="eastAsia"/>
                      <w:szCs w:val="21"/>
                    </w:rPr>
                  </w:pPr>
                  <w:r>
                    <w:rPr>
                      <w:rFonts w:hint="eastAsia"/>
                      <w:szCs w:val="21"/>
                    </w:rPr>
                    <w:t>DA001</w:t>
                  </w: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top"/>
                </w:tcPr>
                <w:p w14:paraId="5E694DCA">
                  <w:pPr>
                    <w:widowControl/>
                    <w:jc w:val="center"/>
                    <w:textAlignment w:val="center"/>
                    <w:rPr>
                      <w:rFonts w:hint="eastAsia"/>
                      <w:szCs w:val="21"/>
                    </w:rPr>
                  </w:pPr>
                  <w:r>
                    <w:rPr>
                      <w:rFonts w:hint="eastAsia"/>
                    </w:rPr>
                    <w:t>非甲烷总烃</w:t>
                  </w:r>
                </w:p>
              </w:tc>
              <w:tc>
                <w:tcPr>
                  <w:tcW w:w="9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F3185D">
                  <w:pPr>
                    <w:widowControl/>
                    <w:jc w:val="center"/>
                    <w:textAlignment w:val="center"/>
                    <w:rPr>
                      <w:rFonts w:hint="eastAsia"/>
                      <w:szCs w:val="21"/>
                    </w:rPr>
                  </w:pPr>
                  <w:r>
                    <w:rPr>
                      <w:rFonts w:hint="eastAsia"/>
                      <w:szCs w:val="21"/>
                    </w:rPr>
                    <w:t>70</w:t>
                  </w:r>
                </w:p>
              </w:tc>
              <w:tc>
                <w:tcPr>
                  <w:tcW w:w="93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D1FDC5">
                  <w:pPr>
                    <w:widowControl/>
                    <w:jc w:val="center"/>
                    <w:textAlignment w:val="center"/>
                    <w:rPr>
                      <w:rFonts w:hint="eastAsia"/>
                      <w:szCs w:val="21"/>
                    </w:rPr>
                  </w:pPr>
                  <w:r>
                    <w:rPr>
                      <w:rFonts w:hint="eastAsia"/>
                      <w:szCs w:val="21"/>
                    </w:rPr>
                    <w:t>3.0</w:t>
                  </w:r>
                </w:p>
              </w:tc>
              <w:tc>
                <w:tcPr>
                  <w:tcW w:w="1438"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4633AEC4">
                  <w:pPr>
                    <w:widowControl/>
                    <w:jc w:val="center"/>
                    <w:textAlignment w:val="center"/>
                    <w:rPr>
                      <w:rFonts w:hint="eastAsia"/>
                      <w:szCs w:val="21"/>
                    </w:rPr>
                  </w:pPr>
                  <w:r>
                    <w:rPr>
                      <w:kern w:val="0"/>
                      <w:szCs w:val="21"/>
                      <w:lang w:bidi="ar"/>
                    </w:rPr>
                    <w:t>11</w:t>
                  </w:r>
                  <w:r>
                    <w:rPr>
                      <w:rFonts w:hint="eastAsia"/>
                      <w:kern w:val="0"/>
                      <w:szCs w:val="21"/>
                      <w:lang w:bidi="ar"/>
                    </w:rPr>
                    <w:t>6</w:t>
                  </w:r>
                  <w:r>
                    <w:rPr>
                      <w:kern w:val="0"/>
                      <w:szCs w:val="21"/>
                      <w:lang w:bidi="ar"/>
                    </w:rPr>
                    <w:t>°</w:t>
                  </w:r>
                  <w:r>
                    <w:rPr>
                      <w:rFonts w:hint="eastAsia"/>
                      <w:kern w:val="0"/>
                      <w:szCs w:val="21"/>
                      <w:lang w:bidi="ar"/>
                    </w:rPr>
                    <w:t>54</w:t>
                  </w:r>
                  <w:r>
                    <w:rPr>
                      <w:kern w:val="0"/>
                      <w:szCs w:val="21"/>
                      <w:lang w:bidi="ar"/>
                    </w:rPr>
                    <w:t>′</w:t>
                  </w:r>
                  <w:r>
                    <w:rPr>
                      <w:rFonts w:hint="eastAsia"/>
                      <w:kern w:val="0"/>
                      <w:szCs w:val="21"/>
                      <w:lang w:bidi="ar"/>
                    </w:rPr>
                    <w:t>42.8</w:t>
                  </w:r>
                  <w:r>
                    <w:rPr>
                      <w:kern w:val="0"/>
                      <w:szCs w:val="21"/>
                      <w:lang w:bidi="ar"/>
                    </w:rPr>
                    <w:t>″</w:t>
                  </w:r>
                </w:p>
              </w:tc>
              <w:tc>
                <w:tcPr>
                  <w:tcW w:w="1358"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09AE5247">
                  <w:pPr>
                    <w:widowControl/>
                    <w:jc w:val="center"/>
                    <w:textAlignment w:val="center"/>
                    <w:rPr>
                      <w:rFonts w:hint="eastAsia"/>
                      <w:szCs w:val="21"/>
                    </w:rPr>
                  </w:pPr>
                  <w:r>
                    <w:rPr>
                      <w:rFonts w:hint="eastAsia"/>
                      <w:kern w:val="0"/>
                      <w:szCs w:val="21"/>
                      <w:lang w:bidi="ar"/>
                    </w:rPr>
                    <w:t>43</w:t>
                  </w:r>
                  <w:r>
                    <w:rPr>
                      <w:kern w:val="0"/>
                      <w:szCs w:val="21"/>
                      <w:lang w:bidi="ar"/>
                    </w:rPr>
                    <w:t>°</w:t>
                  </w:r>
                  <w:r>
                    <w:rPr>
                      <w:rFonts w:hint="eastAsia"/>
                      <w:kern w:val="0"/>
                      <w:szCs w:val="21"/>
                      <w:lang w:bidi="ar"/>
                    </w:rPr>
                    <w:t>2</w:t>
                  </w:r>
                  <w:r>
                    <w:rPr>
                      <w:kern w:val="0"/>
                      <w:szCs w:val="21"/>
                      <w:lang w:bidi="ar"/>
                    </w:rPr>
                    <w:t>′</w:t>
                  </w:r>
                  <w:r>
                    <w:rPr>
                      <w:rFonts w:hint="eastAsia"/>
                      <w:kern w:val="0"/>
                      <w:szCs w:val="21"/>
                      <w:lang w:bidi="ar"/>
                    </w:rPr>
                    <w:t>37.7</w:t>
                  </w:r>
                  <w:r>
                    <w:rPr>
                      <w:kern w:val="0"/>
                      <w:szCs w:val="21"/>
                      <w:lang w:bidi="ar"/>
                    </w:rPr>
                    <w:t>″</w:t>
                  </w:r>
                </w:p>
              </w:tc>
              <w:tc>
                <w:tcPr>
                  <w:tcW w:w="878"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76E72AB4">
                  <w:pPr>
                    <w:widowControl/>
                    <w:jc w:val="center"/>
                    <w:textAlignment w:val="center"/>
                    <w:rPr>
                      <w:rFonts w:hint="default" w:eastAsia="宋体"/>
                      <w:szCs w:val="21"/>
                      <w:lang w:val="en-US" w:eastAsia="zh-CN"/>
                    </w:rPr>
                  </w:pPr>
                  <w:r>
                    <w:rPr>
                      <w:rFonts w:hint="eastAsia"/>
                      <w:szCs w:val="21"/>
                      <w:lang w:val="en-US" w:eastAsia="zh-CN"/>
                    </w:rPr>
                    <w:t>17</w:t>
                  </w:r>
                </w:p>
              </w:tc>
              <w:tc>
                <w:tcPr>
                  <w:tcW w:w="905"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0CC2BB3F">
                  <w:pPr>
                    <w:widowControl/>
                    <w:jc w:val="center"/>
                    <w:textAlignment w:val="center"/>
                    <w:rPr>
                      <w:szCs w:val="21"/>
                    </w:rPr>
                  </w:pPr>
                  <w:r>
                    <w:rPr>
                      <w:rFonts w:hint="eastAsia"/>
                      <w:szCs w:val="21"/>
                    </w:rPr>
                    <w:t>1.5</w:t>
                  </w:r>
                </w:p>
              </w:tc>
              <w:tc>
                <w:tcPr>
                  <w:tcW w:w="73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58A158A6">
                  <w:pPr>
                    <w:widowControl/>
                    <w:jc w:val="center"/>
                    <w:textAlignment w:val="center"/>
                    <w:rPr>
                      <w:rFonts w:hint="eastAsia"/>
                      <w:szCs w:val="21"/>
                    </w:rPr>
                  </w:pPr>
                  <w:r>
                    <w:rPr>
                      <w:rFonts w:hint="eastAsia"/>
                      <w:szCs w:val="21"/>
                    </w:rPr>
                    <w:t>常温</w:t>
                  </w:r>
                </w:p>
              </w:tc>
              <w:tc>
                <w:tcPr>
                  <w:tcW w:w="1265"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14:paraId="2C9A53FA">
                  <w:pPr>
                    <w:widowControl/>
                    <w:jc w:val="center"/>
                    <w:textAlignment w:val="center"/>
                    <w:rPr>
                      <w:rFonts w:hint="eastAsia"/>
                      <w:szCs w:val="21"/>
                    </w:rPr>
                  </w:pPr>
                  <w:r>
                    <w:rPr>
                      <w:rFonts w:hint="eastAsia"/>
                      <w:szCs w:val="21"/>
                    </w:rPr>
                    <w:t>排气筒出口</w:t>
                  </w:r>
                </w:p>
              </w:tc>
              <w:tc>
                <w:tcPr>
                  <w:tcW w:w="1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534E5D5">
                  <w:pPr>
                    <w:widowControl/>
                    <w:jc w:val="center"/>
                    <w:textAlignment w:val="center"/>
                    <w:rPr>
                      <w:rFonts w:hint="eastAsia"/>
                      <w:szCs w:val="21"/>
                    </w:rPr>
                  </w:pPr>
                  <w:r>
                    <w:rPr>
                      <w:rFonts w:hint="eastAsia"/>
                      <w:szCs w:val="21"/>
                    </w:rPr>
                    <w:t>非甲烷总烃</w:t>
                  </w:r>
                </w:p>
              </w:tc>
              <w:tc>
                <w:tcPr>
                  <w:tcW w:w="880" w:type="dxa"/>
                  <w:vMerge w:val="restart"/>
                  <w:tcBorders>
                    <w:top w:val="single" w:color="000000" w:sz="4" w:space="0"/>
                    <w:left w:val="single" w:color="000000" w:sz="4" w:space="0"/>
                  </w:tcBorders>
                  <w:noWrap/>
                  <w:tcMar>
                    <w:top w:w="12" w:type="dxa"/>
                    <w:left w:w="12" w:type="dxa"/>
                    <w:right w:w="12" w:type="dxa"/>
                  </w:tcMar>
                  <w:vAlign w:val="center"/>
                </w:tcPr>
                <w:p w14:paraId="097CD84E">
                  <w:pPr>
                    <w:widowControl/>
                    <w:jc w:val="center"/>
                    <w:textAlignment w:val="center"/>
                    <w:rPr>
                      <w:szCs w:val="21"/>
                    </w:rPr>
                  </w:pPr>
                  <w:r>
                    <w:rPr>
                      <w:rFonts w:hint="eastAsia"/>
                      <w:szCs w:val="21"/>
                    </w:rPr>
                    <w:t>1次/年</w:t>
                  </w:r>
                </w:p>
              </w:tc>
            </w:tr>
            <w:tr w14:paraId="28EF1E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5" w:hRule="atLeast"/>
              </w:trPr>
              <w:tc>
                <w:tcPr>
                  <w:tcW w:w="575" w:type="dxa"/>
                  <w:vMerge w:val="continue"/>
                  <w:tcBorders>
                    <w:right w:val="single" w:color="000000" w:sz="4" w:space="0"/>
                  </w:tcBorders>
                  <w:noWrap w:val="0"/>
                  <w:tcMar>
                    <w:top w:w="12" w:type="dxa"/>
                    <w:left w:w="12" w:type="dxa"/>
                    <w:right w:w="12" w:type="dxa"/>
                  </w:tcMar>
                  <w:vAlign w:val="center"/>
                </w:tcPr>
                <w:p w14:paraId="3A618FC0">
                  <w:pPr>
                    <w:widowControl/>
                    <w:jc w:val="center"/>
                    <w:textAlignment w:val="center"/>
                    <w:rPr>
                      <w:rFonts w:hint="eastAsia"/>
                      <w:szCs w:val="21"/>
                    </w:rPr>
                  </w:pPr>
                </w:p>
              </w:tc>
              <w:tc>
                <w:tcPr>
                  <w:tcW w:w="891" w:type="dxa"/>
                  <w:vMerge w:val="continue"/>
                  <w:tcBorders>
                    <w:left w:val="single" w:color="000000" w:sz="4" w:space="0"/>
                    <w:right w:val="single" w:color="000000" w:sz="4" w:space="0"/>
                  </w:tcBorders>
                  <w:noWrap w:val="0"/>
                  <w:tcMar>
                    <w:top w:w="12" w:type="dxa"/>
                    <w:left w:w="12" w:type="dxa"/>
                    <w:right w:w="12" w:type="dxa"/>
                  </w:tcMar>
                  <w:vAlign w:val="center"/>
                </w:tcPr>
                <w:p w14:paraId="0D689BCB">
                  <w:pPr>
                    <w:widowControl/>
                    <w:jc w:val="center"/>
                    <w:textAlignment w:val="center"/>
                    <w:rPr>
                      <w:rFonts w:hint="eastAsia"/>
                      <w:szCs w:val="21"/>
                    </w:rPr>
                  </w:pP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E8F3FF">
                  <w:pPr>
                    <w:jc w:val="center"/>
                    <w:rPr>
                      <w:szCs w:val="21"/>
                    </w:rPr>
                  </w:pPr>
                  <w:r>
                    <w:rPr>
                      <w:szCs w:val="21"/>
                    </w:rPr>
                    <w:t>SO</w:t>
                  </w:r>
                  <w:r>
                    <w:rPr>
                      <w:szCs w:val="21"/>
                      <w:vertAlign w:val="subscript"/>
                    </w:rPr>
                    <w:t>2</w:t>
                  </w:r>
                </w:p>
              </w:tc>
              <w:tc>
                <w:tcPr>
                  <w:tcW w:w="9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714DA4">
                  <w:pPr>
                    <w:widowControl/>
                    <w:jc w:val="center"/>
                    <w:textAlignment w:val="center"/>
                    <w:rPr>
                      <w:rFonts w:hint="eastAsia"/>
                      <w:szCs w:val="21"/>
                    </w:rPr>
                  </w:pPr>
                  <w:r>
                    <w:rPr>
                      <w:rFonts w:hint="eastAsia"/>
                      <w:szCs w:val="21"/>
                    </w:rPr>
                    <w:t>200</w:t>
                  </w:r>
                </w:p>
              </w:tc>
              <w:tc>
                <w:tcPr>
                  <w:tcW w:w="93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D815C4">
                  <w:pPr>
                    <w:widowControl/>
                    <w:jc w:val="center"/>
                    <w:textAlignment w:val="center"/>
                    <w:rPr>
                      <w:rFonts w:hint="eastAsia"/>
                      <w:szCs w:val="21"/>
                    </w:rPr>
                  </w:pPr>
                  <w:r>
                    <w:rPr>
                      <w:rFonts w:hint="eastAsia"/>
                      <w:szCs w:val="21"/>
                    </w:rPr>
                    <w:t>/</w:t>
                  </w:r>
                </w:p>
              </w:tc>
              <w:tc>
                <w:tcPr>
                  <w:tcW w:w="1438" w:type="dxa"/>
                  <w:vMerge w:val="continue"/>
                  <w:tcBorders>
                    <w:left w:val="single" w:color="000000" w:sz="4" w:space="0"/>
                    <w:right w:val="single" w:color="000000" w:sz="4" w:space="0"/>
                  </w:tcBorders>
                  <w:noWrap w:val="0"/>
                  <w:tcMar>
                    <w:top w:w="12" w:type="dxa"/>
                    <w:left w:w="12" w:type="dxa"/>
                    <w:right w:w="12" w:type="dxa"/>
                  </w:tcMar>
                  <w:vAlign w:val="center"/>
                </w:tcPr>
                <w:p w14:paraId="5A125AA6">
                  <w:pPr>
                    <w:widowControl/>
                    <w:jc w:val="center"/>
                    <w:textAlignment w:val="center"/>
                    <w:rPr>
                      <w:kern w:val="0"/>
                      <w:szCs w:val="21"/>
                      <w:lang w:bidi="ar"/>
                    </w:rPr>
                  </w:pPr>
                </w:p>
              </w:tc>
              <w:tc>
                <w:tcPr>
                  <w:tcW w:w="1358" w:type="dxa"/>
                  <w:vMerge w:val="continue"/>
                  <w:tcBorders>
                    <w:left w:val="single" w:color="000000" w:sz="4" w:space="0"/>
                    <w:right w:val="single" w:color="000000" w:sz="4" w:space="0"/>
                  </w:tcBorders>
                  <w:noWrap w:val="0"/>
                  <w:tcMar>
                    <w:top w:w="12" w:type="dxa"/>
                    <w:left w:w="12" w:type="dxa"/>
                    <w:right w:w="12" w:type="dxa"/>
                  </w:tcMar>
                  <w:vAlign w:val="center"/>
                </w:tcPr>
                <w:p w14:paraId="120396A3">
                  <w:pPr>
                    <w:widowControl/>
                    <w:jc w:val="center"/>
                    <w:textAlignment w:val="center"/>
                    <w:rPr>
                      <w:rFonts w:hint="eastAsia"/>
                      <w:kern w:val="0"/>
                      <w:szCs w:val="21"/>
                      <w:lang w:bidi="ar"/>
                    </w:rPr>
                  </w:pPr>
                </w:p>
              </w:tc>
              <w:tc>
                <w:tcPr>
                  <w:tcW w:w="878" w:type="dxa"/>
                  <w:vMerge w:val="continue"/>
                  <w:tcBorders>
                    <w:left w:val="single" w:color="000000" w:sz="4" w:space="0"/>
                    <w:right w:val="single" w:color="000000" w:sz="4" w:space="0"/>
                  </w:tcBorders>
                  <w:noWrap w:val="0"/>
                  <w:tcMar>
                    <w:top w:w="12" w:type="dxa"/>
                    <w:left w:w="12" w:type="dxa"/>
                    <w:right w:w="12" w:type="dxa"/>
                  </w:tcMar>
                  <w:vAlign w:val="center"/>
                </w:tcPr>
                <w:p w14:paraId="65667F90">
                  <w:pPr>
                    <w:widowControl/>
                    <w:jc w:val="center"/>
                    <w:textAlignment w:val="center"/>
                    <w:rPr>
                      <w:rFonts w:hint="eastAsia"/>
                      <w:szCs w:val="21"/>
                    </w:rPr>
                  </w:pPr>
                </w:p>
              </w:tc>
              <w:tc>
                <w:tcPr>
                  <w:tcW w:w="905" w:type="dxa"/>
                  <w:vMerge w:val="continue"/>
                  <w:tcBorders>
                    <w:left w:val="single" w:color="000000" w:sz="4" w:space="0"/>
                    <w:right w:val="single" w:color="000000" w:sz="4" w:space="0"/>
                  </w:tcBorders>
                  <w:noWrap w:val="0"/>
                  <w:tcMar>
                    <w:top w:w="12" w:type="dxa"/>
                    <w:left w:w="12" w:type="dxa"/>
                    <w:right w:w="12" w:type="dxa"/>
                  </w:tcMar>
                  <w:vAlign w:val="center"/>
                </w:tcPr>
                <w:p w14:paraId="0AFF9F29">
                  <w:pPr>
                    <w:widowControl/>
                    <w:jc w:val="center"/>
                    <w:textAlignment w:val="center"/>
                    <w:rPr>
                      <w:rFonts w:hint="eastAsia"/>
                      <w:szCs w:val="21"/>
                    </w:rPr>
                  </w:pPr>
                </w:p>
              </w:tc>
              <w:tc>
                <w:tcPr>
                  <w:tcW w:w="734" w:type="dxa"/>
                  <w:vMerge w:val="continue"/>
                  <w:tcBorders>
                    <w:left w:val="single" w:color="000000" w:sz="4" w:space="0"/>
                    <w:right w:val="single" w:color="000000" w:sz="4" w:space="0"/>
                  </w:tcBorders>
                  <w:noWrap w:val="0"/>
                  <w:tcMar>
                    <w:top w:w="12" w:type="dxa"/>
                    <w:left w:w="12" w:type="dxa"/>
                    <w:right w:w="12" w:type="dxa"/>
                  </w:tcMar>
                  <w:vAlign w:val="center"/>
                </w:tcPr>
                <w:p w14:paraId="1EA9201D">
                  <w:pPr>
                    <w:widowControl/>
                    <w:jc w:val="center"/>
                    <w:textAlignment w:val="center"/>
                    <w:rPr>
                      <w:rFonts w:hint="eastAsia"/>
                      <w:szCs w:val="21"/>
                    </w:rPr>
                  </w:pPr>
                </w:p>
              </w:tc>
              <w:tc>
                <w:tcPr>
                  <w:tcW w:w="1265" w:type="dxa"/>
                  <w:vMerge w:val="continue"/>
                  <w:tcBorders>
                    <w:top w:val="single" w:color="000000" w:sz="4" w:space="0"/>
                    <w:left w:val="single" w:color="000000" w:sz="4" w:space="0"/>
                    <w:right w:val="single" w:color="000000" w:sz="4" w:space="0"/>
                  </w:tcBorders>
                  <w:noWrap/>
                  <w:tcMar>
                    <w:top w:w="12" w:type="dxa"/>
                    <w:left w:w="12" w:type="dxa"/>
                    <w:right w:w="12" w:type="dxa"/>
                  </w:tcMar>
                  <w:vAlign w:val="center"/>
                </w:tcPr>
                <w:p w14:paraId="37CB5375">
                  <w:pPr>
                    <w:widowControl/>
                    <w:jc w:val="center"/>
                    <w:textAlignment w:val="center"/>
                    <w:rPr>
                      <w:rFonts w:hint="eastAsia"/>
                      <w:szCs w:val="21"/>
                    </w:rPr>
                  </w:pPr>
                </w:p>
              </w:tc>
              <w:tc>
                <w:tcPr>
                  <w:tcW w:w="1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4795DE">
                  <w:pPr>
                    <w:widowControl/>
                    <w:jc w:val="center"/>
                    <w:textAlignment w:val="center"/>
                    <w:rPr>
                      <w:rFonts w:hint="eastAsia"/>
                      <w:szCs w:val="21"/>
                    </w:rPr>
                  </w:pPr>
                  <w:r>
                    <w:rPr>
                      <w:rFonts w:hint="eastAsia"/>
                      <w:szCs w:val="21"/>
                    </w:rPr>
                    <w:t>二氧化硫</w:t>
                  </w:r>
                </w:p>
              </w:tc>
              <w:tc>
                <w:tcPr>
                  <w:tcW w:w="880" w:type="dxa"/>
                  <w:vMerge w:val="continue"/>
                  <w:tcBorders>
                    <w:left w:val="single" w:color="000000" w:sz="4" w:space="0"/>
                  </w:tcBorders>
                  <w:noWrap/>
                  <w:tcMar>
                    <w:top w:w="12" w:type="dxa"/>
                    <w:left w:w="12" w:type="dxa"/>
                    <w:right w:w="12" w:type="dxa"/>
                  </w:tcMar>
                  <w:vAlign w:val="center"/>
                </w:tcPr>
                <w:p w14:paraId="4C2DBFE7">
                  <w:pPr>
                    <w:widowControl/>
                    <w:jc w:val="center"/>
                    <w:textAlignment w:val="center"/>
                    <w:rPr>
                      <w:rFonts w:hint="eastAsia"/>
                      <w:szCs w:val="21"/>
                    </w:rPr>
                  </w:pPr>
                </w:p>
              </w:tc>
            </w:tr>
            <w:tr w14:paraId="06E27C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5" w:hRule="atLeast"/>
              </w:trPr>
              <w:tc>
                <w:tcPr>
                  <w:tcW w:w="575" w:type="dxa"/>
                  <w:vMerge w:val="continue"/>
                  <w:tcBorders>
                    <w:right w:val="single" w:color="000000" w:sz="4" w:space="0"/>
                  </w:tcBorders>
                  <w:noWrap w:val="0"/>
                  <w:tcMar>
                    <w:top w:w="12" w:type="dxa"/>
                    <w:left w:w="12" w:type="dxa"/>
                    <w:right w:w="12" w:type="dxa"/>
                  </w:tcMar>
                  <w:vAlign w:val="center"/>
                </w:tcPr>
                <w:p w14:paraId="4210D7D6">
                  <w:pPr>
                    <w:widowControl/>
                    <w:jc w:val="center"/>
                    <w:textAlignment w:val="center"/>
                    <w:rPr>
                      <w:rFonts w:hint="eastAsia"/>
                      <w:szCs w:val="21"/>
                    </w:rPr>
                  </w:pPr>
                </w:p>
              </w:tc>
              <w:tc>
                <w:tcPr>
                  <w:tcW w:w="891" w:type="dxa"/>
                  <w:vMerge w:val="continue"/>
                  <w:tcBorders>
                    <w:left w:val="single" w:color="000000" w:sz="4" w:space="0"/>
                    <w:right w:val="single" w:color="000000" w:sz="4" w:space="0"/>
                  </w:tcBorders>
                  <w:noWrap w:val="0"/>
                  <w:tcMar>
                    <w:top w:w="12" w:type="dxa"/>
                    <w:left w:w="12" w:type="dxa"/>
                    <w:right w:w="12" w:type="dxa"/>
                  </w:tcMar>
                  <w:vAlign w:val="center"/>
                </w:tcPr>
                <w:p w14:paraId="29606605">
                  <w:pPr>
                    <w:widowControl/>
                    <w:jc w:val="center"/>
                    <w:textAlignment w:val="center"/>
                    <w:rPr>
                      <w:rFonts w:hint="eastAsia"/>
                      <w:szCs w:val="21"/>
                    </w:rPr>
                  </w:pP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631470">
                  <w:pPr>
                    <w:jc w:val="center"/>
                    <w:rPr>
                      <w:szCs w:val="21"/>
                    </w:rPr>
                  </w:pPr>
                  <w:r>
                    <w:rPr>
                      <w:szCs w:val="21"/>
                    </w:rPr>
                    <w:t>NOx</w:t>
                  </w:r>
                </w:p>
              </w:tc>
              <w:tc>
                <w:tcPr>
                  <w:tcW w:w="9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94A572">
                  <w:pPr>
                    <w:widowControl/>
                    <w:jc w:val="center"/>
                    <w:textAlignment w:val="center"/>
                    <w:rPr>
                      <w:rFonts w:hint="eastAsia"/>
                      <w:szCs w:val="21"/>
                    </w:rPr>
                  </w:pPr>
                  <w:r>
                    <w:rPr>
                      <w:rFonts w:hint="eastAsia"/>
                      <w:szCs w:val="21"/>
                    </w:rPr>
                    <w:t>300</w:t>
                  </w:r>
                </w:p>
              </w:tc>
              <w:tc>
                <w:tcPr>
                  <w:tcW w:w="93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C305F5">
                  <w:pPr>
                    <w:widowControl/>
                    <w:jc w:val="center"/>
                    <w:textAlignment w:val="center"/>
                    <w:rPr>
                      <w:rFonts w:hint="eastAsia"/>
                      <w:szCs w:val="21"/>
                    </w:rPr>
                  </w:pPr>
                  <w:r>
                    <w:rPr>
                      <w:rFonts w:hint="eastAsia"/>
                      <w:szCs w:val="21"/>
                    </w:rPr>
                    <w:t>/</w:t>
                  </w:r>
                </w:p>
              </w:tc>
              <w:tc>
                <w:tcPr>
                  <w:tcW w:w="1438" w:type="dxa"/>
                  <w:vMerge w:val="continue"/>
                  <w:tcBorders>
                    <w:left w:val="single" w:color="000000" w:sz="4" w:space="0"/>
                    <w:right w:val="single" w:color="000000" w:sz="4" w:space="0"/>
                  </w:tcBorders>
                  <w:noWrap w:val="0"/>
                  <w:tcMar>
                    <w:top w:w="12" w:type="dxa"/>
                    <w:left w:w="12" w:type="dxa"/>
                    <w:right w:w="12" w:type="dxa"/>
                  </w:tcMar>
                  <w:vAlign w:val="center"/>
                </w:tcPr>
                <w:p w14:paraId="0E03CB9C">
                  <w:pPr>
                    <w:widowControl/>
                    <w:jc w:val="center"/>
                    <w:textAlignment w:val="center"/>
                    <w:rPr>
                      <w:kern w:val="0"/>
                      <w:szCs w:val="21"/>
                      <w:lang w:bidi="ar"/>
                    </w:rPr>
                  </w:pPr>
                </w:p>
              </w:tc>
              <w:tc>
                <w:tcPr>
                  <w:tcW w:w="1358" w:type="dxa"/>
                  <w:vMerge w:val="continue"/>
                  <w:tcBorders>
                    <w:left w:val="single" w:color="000000" w:sz="4" w:space="0"/>
                    <w:right w:val="single" w:color="000000" w:sz="4" w:space="0"/>
                  </w:tcBorders>
                  <w:noWrap w:val="0"/>
                  <w:tcMar>
                    <w:top w:w="12" w:type="dxa"/>
                    <w:left w:w="12" w:type="dxa"/>
                    <w:right w:w="12" w:type="dxa"/>
                  </w:tcMar>
                  <w:vAlign w:val="center"/>
                </w:tcPr>
                <w:p w14:paraId="0345B263">
                  <w:pPr>
                    <w:widowControl/>
                    <w:jc w:val="center"/>
                    <w:textAlignment w:val="center"/>
                    <w:rPr>
                      <w:rFonts w:hint="eastAsia"/>
                      <w:kern w:val="0"/>
                      <w:szCs w:val="21"/>
                      <w:lang w:bidi="ar"/>
                    </w:rPr>
                  </w:pPr>
                </w:p>
              </w:tc>
              <w:tc>
                <w:tcPr>
                  <w:tcW w:w="878" w:type="dxa"/>
                  <w:vMerge w:val="continue"/>
                  <w:tcBorders>
                    <w:left w:val="single" w:color="000000" w:sz="4" w:space="0"/>
                    <w:right w:val="single" w:color="000000" w:sz="4" w:space="0"/>
                  </w:tcBorders>
                  <w:noWrap w:val="0"/>
                  <w:tcMar>
                    <w:top w:w="12" w:type="dxa"/>
                    <w:left w:w="12" w:type="dxa"/>
                    <w:right w:w="12" w:type="dxa"/>
                  </w:tcMar>
                  <w:vAlign w:val="center"/>
                </w:tcPr>
                <w:p w14:paraId="1DEC09C5">
                  <w:pPr>
                    <w:widowControl/>
                    <w:jc w:val="center"/>
                    <w:textAlignment w:val="center"/>
                    <w:rPr>
                      <w:rFonts w:hint="eastAsia"/>
                      <w:szCs w:val="21"/>
                    </w:rPr>
                  </w:pPr>
                </w:p>
              </w:tc>
              <w:tc>
                <w:tcPr>
                  <w:tcW w:w="905" w:type="dxa"/>
                  <w:vMerge w:val="continue"/>
                  <w:tcBorders>
                    <w:left w:val="single" w:color="000000" w:sz="4" w:space="0"/>
                    <w:right w:val="single" w:color="000000" w:sz="4" w:space="0"/>
                  </w:tcBorders>
                  <w:noWrap w:val="0"/>
                  <w:tcMar>
                    <w:top w:w="12" w:type="dxa"/>
                    <w:left w:w="12" w:type="dxa"/>
                    <w:right w:w="12" w:type="dxa"/>
                  </w:tcMar>
                  <w:vAlign w:val="center"/>
                </w:tcPr>
                <w:p w14:paraId="329A5F21">
                  <w:pPr>
                    <w:widowControl/>
                    <w:jc w:val="center"/>
                    <w:textAlignment w:val="center"/>
                    <w:rPr>
                      <w:rFonts w:hint="eastAsia"/>
                      <w:szCs w:val="21"/>
                    </w:rPr>
                  </w:pPr>
                </w:p>
              </w:tc>
              <w:tc>
                <w:tcPr>
                  <w:tcW w:w="734" w:type="dxa"/>
                  <w:vMerge w:val="continue"/>
                  <w:tcBorders>
                    <w:left w:val="single" w:color="000000" w:sz="4" w:space="0"/>
                    <w:right w:val="single" w:color="000000" w:sz="4" w:space="0"/>
                  </w:tcBorders>
                  <w:noWrap w:val="0"/>
                  <w:tcMar>
                    <w:top w:w="12" w:type="dxa"/>
                    <w:left w:w="12" w:type="dxa"/>
                    <w:right w:w="12" w:type="dxa"/>
                  </w:tcMar>
                  <w:vAlign w:val="center"/>
                </w:tcPr>
                <w:p w14:paraId="321D04F4">
                  <w:pPr>
                    <w:widowControl/>
                    <w:jc w:val="center"/>
                    <w:textAlignment w:val="center"/>
                    <w:rPr>
                      <w:rFonts w:hint="eastAsia"/>
                      <w:szCs w:val="21"/>
                    </w:rPr>
                  </w:pPr>
                </w:p>
              </w:tc>
              <w:tc>
                <w:tcPr>
                  <w:tcW w:w="1265" w:type="dxa"/>
                  <w:vMerge w:val="continue"/>
                  <w:tcBorders>
                    <w:top w:val="single" w:color="000000" w:sz="4" w:space="0"/>
                    <w:left w:val="single" w:color="000000" w:sz="4" w:space="0"/>
                    <w:right w:val="single" w:color="000000" w:sz="4" w:space="0"/>
                  </w:tcBorders>
                  <w:noWrap/>
                  <w:tcMar>
                    <w:top w:w="12" w:type="dxa"/>
                    <w:left w:w="12" w:type="dxa"/>
                    <w:right w:w="12" w:type="dxa"/>
                  </w:tcMar>
                  <w:vAlign w:val="center"/>
                </w:tcPr>
                <w:p w14:paraId="64E3F5D8">
                  <w:pPr>
                    <w:widowControl/>
                    <w:jc w:val="center"/>
                    <w:textAlignment w:val="center"/>
                    <w:rPr>
                      <w:rFonts w:hint="eastAsia"/>
                      <w:szCs w:val="21"/>
                    </w:rPr>
                  </w:pPr>
                </w:p>
              </w:tc>
              <w:tc>
                <w:tcPr>
                  <w:tcW w:w="1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FCB9E7">
                  <w:pPr>
                    <w:widowControl/>
                    <w:jc w:val="center"/>
                    <w:textAlignment w:val="center"/>
                    <w:rPr>
                      <w:rFonts w:hint="eastAsia"/>
                      <w:szCs w:val="21"/>
                    </w:rPr>
                  </w:pPr>
                  <w:r>
                    <w:rPr>
                      <w:rFonts w:hint="eastAsia"/>
                      <w:szCs w:val="21"/>
                    </w:rPr>
                    <w:t>氮氧化物</w:t>
                  </w:r>
                </w:p>
              </w:tc>
              <w:tc>
                <w:tcPr>
                  <w:tcW w:w="880" w:type="dxa"/>
                  <w:vMerge w:val="continue"/>
                  <w:tcBorders>
                    <w:left w:val="single" w:color="000000" w:sz="4" w:space="0"/>
                  </w:tcBorders>
                  <w:noWrap/>
                  <w:tcMar>
                    <w:top w:w="12" w:type="dxa"/>
                    <w:left w:w="12" w:type="dxa"/>
                    <w:right w:w="12" w:type="dxa"/>
                  </w:tcMar>
                  <w:vAlign w:val="center"/>
                </w:tcPr>
                <w:p w14:paraId="5DC3AD85">
                  <w:pPr>
                    <w:widowControl/>
                    <w:jc w:val="center"/>
                    <w:textAlignment w:val="center"/>
                    <w:rPr>
                      <w:rFonts w:hint="eastAsia"/>
                      <w:szCs w:val="21"/>
                    </w:rPr>
                  </w:pPr>
                </w:p>
              </w:tc>
            </w:tr>
            <w:tr w14:paraId="73B1E64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5" w:hRule="atLeast"/>
              </w:trPr>
              <w:tc>
                <w:tcPr>
                  <w:tcW w:w="575" w:type="dxa"/>
                  <w:vMerge w:val="continue"/>
                  <w:tcBorders>
                    <w:right w:val="single" w:color="000000" w:sz="4" w:space="0"/>
                  </w:tcBorders>
                  <w:noWrap w:val="0"/>
                  <w:tcMar>
                    <w:top w:w="12" w:type="dxa"/>
                    <w:left w:w="12" w:type="dxa"/>
                    <w:right w:w="12" w:type="dxa"/>
                  </w:tcMar>
                  <w:vAlign w:val="center"/>
                </w:tcPr>
                <w:p w14:paraId="4F69CEEE">
                  <w:pPr>
                    <w:widowControl/>
                    <w:jc w:val="center"/>
                    <w:textAlignment w:val="center"/>
                    <w:rPr>
                      <w:rFonts w:hint="eastAsia"/>
                      <w:szCs w:val="21"/>
                    </w:rPr>
                  </w:pPr>
                </w:p>
              </w:tc>
              <w:tc>
                <w:tcPr>
                  <w:tcW w:w="891" w:type="dxa"/>
                  <w:vMerge w:val="continue"/>
                  <w:tcBorders>
                    <w:left w:val="single" w:color="000000" w:sz="4" w:space="0"/>
                    <w:right w:val="single" w:color="000000" w:sz="4" w:space="0"/>
                  </w:tcBorders>
                  <w:noWrap w:val="0"/>
                  <w:tcMar>
                    <w:top w:w="12" w:type="dxa"/>
                    <w:left w:w="12" w:type="dxa"/>
                    <w:right w:w="12" w:type="dxa"/>
                  </w:tcMar>
                  <w:vAlign w:val="center"/>
                </w:tcPr>
                <w:p w14:paraId="1A64A9F0">
                  <w:pPr>
                    <w:widowControl/>
                    <w:textAlignment w:val="center"/>
                    <w:rPr>
                      <w:rFonts w:hint="eastAsia"/>
                      <w:szCs w:val="21"/>
                    </w:rPr>
                  </w:pPr>
                </w:p>
              </w:tc>
              <w:tc>
                <w:tcPr>
                  <w:tcW w:w="13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2B1634">
                  <w:pPr>
                    <w:jc w:val="center"/>
                    <w:rPr>
                      <w:szCs w:val="21"/>
                    </w:rPr>
                  </w:pPr>
                  <w:r>
                    <w:rPr>
                      <w:rFonts w:hint="eastAsia"/>
                      <w:szCs w:val="21"/>
                    </w:rPr>
                    <w:t>颗粒物</w:t>
                  </w:r>
                </w:p>
              </w:tc>
              <w:tc>
                <w:tcPr>
                  <w:tcW w:w="9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ACF0CE">
                  <w:pPr>
                    <w:widowControl/>
                    <w:jc w:val="center"/>
                    <w:textAlignment w:val="center"/>
                    <w:rPr>
                      <w:rFonts w:hint="eastAsia"/>
                      <w:szCs w:val="21"/>
                    </w:rPr>
                  </w:pPr>
                  <w:r>
                    <w:rPr>
                      <w:rFonts w:hint="eastAsia"/>
                      <w:szCs w:val="21"/>
                    </w:rPr>
                    <w:t>30</w:t>
                  </w:r>
                </w:p>
              </w:tc>
              <w:tc>
                <w:tcPr>
                  <w:tcW w:w="93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C4BFF3">
                  <w:pPr>
                    <w:widowControl/>
                    <w:jc w:val="center"/>
                    <w:textAlignment w:val="center"/>
                    <w:rPr>
                      <w:rFonts w:hint="eastAsia"/>
                      <w:szCs w:val="21"/>
                    </w:rPr>
                  </w:pPr>
                  <w:r>
                    <w:rPr>
                      <w:rFonts w:hint="eastAsia"/>
                      <w:szCs w:val="21"/>
                    </w:rPr>
                    <w:t>/</w:t>
                  </w:r>
                </w:p>
              </w:tc>
              <w:tc>
                <w:tcPr>
                  <w:tcW w:w="1438" w:type="dxa"/>
                  <w:vMerge w:val="continue"/>
                  <w:tcBorders>
                    <w:left w:val="single" w:color="000000" w:sz="4" w:space="0"/>
                    <w:right w:val="single" w:color="000000" w:sz="4" w:space="0"/>
                  </w:tcBorders>
                  <w:noWrap w:val="0"/>
                  <w:tcMar>
                    <w:top w:w="12" w:type="dxa"/>
                    <w:left w:w="12" w:type="dxa"/>
                    <w:right w:w="12" w:type="dxa"/>
                  </w:tcMar>
                  <w:vAlign w:val="center"/>
                </w:tcPr>
                <w:p w14:paraId="70376526">
                  <w:pPr>
                    <w:widowControl/>
                    <w:jc w:val="center"/>
                    <w:textAlignment w:val="center"/>
                    <w:rPr>
                      <w:kern w:val="0"/>
                      <w:szCs w:val="21"/>
                      <w:lang w:bidi="ar"/>
                    </w:rPr>
                  </w:pPr>
                </w:p>
              </w:tc>
              <w:tc>
                <w:tcPr>
                  <w:tcW w:w="1358" w:type="dxa"/>
                  <w:vMerge w:val="continue"/>
                  <w:tcBorders>
                    <w:left w:val="single" w:color="000000" w:sz="4" w:space="0"/>
                    <w:right w:val="single" w:color="000000" w:sz="4" w:space="0"/>
                  </w:tcBorders>
                  <w:noWrap w:val="0"/>
                  <w:tcMar>
                    <w:top w:w="12" w:type="dxa"/>
                    <w:left w:w="12" w:type="dxa"/>
                    <w:right w:w="12" w:type="dxa"/>
                  </w:tcMar>
                  <w:vAlign w:val="center"/>
                </w:tcPr>
                <w:p w14:paraId="376CF726">
                  <w:pPr>
                    <w:widowControl/>
                    <w:jc w:val="center"/>
                    <w:textAlignment w:val="center"/>
                    <w:rPr>
                      <w:rFonts w:hint="eastAsia"/>
                      <w:kern w:val="0"/>
                      <w:szCs w:val="21"/>
                      <w:lang w:bidi="ar"/>
                    </w:rPr>
                  </w:pPr>
                </w:p>
              </w:tc>
              <w:tc>
                <w:tcPr>
                  <w:tcW w:w="878" w:type="dxa"/>
                  <w:vMerge w:val="continue"/>
                  <w:tcBorders>
                    <w:left w:val="single" w:color="000000" w:sz="4" w:space="0"/>
                    <w:right w:val="single" w:color="000000" w:sz="4" w:space="0"/>
                  </w:tcBorders>
                  <w:noWrap w:val="0"/>
                  <w:tcMar>
                    <w:top w:w="12" w:type="dxa"/>
                    <w:left w:w="12" w:type="dxa"/>
                    <w:right w:w="12" w:type="dxa"/>
                  </w:tcMar>
                  <w:vAlign w:val="center"/>
                </w:tcPr>
                <w:p w14:paraId="196ADFFE">
                  <w:pPr>
                    <w:widowControl/>
                    <w:jc w:val="center"/>
                    <w:textAlignment w:val="center"/>
                    <w:rPr>
                      <w:rFonts w:hint="eastAsia"/>
                      <w:szCs w:val="21"/>
                    </w:rPr>
                  </w:pPr>
                </w:p>
              </w:tc>
              <w:tc>
                <w:tcPr>
                  <w:tcW w:w="905" w:type="dxa"/>
                  <w:vMerge w:val="continue"/>
                  <w:tcBorders>
                    <w:left w:val="single" w:color="000000" w:sz="4" w:space="0"/>
                    <w:right w:val="single" w:color="000000" w:sz="4" w:space="0"/>
                  </w:tcBorders>
                  <w:noWrap w:val="0"/>
                  <w:tcMar>
                    <w:top w:w="12" w:type="dxa"/>
                    <w:left w:w="12" w:type="dxa"/>
                    <w:right w:w="12" w:type="dxa"/>
                  </w:tcMar>
                  <w:vAlign w:val="center"/>
                </w:tcPr>
                <w:p w14:paraId="3EE065AE">
                  <w:pPr>
                    <w:widowControl/>
                    <w:jc w:val="center"/>
                    <w:textAlignment w:val="center"/>
                    <w:rPr>
                      <w:rFonts w:hint="eastAsia"/>
                      <w:szCs w:val="21"/>
                    </w:rPr>
                  </w:pPr>
                </w:p>
              </w:tc>
              <w:tc>
                <w:tcPr>
                  <w:tcW w:w="734" w:type="dxa"/>
                  <w:vMerge w:val="continue"/>
                  <w:tcBorders>
                    <w:left w:val="single" w:color="000000" w:sz="4" w:space="0"/>
                    <w:right w:val="single" w:color="000000" w:sz="4" w:space="0"/>
                  </w:tcBorders>
                  <w:noWrap w:val="0"/>
                  <w:tcMar>
                    <w:top w:w="12" w:type="dxa"/>
                    <w:left w:w="12" w:type="dxa"/>
                    <w:right w:w="12" w:type="dxa"/>
                  </w:tcMar>
                  <w:vAlign w:val="center"/>
                </w:tcPr>
                <w:p w14:paraId="492AF9C7">
                  <w:pPr>
                    <w:widowControl/>
                    <w:jc w:val="center"/>
                    <w:textAlignment w:val="center"/>
                    <w:rPr>
                      <w:rFonts w:hint="eastAsia"/>
                      <w:szCs w:val="21"/>
                    </w:rPr>
                  </w:pPr>
                </w:p>
              </w:tc>
              <w:tc>
                <w:tcPr>
                  <w:tcW w:w="1265" w:type="dxa"/>
                  <w:vMerge w:val="continue"/>
                  <w:tcBorders>
                    <w:top w:val="single" w:color="000000" w:sz="4" w:space="0"/>
                    <w:left w:val="single" w:color="000000" w:sz="4" w:space="0"/>
                    <w:right w:val="single" w:color="000000" w:sz="4" w:space="0"/>
                  </w:tcBorders>
                  <w:noWrap/>
                  <w:tcMar>
                    <w:top w:w="12" w:type="dxa"/>
                    <w:left w:w="12" w:type="dxa"/>
                    <w:right w:w="12" w:type="dxa"/>
                  </w:tcMar>
                  <w:vAlign w:val="center"/>
                </w:tcPr>
                <w:p w14:paraId="5B9251DE">
                  <w:pPr>
                    <w:widowControl/>
                    <w:jc w:val="center"/>
                    <w:textAlignment w:val="center"/>
                    <w:rPr>
                      <w:rFonts w:hint="eastAsia"/>
                      <w:szCs w:val="21"/>
                    </w:rPr>
                  </w:pPr>
                </w:p>
              </w:tc>
              <w:tc>
                <w:tcPr>
                  <w:tcW w:w="1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3EB254">
                  <w:pPr>
                    <w:widowControl/>
                    <w:jc w:val="center"/>
                    <w:textAlignment w:val="center"/>
                    <w:rPr>
                      <w:rFonts w:hint="eastAsia"/>
                      <w:szCs w:val="21"/>
                    </w:rPr>
                  </w:pPr>
                  <w:r>
                    <w:rPr>
                      <w:rFonts w:hint="eastAsia"/>
                      <w:szCs w:val="21"/>
                    </w:rPr>
                    <w:t>颗粒物</w:t>
                  </w:r>
                </w:p>
              </w:tc>
              <w:tc>
                <w:tcPr>
                  <w:tcW w:w="880" w:type="dxa"/>
                  <w:vMerge w:val="continue"/>
                  <w:tcBorders>
                    <w:left w:val="single" w:color="000000" w:sz="4" w:space="0"/>
                    <w:bottom w:val="single" w:color="000000" w:sz="4" w:space="0"/>
                  </w:tcBorders>
                  <w:noWrap/>
                  <w:tcMar>
                    <w:top w:w="12" w:type="dxa"/>
                    <w:left w:w="12" w:type="dxa"/>
                    <w:right w:w="12" w:type="dxa"/>
                  </w:tcMar>
                  <w:vAlign w:val="center"/>
                </w:tcPr>
                <w:p w14:paraId="1B1B117E">
                  <w:pPr>
                    <w:widowControl/>
                    <w:jc w:val="center"/>
                    <w:textAlignment w:val="center"/>
                    <w:rPr>
                      <w:rFonts w:hint="eastAsia"/>
                      <w:szCs w:val="21"/>
                    </w:rPr>
                  </w:pPr>
                </w:p>
              </w:tc>
            </w:tr>
            <w:tr w14:paraId="09C976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5" w:hRule="atLeast"/>
              </w:trPr>
              <w:tc>
                <w:tcPr>
                  <w:tcW w:w="575" w:type="dxa"/>
                  <w:tcBorders>
                    <w:top w:val="single" w:color="000000" w:sz="4" w:space="0"/>
                    <w:right w:val="single" w:color="000000" w:sz="4" w:space="0"/>
                  </w:tcBorders>
                  <w:noWrap w:val="0"/>
                  <w:tcMar>
                    <w:top w:w="12" w:type="dxa"/>
                    <w:left w:w="12" w:type="dxa"/>
                    <w:right w:w="12" w:type="dxa"/>
                  </w:tcMar>
                  <w:vAlign w:val="center"/>
                </w:tcPr>
                <w:p w14:paraId="4ED1B7A3">
                  <w:pPr>
                    <w:widowControl/>
                    <w:jc w:val="center"/>
                    <w:textAlignment w:val="center"/>
                    <w:rPr>
                      <w:rFonts w:hint="eastAsia"/>
                      <w:szCs w:val="21"/>
                    </w:rPr>
                  </w:pPr>
                  <w:r>
                    <w:rPr>
                      <w:rFonts w:hint="eastAsia"/>
                      <w:szCs w:val="21"/>
                    </w:rPr>
                    <w:t>2</w:t>
                  </w:r>
                </w:p>
              </w:tc>
              <w:tc>
                <w:tcPr>
                  <w:tcW w:w="891"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0794872E">
                  <w:pPr>
                    <w:widowControl/>
                    <w:jc w:val="center"/>
                    <w:textAlignment w:val="center"/>
                    <w:rPr>
                      <w:szCs w:val="21"/>
                    </w:rPr>
                  </w:pPr>
                  <w:r>
                    <w:rPr>
                      <w:rFonts w:hint="eastAsia"/>
                      <w:szCs w:val="21"/>
                    </w:rPr>
                    <w:t>DA002</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522984C4">
                  <w:pPr>
                    <w:widowControl/>
                    <w:jc w:val="center"/>
                    <w:textAlignment w:val="center"/>
                    <w:rPr>
                      <w:rFonts w:hint="eastAsia"/>
                      <w:szCs w:val="21"/>
                    </w:rPr>
                  </w:pPr>
                  <w:r>
                    <w:rPr>
                      <w:rFonts w:hint="eastAsia"/>
                      <w:szCs w:val="21"/>
                    </w:rPr>
                    <w:t>颗粒物</w:t>
                  </w:r>
                </w:p>
              </w:tc>
              <w:tc>
                <w:tcPr>
                  <w:tcW w:w="9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4D1E284A">
                  <w:pPr>
                    <w:widowControl/>
                    <w:jc w:val="center"/>
                    <w:textAlignment w:val="center"/>
                    <w:rPr>
                      <w:rFonts w:hint="eastAsia"/>
                      <w:szCs w:val="21"/>
                    </w:rPr>
                  </w:pPr>
                  <w:r>
                    <w:rPr>
                      <w:rFonts w:hint="eastAsia"/>
                      <w:szCs w:val="21"/>
                    </w:rPr>
                    <w:t>120</w:t>
                  </w:r>
                </w:p>
              </w:tc>
              <w:tc>
                <w:tcPr>
                  <w:tcW w:w="932"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3C23F4E0">
                  <w:pPr>
                    <w:widowControl/>
                    <w:jc w:val="center"/>
                    <w:textAlignment w:val="center"/>
                    <w:rPr>
                      <w:rFonts w:hint="eastAsia"/>
                      <w:szCs w:val="21"/>
                    </w:rPr>
                  </w:pPr>
                  <w:r>
                    <w:rPr>
                      <w:rFonts w:hint="eastAsia"/>
                      <w:szCs w:val="21"/>
                    </w:rPr>
                    <w:t>3.5</w:t>
                  </w:r>
                </w:p>
              </w:tc>
              <w:tc>
                <w:tcPr>
                  <w:tcW w:w="1438"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4E348710">
                  <w:pPr>
                    <w:widowControl/>
                    <w:jc w:val="center"/>
                    <w:textAlignment w:val="center"/>
                    <w:rPr>
                      <w:rFonts w:hint="eastAsia"/>
                      <w:szCs w:val="21"/>
                    </w:rPr>
                  </w:pPr>
                  <w:r>
                    <w:rPr>
                      <w:kern w:val="0"/>
                      <w:szCs w:val="21"/>
                      <w:lang w:bidi="ar"/>
                    </w:rPr>
                    <w:t>11</w:t>
                  </w:r>
                  <w:r>
                    <w:rPr>
                      <w:rFonts w:hint="eastAsia"/>
                      <w:kern w:val="0"/>
                      <w:szCs w:val="21"/>
                      <w:lang w:bidi="ar"/>
                    </w:rPr>
                    <w:t>6</w:t>
                  </w:r>
                  <w:r>
                    <w:rPr>
                      <w:kern w:val="0"/>
                      <w:szCs w:val="21"/>
                      <w:lang w:bidi="ar"/>
                    </w:rPr>
                    <w:t>°</w:t>
                  </w:r>
                  <w:r>
                    <w:rPr>
                      <w:rFonts w:hint="eastAsia"/>
                      <w:kern w:val="0"/>
                      <w:szCs w:val="21"/>
                      <w:lang w:bidi="ar"/>
                    </w:rPr>
                    <w:t>54</w:t>
                  </w:r>
                  <w:r>
                    <w:rPr>
                      <w:kern w:val="0"/>
                      <w:szCs w:val="21"/>
                      <w:lang w:bidi="ar"/>
                    </w:rPr>
                    <w:t>′</w:t>
                  </w:r>
                  <w:r>
                    <w:rPr>
                      <w:rFonts w:hint="eastAsia"/>
                      <w:kern w:val="0"/>
                      <w:szCs w:val="21"/>
                      <w:lang w:bidi="ar"/>
                    </w:rPr>
                    <w:t>41.7</w:t>
                  </w:r>
                  <w:r>
                    <w:rPr>
                      <w:kern w:val="0"/>
                      <w:szCs w:val="21"/>
                      <w:lang w:bidi="ar"/>
                    </w:rPr>
                    <w:t>″</w:t>
                  </w:r>
                </w:p>
              </w:tc>
              <w:tc>
                <w:tcPr>
                  <w:tcW w:w="1358"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6AEC0FC9">
                  <w:pPr>
                    <w:widowControl/>
                    <w:jc w:val="center"/>
                    <w:textAlignment w:val="center"/>
                    <w:rPr>
                      <w:rFonts w:hint="eastAsia"/>
                      <w:szCs w:val="21"/>
                    </w:rPr>
                  </w:pPr>
                  <w:r>
                    <w:rPr>
                      <w:kern w:val="0"/>
                      <w:szCs w:val="21"/>
                      <w:lang w:bidi="ar"/>
                    </w:rPr>
                    <w:t>3</w:t>
                  </w:r>
                  <w:r>
                    <w:rPr>
                      <w:rFonts w:hint="eastAsia"/>
                      <w:kern w:val="0"/>
                      <w:szCs w:val="21"/>
                      <w:lang w:bidi="ar"/>
                    </w:rPr>
                    <w:t>4</w:t>
                  </w:r>
                  <w:r>
                    <w:rPr>
                      <w:kern w:val="0"/>
                      <w:szCs w:val="21"/>
                      <w:lang w:bidi="ar"/>
                    </w:rPr>
                    <w:t>°</w:t>
                  </w:r>
                  <w:r>
                    <w:rPr>
                      <w:rFonts w:hint="eastAsia"/>
                      <w:kern w:val="0"/>
                      <w:szCs w:val="21"/>
                      <w:lang w:bidi="ar"/>
                    </w:rPr>
                    <w:t>2</w:t>
                  </w:r>
                  <w:r>
                    <w:rPr>
                      <w:kern w:val="0"/>
                      <w:szCs w:val="21"/>
                      <w:lang w:bidi="ar"/>
                    </w:rPr>
                    <w:t>′</w:t>
                  </w:r>
                  <w:r>
                    <w:rPr>
                      <w:rFonts w:hint="eastAsia"/>
                      <w:kern w:val="0"/>
                      <w:szCs w:val="21"/>
                      <w:lang w:bidi="ar"/>
                    </w:rPr>
                    <w:t>37.6</w:t>
                  </w:r>
                  <w:r>
                    <w:rPr>
                      <w:kern w:val="0"/>
                      <w:szCs w:val="21"/>
                      <w:lang w:bidi="ar"/>
                    </w:rPr>
                    <w:t>″</w:t>
                  </w:r>
                </w:p>
              </w:tc>
              <w:tc>
                <w:tcPr>
                  <w:tcW w:w="878"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3276F9F1">
                  <w:pPr>
                    <w:widowControl/>
                    <w:jc w:val="center"/>
                    <w:textAlignment w:val="center"/>
                    <w:rPr>
                      <w:rFonts w:hint="default"/>
                      <w:szCs w:val="21"/>
                      <w:lang w:val="en-US"/>
                    </w:rPr>
                  </w:pPr>
                  <w:r>
                    <w:rPr>
                      <w:rFonts w:hint="eastAsia"/>
                      <w:szCs w:val="21"/>
                      <w:lang w:val="en-US" w:eastAsia="zh-CN"/>
                    </w:rPr>
                    <w:t>17</w:t>
                  </w:r>
                </w:p>
              </w:tc>
              <w:tc>
                <w:tcPr>
                  <w:tcW w:w="905"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0C1C75F5">
                  <w:pPr>
                    <w:widowControl/>
                    <w:jc w:val="center"/>
                    <w:textAlignment w:val="center"/>
                    <w:rPr>
                      <w:szCs w:val="21"/>
                    </w:rPr>
                  </w:pPr>
                  <w:r>
                    <w:rPr>
                      <w:rFonts w:hint="eastAsia"/>
                      <w:szCs w:val="21"/>
                    </w:rPr>
                    <w:t>0.6</w:t>
                  </w:r>
                </w:p>
              </w:tc>
              <w:tc>
                <w:tcPr>
                  <w:tcW w:w="734" w:type="dxa"/>
                  <w:tcBorders>
                    <w:top w:val="single" w:color="000000" w:sz="4" w:space="0"/>
                    <w:left w:val="single" w:color="000000" w:sz="4" w:space="0"/>
                    <w:right w:val="single" w:color="000000" w:sz="4" w:space="0"/>
                  </w:tcBorders>
                  <w:noWrap w:val="0"/>
                  <w:tcMar>
                    <w:top w:w="12" w:type="dxa"/>
                    <w:left w:w="12" w:type="dxa"/>
                    <w:right w:w="12" w:type="dxa"/>
                  </w:tcMar>
                  <w:vAlign w:val="center"/>
                </w:tcPr>
                <w:p w14:paraId="1BFFC43B">
                  <w:pPr>
                    <w:widowControl/>
                    <w:jc w:val="center"/>
                    <w:textAlignment w:val="center"/>
                    <w:rPr>
                      <w:rFonts w:hint="eastAsia"/>
                      <w:szCs w:val="21"/>
                    </w:rPr>
                  </w:pPr>
                  <w:r>
                    <w:rPr>
                      <w:rFonts w:hint="eastAsia"/>
                      <w:szCs w:val="21"/>
                    </w:rPr>
                    <w:t>常温</w:t>
                  </w:r>
                </w:p>
              </w:tc>
              <w:tc>
                <w:tcPr>
                  <w:tcW w:w="1265" w:type="dxa"/>
                  <w:vMerge w:val="continue"/>
                  <w:tcBorders>
                    <w:left w:val="single" w:color="000000" w:sz="4" w:space="0"/>
                    <w:right w:val="single" w:color="000000" w:sz="4" w:space="0"/>
                  </w:tcBorders>
                  <w:noWrap/>
                  <w:tcMar>
                    <w:top w:w="12" w:type="dxa"/>
                    <w:left w:w="12" w:type="dxa"/>
                    <w:right w:w="12" w:type="dxa"/>
                  </w:tcMar>
                  <w:vAlign w:val="center"/>
                </w:tcPr>
                <w:p w14:paraId="2094F5FA">
                  <w:pPr>
                    <w:widowControl/>
                    <w:jc w:val="center"/>
                    <w:textAlignment w:val="center"/>
                    <w:rPr>
                      <w:rFonts w:hint="eastAsia"/>
                      <w:szCs w:val="21"/>
                    </w:rPr>
                  </w:pPr>
                </w:p>
              </w:tc>
              <w:tc>
                <w:tcPr>
                  <w:tcW w:w="1744" w:type="dxa"/>
                  <w:tcBorders>
                    <w:top w:val="single" w:color="000000" w:sz="4" w:space="0"/>
                    <w:left w:val="single" w:color="000000" w:sz="4" w:space="0"/>
                    <w:right w:val="single" w:color="000000" w:sz="4" w:space="0"/>
                  </w:tcBorders>
                  <w:noWrap/>
                  <w:tcMar>
                    <w:top w:w="12" w:type="dxa"/>
                    <w:left w:w="12" w:type="dxa"/>
                    <w:right w:w="12" w:type="dxa"/>
                  </w:tcMar>
                  <w:vAlign w:val="center"/>
                </w:tcPr>
                <w:p w14:paraId="06F726BD">
                  <w:pPr>
                    <w:widowControl/>
                    <w:jc w:val="center"/>
                    <w:textAlignment w:val="center"/>
                    <w:rPr>
                      <w:rFonts w:hint="eastAsia"/>
                      <w:szCs w:val="21"/>
                    </w:rPr>
                  </w:pPr>
                  <w:r>
                    <w:rPr>
                      <w:rFonts w:hint="eastAsia"/>
                      <w:szCs w:val="21"/>
                    </w:rPr>
                    <w:t>颗粒物</w:t>
                  </w:r>
                </w:p>
              </w:tc>
              <w:tc>
                <w:tcPr>
                  <w:tcW w:w="880" w:type="dxa"/>
                  <w:tcBorders>
                    <w:top w:val="single" w:color="000000" w:sz="4" w:space="0"/>
                    <w:left w:val="single" w:color="000000" w:sz="4" w:space="0"/>
                  </w:tcBorders>
                  <w:noWrap/>
                  <w:tcMar>
                    <w:top w:w="12" w:type="dxa"/>
                    <w:left w:w="12" w:type="dxa"/>
                    <w:right w:w="12" w:type="dxa"/>
                  </w:tcMar>
                  <w:vAlign w:val="center"/>
                </w:tcPr>
                <w:p w14:paraId="2519AE61">
                  <w:pPr>
                    <w:widowControl/>
                    <w:jc w:val="center"/>
                    <w:textAlignment w:val="center"/>
                    <w:rPr>
                      <w:rFonts w:hint="eastAsia"/>
                      <w:szCs w:val="21"/>
                    </w:rPr>
                  </w:pPr>
                  <w:r>
                    <w:rPr>
                      <w:rFonts w:hint="eastAsia"/>
                      <w:szCs w:val="21"/>
                    </w:rPr>
                    <w:t>1次/年</w:t>
                  </w:r>
                </w:p>
              </w:tc>
            </w:tr>
            <w:bookmarkEnd w:id="6"/>
          </w:tbl>
          <w:p w14:paraId="45B7CFCA">
            <w:pPr>
              <w:rPr>
                <w:rFonts w:hint="eastAsia"/>
                <w:szCs w:val="21"/>
              </w:rPr>
            </w:pPr>
          </w:p>
        </w:tc>
      </w:tr>
    </w:tbl>
    <w:p w14:paraId="4992110D">
      <w:pPr>
        <w:pStyle w:val="14"/>
        <w:rPr>
          <w:rFonts w:hint="eastAsia"/>
          <w:szCs w:val="21"/>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7999"/>
      </w:tblGrid>
      <w:tr w14:paraId="6CE1A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noWrap w:val="0"/>
            <w:vAlign w:val="center"/>
          </w:tcPr>
          <w:p w14:paraId="2BDE52D1">
            <w:pPr>
              <w:adjustRightInd w:val="0"/>
              <w:snapToGrid w:val="0"/>
              <w:jc w:val="center"/>
              <w:rPr>
                <w:rFonts w:hint="eastAsia" w:ascii="宋体" w:hAnsi="宋体" w:cs="宋体"/>
                <w:b/>
                <w:bCs/>
                <w:szCs w:val="21"/>
              </w:rPr>
            </w:pPr>
            <w:r>
              <w:rPr>
                <w:rFonts w:hint="eastAsia" w:ascii="宋体" w:hAnsi="宋体" w:cs="宋体"/>
                <w:b/>
                <w:bCs/>
                <w:szCs w:val="21"/>
              </w:rPr>
              <w:t>运营</w:t>
            </w:r>
          </w:p>
          <w:p w14:paraId="08257DFA">
            <w:pPr>
              <w:adjustRightInd w:val="0"/>
              <w:snapToGrid w:val="0"/>
              <w:jc w:val="center"/>
              <w:rPr>
                <w:rFonts w:hint="eastAsia" w:ascii="宋体" w:hAnsi="宋体" w:cs="宋体"/>
                <w:b/>
                <w:bCs/>
                <w:szCs w:val="21"/>
              </w:rPr>
            </w:pPr>
            <w:r>
              <w:rPr>
                <w:rFonts w:hint="eastAsia" w:ascii="宋体" w:hAnsi="宋体" w:cs="宋体"/>
                <w:b/>
                <w:bCs/>
                <w:szCs w:val="21"/>
              </w:rPr>
              <w:t>期环</w:t>
            </w:r>
          </w:p>
          <w:p w14:paraId="45CF99E6">
            <w:pPr>
              <w:adjustRightInd w:val="0"/>
              <w:snapToGrid w:val="0"/>
              <w:jc w:val="center"/>
              <w:rPr>
                <w:rFonts w:hint="eastAsia" w:ascii="宋体" w:hAnsi="宋体" w:cs="宋体"/>
                <w:b/>
                <w:bCs/>
                <w:szCs w:val="21"/>
              </w:rPr>
            </w:pPr>
            <w:r>
              <w:rPr>
                <w:rFonts w:hint="eastAsia" w:ascii="宋体" w:hAnsi="宋体" w:cs="宋体"/>
                <w:b/>
                <w:bCs/>
                <w:szCs w:val="21"/>
              </w:rPr>
              <w:t>境影</w:t>
            </w:r>
          </w:p>
          <w:p w14:paraId="249D582E">
            <w:pPr>
              <w:adjustRightInd w:val="0"/>
              <w:snapToGrid w:val="0"/>
              <w:jc w:val="center"/>
              <w:rPr>
                <w:rFonts w:hint="eastAsia" w:ascii="宋体" w:hAnsi="宋体" w:cs="宋体"/>
                <w:b/>
                <w:bCs/>
                <w:szCs w:val="21"/>
              </w:rPr>
            </w:pPr>
            <w:r>
              <w:rPr>
                <w:rFonts w:hint="eastAsia" w:ascii="宋体" w:hAnsi="宋体" w:cs="宋体"/>
                <w:b/>
                <w:bCs/>
                <w:szCs w:val="21"/>
              </w:rPr>
              <w:t>响和</w:t>
            </w:r>
          </w:p>
          <w:p w14:paraId="184D8317">
            <w:pPr>
              <w:adjustRightInd w:val="0"/>
              <w:snapToGrid w:val="0"/>
              <w:jc w:val="center"/>
              <w:rPr>
                <w:rFonts w:hint="eastAsia" w:ascii="宋体" w:hAnsi="宋体" w:cs="宋体"/>
                <w:b/>
                <w:bCs/>
                <w:szCs w:val="21"/>
              </w:rPr>
            </w:pPr>
            <w:r>
              <w:rPr>
                <w:rFonts w:hint="eastAsia" w:ascii="宋体" w:hAnsi="宋体" w:cs="宋体"/>
                <w:b/>
                <w:bCs/>
                <w:szCs w:val="21"/>
              </w:rPr>
              <w:t>保护</w:t>
            </w:r>
          </w:p>
          <w:p w14:paraId="0ECDF684">
            <w:pPr>
              <w:adjustRightInd w:val="0"/>
              <w:snapToGrid w:val="0"/>
              <w:jc w:val="center"/>
              <w:rPr>
                <w:rFonts w:hint="eastAsia"/>
                <w:szCs w:val="21"/>
              </w:rPr>
            </w:pPr>
            <w:r>
              <w:rPr>
                <w:rFonts w:hint="eastAsia" w:ascii="宋体" w:hAnsi="宋体" w:cs="宋体"/>
                <w:b/>
                <w:bCs/>
                <w:szCs w:val="21"/>
              </w:rPr>
              <w:t>措施</w:t>
            </w:r>
          </w:p>
        </w:tc>
        <w:tc>
          <w:tcPr>
            <w:tcW w:w="7999" w:type="dxa"/>
            <w:noWrap w:val="0"/>
            <w:vAlign w:val="center"/>
          </w:tcPr>
          <w:p w14:paraId="6E1FE55E">
            <w:pPr>
              <w:spacing w:line="360" w:lineRule="auto"/>
              <w:ind w:firstLine="482" w:firstLineChars="200"/>
              <w:rPr>
                <w:b/>
                <w:bCs/>
                <w:sz w:val="24"/>
              </w:rPr>
            </w:pPr>
            <w:r>
              <w:rPr>
                <w:rFonts w:hint="eastAsia"/>
                <w:b/>
                <w:bCs/>
                <w:sz w:val="24"/>
              </w:rPr>
              <w:t>大气环境影响分析：</w:t>
            </w:r>
          </w:p>
          <w:p w14:paraId="2C123628">
            <w:pPr>
              <w:spacing w:line="360" w:lineRule="auto"/>
              <w:ind w:firstLine="480" w:firstLineChars="200"/>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本项目有组织废气处理措施如下：</w:t>
            </w:r>
          </w:p>
          <w:p w14:paraId="79FC2367">
            <w:pPr>
              <w:spacing w:line="360" w:lineRule="auto"/>
              <w:ind w:firstLine="480" w:firstLineChars="200"/>
              <w:rPr>
                <w:rFonts w:hint="eastAsia"/>
                <w:sz w:val="24"/>
              </w:rPr>
            </w:pPr>
            <w:r>
              <w:rPr>
                <w:rFonts w:hint="eastAsia"/>
                <w:sz w:val="24"/>
              </w:rPr>
              <w:t>本项目</w:t>
            </w:r>
            <w:r>
              <w:rPr>
                <w:rFonts w:hint="eastAsia"/>
                <w:sz w:val="24"/>
                <w:lang w:val="en-US" w:eastAsia="zh-CN"/>
              </w:rPr>
              <w:t>抛丸产生的</w:t>
            </w:r>
            <w:r>
              <w:rPr>
                <w:rFonts w:hint="eastAsia"/>
                <w:sz w:val="24"/>
              </w:rPr>
              <w:t>抛丸粉尘</w:t>
            </w:r>
            <w:r>
              <w:rPr>
                <w:rFonts w:hint="eastAsia"/>
                <w:sz w:val="24"/>
                <w:lang w:val="en-US" w:eastAsia="zh-CN"/>
              </w:rPr>
              <w:t>经</w:t>
            </w:r>
            <w:r>
              <w:rPr>
                <w:rFonts w:hint="eastAsia"/>
                <w:sz w:val="24"/>
              </w:rPr>
              <w:t>密闭管道收集，</w:t>
            </w:r>
            <w:r>
              <w:rPr>
                <w:rFonts w:hint="eastAsia"/>
                <w:sz w:val="24"/>
                <w:lang w:val="en-US" w:eastAsia="zh-CN"/>
              </w:rPr>
              <w:t>收集后经</w:t>
            </w:r>
            <w:r>
              <w:rPr>
                <w:rFonts w:hint="eastAsia"/>
                <w:sz w:val="24"/>
              </w:rPr>
              <w:t>抛丸机自带振打式布袋除尘器处理</w:t>
            </w:r>
            <w:r>
              <w:rPr>
                <w:rFonts w:hint="eastAsia"/>
                <w:sz w:val="24"/>
                <w:lang w:eastAsia="zh-CN"/>
              </w:rPr>
              <w:t>，处理</w:t>
            </w:r>
            <w:r>
              <w:rPr>
                <w:rFonts w:hint="eastAsia"/>
                <w:sz w:val="24"/>
                <w:lang w:val="en-US" w:eastAsia="zh-CN"/>
              </w:rPr>
              <w:t>完成后由</w:t>
            </w:r>
            <w:r>
              <w:rPr>
                <w:rFonts w:hint="eastAsia"/>
                <w:sz w:val="24"/>
                <w:lang w:eastAsia="zh-CN"/>
              </w:rPr>
              <w:t>一根17m高排气筒（DA002）排放</w:t>
            </w:r>
            <w:r>
              <w:rPr>
                <w:rFonts w:hint="eastAsia"/>
                <w:sz w:val="24"/>
              </w:rPr>
              <w:t>；</w:t>
            </w:r>
            <w:r>
              <w:rPr>
                <w:rFonts w:hint="eastAsia"/>
                <w:sz w:val="24"/>
                <w:lang w:val="en-US" w:eastAsia="zh-CN"/>
              </w:rPr>
              <w:t>喷漆废气在干式喷漆室经全封闭微负压收集后，封闭废气经配套低氮燃烧器后，通过引风管负压收集，与喷漆废气共用一套“过滤棉+两级活性炭吸附”设施处理，处理完成由一根17m高排气筒（DA001）排放；</w:t>
            </w:r>
            <w:r>
              <w:rPr>
                <w:rFonts w:hint="eastAsia"/>
                <w:color w:val="FF0000"/>
                <w:sz w:val="24"/>
                <w:szCs w:val="24"/>
                <w:lang w:val="en-US" w:eastAsia="zh-CN"/>
              </w:rPr>
              <w:t>燃气渗锌炉配套低氮燃烧器，渗锌废气在密闭设备中通过引风管收集，处理完成由一根17m高排气筒（DA001）排放</w:t>
            </w:r>
            <w:r>
              <w:rPr>
                <w:rFonts w:hint="eastAsia"/>
                <w:sz w:val="24"/>
              </w:rPr>
              <w:t>。</w:t>
            </w:r>
          </w:p>
          <w:p w14:paraId="687E7912">
            <w:pPr>
              <w:spacing w:line="360" w:lineRule="auto"/>
              <w:ind w:firstLine="480" w:firstLineChars="200"/>
              <w:rPr>
                <w:color w:val="auto"/>
                <w:sz w:val="24"/>
              </w:rPr>
            </w:pPr>
            <w:r>
              <w:rPr>
                <w:rFonts w:hint="eastAsia"/>
                <w:color w:val="auto"/>
                <w:sz w:val="24"/>
              </w:rPr>
              <w:t>（2）废气治理措施可行性分析</w:t>
            </w:r>
          </w:p>
          <w:p w14:paraId="0FF11C00">
            <w:pPr>
              <w:spacing w:line="360" w:lineRule="auto"/>
              <w:ind w:firstLine="480" w:firstLineChars="200"/>
              <w:rPr>
                <w:rFonts w:hint="eastAsia" w:ascii="Times New Roman" w:hAnsi="Times New Roman"/>
                <w:kern w:val="0"/>
                <w:sz w:val="24"/>
                <w:lang w:eastAsia="zh-CN"/>
              </w:rPr>
            </w:pPr>
            <w:r>
              <w:rPr>
                <w:rFonts w:hint="eastAsia" w:ascii="宋体" w:hAnsi="宋体" w:eastAsia="宋体" w:cs="宋体"/>
                <w:sz w:val="24"/>
              </w:rPr>
              <w:t>①</w:t>
            </w:r>
            <w:r>
              <w:rPr>
                <w:rFonts w:hint="eastAsia" w:ascii="宋体" w:hAnsi="宋体" w:eastAsia="宋体" w:cs="宋体"/>
                <w:sz w:val="24"/>
                <w:lang w:val="en-US" w:eastAsia="zh-CN"/>
              </w:rPr>
              <w:t>抛丸粉尘：抛丸粉尘</w:t>
            </w:r>
            <w:r>
              <w:rPr>
                <w:rFonts w:ascii="Times New Roman" w:hAnsi="Times New Roman"/>
                <w:kern w:val="0"/>
                <w:sz w:val="24"/>
              </w:rPr>
              <w:t>参考《排放源统计调查产排污核算方法和系数手册》中“工业行业产排污系数手册”的“33-37 机械行业系数手册”中颗粒物可以采取袋式/滤筒除尘器装置，因此采用布袋除尘器属于可行性技术</w:t>
            </w:r>
            <w:r>
              <w:rPr>
                <w:rFonts w:hint="eastAsia" w:ascii="Times New Roman" w:hAnsi="Times New Roman"/>
                <w:kern w:val="0"/>
                <w:sz w:val="24"/>
                <w:lang w:eastAsia="zh-CN"/>
              </w:rPr>
              <w:t>。</w:t>
            </w:r>
          </w:p>
          <w:p w14:paraId="6948945A">
            <w:pPr>
              <w:spacing w:line="360" w:lineRule="auto"/>
              <w:ind w:firstLine="480" w:firstLineChars="200"/>
              <w:rPr>
                <w:rFonts w:hint="eastAsia" w:ascii="宋体" w:hAnsi="宋体" w:eastAsia="宋体" w:cs="宋体"/>
                <w:sz w:val="24"/>
                <w:lang w:val="en-US" w:eastAsia="zh-CN"/>
              </w:rPr>
            </w:pPr>
            <w:r>
              <w:rPr>
                <w:rFonts w:hint="eastAsia" w:ascii="Times New Roman" w:hAnsi="Times New Roman"/>
                <w:kern w:val="0"/>
                <w:sz w:val="24"/>
                <w:lang w:eastAsia="zh-CN"/>
              </w:rPr>
              <w:t>布袋除尘器原理：含尘气体从底部开口法兰进入滤室，粗颗粒直接落入灰仓，含尘气体经滤袋过滤，粉尘停留在滤袋表面。洁净气体通过袋口进入洁净空气室，由风机排到大气中。当滤袋表面粉尘增多时，程控仪表开始工作。依次打开脉冲阀，使压缩空气从喷嘴喷出，清洗滤袋，使滤袋突然膨胀。在反向气流的作用下，布袋表面的粉尘迅速从滤袋中分离出来，落入灰仓，由排灰阀排出</w:t>
            </w:r>
          </w:p>
          <w:p w14:paraId="66B2481B">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②</w:t>
            </w:r>
            <w:r>
              <w:rPr>
                <w:rFonts w:hint="eastAsia" w:ascii="宋体" w:hAnsi="宋体" w:eastAsia="宋体" w:cs="宋体"/>
                <w:sz w:val="24"/>
                <w:lang w:val="en-US" w:eastAsia="zh-CN"/>
              </w:rPr>
              <w:t>喷漆废气：</w:t>
            </w:r>
            <w:r>
              <w:rPr>
                <w:rFonts w:hint="eastAsia"/>
                <w:color w:val="auto"/>
                <w:sz w:val="24"/>
              </w:rPr>
              <w:t>有机废气采用二活性炭吸附处理，根据</w:t>
            </w:r>
            <w:r>
              <w:rPr>
                <w:bCs/>
                <w:color w:val="auto"/>
                <w:sz w:val="24"/>
              </w:rPr>
              <w:t>《挥发性有机物治理实用手册》</w:t>
            </w:r>
            <w:r>
              <w:rPr>
                <w:rFonts w:hint="eastAsia"/>
                <w:color w:val="auto"/>
                <w:sz w:val="24"/>
              </w:rPr>
              <w:t>，活性炭吸附法属于可行性技术</w:t>
            </w:r>
            <w:r>
              <w:rPr>
                <w:rFonts w:hint="eastAsia"/>
                <w:color w:val="auto"/>
                <w:sz w:val="24"/>
                <w:lang w:eastAsia="zh-CN"/>
              </w:rPr>
              <w:t>；</w:t>
            </w:r>
            <w:r>
              <w:rPr>
                <w:rFonts w:hint="eastAsia"/>
                <w:color w:val="auto"/>
                <w:sz w:val="24"/>
                <w:lang w:val="en-US" w:eastAsia="zh-CN"/>
              </w:rPr>
              <w:t>漆雾颗粒</w:t>
            </w:r>
            <w:r>
              <w:rPr>
                <w:rFonts w:hint="eastAsia"/>
                <w:sz w:val="24"/>
                <w:lang w:val="en-US" w:eastAsia="zh-CN"/>
              </w:rPr>
              <w:t>在干式喷漆室内</w:t>
            </w:r>
            <w:r>
              <w:rPr>
                <w:rFonts w:hint="eastAsia"/>
                <w:color w:val="auto"/>
                <w:sz w:val="24"/>
                <w:lang w:val="en-US" w:eastAsia="zh-CN"/>
              </w:rPr>
              <w:t>采用过滤棉吸附处理，参考</w:t>
            </w:r>
            <w:r>
              <w:rPr>
                <w:rFonts w:ascii="Times New Roman" w:hAnsi="Times New Roman"/>
                <w:kern w:val="0"/>
                <w:sz w:val="24"/>
              </w:rPr>
              <w:t>《排放源统计调查产排污核算方法和系数手册》中“工业行业产排污系数手册”的“33-37 机械行业系数手册”中</w:t>
            </w:r>
            <w:r>
              <w:rPr>
                <w:rFonts w:hint="eastAsia"/>
                <w:kern w:val="0"/>
                <w:sz w:val="24"/>
                <w:lang w:eastAsia="zh-CN"/>
              </w:rPr>
              <w:t>“</w:t>
            </w:r>
            <w:r>
              <w:rPr>
                <w:rFonts w:hint="eastAsia" w:ascii="Times New Roman" w:hAnsi="Times New Roman"/>
                <w:kern w:val="0"/>
                <w:sz w:val="24"/>
                <w:lang w:val="en-US" w:eastAsia="zh-CN"/>
              </w:rPr>
              <w:t>喷漆/喷漆后烘干</w:t>
            </w:r>
            <w:r>
              <w:rPr>
                <w:rFonts w:hint="eastAsia"/>
                <w:kern w:val="0"/>
                <w:sz w:val="24"/>
                <w:lang w:eastAsia="zh-CN"/>
              </w:rPr>
              <w:t>”</w:t>
            </w:r>
            <w:r>
              <w:rPr>
                <w:rFonts w:hint="eastAsia" w:ascii="Times New Roman" w:hAnsi="Times New Roman"/>
                <w:kern w:val="0"/>
                <w:sz w:val="24"/>
                <w:lang w:val="en-US" w:eastAsia="zh-CN"/>
              </w:rPr>
              <w:t>可以采取吸附装置处理，因此采用</w:t>
            </w:r>
            <w:r>
              <w:rPr>
                <w:rFonts w:hint="eastAsia"/>
                <w:color w:val="auto"/>
                <w:sz w:val="24"/>
                <w:lang w:val="en-US" w:eastAsia="zh-CN"/>
              </w:rPr>
              <w:t>过滤棉吸附为可行措施。</w:t>
            </w:r>
          </w:p>
          <w:p w14:paraId="1C0A0831">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③</w:t>
            </w:r>
            <w:r>
              <w:rPr>
                <w:rFonts w:hint="eastAsia" w:ascii="宋体" w:hAnsi="宋体" w:eastAsia="宋体" w:cs="宋体"/>
                <w:sz w:val="24"/>
                <w:lang w:val="en-US" w:eastAsia="zh-CN"/>
              </w:rPr>
              <w:t>天然气燃烧废气：</w:t>
            </w:r>
            <w:r>
              <w:rPr>
                <w:rFonts w:hint="eastAsia" w:ascii="宋体" w:hAnsi="宋体" w:eastAsia="宋体" w:cs="宋体"/>
                <w:color w:val="FF0000"/>
                <w:sz w:val="24"/>
                <w:szCs w:val="24"/>
                <w:lang w:val="en-US" w:eastAsia="zh-CN"/>
              </w:rPr>
              <w:t>工业炉窑天然气燃烧废气</w:t>
            </w:r>
            <w:r>
              <w:rPr>
                <w:rFonts w:hint="eastAsia" w:ascii="宋体" w:hAnsi="宋体" w:cs="宋体"/>
                <w:color w:val="FF0000"/>
                <w:sz w:val="24"/>
                <w:szCs w:val="24"/>
                <w:lang w:val="en-US" w:eastAsia="zh-CN"/>
              </w:rPr>
              <w:t>通过配套低氮燃烧器</w:t>
            </w:r>
            <w:r>
              <w:rPr>
                <w:rFonts w:hint="eastAsia" w:ascii="宋体" w:hAnsi="宋体" w:eastAsia="宋体" w:cs="宋体"/>
                <w:sz w:val="24"/>
                <w:lang w:val="en-US" w:eastAsia="zh-CN"/>
              </w:rPr>
              <w:t>，</w:t>
            </w:r>
            <w:r>
              <w:rPr>
                <w:rFonts w:hint="eastAsia"/>
                <w:color w:val="auto"/>
                <w:sz w:val="24"/>
                <w:lang w:val="en-US" w:eastAsia="zh-CN"/>
              </w:rPr>
              <w:t>参考</w:t>
            </w:r>
            <w:r>
              <w:rPr>
                <w:rFonts w:ascii="Times New Roman" w:hAnsi="Times New Roman"/>
                <w:kern w:val="0"/>
                <w:sz w:val="24"/>
              </w:rPr>
              <w:t>《排放源统计调查产排污核算方法和系数手册》中“工业行业产排污系数手册”的“33-37 机械行业系数手册”中</w:t>
            </w:r>
            <w:r>
              <w:rPr>
                <w:rFonts w:hint="eastAsia" w:ascii="宋体" w:hAnsi="宋体" w:eastAsia="宋体" w:cs="宋体"/>
                <w:sz w:val="24"/>
                <w:lang w:val="en-US" w:eastAsia="zh-CN"/>
              </w:rPr>
              <w:t>天然气工业炉窑可以采取“低氮燃烧法/延期循环燃烧法”，从因此采用低氮燃烧法属于可行技术。</w:t>
            </w:r>
          </w:p>
          <w:p w14:paraId="20CD6F5E">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（3）无组织排放控制要求</w:t>
            </w:r>
          </w:p>
          <w:p w14:paraId="3B18F90B">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本项目提出VOCs物料储存、转移等无组织排放控制要求如下：</w:t>
            </w:r>
          </w:p>
          <w:p w14:paraId="0D6E2739">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w:t>
            </w:r>
            <w:r>
              <w:rPr>
                <w:rFonts w:hint="eastAsia" w:ascii="Times New Roman" w:hAnsi="Times New Roman" w:cs="Times New Roman"/>
                <w:color w:val="auto"/>
                <w:sz w:val="24"/>
              </w:rPr>
              <w:t>水性环氧底漆</w:t>
            </w:r>
            <w:r>
              <w:rPr>
                <w:rFonts w:ascii="Times New Roman" w:hAnsi="Times New Roman" w:cs="Times New Roman"/>
                <w:color w:val="auto"/>
                <w:sz w:val="24"/>
              </w:rPr>
              <w:t>等物料应储存于密闭的包装桶中。</w:t>
            </w:r>
          </w:p>
          <w:p w14:paraId="5D632B71">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2、盛装</w:t>
            </w:r>
            <w:r>
              <w:rPr>
                <w:rFonts w:hint="eastAsia" w:ascii="Times New Roman" w:hAnsi="Times New Roman" w:cs="Times New Roman"/>
                <w:color w:val="auto"/>
                <w:sz w:val="24"/>
              </w:rPr>
              <w:t>水性环氧底漆</w:t>
            </w:r>
            <w:r>
              <w:rPr>
                <w:rFonts w:ascii="Times New Roman" w:hAnsi="Times New Roman" w:cs="Times New Roman"/>
                <w:color w:val="auto"/>
                <w:sz w:val="24"/>
              </w:rPr>
              <w:t>等物料包装桶在非取用状态时应加盖、封口，保持密闭。</w:t>
            </w:r>
          </w:p>
          <w:p w14:paraId="5CFC8483">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3、除人员、车辆、设备、物料进出时，以及依法设立的通风口外，门窗应随时保持关闭状态。</w:t>
            </w:r>
          </w:p>
          <w:p w14:paraId="44127CC2">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4、</w:t>
            </w:r>
            <w:r>
              <w:rPr>
                <w:rFonts w:hint="eastAsia" w:ascii="Times New Roman" w:hAnsi="Times New Roman" w:cs="Times New Roman"/>
                <w:color w:val="auto"/>
                <w:sz w:val="24"/>
              </w:rPr>
              <w:t>水性环氧底漆</w:t>
            </w:r>
            <w:r>
              <w:rPr>
                <w:rFonts w:ascii="Times New Roman" w:hAnsi="Times New Roman" w:cs="Times New Roman"/>
                <w:color w:val="auto"/>
                <w:sz w:val="24"/>
              </w:rPr>
              <w:t>等物料在运输过程采用非管道输送方式转移时，应采用密闭容器进行转移。</w:t>
            </w:r>
          </w:p>
          <w:p w14:paraId="63C3C249">
            <w:pPr>
              <w:spacing w:line="360" w:lineRule="auto"/>
              <w:ind w:firstLine="480" w:firstLineChars="200"/>
              <w:rPr>
                <w:rFonts w:hint="eastAsia"/>
                <w:sz w:val="24"/>
              </w:rPr>
            </w:pPr>
            <w:r>
              <w:rPr>
                <w:rFonts w:hint="eastAsia"/>
                <w:sz w:val="24"/>
              </w:rPr>
              <w:t>综合以上措施，本项目废气污染物排放能够满足《大气污染物综合排放标准》（GB16297-1996）中排放限值要求</w:t>
            </w:r>
            <w:r>
              <w:rPr>
                <w:rFonts w:hint="eastAsia"/>
                <w:sz w:val="24"/>
                <w:lang w:eastAsia="zh-CN"/>
              </w:rPr>
              <w:t>、</w:t>
            </w:r>
            <w:r>
              <w:rPr>
                <w:rFonts w:hint="eastAsia"/>
                <w:sz w:val="24"/>
              </w:rPr>
              <w:t>安徽省《固定源挥发性有机物综合排放标准 第6部分 其他行业》（DB34/4812.6-2024）排放限值</w:t>
            </w:r>
            <w:r>
              <w:rPr>
                <w:rFonts w:hint="eastAsia"/>
                <w:sz w:val="24"/>
                <w:lang w:val="en-US" w:eastAsia="zh-CN"/>
              </w:rPr>
              <w:t>要求以</w:t>
            </w:r>
            <w:r>
              <w:rPr>
                <w:rFonts w:hint="eastAsia"/>
                <w:sz w:val="24"/>
              </w:rPr>
              <w:t>及《工业炉窑大气污染综合治理方案》中</w:t>
            </w:r>
            <w:r>
              <w:rPr>
                <w:rFonts w:hint="eastAsia" w:ascii="Times New Roman" w:hAnsi="Times New Roman" w:eastAsia="宋体" w:cs="Times New Roman"/>
                <w:color w:val="auto"/>
                <w:kern w:val="0"/>
                <w:sz w:val="24"/>
              </w:rPr>
              <w:t>相关要求（重点区域原则上按照颗粒物排放限值不高于30毫克/立方米实施改造）</w:t>
            </w:r>
            <w:r>
              <w:rPr>
                <w:rFonts w:hint="eastAsia"/>
                <w:sz w:val="24"/>
              </w:rPr>
              <w:t>。</w:t>
            </w:r>
          </w:p>
          <w:p w14:paraId="4F4EEA1D">
            <w:pPr>
              <w:spacing w:line="360" w:lineRule="auto"/>
              <w:ind w:firstLine="480" w:firstLineChars="200"/>
              <w:rPr>
                <w:rFonts w:hint="eastAsia"/>
                <w:szCs w:val="21"/>
              </w:rPr>
            </w:pPr>
            <w:r>
              <w:rPr>
                <w:rFonts w:hint="eastAsia"/>
                <w:sz w:val="24"/>
              </w:rPr>
              <w:t>本项目位于环境质量不达标区，主要为环境空气基本污染物PM</w:t>
            </w:r>
            <w:r>
              <w:rPr>
                <w:rFonts w:hint="eastAsia"/>
                <w:sz w:val="24"/>
                <w:vertAlign w:val="subscript"/>
              </w:rPr>
              <w:t>2.5</w:t>
            </w:r>
            <w:r>
              <w:rPr>
                <w:rFonts w:hint="eastAsia"/>
                <w:sz w:val="24"/>
              </w:rPr>
              <w:t>和O</w:t>
            </w:r>
            <w:r>
              <w:rPr>
                <w:rFonts w:hint="eastAsia"/>
                <w:sz w:val="24"/>
                <w:vertAlign w:val="subscript"/>
              </w:rPr>
              <w:t>3</w:t>
            </w:r>
            <w:r>
              <w:rPr>
                <w:rFonts w:hint="eastAsia"/>
                <w:sz w:val="24"/>
              </w:rPr>
              <w:t>质量状况不能满足《环境空气质量标准》（GB3095-2012）中的二级标准，根据源强核算，项目废气</w:t>
            </w:r>
            <w:r>
              <w:rPr>
                <w:rFonts w:hint="eastAsia"/>
                <w:sz w:val="24"/>
                <w:lang w:val="en-US" w:eastAsia="zh-CN"/>
              </w:rPr>
              <w:t>污染物</w:t>
            </w:r>
            <w:r>
              <w:rPr>
                <w:rFonts w:hint="eastAsia"/>
                <w:sz w:val="24"/>
              </w:rPr>
              <w:t>经处理后排放量较小，故本项目对周边大气环境影响较小。</w:t>
            </w:r>
          </w:p>
        </w:tc>
      </w:tr>
    </w:tbl>
    <w:p w14:paraId="64DC96B9">
      <w:pPr>
        <w:pStyle w:val="21"/>
        <w:jc w:val="both"/>
        <w:outlineLvl w:val="0"/>
        <w:rPr>
          <w:rFonts w:hint="eastAsia" w:ascii="黑体" w:hAnsi="黑体" w:eastAsia="黑体"/>
          <w:snapToGrid w:val="0"/>
          <w:sz w:val="21"/>
          <w:szCs w:val="21"/>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143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557"/>
      </w:tblGrid>
      <w:tr w14:paraId="3F994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62" w:hRule="atLeast"/>
          <w:jc w:val="center"/>
        </w:trPr>
        <w:tc>
          <w:tcPr>
            <w:tcW w:w="756" w:type="dxa"/>
            <w:noWrap w:val="0"/>
            <w:vAlign w:val="center"/>
          </w:tcPr>
          <w:p w14:paraId="147AF006">
            <w:pPr>
              <w:adjustRightInd w:val="0"/>
              <w:snapToGrid w:val="0"/>
              <w:jc w:val="center"/>
              <w:rPr>
                <w:rFonts w:hint="eastAsia" w:ascii="宋体" w:hAnsi="宋体" w:cs="宋体"/>
                <w:b/>
                <w:bCs/>
                <w:szCs w:val="21"/>
              </w:rPr>
            </w:pPr>
            <w:r>
              <w:rPr>
                <w:rFonts w:hint="eastAsia" w:ascii="宋体" w:hAnsi="宋体" w:cs="宋体"/>
                <w:b/>
                <w:bCs/>
                <w:szCs w:val="21"/>
              </w:rPr>
              <w:t>运营</w:t>
            </w:r>
          </w:p>
          <w:p w14:paraId="614FDEEB">
            <w:pPr>
              <w:adjustRightInd w:val="0"/>
              <w:snapToGrid w:val="0"/>
              <w:jc w:val="center"/>
              <w:rPr>
                <w:rFonts w:hint="eastAsia" w:ascii="宋体" w:hAnsi="宋体" w:cs="宋体"/>
                <w:b/>
                <w:bCs/>
                <w:szCs w:val="21"/>
              </w:rPr>
            </w:pPr>
            <w:r>
              <w:rPr>
                <w:rFonts w:hint="eastAsia" w:ascii="宋体" w:hAnsi="宋体" w:cs="宋体"/>
                <w:b/>
                <w:bCs/>
                <w:szCs w:val="21"/>
              </w:rPr>
              <w:t>期环</w:t>
            </w:r>
          </w:p>
          <w:p w14:paraId="26794B7F">
            <w:pPr>
              <w:adjustRightInd w:val="0"/>
              <w:snapToGrid w:val="0"/>
              <w:jc w:val="center"/>
              <w:rPr>
                <w:rFonts w:hint="eastAsia" w:ascii="宋体" w:hAnsi="宋体" w:cs="宋体"/>
                <w:b/>
                <w:bCs/>
                <w:szCs w:val="21"/>
              </w:rPr>
            </w:pPr>
            <w:r>
              <w:rPr>
                <w:rFonts w:hint="eastAsia" w:ascii="宋体" w:hAnsi="宋体" w:cs="宋体"/>
                <w:b/>
                <w:bCs/>
                <w:szCs w:val="21"/>
              </w:rPr>
              <w:t>境影</w:t>
            </w:r>
          </w:p>
          <w:p w14:paraId="286CC430">
            <w:pPr>
              <w:adjustRightInd w:val="0"/>
              <w:snapToGrid w:val="0"/>
              <w:jc w:val="center"/>
              <w:rPr>
                <w:rFonts w:hint="eastAsia" w:ascii="宋体" w:hAnsi="宋体" w:cs="宋体"/>
                <w:b/>
                <w:bCs/>
                <w:szCs w:val="21"/>
              </w:rPr>
            </w:pPr>
            <w:r>
              <w:rPr>
                <w:rFonts w:hint="eastAsia" w:ascii="宋体" w:hAnsi="宋体" w:cs="宋体"/>
                <w:b/>
                <w:bCs/>
                <w:szCs w:val="21"/>
              </w:rPr>
              <w:t>响和</w:t>
            </w:r>
          </w:p>
          <w:p w14:paraId="669E5DFA">
            <w:pPr>
              <w:adjustRightInd w:val="0"/>
              <w:snapToGrid w:val="0"/>
              <w:jc w:val="center"/>
              <w:rPr>
                <w:rFonts w:hint="eastAsia" w:ascii="黑体" w:hAnsi="黑体" w:eastAsia="黑体"/>
                <w:snapToGrid w:val="0"/>
                <w:szCs w:val="21"/>
              </w:rPr>
            </w:pPr>
            <w:r>
              <w:rPr>
                <w:rFonts w:hint="eastAsia" w:ascii="宋体" w:hAnsi="宋体" w:cs="宋体"/>
                <w:b/>
                <w:bCs/>
                <w:szCs w:val="21"/>
              </w:rPr>
              <w:t>保护措施</w:t>
            </w:r>
          </w:p>
        </w:tc>
        <w:tc>
          <w:tcPr>
            <w:tcW w:w="13557" w:type="dxa"/>
            <w:noWrap w:val="0"/>
            <w:vAlign w:val="top"/>
          </w:tcPr>
          <w:p w14:paraId="7429AAEB">
            <w:pPr>
              <w:spacing w:line="360" w:lineRule="auto"/>
              <w:ind w:left="420" w:leftChars="200"/>
              <w:rPr>
                <w:rFonts w:hint="eastAsia"/>
                <w:b/>
                <w:bCs/>
                <w:sz w:val="24"/>
              </w:rPr>
            </w:pPr>
            <w:r>
              <w:rPr>
                <w:rFonts w:hint="eastAsia"/>
                <w:b/>
                <w:bCs/>
                <w:sz w:val="24"/>
              </w:rPr>
              <w:t>4.2废水</w:t>
            </w:r>
          </w:p>
          <w:p w14:paraId="0A140334">
            <w:pPr>
              <w:pStyle w:val="14"/>
              <w:spacing w:line="360" w:lineRule="auto"/>
              <w:ind w:left="0" w:leftChars="0" w:firstLine="480"/>
              <w:rPr>
                <w:rFonts w:hint="eastAsia"/>
                <w:sz w:val="24"/>
              </w:rPr>
            </w:pPr>
            <w:r>
              <w:rPr>
                <w:rFonts w:hint="eastAsia"/>
                <w:bCs/>
                <w:sz w:val="24"/>
              </w:rPr>
              <w:t>本项目用水主要有生产用水和办公生活用水，生产用水为封闭清洗废水，经絮凝沉淀后循环利用；生活污水经过厂区化粪池预处理后通过市政污水管网进入淮北龙湖污水处理厂深度处理，根据企业提供资料，废水污染物产生及排放具体情况见下列表。</w:t>
            </w:r>
          </w:p>
          <w:p w14:paraId="511BCFC6">
            <w:pPr>
              <w:widowControl/>
              <w:numPr>
                <w:ilvl w:val="0"/>
                <w:numId w:val="2"/>
              </w:numPr>
              <w:jc w:val="center"/>
              <w:rPr>
                <w:b/>
                <w:kern w:val="0"/>
                <w:szCs w:val="21"/>
              </w:rPr>
            </w:pPr>
            <w:r>
              <w:rPr>
                <w:b/>
                <w:kern w:val="0"/>
                <w:szCs w:val="21"/>
              </w:rPr>
              <w:t>项目</w:t>
            </w:r>
            <w:r>
              <w:rPr>
                <w:rFonts w:hint="eastAsia"/>
                <w:b/>
                <w:kern w:val="0"/>
                <w:szCs w:val="21"/>
              </w:rPr>
              <w:t>废水</w:t>
            </w:r>
            <w:r>
              <w:rPr>
                <w:b/>
                <w:kern w:val="0"/>
                <w:szCs w:val="21"/>
              </w:rPr>
              <w:t>污染物排放情况一览表</w:t>
            </w:r>
          </w:p>
          <w:tbl>
            <w:tblPr>
              <w:tblStyle w:val="24"/>
              <w:tblW w:w="13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573"/>
              <w:gridCol w:w="1559"/>
              <w:gridCol w:w="773"/>
              <w:gridCol w:w="796"/>
              <w:gridCol w:w="884"/>
              <w:gridCol w:w="706"/>
              <w:gridCol w:w="716"/>
              <w:gridCol w:w="961"/>
              <w:gridCol w:w="695"/>
              <w:gridCol w:w="899"/>
              <w:gridCol w:w="712"/>
              <w:gridCol w:w="751"/>
              <w:gridCol w:w="751"/>
              <w:gridCol w:w="950"/>
              <w:gridCol w:w="953"/>
            </w:tblGrid>
            <w:tr w14:paraId="0F3C1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658" w:type="dxa"/>
                  <w:vMerge w:val="restart"/>
                  <w:noWrap w:val="0"/>
                  <w:tcMar>
                    <w:top w:w="12" w:type="dxa"/>
                    <w:left w:w="12" w:type="dxa"/>
                    <w:right w:w="12" w:type="dxa"/>
                  </w:tcMar>
                  <w:vAlign w:val="center"/>
                </w:tcPr>
                <w:p w14:paraId="56A35E97">
                  <w:pPr>
                    <w:widowControl/>
                    <w:jc w:val="center"/>
                    <w:textAlignment w:val="center"/>
                    <w:rPr>
                      <w:rFonts w:hint="eastAsia"/>
                      <w:szCs w:val="21"/>
                    </w:rPr>
                  </w:pPr>
                  <w:r>
                    <w:rPr>
                      <w:rFonts w:hint="eastAsia"/>
                      <w:szCs w:val="21"/>
                    </w:rPr>
                    <w:t>产污</w:t>
                  </w:r>
                </w:p>
                <w:p w14:paraId="3A1D6AA9">
                  <w:pPr>
                    <w:widowControl/>
                    <w:jc w:val="center"/>
                    <w:textAlignment w:val="center"/>
                    <w:rPr>
                      <w:rFonts w:hint="eastAsia"/>
                      <w:szCs w:val="21"/>
                    </w:rPr>
                  </w:pPr>
                  <w:r>
                    <w:rPr>
                      <w:rFonts w:hint="eastAsia"/>
                      <w:szCs w:val="21"/>
                    </w:rPr>
                    <w:t>环节</w:t>
                  </w:r>
                </w:p>
              </w:tc>
              <w:tc>
                <w:tcPr>
                  <w:tcW w:w="573" w:type="dxa"/>
                  <w:vMerge w:val="restart"/>
                  <w:noWrap w:val="0"/>
                  <w:tcMar>
                    <w:top w:w="12" w:type="dxa"/>
                    <w:left w:w="12" w:type="dxa"/>
                    <w:right w:w="12" w:type="dxa"/>
                  </w:tcMar>
                  <w:vAlign w:val="center"/>
                </w:tcPr>
                <w:p w14:paraId="0972CF40">
                  <w:pPr>
                    <w:widowControl/>
                    <w:jc w:val="center"/>
                    <w:textAlignment w:val="center"/>
                    <w:rPr>
                      <w:szCs w:val="21"/>
                    </w:rPr>
                  </w:pPr>
                  <w:r>
                    <w:rPr>
                      <w:rFonts w:hint="eastAsia"/>
                      <w:szCs w:val="21"/>
                    </w:rPr>
                    <w:t>类别</w:t>
                  </w:r>
                </w:p>
              </w:tc>
              <w:tc>
                <w:tcPr>
                  <w:tcW w:w="1559" w:type="dxa"/>
                  <w:vMerge w:val="restart"/>
                  <w:noWrap w:val="0"/>
                  <w:tcMar>
                    <w:top w:w="12" w:type="dxa"/>
                    <w:left w:w="12" w:type="dxa"/>
                    <w:right w:w="12" w:type="dxa"/>
                  </w:tcMar>
                  <w:vAlign w:val="center"/>
                </w:tcPr>
                <w:p w14:paraId="1ABD756F">
                  <w:pPr>
                    <w:widowControl/>
                    <w:jc w:val="center"/>
                    <w:textAlignment w:val="center"/>
                    <w:rPr>
                      <w:szCs w:val="21"/>
                    </w:rPr>
                  </w:pPr>
                  <w:r>
                    <w:rPr>
                      <w:szCs w:val="21"/>
                    </w:rPr>
                    <w:t>污染物</w:t>
                  </w:r>
                </w:p>
                <w:p w14:paraId="314C2F4D">
                  <w:pPr>
                    <w:widowControl/>
                    <w:jc w:val="center"/>
                    <w:textAlignment w:val="center"/>
                    <w:rPr>
                      <w:szCs w:val="21"/>
                    </w:rPr>
                  </w:pPr>
                  <w:r>
                    <w:rPr>
                      <w:rFonts w:hint="eastAsia"/>
                      <w:szCs w:val="21"/>
                    </w:rPr>
                    <w:t>种类</w:t>
                  </w:r>
                </w:p>
              </w:tc>
              <w:tc>
                <w:tcPr>
                  <w:tcW w:w="1569" w:type="dxa"/>
                  <w:gridSpan w:val="2"/>
                  <w:noWrap w:val="0"/>
                  <w:tcMar>
                    <w:top w:w="12" w:type="dxa"/>
                    <w:left w:w="12" w:type="dxa"/>
                    <w:right w:w="12" w:type="dxa"/>
                  </w:tcMar>
                  <w:vAlign w:val="center"/>
                </w:tcPr>
                <w:p w14:paraId="7523E71F">
                  <w:pPr>
                    <w:widowControl/>
                    <w:jc w:val="center"/>
                    <w:textAlignment w:val="center"/>
                    <w:rPr>
                      <w:szCs w:val="21"/>
                    </w:rPr>
                  </w:pPr>
                  <w:r>
                    <w:rPr>
                      <w:szCs w:val="21"/>
                    </w:rPr>
                    <w:t>产生情况</w:t>
                  </w:r>
                </w:p>
              </w:tc>
              <w:tc>
                <w:tcPr>
                  <w:tcW w:w="3962" w:type="dxa"/>
                  <w:gridSpan w:val="5"/>
                  <w:noWrap w:val="0"/>
                  <w:tcMar>
                    <w:top w:w="12" w:type="dxa"/>
                    <w:left w:w="12" w:type="dxa"/>
                    <w:right w:w="12" w:type="dxa"/>
                  </w:tcMar>
                  <w:vAlign w:val="center"/>
                </w:tcPr>
                <w:p w14:paraId="29F79CEB">
                  <w:pPr>
                    <w:widowControl/>
                    <w:jc w:val="center"/>
                    <w:textAlignment w:val="center"/>
                    <w:rPr>
                      <w:szCs w:val="21"/>
                    </w:rPr>
                  </w:pPr>
                  <w:r>
                    <w:rPr>
                      <w:rFonts w:hint="eastAsia"/>
                      <w:szCs w:val="21"/>
                    </w:rPr>
                    <w:t>治理设施</w:t>
                  </w:r>
                </w:p>
              </w:tc>
              <w:tc>
                <w:tcPr>
                  <w:tcW w:w="5016" w:type="dxa"/>
                  <w:gridSpan w:val="6"/>
                  <w:noWrap w:val="0"/>
                  <w:tcMar>
                    <w:top w:w="12" w:type="dxa"/>
                    <w:left w:w="12" w:type="dxa"/>
                    <w:right w:w="12" w:type="dxa"/>
                  </w:tcMar>
                  <w:vAlign w:val="center"/>
                </w:tcPr>
                <w:p w14:paraId="6951BEA6">
                  <w:pPr>
                    <w:widowControl/>
                    <w:jc w:val="center"/>
                    <w:textAlignment w:val="center"/>
                    <w:rPr>
                      <w:szCs w:val="21"/>
                    </w:rPr>
                  </w:pPr>
                  <w:r>
                    <w:rPr>
                      <w:rFonts w:hint="eastAsia"/>
                      <w:szCs w:val="21"/>
                    </w:rPr>
                    <w:t>排放情况</w:t>
                  </w:r>
                </w:p>
              </w:tc>
            </w:tr>
            <w:tr w14:paraId="640F0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658" w:type="dxa"/>
                  <w:vMerge w:val="continue"/>
                  <w:noWrap w:val="0"/>
                  <w:tcMar>
                    <w:top w:w="12" w:type="dxa"/>
                    <w:left w:w="12" w:type="dxa"/>
                    <w:right w:w="12" w:type="dxa"/>
                  </w:tcMar>
                  <w:vAlign w:val="center"/>
                </w:tcPr>
                <w:p w14:paraId="7745E834">
                  <w:pPr>
                    <w:jc w:val="center"/>
                    <w:rPr>
                      <w:szCs w:val="21"/>
                    </w:rPr>
                  </w:pPr>
                </w:p>
              </w:tc>
              <w:tc>
                <w:tcPr>
                  <w:tcW w:w="573" w:type="dxa"/>
                  <w:vMerge w:val="continue"/>
                  <w:noWrap w:val="0"/>
                  <w:tcMar>
                    <w:top w:w="12" w:type="dxa"/>
                    <w:left w:w="12" w:type="dxa"/>
                    <w:right w:w="12" w:type="dxa"/>
                  </w:tcMar>
                  <w:vAlign w:val="center"/>
                </w:tcPr>
                <w:p w14:paraId="0942BB60">
                  <w:pPr>
                    <w:jc w:val="center"/>
                    <w:rPr>
                      <w:szCs w:val="21"/>
                    </w:rPr>
                  </w:pPr>
                </w:p>
              </w:tc>
              <w:tc>
                <w:tcPr>
                  <w:tcW w:w="1559" w:type="dxa"/>
                  <w:vMerge w:val="continue"/>
                  <w:noWrap w:val="0"/>
                  <w:tcMar>
                    <w:top w:w="12" w:type="dxa"/>
                    <w:left w:w="12" w:type="dxa"/>
                    <w:right w:w="12" w:type="dxa"/>
                  </w:tcMar>
                  <w:vAlign w:val="center"/>
                </w:tcPr>
                <w:p w14:paraId="7DFAC640">
                  <w:pPr>
                    <w:jc w:val="center"/>
                    <w:rPr>
                      <w:szCs w:val="21"/>
                    </w:rPr>
                  </w:pPr>
                </w:p>
              </w:tc>
              <w:tc>
                <w:tcPr>
                  <w:tcW w:w="773" w:type="dxa"/>
                  <w:noWrap w:val="0"/>
                  <w:tcMar>
                    <w:top w:w="12" w:type="dxa"/>
                    <w:left w:w="12" w:type="dxa"/>
                    <w:right w:w="12" w:type="dxa"/>
                  </w:tcMar>
                  <w:vAlign w:val="center"/>
                </w:tcPr>
                <w:p w14:paraId="0DF73053">
                  <w:pPr>
                    <w:widowControl/>
                    <w:jc w:val="center"/>
                    <w:textAlignment w:val="center"/>
                    <w:rPr>
                      <w:szCs w:val="21"/>
                    </w:rPr>
                  </w:pPr>
                  <w:r>
                    <w:rPr>
                      <w:szCs w:val="21"/>
                    </w:rPr>
                    <w:t>产生量</w:t>
                  </w:r>
                </w:p>
                <w:p w14:paraId="087700B5">
                  <w:pPr>
                    <w:widowControl/>
                    <w:jc w:val="center"/>
                    <w:textAlignment w:val="center"/>
                    <w:rPr>
                      <w:szCs w:val="21"/>
                    </w:rPr>
                  </w:pPr>
                  <w:r>
                    <w:rPr>
                      <w:szCs w:val="21"/>
                    </w:rPr>
                    <w:t>(t/a)</w:t>
                  </w:r>
                </w:p>
              </w:tc>
              <w:tc>
                <w:tcPr>
                  <w:tcW w:w="796" w:type="dxa"/>
                  <w:noWrap w:val="0"/>
                  <w:tcMar>
                    <w:top w:w="12" w:type="dxa"/>
                    <w:left w:w="12" w:type="dxa"/>
                    <w:right w:w="12" w:type="dxa"/>
                  </w:tcMar>
                  <w:vAlign w:val="center"/>
                </w:tcPr>
                <w:p w14:paraId="410DF530">
                  <w:pPr>
                    <w:widowControl/>
                    <w:jc w:val="center"/>
                    <w:textAlignment w:val="center"/>
                    <w:rPr>
                      <w:szCs w:val="21"/>
                    </w:rPr>
                  </w:pPr>
                  <w:r>
                    <w:rPr>
                      <w:szCs w:val="21"/>
                    </w:rPr>
                    <w:t>浓度</w:t>
                  </w:r>
                </w:p>
                <w:p w14:paraId="5389CC78">
                  <w:pPr>
                    <w:widowControl/>
                    <w:jc w:val="center"/>
                    <w:textAlignment w:val="center"/>
                    <w:rPr>
                      <w:szCs w:val="21"/>
                    </w:rPr>
                  </w:pPr>
                  <w:r>
                    <w:rPr>
                      <w:szCs w:val="21"/>
                    </w:rPr>
                    <w:t>(mg/</w:t>
                  </w:r>
                  <w:r>
                    <w:rPr>
                      <w:rFonts w:hint="eastAsia"/>
                      <w:szCs w:val="21"/>
                    </w:rPr>
                    <w:t>L</w:t>
                  </w:r>
                  <w:r>
                    <w:rPr>
                      <w:szCs w:val="21"/>
                    </w:rPr>
                    <w:t>)</w:t>
                  </w:r>
                </w:p>
              </w:tc>
              <w:tc>
                <w:tcPr>
                  <w:tcW w:w="884" w:type="dxa"/>
                  <w:noWrap w:val="0"/>
                  <w:tcMar>
                    <w:top w:w="12" w:type="dxa"/>
                    <w:left w:w="12" w:type="dxa"/>
                    <w:right w:w="12" w:type="dxa"/>
                  </w:tcMar>
                  <w:vAlign w:val="center"/>
                </w:tcPr>
                <w:p w14:paraId="450F41FB">
                  <w:pPr>
                    <w:widowControl/>
                    <w:jc w:val="center"/>
                    <w:textAlignment w:val="center"/>
                    <w:rPr>
                      <w:szCs w:val="21"/>
                    </w:rPr>
                  </w:pPr>
                  <w:r>
                    <w:rPr>
                      <w:rFonts w:hint="eastAsia"/>
                      <w:szCs w:val="21"/>
                    </w:rPr>
                    <w:t>处理措施</w:t>
                  </w:r>
                </w:p>
              </w:tc>
              <w:tc>
                <w:tcPr>
                  <w:tcW w:w="706" w:type="dxa"/>
                  <w:noWrap w:val="0"/>
                  <w:tcMar>
                    <w:top w:w="12" w:type="dxa"/>
                    <w:left w:w="12" w:type="dxa"/>
                    <w:right w:w="12" w:type="dxa"/>
                  </w:tcMar>
                  <w:vAlign w:val="center"/>
                </w:tcPr>
                <w:p w14:paraId="0766F2C9">
                  <w:pPr>
                    <w:widowControl/>
                    <w:jc w:val="center"/>
                    <w:textAlignment w:val="center"/>
                    <w:rPr>
                      <w:rFonts w:hint="eastAsia"/>
                      <w:szCs w:val="21"/>
                    </w:rPr>
                  </w:pPr>
                  <w:r>
                    <w:rPr>
                      <w:rFonts w:hint="eastAsia"/>
                      <w:szCs w:val="21"/>
                    </w:rPr>
                    <w:t>处理</w:t>
                  </w:r>
                </w:p>
                <w:p w14:paraId="1C82B5DE">
                  <w:pPr>
                    <w:widowControl/>
                    <w:jc w:val="center"/>
                    <w:textAlignment w:val="center"/>
                    <w:rPr>
                      <w:rFonts w:hint="eastAsia"/>
                      <w:szCs w:val="21"/>
                    </w:rPr>
                  </w:pPr>
                  <w:r>
                    <w:rPr>
                      <w:rFonts w:hint="eastAsia"/>
                      <w:szCs w:val="21"/>
                    </w:rPr>
                    <w:t>效率</w:t>
                  </w:r>
                </w:p>
              </w:tc>
              <w:tc>
                <w:tcPr>
                  <w:tcW w:w="716" w:type="dxa"/>
                  <w:noWrap w:val="0"/>
                  <w:tcMar>
                    <w:top w:w="12" w:type="dxa"/>
                    <w:left w:w="12" w:type="dxa"/>
                    <w:right w:w="12" w:type="dxa"/>
                  </w:tcMar>
                  <w:vAlign w:val="center"/>
                </w:tcPr>
                <w:p w14:paraId="5E2DAF96">
                  <w:pPr>
                    <w:widowControl/>
                    <w:jc w:val="center"/>
                    <w:textAlignment w:val="center"/>
                    <w:rPr>
                      <w:rFonts w:hint="eastAsia"/>
                      <w:szCs w:val="21"/>
                    </w:rPr>
                  </w:pPr>
                  <w:r>
                    <w:rPr>
                      <w:rFonts w:hint="eastAsia"/>
                      <w:szCs w:val="21"/>
                    </w:rPr>
                    <w:t>处理</w:t>
                  </w:r>
                </w:p>
                <w:p w14:paraId="5D1FD0A7">
                  <w:pPr>
                    <w:widowControl/>
                    <w:jc w:val="center"/>
                    <w:textAlignment w:val="center"/>
                    <w:rPr>
                      <w:rFonts w:hint="eastAsia"/>
                      <w:szCs w:val="21"/>
                    </w:rPr>
                  </w:pPr>
                  <w:r>
                    <w:rPr>
                      <w:rFonts w:hint="eastAsia"/>
                      <w:szCs w:val="21"/>
                    </w:rPr>
                    <w:t>工艺</w:t>
                  </w:r>
                </w:p>
              </w:tc>
              <w:tc>
                <w:tcPr>
                  <w:tcW w:w="961" w:type="dxa"/>
                  <w:noWrap w:val="0"/>
                  <w:tcMar>
                    <w:top w:w="12" w:type="dxa"/>
                    <w:left w:w="12" w:type="dxa"/>
                    <w:right w:w="12" w:type="dxa"/>
                  </w:tcMar>
                  <w:vAlign w:val="center"/>
                </w:tcPr>
                <w:p w14:paraId="434FEB5B">
                  <w:pPr>
                    <w:widowControl/>
                    <w:jc w:val="center"/>
                    <w:textAlignment w:val="center"/>
                    <w:rPr>
                      <w:rFonts w:hint="eastAsia"/>
                      <w:szCs w:val="21"/>
                    </w:rPr>
                  </w:pPr>
                  <w:r>
                    <w:rPr>
                      <w:rFonts w:hint="eastAsia"/>
                      <w:szCs w:val="21"/>
                    </w:rPr>
                    <w:t>处理能力</w:t>
                  </w:r>
                </w:p>
                <w:p w14:paraId="7878ACEA">
                  <w:pPr>
                    <w:widowControl/>
                    <w:jc w:val="center"/>
                    <w:textAlignment w:val="center"/>
                    <w:rPr>
                      <w:szCs w:val="21"/>
                    </w:rPr>
                  </w:pPr>
                  <w:r>
                    <w:rPr>
                      <w:rFonts w:hint="eastAsia"/>
                      <w:szCs w:val="21"/>
                    </w:rPr>
                    <w:t>(m</w:t>
                  </w:r>
                  <w:r>
                    <w:rPr>
                      <w:rFonts w:hint="eastAsia"/>
                      <w:szCs w:val="21"/>
                      <w:vertAlign w:val="superscript"/>
                    </w:rPr>
                    <w:t>3</w:t>
                  </w:r>
                  <w:r>
                    <w:rPr>
                      <w:rFonts w:hint="eastAsia"/>
                      <w:szCs w:val="21"/>
                    </w:rPr>
                    <w:t>/h)</w:t>
                  </w:r>
                </w:p>
              </w:tc>
              <w:tc>
                <w:tcPr>
                  <w:tcW w:w="695" w:type="dxa"/>
                  <w:noWrap w:val="0"/>
                  <w:tcMar>
                    <w:top w:w="12" w:type="dxa"/>
                    <w:left w:w="12" w:type="dxa"/>
                    <w:right w:w="12" w:type="dxa"/>
                  </w:tcMar>
                  <w:vAlign w:val="center"/>
                </w:tcPr>
                <w:p w14:paraId="20C990A9">
                  <w:pPr>
                    <w:widowControl/>
                    <w:jc w:val="center"/>
                    <w:textAlignment w:val="center"/>
                    <w:rPr>
                      <w:rFonts w:hint="eastAsia"/>
                      <w:szCs w:val="21"/>
                    </w:rPr>
                  </w:pPr>
                  <w:r>
                    <w:rPr>
                      <w:rFonts w:hint="eastAsia"/>
                      <w:szCs w:val="21"/>
                    </w:rPr>
                    <w:t>是否可</w:t>
                  </w:r>
                </w:p>
                <w:p w14:paraId="4470EEFA">
                  <w:pPr>
                    <w:widowControl/>
                    <w:jc w:val="center"/>
                    <w:textAlignment w:val="center"/>
                    <w:rPr>
                      <w:rFonts w:hint="eastAsia"/>
                      <w:szCs w:val="21"/>
                    </w:rPr>
                  </w:pPr>
                  <w:r>
                    <w:rPr>
                      <w:rFonts w:hint="eastAsia"/>
                      <w:szCs w:val="21"/>
                    </w:rPr>
                    <w:t>行技术</w:t>
                  </w:r>
                </w:p>
              </w:tc>
              <w:tc>
                <w:tcPr>
                  <w:tcW w:w="899" w:type="dxa"/>
                  <w:noWrap w:val="0"/>
                  <w:tcMar>
                    <w:top w:w="12" w:type="dxa"/>
                    <w:left w:w="12" w:type="dxa"/>
                    <w:right w:w="12" w:type="dxa"/>
                  </w:tcMar>
                  <w:vAlign w:val="center"/>
                </w:tcPr>
                <w:p w14:paraId="7A6BF73D">
                  <w:pPr>
                    <w:widowControl/>
                    <w:jc w:val="center"/>
                    <w:textAlignment w:val="center"/>
                    <w:rPr>
                      <w:szCs w:val="21"/>
                    </w:rPr>
                  </w:pPr>
                  <w:r>
                    <w:rPr>
                      <w:szCs w:val="21"/>
                    </w:rPr>
                    <w:t>排放量</w:t>
                  </w:r>
                </w:p>
                <w:p w14:paraId="66727123">
                  <w:pPr>
                    <w:widowControl/>
                    <w:jc w:val="center"/>
                    <w:textAlignment w:val="center"/>
                    <w:rPr>
                      <w:szCs w:val="21"/>
                    </w:rPr>
                  </w:pPr>
                  <w:r>
                    <w:rPr>
                      <w:szCs w:val="21"/>
                    </w:rPr>
                    <w:t>(t/a)</w:t>
                  </w:r>
                </w:p>
              </w:tc>
              <w:tc>
                <w:tcPr>
                  <w:tcW w:w="712" w:type="dxa"/>
                  <w:noWrap w:val="0"/>
                  <w:tcMar>
                    <w:top w:w="12" w:type="dxa"/>
                    <w:left w:w="12" w:type="dxa"/>
                    <w:right w:w="12" w:type="dxa"/>
                  </w:tcMar>
                  <w:vAlign w:val="center"/>
                </w:tcPr>
                <w:p w14:paraId="38F0DD7E">
                  <w:pPr>
                    <w:widowControl/>
                    <w:jc w:val="center"/>
                    <w:textAlignment w:val="center"/>
                    <w:rPr>
                      <w:szCs w:val="21"/>
                    </w:rPr>
                  </w:pPr>
                  <w:r>
                    <w:rPr>
                      <w:szCs w:val="21"/>
                    </w:rPr>
                    <w:t>浓度</w:t>
                  </w:r>
                </w:p>
                <w:p w14:paraId="50619A25">
                  <w:pPr>
                    <w:widowControl/>
                    <w:jc w:val="center"/>
                    <w:textAlignment w:val="center"/>
                    <w:rPr>
                      <w:szCs w:val="21"/>
                    </w:rPr>
                  </w:pPr>
                  <w:r>
                    <w:rPr>
                      <w:szCs w:val="21"/>
                    </w:rPr>
                    <w:t>(mg/</w:t>
                  </w:r>
                  <w:r>
                    <w:rPr>
                      <w:rFonts w:hint="eastAsia"/>
                      <w:szCs w:val="21"/>
                    </w:rPr>
                    <w:t>L</w:t>
                  </w:r>
                  <w:r>
                    <w:rPr>
                      <w:szCs w:val="21"/>
                    </w:rPr>
                    <w:t>)</w:t>
                  </w:r>
                </w:p>
              </w:tc>
              <w:tc>
                <w:tcPr>
                  <w:tcW w:w="751" w:type="dxa"/>
                  <w:noWrap w:val="0"/>
                  <w:tcMar>
                    <w:top w:w="12" w:type="dxa"/>
                    <w:left w:w="12" w:type="dxa"/>
                    <w:right w:w="12" w:type="dxa"/>
                  </w:tcMar>
                  <w:vAlign w:val="center"/>
                </w:tcPr>
                <w:p w14:paraId="6A3787F1">
                  <w:pPr>
                    <w:widowControl/>
                    <w:jc w:val="center"/>
                    <w:textAlignment w:val="center"/>
                    <w:rPr>
                      <w:szCs w:val="21"/>
                    </w:rPr>
                  </w:pPr>
                  <w:r>
                    <w:rPr>
                      <w:rFonts w:hint="eastAsia"/>
                      <w:szCs w:val="21"/>
                    </w:rPr>
                    <w:t>排放口编号</w:t>
                  </w:r>
                </w:p>
              </w:tc>
              <w:tc>
                <w:tcPr>
                  <w:tcW w:w="751" w:type="dxa"/>
                  <w:noWrap w:val="0"/>
                  <w:tcMar>
                    <w:top w:w="12" w:type="dxa"/>
                    <w:left w:w="12" w:type="dxa"/>
                    <w:right w:w="12" w:type="dxa"/>
                  </w:tcMar>
                  <w:vAlign w:val="center"/>
                </w:tcPr>
                <w:p w14:paraId="267CBF5D">
                  <w:pPr>
                    <w:widowControl/>
                    <w:jc w:val="center"/>
                    <w:textAlignment w:val="center"/>
                    <w:rPr>
                      <w:rFonts w:hint="eastAsia"/>
                      <w:szCs w:val="21"/>
                    </w:rPr>
                  </w:pPr>
                  <w:r>
                    <w:rPr>
                      <w:rFonts w:hint="eastAsia"/>
                      <w:szCs w:val="21"/>
                    </w:rPr>
                    <w:t>排放</w:t>
                  </w:r>
                </w:p>
                <w:p w14:paraId="216B3DDD">
                  <w:pPr>
                    <w:widowControl/>
                    <w:jc w:val="center"/>
                    <w:textAlignment w:val="center"/>
                    <w:rPr>
                      <w:rFonts w:hint="eastAsia"/>
                      <w:szCs w:val="21"/>
                    </w:rPr>
                  </w:pPr>
                  <w:r>
                    <w:rPr>
                      <w:rFonts w:hint="eastAsia"/>
                      <w:szCs w:val="21"/>
                    </w:rPr>
                    <w:t>方式</w:t>
                  </w:r>
                </w:p>
              </w:tc>
              <w:tc>
                <w:tcPr>
                  <w:tcW w:w="950" w:type="dxa"/>
                  <w:noWrap w:val="0"/>
                  <w:tcMar>
                    <w:top w:w="12" w:type="dxa"/>
                    <w:left w:w="12" w:type="dxa"/>
                    <w:right w:w="12" w:type="dxa"/>
                  </w:tcMar>
                  <w:vAlign w:val="center"/>
                </w:tcPr>
                <w:p w14:paraId="1CA1C0AA">
                  <w:pPr>
                    <w:widowControl/>
                    <w:jc w:val="center"/>
                    <w:textAlignment w:val="center"/>
                    <w:rPr>
                      <w:rFonts w:hint="eastAsia"/>
                      <w:szCs w:val="21"/>
                    </w:rPr>
                  </w:pPr>
                  <w:r>
                    <w:rPr>
                      <w:rFonts w:hint="eastAsia"/>
                      <w:szCs w:val="21"/>
                    </w:rPr>
                    <w:t>排放去向</w:t>
                  </w:r>
                </w:p>
              </w:tc>
              <w:tc>
                <w:tcPr>
                  <w:tcW w:w="953" w:type="dxa"/>
                  <w:noWrap w:val="0"/>
                  <w:tcMar>
                    <w:top w:w="12" w:type="dxa"/>
                    <w:left w:w="12" w:type="dxa"/>
                    <w:right w:w="12" w:type="dxa"/>
                  </w:tcMar>
                  <w:vAlign w:val="center"/>
                </w:tcPr>
                <w:p w14:paraId="2FFCD62B">
                  <w:pPr>
                    <w:widowControl/>
                    <w:jc w:val="center"/>
                    <w:textAlignment w:val="center"/>
                    <w:rPr>
                      <w:szCs w:val="21"/>
                    </w:rPr>
                  </w:pPr>
                  <w:r>
                    <w:rPr>
                      <w:rFonts w:hint="eastAsia"/>
                      <w:szCs w:val="21"/>
                    </w:rPr>
                    <w:t>排放规律</w:t>
                  </w:r>
                </w:p>
              </w:tc>
            </w:tr>
            <w:tr w14:paraId="5D9C3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658" w:type="dxa"/>
                  <w:vMerge w:val="restart"/>
                  <w:noWrap w:val="0"/>
                  <w:tcMar>
                    <w:top w:w="12" w:type="dxa"/>
                    <w:left w:w="12" w:type="dxa"/>
                    <w:right w:w="12" w:type="dxa"/>
                  </w:tcMar>
                  <w:vAlign w:val="center"/>
                </w:tcPr>
                <w:p w14:paraId="711A4B49">
                  <w:pPr>
                    <w:widowControl/>
                    <w:jc w:val="center"/>
                    <w:textAlignment w:val="center"/>
                    <w:rPr>
                      <w:szCs w:val="21"/>
                    </w:rPr>
                  </w:pPr>
                  <w:r>
                    <w:rPr>
                      <w:rFonts w:hint="eastAsia"/>
                      <w:szCs w:val="21"/>
                    </w:rPr>
                    <w:t>办公生活</w:t>
                  </w:r>
                </w:p>
                <w:p w14:paraId="170841E0">
                  <w:pPr>
                    <w:jc w:val="center"/>
                    <w:rPr>
                      <w:rFonts w:hint="eastAsia"/>
                      <w:szCs w:val="21"/>
                    </w:rPr>
                  </w:pPr>
                </w:p>
              </w:tc>
              <w:tc>
                <w:tcPr>
                  <w:tcW w:w="573" w:type="dxa"/>
                  <w:vMerge w:val="restart"/>
                  <w:noWrap w:val="0"/>
                  <w:tcMar>
                    <w:top w:w="12" w:type="dxa"/>
                    <w:left w:w="12" w:type="dxa"/>
                    <w:right w:w="12" w:type="dxa"/>
                  </w:tcMar>
                  <w:vAlign w:val="center"/>
                </w:tcPr>
                <w:p w14:paraId="6A2B4BA2">
                  <w:pPr>
                    <w:widowControl/>
                    <w:jc w:val="center"/>
                    <w:textAlignment w:val="center"/>
                    <w:rPr>
                      <w:rFonts w:hint="eastAsia"/>
                      <w:szCs w:val="21"/>
                    </w:rPr>
                  </w:pPr>
                  <w:r>
                    <w:rPr>
                      <w:rFonts w:hint="eastAsia"/>
                      <w:szCs w:val="21"/>
                    </w:rPr>
                    <w:t>生活污水</w:t>
                  </w:r>
                </w:p>
                <w:p w14:paraId="419679D7">
                  <w:pPr>
                    <w:widowControl/>
                    <w:jc w:val="center"/>
                    <w:textAlignment w:val="center"/>
                    <w:rPr>
                      <w:rFonts w:hint="eastAsia"/>
                      <w:szCs w:val="21"/>
                    </w:rPr>
                  </w:pPr>
                </w:p>
              </w:tc>
              <w:tc>
                <w:tcPr>
                  <w:tcW w:w="1559" w:type="dxa"/>
                  <w:noWrap w:val="0"/>
                  <w:tcMar>
                    <w:top w:w="12" w:type="dxa"/>
                    <w:left w:w="12" w:type="dxa"/>
                    <w:right w:w="12" w:type="dxa"/>
                  </w:tcMar>
                  <w:vAlign w:val="center"/>
                </w:tcPr>
                <w:p w14:paraId="098F5BFC">
                  <w:pPr>
                    <w:jc w:val="center"/>
                    <w:rPr>
                      <w:rFonts w:hint="eastAsia"/>
                      <w:szCs w:val="21"/>
                    </w:rPr>
                  </w:pPr>
                  <w:r>
                    <w:rPr>
                      <w:rFonts w:hint="eastAsia"/>
                      <w:szCs w:val="21"/>
                    </w:rPr>
                    <w:t>水量</w:t>
                  </w:r>
                </w:p>
              </w:tc>
              <w:tc>
                <w:tcPr>
                  <w:tcW w:w="773" w:type="dxa"/>
                  <w:noWrap w:val="0"/>
                  <w:tcMar>
                    <w:top w:w="12" w:type="dxa"/>
                    <w:left w:w="12" w:type="dxa"/>
                    <w:right w:w="12" w:type="dxa"/>
                  </w:tcMar>
                  <w:vAlign w:val="center"/>
                </w:tcPr>
                <w:p w14:paraId="35D3F536">
                  <w:pPr>
                    <w:widowControl/>
                    <w:jc w:val="center"/>
                    <w:textAlignment w:val="center"/>
                    <w:rPr>
                      <w:rFonts w:hint="eastAsia"/>
                      <w:kern w:val="0"/>
                      <w:szCs w:val="21"/>
                      <w:lang w:bidi="ar"/>
                    </w:rPr>
                  </w:pPr>
                  <w:r>
                    <w:rPr>
                      <w:rFonts w:hint="eastAsia"/>
                      <w:kern w:val="0"/>
                      <w:szCs w:val="21"/>
                      <w:lang w:bidi="ar"/>
                    </w:rPr>
                    <w:t>1440</w:t>
                  </w:r>
                </w:p>
              </w:tc>
              <w:tc>
                <w:tcPr>
                  <w:tcW w:w="796" w:type="dxa"/>
                  <w:noWrap w:val="0"/>
                  <w:tcMar>
                    <w:top w:w="12" w:type="dxa"/>
                    <w:left w:w="12" w:type="dxa"/>
                    <w:right w:w="12" w:type="dxa"/>
                  </w:tcMar>
                  <w:vAlign w:val="center"/>
                </w:tcPr>
                <w:p w14:paraId="0598926C">
                  <w:pPr>
                    <w:widowControl/>
                    <w:jc w:val="center"/>
                    <w:textAlignment w:val="center"/>
                    <w:rPr>
                      <w:kern w:val="0"/>
                      <w:szCs w:val="21"/>
                      <w:lang w:bidi="ar"/>
                    </w:rPr>
                  </w:pPr>
                  <w:r>
                    <w:rPr>
                      <w:rFonts w:hint="eastAsia"/>
                      <w:kern w:val="0"/>
                      <w:szCs w:val="21"/>
                      <w:lang w:bidi="ar"/>
                    </w:rPr>
                    <w:t>/</w:t>
                  </w:r>
                </w:p>
              </w:tc>
              <w:tc>
                <w:tcPr>
                  <w:tcW w:w="884" w:type="dxa"/>
                  <w:vMerge w:val="restart"/>
                  <w:noWrap w:val="0"/>
                  <w:tcMar>
                    <w:top w:w="12" w:type="dxa"/>
                    <w:left w:w="12" w:type="dxa"/>
                    <w:right w:w="12" w:type="dxa"/>
                  </w:tcMar>
                  <w:vAlign w:val="center"/>
                </w:tcPr>
                <w:p w14:paraId="6357CF47">
                  <w:pPr>
                    <w:jc w:val="center"/>
                    <w:rPr>
                      <w:rFonts w:hint="eastAsia"/>
                      <w:szCs w:val="21"/>
                    </w:rPr>
                  </w:pPr>
                  <w:r>
                    <w:rPr>
                      <w:rFonts w:hint="eastAsia"/>
                      <w:szCs w:val="21"/>
                    </w:rPr>
                    <w:t>化粪池</w:t>
                  </w:r>
                </w:p>
                <w:p w14:paraId="1B636378">
                  <w:pPr>
                    <w:widowControl/>
                    <w:jc w:val="center"/>
                    <w:textAlignment w:val="center"/>
                    <w:rPr>
                      <w:szCs w:val="21"/>
                    </w:rPr>
                  </w:pPr>
                </w:p>
              </w:tc>
              <w:tc>
                <w:tcPr>
                  <w:tcW w:w="706" w:type="dxa"/>
                  <w:noWrap w:val="0"/>
                  <w:tcMar>
                    <w:top w:w="12" w:type="dxa"/>
                    <w:left w:w="12" w:type="dxa"/>
                    <w:right w:w="12" w:type="dxa"/>
                  </w:tcMar>
                  <w:vAlign w:val="center"/>
                </w:tcPr>
                <w:p w14:paraId="02B8E595">
                  <w:pPr>
                    <w:widowControl/>
                    <w:jc w:val="center"/>
                    <w:textAlignment w:val="center"/>
                    <w:rPr>
                      <w:rFonts w:hint="eastAsia"/>
                      <w:kern w:val="0"/>
                      <w:szCs w:val="21"/>
                      <w:lang w:bidi="ar"/>
                    </w:rPr>
                  </w:pPr>
                  <w:r>
                    <w:rPr>
                      <w:rFonts w:hint="eastAsia"/>
                      <w:kern w:val="0"/>
                      <w:szCs w:val="21"/>
                      <w:lang w:bidi="ar"/>
                    </w:rPr>
                    <w:t>/</w:t>
                  </w:r>
                </w:p>
              </w:tc>
              <w:tc>
                <w:tcPr>
                  <w:tcW w:w="716" w:type="dxa"/>
                  <w:vMerge w:val="restart"/>
                  <w:noWrap w:val="0"/>
                  <w:tcMar>
                    <w:top w:w="12" w:type="dxa"/>
                    <w:left w:w="12" w:type="dxa"/>
                    <w:right w:w="12" w:type="dxa"/>
                  </w:tcMar>
                  <w:vAlign w:val="center"/>
                </w:tcPr>
                <w:p w14:paraId="45DDDFB9">
                  <w:pPr>
                    <w:jc w:val="center"/>
                    <w:rPr>
                      <w:rFonts w:hint="eastAsia"/>
                      <w:szCs w:val="21"/>
                    </w:rPr>
                  </w:pPr>
                  <w:r>
                    <w:rPr>
                      <w:rFonts w:hint="eastAsia"/>
                      <w:szCs w:val="21"/>
                    </w:rPr>
                    <w:t>/</w:t>
                  </w:r>
                </w:p>
              </w:tc>
              <w:tc>
                <w:tcPr>
                  <w:tcW w:w="961" w:type="dxa"/>
                  <w:vMerge w:val="restart"/>
                  <w:noWrap w:val="0"/>
                  <w:tcMar>
                    <w:top w:w="12" w:type="dxa"/>
                    <w:left w:w="12" w:type="dxa"/>
                    <w:right w:w="12" w:type="dxa"/>
                  </w:tcMar>
                  <w:vAlign w:val="center"/>
                </w:tcPr>
                <w:p w14:paraId="5A6D091F">
                  <w:pPr>
                    <w:jc w:val="center"/>
                    <w:rPr>
                      <w:rFonts w:hint="eastAsia"/>
                      <w:szCs w:val="21"/>
                    </w:rPr>
                  </w:pPr>
                  <w:r>
                    <w:rPr>
                      <w:rFonts w:hint="eastAsia"/>
                      <w:szCs w:val="21"/>
                    </w:rPr>
                    <w:t>1</w:t>
                  </w:r>
                </w:p>
              </w:tc>
              <w:tc>
                <w:tcPr>
                  <w:tcW w:w="695" w:type="dxa"/>
                  <w:vMerge w:val="restart"/>
                  <w:noWrap w:val="0"/>
                  <w:tcMar>
                    <w:top w:w="12" w:type="dxa"/>
                    <w:left w:w="12" w:type="dxa"/>
                    <w:right w:w="12" w:type="dxa"/>
                  </w:tcMar>
                  <w:vAlign w:val="center"/>
                </w:tcPr>
                <w:p w14:paraId="5728C641">
                  <w:pPr>
                    <w:widowControl/>
                    <w:jc w:val="center"/>
                    <w:textAlignment w:val="center"/>
                    <w:rPr>
                      <w:rFonts w:hint="eastAsia"/>
                      <w:szCs w:val="21"/>
                    </w:rPr>
                  </w:pPr>
                </w:p>
              </w:tc>
              <w:tc>
                <w:tcPr>
                  <w:tcW w:w="899" w:type="dxa"/>
                  <w:noWrap w:val="0"/>
                  <w:tcMar>
                    <w:top w:w="12" w:type="dxa"/>
                    <w:left w:w="12" w:type="dxa"/>
                    <w:right w:w="12" w:type="dxa"/>
                  </w:tcMar>
                  <w:vAlign w:val="center"/>
                </w:tcPr>
                <w:p w14:paraId="6572904C">
                  <w:pPr>
                    <w:widowControl/>
                    <w:jc w:val="center"/>
                    <w:textAlignment w:val="center"/>
                    <w:rPr>
                      <w:rFonts w:hint="eastAsia"/>
                      <w:kern w:val="0"/>
                      <w:szCs w:val="21"/>
                      <w:lang w:bidi="ar"/>
                    </w:rPr>
                  </w:pPr>
                  <w:r>
                    <w:rPr>
                      <w:rFonts w:hint="eastAsia"/>
                      <w:kern w:val="0"/>
                      <w:szCs w:val="21"/>
                      <w:lang w:bidi="ar"/>
                    </w:rPr>
                    <w:t>1440</w:t>
                  </w:r>
                </w:p>
              </w:tc>
              <w:tc>
                <w:tcPr>
                  <w:tcW w:w="712" w:type="dxa"/>
                  <w:noWrap w:val="0"/>
                  <w:tcMar>
                    <w:top w:w="12" w:type="dxa"/>
                    <w:left w:w="12" w:type="dxa"/>
                    <w:right w:w="12" w:type="dxa"/>
                  </w:tcMar>
                  <w:vAlign w:val="center"/>
                </w:tcPr>
                <w:p w14:paraId="29A17F80">
                  <w:pPr>
                    <w:widowControl/>
                    <w:jc w:val="center"/>
                    <w:textAlignment w:val="center"/>
                    <w:rPr>
                      <w:kern w:val="0"/>
                      <w:szCs w:val="21"/>
                      <w:lang w:bidi="ar"/>
                    </w:rPr>
                  </w:pPr>
                  <w:r>
                    <w:rPr>
                      <w:rFonts w:hint="eastAsia"/>
                      <w:kern w:val="0"/>
                      <w:szCs w:val="21"/>
                      <w:lang w:bidi="ar"/>
                    </w:rPr>
                    <w:t>/</w:t>
                  </w:r>
                </w:p>
              </w:tc>
              <w:tc>
                <w:tcPr>
                  <w:tcW w:w="751" w:type="dxa"/>
                  <w:vMerge w:val="restart"/>
                  <w:noWrap w:val="0"/>
                  <w:tcMar>
                    <w:top w:w="12" w:type="dxa"/>
                    <w:left w:w="12" w:type="dxa"/>
                    <w:right w:w="12" w:type="dxa"/>
                  </w:tcMar>
                  <w:vAlign w:val="center"/>
                </w:tcPr>
                <w:p w14:paraId="67DB21C1">
                  <w:pPr>
                    <w:widowControl/>
                    <w:jc w:val="center"/>
                    <w:textAlignment w:val="center"/>
                    <w:rPr>
                      <w:szCs w:val="21"/>
                    </w:rPr>
                  </w:pPr>
                  <w:r>
                    <w:rPr>
                      <w:rFonts w:hint="eastAsia"/>
                      <w:szCs w:val="21"/>
                    </w:rPr>
                    <w:t>DW001</w:t>
                  </w:r>
                </w:p>
              </w:tc>
              <w:tc>
                <w:tcPr>
                  <w:tcW w:w="751" w:type="dxa"/>
                  <w:vMerge w:val="restart"/>
                  <w:noWrap w:val="0"/>
                  <w:tcMar>
                    <w:top w:w="12" w:type="dxa"/>
                    <w:left w:w="12" w:type="dxa"/>
                    <w:right w:w="12" w:type="dxa"/>
                  </w:tcMar>
                  <w:vAlign w:val="center"/>
                </w:tcPr>
                <w:p w14:paraId="1956C675">
                  <w:pPr>
                    <w:widowControl/>
                    <w:jc w:val="center"/>
                    <w:textAlignment w:val="center"/>
                    <w:rPr>
                      <w:rFonts w:hint="eastAsia"/>
                      <w:szCs w:val="21"/>
                    </w:rPr>
                  </w:pPr>
                  <w:r>
                    <w:rPr>
                      <w:rFonts w:hint="eastAsia"/>
                      <w:szCs w:val="21"/>
                    </w:rPr>
                    <w:t>间接排放</w:t>
                  </w:r>
                </w:p>
              </w:tc>
              <w:tc>
                <w:tcPr>
                  <w:tcW w:w="950" w:type="dxa"/>
                  <w:vMerge w:val="restart"/>
                  <w:noWrap w:val="0"/>
                  <w:tcMar>
                    <w:top w:w="12" w:type="dxa"/>
                    <w:left w:w="12" w:type="dxa"/>
                    <w:right w:w="12" w:type="dxa"/>
                  </w:tcMar>
                  <w:vAlign w:val="center"/>
                </w:tcPr>
                <w:p w14:paraId="53C13351">
                  <w:pPr>
                    <w:widowControl/>
                    <w:jc w:val="center"/>
                    <w:textAlignment w:val="center"/>
                    <w:rPr>
                      <w:szCs w:val="21"/>
                    </w:rPr>
                  </w:pPr>
                  <w:r>
                    <w:rPr>
                      <w:rFonts w:hint="eastAsia"/>
                      <w:szCs w:val="21"/>
                    </w:rPr>
                    <w:t>淮北龙湖污水处理厂</w:t>
                  </w:r>
                </w:p>
              </w:tc>
              <w:tc>
                <w:tcPr>
                  <w:tcW w:w="953" w:type="dxa"/>
                  <w:vMerge w:val="restart"/>
                  <w:noWrap w:val="0"/>
                  <w:tcMar>
                    <w:top w:w="12" w:type="dxa"/>
                    <w:left w:w="12" w:type="dxa"/>
                    <w:right w:w="12" w:type="dxa"/>
                  </w:tcMar>
                  <w:vAlign w:val="center"/>
                </w:tcPr>
                <w:p w14:paraId="22A06CA4">
                  <w:pPr>
                    <w:widowControl/>
                    <w:textAlignment w:val="center"/>
                    <w:rPr>
                      <w:szCs w:val="21"/>
                    </w:rPr>
                  </w:pPr>
                  <w:r>
                    <w:rPr>
                      <w:rFonts w:hint="eastAsia" w:ascii="宋体" w:hAnsi="宋体"/>
                      <w:szCs w:val="21"/>
                    </w:rPr>
                    <w:t>间断排放，排放期间流量不稳定，但有周期性规律</w:t>
                  </w:r>
                </w:p>
              </w:tc>
            </w:tr>
            <w:tr w14:paraId="38094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58" w:type="dxa"/>
                  <w:vMerge w:val="continue"/>
                  <w:noWrap w:val="0"/>
                  <w:tcMar>
                    <w:top w:w="12" w:type="dxa"/>
                    <w:left w:w="12" w:type="dxa"/>
                    <w:right w:w="12" w:type="dxa"/>
                  </w:tcMar>
                  <w:vAlign w:val="center"/>
                </w:tcPr>
                <w:p w14:paraId="5D59768D">
                  <w:pPr>
                    <w:widowControl/>
                    <w:jc w:val="center"/>
                    <w:textAlignment w:val="center"/>
                    <w:rPr>
                      <w:szCs w:val="21"/>
                    </w:rPr>
                  </w:pPr>
                </w:p>
              </w:tc>
              <w:tc>
                <w:tcPr>
                  <w:tcW w:w="573" w:type="dxa"/>
                  <w:vMerge w:val="continue"/>
                  <w:noWrap w:val="0"/>
                  <w:tcMar>
                    <w:top w:w="12" w:type="dxa"/>
                    <w:left w:w="12" w:type="dxa"/>
                    <w:right w:w="12" w:type="dxa"/>
                  </w:tcMar>
                  <w:vAlign w:val="center"/>
                </w:tcPr>
                <w:p w14:paraId="4DCE21EA">
                  <w:pPr>
                    <w:widowControl/>
                    <w:jc w:val="center"/>
                    <w:textAlignment w:val="center"/>
                    <w:rPr>
                      <w:szCs w:val="21"/>
                    </w:rPr>
                  </w:pPr>
                </w:p>
              </w:tc>
              <w:tc>
                <w:tcPr>
                  <w:tcW w:w="1559" w:type="dxa"/>
                  <w:noWrap w:val="0"/>
                  <w:tcMar>
                    <w:top w:w="12" w:type="dxa"/>
                    <w:left w:w="12" w:type="dxa"/>
                    <w:right w:w="12" w:type="dxa"/>
                  </w:tcMar>
                  <w:vAlign w:val="center"/>
                </w:tcPr>
                <w:p w14:paraId="0CFCAF62">
                  <w:pPr>
                    <w:widowControl/>
                    <w:jc w:val="center"/>
                    <w:textAlignment w:val="center"/>
                    <w:rPr>
                      <w:rFonts w:hint="eastAsia"/>
                      <w:szCs w:val="21"/>
                    </w:rPr>
                  </w:pPr>
                  <w:r>
                    <w:rPr>
                      <w:rFonts w:hint="eastAsia"/>
                      <w:szCs w:val="21"/>
                    </w:rPr>
                    <w:t>化学需氧量</w:t>
                  </w:r>
                </w:p>
              </w:tc>
              <w:tc>
                <w:tcPr>
                  <w:tcW w:w="773" w:type="dxa"/>
                  <w:noWrap/>
                  <w:tcMar>
                    <w:top w:w="12" w:type="dxa"/>
                    <w:left w:w="12" w:type="dxa"/>
                    <w:right w:w="12" w:type="dxa"/>
                  </w:tcMar>
                  <w:vAlign w:val="center"/>
                </w:tcPr>
                <w:p w14:paraId="6CB219B9">
                  <w:pPr>
                    <w:widowControl/>
                    <w:jc w:val="center"/>
                    <w:rPr>
                      <w:kern w:val="0"/>
                      <w:sz w:val="22"/>
                      <w:szCs w:val="22"/>
                    </w:rPr>
                  </w:pPr>
                  <w:r>
                    <w:rPr>
                      <w:rFonts w:hint="eastAsia"/>
                      <w:sz w:val="22"/>
                      <w:szCs w:val="22"/>
                    </w:rPr>
                    <w:t>0.504</w:t>
                  </w:r>
                </w:p>
              </w:tc>
              <w:tc>
                <w:tcPr>
                  <w:tcW w:w="796" w:type="dxa"/>
                  <w:noWrap/>
                  <w:tcMar>
                    <w:top w:w="12" w:type="dxa"/>
                    <w:left w:w="12" w:type="dxa"/>
                    <w:right w:w="12" w:type="dxa"/>
                  </w:tcMar>
                  <w:vAlign w:val="center"/>
                </w:tcPr>
                <w:p w14:paraId="054FB4E3">
                  <w:pPr>
                    <w:widowControl/>
                    <w:jc w:val="center"/>
                    <w:textAlignment w:val="center"/>
                    <w:rPr>
                      <w:kern w:val="0"/>
                      <w:szCs w:val="21"/>
                      <w:lang w:bidi="ar"/>
                    </w:rPr>
                  </w:pPr>
                  <w:r>
                    <w:rPr>
                      <w:szCs w:val="21"/>
                    </w:rPr>
                    <w:t>350</w:t>
                  </w:r>
                </w:p>
              </w:tc>
              <w:tc>
                <w:tcPr>
                  <w:tcW w:w="884" w:type="dxa"/>
                  <w:vMerge w:val="continue"/>
                  <w:noWrap/>
                  <w:tcMar>
                    <w:top w:w="12" w:type="dxa"/>
                    <w:left w:w="12" w:type="dxa"/>
                    <w:right w:w="12" w:type="dxa"/>
                  </w:tcMar>
                  <w:vAlign w:val="center"/>
                </w:tcPr>
                <w:p w14:paraId="14DF6121">
                  <w:pPr>
                    <w:widowControl/>
                    <w:jc w:val="center"/>
                    <w:textAlignment w:val="center"/>
                    <w:rPr>
                      <w:szCs w:val="21"/>
                    </w:rPr>
                  </w:pPr>
                </w:p>
              </w:tc>
              <w:tc>
                <w:tcPr>
                  <w:tcW w:w="706" w:type="dxa"/>
                  <w:noWrap/>
                  <w:tcMar>
                    <w:top w:w="12" w:type="dxa"/>
                    <w:left w:w="12" w:type="dxa"/>
                    <w:right w:w="12" w:type="dxa"/>
                  </w:tcMar>
                  <w:vAlign w:val="center"/>
                </w:tcPr>
                <w:p w14:paraId="715F643A">
                  <w:pPr>
                    <w:widowControl/>
                    <w:jc w:val="center"/>
                    <w:textAlignment w:val="center"/>
                    <w:rPr>
                      <w:rFonts w:hint="default" w:eastAsia="宋体"/>
                      <w:kern w:val="0"/>
                      <w:szCs w:val="21"/>
                      <w:lang w:val="en-US" w:eastAsia="zh-CN" w:bidi="ar"/>
                    </w:rPr>
                  </w:pPr>
                  <w:r>
                    <w:rPr>
                      <w:rFonts w:hint="eastAsia"/>
                      <w:kern w:val="0"/>
                      <w:szCs w:val="21"/>
                      <w:lang w:val="en-US" w:eastAsia="zh-CN" w:bidi="ar"/>
                    </w:rPr>
                    <w:t>10%</w:t>
                  </w:r>
                </w:p>
              </w:tc>
              <w:tc>
                <w:tcPr>
                  <w:tcW w:w="716" w:type="dxa"/>
                  <w:vMerge w:val="continue"/>
                  <w:noWrap/>
                  <w:tcMar>
                    <w:top w:w="12" w:type="dxa"/>
                    <w:left w:w="12" w:type="dxa"/>
                    <w:right w:w="12" w:type="dxa"/>
                  </w:tcMar>
                  <w:vAlign w:val="center"/>
                </w:tcPr>
                <w:p w14:paraId="2657FA3D">
                  <w:pPr>
                    <w:widowControl/>
                    <w:jc w:val="center"/>
                    <w:textAlignment w:val="center"/>
                    <w:rPr>
                      <w:szCs w:val="21"/>
                    </w:rPr>
                  </w:pPr>
                </w:p>
              </w:tc>
              <w:tc>
                <w:tcPr>
                  <w:tcW w:w="961" w:type="dxa"/>
                  <w:vMerge w:val="continue"/>
                  <w:noWrap/>
                  <w:tcMar>
                    <w:top w:w="12" w:type="dxa"/>
                    <w:left w:w="12" w:type="dxa"/>
                    <w:right w:w="12" w:type="dxa"/>
                  </w:tcMar>
                  <w:vAlign w:val="center"/>
                </w:tcPr>
                <w:p w14:paraId="240620EA">
                  <w:pPr>
                    <w:widowControl/>
                    <w:jc w:val="center"/>
                    <w:textAlignment w:val="center"/>
                    <w:rPr>
                      <w:szCs w:val="21"/>
                    </w:rPr>
                  </w:pPr>
                </w:p>
              </w:tc>
              <w:tc>
                <w:tcPr>
                  <w:tcW w:w="695" w:type="dxa"/>
                  <w:vMerge w:val="continue"/>
                  <w:noWrap/>
                  <w:tcMar>
                    <w:top w:w="12" w:type="dxa"/>
                    <w:left w:w="12" w:type="dxa"/>
                    <w:right w:w="12" w:type="dxa"/>
                  </w:tcMar>
                  <w:vAlign w:val="center"/>
                </w:tcPr>
                <w:p w14:paraId="636241EC">
                  <w:pPr>
                    <w:widowControl/>
                    <w:jc w:val="center"/>
                    <w:textAlignment w:val="center"/>
                    <w:rPr>
                      <w:szCs w:val="21"/>
                    </w:rPr>
                  </w:pPr>
                </w:p>
              </w:tc>
              <w:tc>
                <w:tcPr>
                  <w:tcW w:w="899" w:type="dxa"/>
                  <w:noWrap w:val="0"/>
                  <w:tcMar>
                    <w:top w:w="12" w:type="dxa"/>
                    <w:left w:w="12" w:type="dxa"/>
                    <w:right w:w="12" w:type="dxa"/>
                  </w:tcMar>
                  <w:vAlign w:val="center"/>
                </w:tcPr>
                <w:p w14:paraId="540261F6">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0.454</w:t>
                  </w:r>
                </w:p>
              </w:tc>
              <w:tc>
                <w:tcPr>
                  <w:tcW w:w="712" w:type="dxa"/>
                  <w:noWrap w:val="0"/>
                  <w:tcMar>
                    <w:top w:w="12" w:type="dxa"/>
                    <w:left w:w="12" w:type="dxa"/>
                    <w:right w:w="12" w:type="dxa"/>
                  </w:tcMar>
                  <w:vAlign w:val="center"/>
                </w:tcPr>
                <w:p w14:paraId="5B17A210">
                  <w:pPr>
                    <w:widowControl/>
                    <w:jc w:val="center"/>
                    <w:textAlignment w:val="center"/>
                    <w:rPr>
                      <w:rFonts w:hint="default" w:eastAsia="宋体"/>
                      <w:kern w:val="0"/>
                      <w:szCs w:val="21"/>
                      <w:lang w:val="en-US" w:eastAsia="zh-CN" w:bidi="ar"/>
                    </w:rPr>
                  </w:pPr>
                  <w:r>
                    <w:rPr>
                      <w:szCs w:val="21"/>
                    </w:rPr>
                    <w:t>3</w:t>
                  </w:r>
                  <w:r>
                    <w:rPr>
                      <w:rFonts w:hint="eastAsia"/>
                      <w:szCs w:val="21"/>
                      <w:lang w:val="en-US" w:eastAsia="zh-CN"/>
                    </w:rPr>
                    <w:t>15</w:t>
                  </w:r>
                </w:p>
              </w:tc>
              <w:tc>
                <w:tcPr>
                  <w:tcW w:w="751" w:type="dxa"/>
                  <w:vMerge w:val="continue"/>
                  <w:noWrap w:val="0"/>
                  <w:tcMar>
                    <w:top w:w="12" w:type="dxa"/>
                    <w:left w:w="12" w:type="dxa"/>
                    <w:right w:w="12" w:type="dxa"/>
                  </w:tcMar>
                  <w:vAlign w:val="center"/>
                </w:tcPr>
                <w:p w14:paraId="68C873C4">
                  <w:pPr>
                    <w:widowControl/>
                    <w:jc w:val="center"/>
                    <w:textAlignment w:val="center"/>
                    <w:rPr>
                      <w:szCs w:val="21"/>
                    </w:rPr>
                  </w:pPr>
                </w:p>
              </w:tc>
              <w:tc>
                <w:tcPr>
                  <w:tcW w:w="751" w:type="dxa"/>
                  <w:vMerge w:val="continue"/>
                  <w:noWrap w:val="0"/>
                  <w:tcMar>
                    <w:top w:w="12" w:type="dxa"/>
                    <w:left w:w="12" w:type="dxa"/>
                    <w:right w:w="12" w:type="dxa"/>
                  </w:tcMar>
                  <w:vAlign w:val="center"/>
                </w:tcPr>
                <w:p w14:paraId="596AAA44">
                  <w:pPr>
                    <w:widowControl/>
                    <w:jc w:val="center"/>
                    <w:textAlignment w:val="center"/>
                    <w:rPr>
                      <w:szCs w:val="21"/>
                    </w:rPr>
                  </w:pPr>
                </w:p>
              </w:tc>
              <w:tc>
                <w:tcPr>
                  <w:tcW w:w="950" w:type="dxa"/>
                  <w:vMerge w:val="continue"/>
                  <w:noWrap w:val="0"/>
                  <w:tcMar>
                    <w:top w:w="12" w:type="dxa"/>
                    <w:left w:w="12" w:type="dxa"/>
                    <w:right w:w="12" w:type="dxa"/>
                  </w:tcMar>
                  <w:vAlign w:val="center"/>
                </w:tcPr>
                <w:p w14:paraId="01A0CABD">
                  <w:pPr>
                    <w:widowControl/>
                    <w:jc w:val="center"/>
                    <w:textAlignment w:val="center"/>
                    <w:rPr>
                      <w:szCs w:val="21"/>
                    </w:rPr>
                  </w:pPr>
                </w:p>
              </w:tc>
              <w:tc>
                <w:tcPr>
                  <w:tcW w:w="953" w:type="dxa"/>
                  <w:vMerge w:val="continue"/>
                  <w:noWrap w:val="0"/>
                  <w:tcMar>
                    <w:top w:w="12" w:type="dxa"/>
                    <w:left w:w="12" w:type="dxa"/>
                    <w:right w:w="12" w:type="dxa"/>
                  </w:tcMar>
                  <w:vAlign w:val="center"/>
                </w:tcPr>
                <w:p w14:paraId="558A8EB3">
                  <w:pPr>
                    <w:widowControl/>
                    <w:jc w:val="center"/>
                    <w:textAlignment w:val="center"/>
                    <w:rPr>
                      <w:szCs w:val="21"/>
                    </w:rPr>
                  </w:pPr>
                </w:p>
              </w:tc>
            </w:tr>
            <w:tr w14:paraId="5B42A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658" w:type="dxa"/>
                  <w:vMerge w:val="continue"/>
                  <w:noWrap w:val="0"/>
                  <w:tcMar>
                    <w:top w:w="12" w:type="dxa"/>
                    <w:left w:w="12" w:type="dxa"/>
                    <w:right w:w="12" w:type="dxa"/>
                  </w:tcMar>
                  <w:vAlign w:val="center"/>
                </w:tcPr>
                <w:p w14:paraId="3E474E0A">
                  <w:pPr>
                    <w:jc w:val="center"/>
                    <w:rPr>
                      <w:szCs w:val="21"/>
                    </w:rPr>
                  </w:pPr>
                </w:p>
              </w:tc>
              <w:tc>
                <w:tcPr>
                  <w:tcW w:w="573" w:type="dxa"/>
                  <w:vMerge w:val="continue"/>
                  <w:noWrap w:val="0"/>
                  <w:tcMar>
                    <w:top w:w="12" w:type="dxa"/>
                    <w:left w:w="12" w:type="dxa"/>
                    <w:right w:w="12" w:type="dxa"/>
                  </w:tcMar>
                  <w:vAlign w:val="center"/>
                </w:tcPr>
                <w:p w14:paraId="300A8CB3">
                  <w:pPr>
                    <w:jc w:val="center"/>
                    <w:rPr>
                      <w:szCs w:val="21"/>
                    </w:rPr>
                  </w:pPr>
                </w:p>
              </w:tc>
              <w:tc>
                <w:tcPr>
                  <w:tcW w:w="1559" w:type="dxa"/>
                  <w:noWrap w:val="0"/>
                  <w:tcMar>
                    <w:top w:w="12" w:type="dxa"/>
                    <w:left w:w="12" w:type="dxa"/>
                    <w:right w:w="12" w:type="dxa"/>
                  </w:tcMar>
                  <w:vAlign w:val="center"/>
                </w:tcPr>
                <w:p w14:paraId="41F55715">
                  <w:pPr>
                    <w:widowControl/>
                    <w:jc w:val="center"/>
                    <w:textAlignment w:val="center"/>
                    <w:rPr>
                      <w:szCs w:val="21"/>
                    </w:rPr>
                  </w:pPr>
                  <w:r>
                    <w:rPr>
                      <w:rFonts w:hint="eastAsia"/>
                      <w:szCs w:val="21"/>
                    </w:rPr>
                    <w:t>五日生化需氧量</w:t>
                  </w:r>
                </w:p>
              </w:tc>
              <w:tc>
                <w:tcPr>
                  <w:tcW w:w="773" w:type="dxa"/>
                  <w:noWrap/>
                  <w:tcMar>
                    <w:top w:w="12" w:type="dxa"/>
                    <w:left w:w="12" w:type="dxa"/>
                    <w:right w:w="12" w:type="dxa"/>
                  </w:tcMar>
                  <w:vAlign w:val="center"/>
                </w:tcPr>
                <w:p w14:paraId="1C953B9A">
                  <w:pPr>
                    <w:jc w:val="center"/>
                    <w:rPr>
                      <w:rFonts w:hint="eastAsia"/>
                      <w:sz w:val="22"/>
                      <w:szCs w:val="22"/>
                    </w:rPr>
                  </w:pPr>
                  <w:r>
                    <w:rPr>
                      <w:rFonts w:hint="eastAsia"/>
                      <w:sz w:val="22"/>
                      <w:szCs w:val="22"/>
                    </w:rPr>
                    <w:t>0.216</w:t>
                  </w:r>
                </w:p>
              </w:tc>
              <w:tc>
                <w:tcPr>
                  <w:tcW w:w="796" w:type="dxa"/>
                  <w:noWrap/>
                  <w:tcMar>
                    <w:top w:w="12" w:type="dxa"/>
                    <w:left w:w="12" w:type="dxa"/>
                    <w:right w:w="12" w:type="dxa"/>
                  </w:tcMar>
                  <w:vAlign w:val="center"/>
                </w:tcPr>
                <w:p w14:paraId="391C5B23">
                  <w:pPr>
                    <w:widowControl/>
                    <w:jc w:val="center"/>
                    <w:textAlignment w:val="center"/>
                    <w:rPr>
                      <w:kern w:val="0"/>
                      <w:szCs w:val="21"/>
                      <w:lang w:bidi="ar"/>
                    </w:rPr>
                  </w:pPr>
                  <w:r>
                    <w:rPr>
                      <w:szCs w:val="21"/>
                    </w:rPr>
                    <w:t>150</w:t>
                  </w:r>
                </w:p>
              </w:tc>
              <w:tc>
                <w:tcPr>
                  <w:tcW w:w="884" w:type="dxa"/>
                  <w:vMerge w:val="continue"/>
                  <w:noWrap/>
                  <w:tcMar>
                    <w:top w:w="12" w:type="dxa"/>
                    <w:left w:w="12" w:type="dxa"/>
                    <w:right w:w="12" w:type="dxa"/>
                  </w:tcMar>
                  <w:vAlign w:val="center"/>
                </w:tcPr>
                <w:p w14:paraId="28FA8565">
                  <w:pPr>
                    <w:jc w:val="center"/>
                    <w:rPr>
                      <w:szCs w:val="21"/>
                    </w:rPr>
                  </w:pPr>
                </w:p>
              </w:tc>
              <w:tc>
                <w:tcPr>
                  <w:tcW w:w="706" w:type="dxa"/>
                  <w:noWrap/>
                  <w:tcMar>
                    <w:top w:w="12" w:type="dxa"/>
                    <w:left w:w="12" w:type="dxa"/>
                    <w:right w:w="12" w:type="dxa"/>
                  </w:tcMar>
                  <w:vAlign w:val="center"/>
                </w:tcPr>
                <w:p w14:paraId="50F2D45E">
                  <w:pPr>
                    <w:widowControl/>
                    <w:jc w:val="center"/>
                    <w:textAlignment w:val="center"/>
                    <w:rPr>
                      <w:kern w:val="0"/>
                      <w:szCs w:val="21"/>
                      <w:lang w:bidi="ar"/>
                    </w:rPr>
                  </w:pPr>
                  <w:r>
                    <w:rPr>
                      <w:rFonts w:hint="eastAsia"/>
                      <w:kern w:val="0"/>
                      <w:szCs w:val="21"/>
                      <w:lang w:val="en-US" w:eastAsia="zh-CN" w:bidi="ar"/>
                    </w:rPr>
                    <w:t>10%</w:t>
                  </w:r>
                </w:p>
              </w:tc>
              <w:tc>
                <w:tcPr>
                  <w:tcW w:w="716" w:type="dxa"/>
                  <w:vMerge w:val="continue"/>
                  <w:noWrap/>
                  <w:tcMar>
                    <w:top w:w="12" w:type="dxa"/>
                    <w:left w:w="12" w:type="dxa"/>
                    <w:right w:w="12" w:type="dxa"/>
                  </w:tcMar>
                  <w:vAlign w:val="center"/>
                </w:tcPr>
                <w:p w14:paraId="044F2DCE">
                  <w:pPr>
                    <w:jc w:val="center"/>
                    <w:rPr>
                      <w:szCs w:val="21"/>
                    </w:rPr>
                  </w:pPr>
                </w:p>
              </w:tc>
              <w:tc>
                <w:tcPr>
                  <w:tcW w:w="961" w:type="dxa"/>
                  <w:vMerge w:val="continue"/>
                  <w:noWrap/>
                  <w:tcMar>
                    <w:top w:w="12" w:type="dxa"/>
                    <w:left w:w="12" w:type="dxa"/>
                    <w:right w:w="12" w:type="dxa"/>
                  </w:tcMar>
                  <w:vAlign w:val="center"/>
                </w:tcPr>
                <w:p w14:paraId="6F9ED56E">
                  <w:pPr>
                    <w:jc w:val="center"/>
                    <w:rPr>
                      <w:szCs w:val="21"/>
                    </w:rPr>
                  </w:pPr>
                </w:p>
              </w:tc>
              <w:tc>
                <w:tcPr>
                  <w:tcW w:w="695" w:type="dxa"/>
                  <w:vMerge w:val="continue"/>
                  <w:noWrap/>
                  <w:tcMar>
                    <w:top w:w="12" w:type="dxa"/>
                    <w:left w:w="12" w:type="dxa"/>
                    <w:right w:w="12" w:type="dxa"/>
                  </w:tcMar>
                  <w:vAlign w:val="center"/>
                </w:tcPr>
                <w:p w14:paraId="33E1D4E1">
                  <w:pPr>
                    <w:jc w:val="center"/>
                    <w:rPr>
                      <w:szCs w:val="21"/>
                    </w:rPr>
                  </w:pPr>
                </w:p>
              </w:tc>
              <w:tc>
                <w:tcPr>
                  <w:tcW w:w="899" w:type="dxa"/>
                  <w:noWrap w:val="0"/>
                  <w:tcMar>
                    <w:top w:w="12" w:type="dxa"/>
                    <w:left w:w="12" w:type="dxa"/>
                    <w:right w:w="12" w:type="dxa"/>
                  </w:tcMar>
                  <w:vAlign w:val="center"/>
                </w:tcPr>
                <w:p w14:paraId="64D406BB">
                  <w:pPr>
                    <w:keepNext w:val="0"/>
                    <w:keepLines w:val="0"/>
                    <w:widowControl/>
                    <w:suppressLineNumbers w:val="0"/>
                    <w:jc w:val="center"/>
                    <w:textAlignment w:val="center"/>
                    <w:rPr>
                      <w:rFonts w:hint="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0.194</w:t>
                  </w:r>
                </w:p>
              </w:tc>
              <w:tc>
                <w:tcPr>
                  <w:tcW w:w="712" w:type="dxa"/>
                  <w:noWrap w:val="0"/>
                  <w:tcMar>
                    <w:top w:w="12" w:type="dxa"/>
                    <w:left w:w="12" w:type="dxa"/>
                    <w:right w:w="12" w:type="dxa"/>
                  </w:tcMar>
                  <w:vAlign w:val="center"/>
                </w:tcPr>
                <w:p w14:paraId="66F4797C">
                  <w:pPr>
                    <w:widowControl/>
                    <w:jc w:val="center"/>
                    <w:textAlignment w:val="center"/>
                    <w:rPr>
                      <w:rFonts w:hint="default" w:eastAsia="宋体"/>
                      <w:kern w:val="0"/>
                      <w:szCs w:val="21"/>
                      <w:lang w:val="en-US" w:eastAsia="zh-CN" w:bidi="ar"/>
                    </w:rPr>
                  </w:pPr>
                  <w:r>
                    <w:rPr>
                      <w:szCs w:val="21"/>
                    </w:rPr>
                    <w:t>1</w:t>
                  </w:r>
                  <w:r>
                    <w:rPr>
                      <w:rFonts w:hint="eastAsia"/>
                      <w:szCs w:val="21"/>
                      <w:lang w:val="en-US" w:eastAsia="zh-CN"/>
                    </w:rPr>
                    <w:t>35</w:t>
                  </w:r>
                </w:p>
              </w:tc>
              <w:tc>
                <w:tcPr>
                  <w:tcW w:w="751" w:type="dxa"/>
                  <w:vMerge w:val="continue"/>
                  <w:noWrap w:val="0"/>
                  <w:tcMar>
                    <w:top w:w="12" w:type="dxa"/>
                    <w:left w:w="12" w:type="dxa"/>
                    <w:right w:w="12" w:type="dxa"/>
                  </w:tcMar>
                  <w:vAlign w:val="center"/>
                </w:tcPr>
                <w:p w14:paraId="56604538">
                  <w:pPr>
                    <w:jc w:val="center"/>
                    <w:rPr>
                      <w:szCs w:val="21"/>
                    </w:rPr>
                  </w:pPr>
                </w:p>
              </w:tc>
              <w:tc>
                <w:tcPr>
                  <w:tcW w:w="751" w:type="dxa"/>
                  <w:vMerge w:val="continue"/>
                  <w:noWrap w:val="0"/>
                  <w:tcMar>
                    <w:top w:w="12" w:type="dxa"/>
                    <w:left w:w="12" w:type="dxa"/>
                    <w:right w:w="12" w:type="dxa"/>
                  </w:tcMar>
                  <w:vAlign w:val="center"/>
                </w:tcPr>
                <w:p w14:paraId="5A1F46CD">
                  <w:pPr>
                    <w:jc w:val="center"/>
                    <w:rPr>
                      <w:szCs w:val="21"/>
                    </w:rPr>
                  </w:pPr>
                </w:p>
              </w:tc>
              <w:tc>
                <w:tcPr>
                  <w:tcW w:w="950" w:type="dxa"/>
                  <w:vMerge w:val="continue"/>
                  <w:noWrap w:val="0"/>
                  <w:tcMar>
                    <w:top w:w="12" w:type="dxa"/>
                    <w:left w:w="12" w:type="dxa"/>
                    <w:right w:w="12" w:type="dxa"/>
                  </w:tcMar>
                  <w:vAlign w:val="center"/>
                </w:tcPr>
                <w:p w14:paraId="1484A9FE">
                  <w:pPr>
                    <w:jc w:val="center"/>
                    <w:rPr>
                      <w:szCs w:val="21"/>
                    </w:rPr>
                  </w:pPr>
                </w:p>
              </w:tc>
              <w:tc>
                <w:tcPr>
                  <w:tcW w:w="953" w:type="dxa"/>
                  <w:vMerge w:val="continue"/>
                  <w:noWrap w:val="0"/>
                  <w:tcMar>
                    <w:top w:w="12" w:type="dxa"/>
                    <w:left w:w="12" w:type="dxa"/>
                    <w:right w:w="12" w:type="dxa"/>
                  </w:tcMar>
                  <w:vAlign w:val="center"/>
                </w:tcPr>
                <w:p w14:paraId="735A5B02">
                  <w:pPr>
                    <w:jc w:val="center"/>
                    <w:rPr>
                      <w:szCs w:val="21"/>
                    </w:rPr>
                  </w:pPr>
                </w:p>
              </w:tc>
            </w:tr>
            <w:tr w14:paraId="49FAA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658" w:type="dxa"/>
                  <w:vMerge w:val="continue"/>
                  <w:noWrap w:val="0"/>
                  <w:tcMar>
                    <w:top w:w="12" w:type="dxa"/>
                    <w:left w:w="12" w:type="dxa"/>
                    <w:right w:w="12" w:type="dxa"/>
                  </w:tcMar>
                  <w:vAlign w:val="center"/>
                </w:tcPr>
                <w:p w14:paraId="53DDA377">
                  <w:pPr>
                    <w:jc w:val="center"/>
                    <w:rPr>
                      <w:szCs w:val="21"/>
                    </w:rPr>
                  </w:pPr>
                </w:p>
              </w:tc>
              <w:tc>
                <w:tcPr>
                  <w:tcW w:w="573" w:type="dxa"/>
                  <w:vMerge w:val="continue"/>
                  <w:noWrap w:val="0"/>
                  <w:tcMar>
                    <w:top w:w="12" w:type="dxa"/>
                    <w:left w:w="12" w:type="dxa"/>
                    <w:right w:w="12" w:type="dxa"/>
                  </w:tcMar>
                  <w:vAlign w:val="center"/>
                </w:tcPr>
                <w:p w14:paraId="3E53EB9D">
                  <w:pPr>
                    <w:jc w:val="center"/>
                    <w:rPr>
                      <w:szCs w:val="21"/>
                    </w:rPr>
                  </w:pPr>
                </w:p>
              </w:tc>
              <w:tc>
                <w:tcPr>
                  <w:tcW w:w="1559" w:type="dxa"/>
                  <w:noWrap w:val="0"/>
                  <w:tcMar>
                    <w:top w:w="12" w:type="dxa"/>
                    <w:left w:w="12" w:type="dxa"/>
                    <w:right w:w="12" w:type="dxa"/>
                  </w:tcMar>
                  <w:vAlign w:val="center"/>
                </w:tcPr>
                <w:p w14:paraId="4C588877">
                  <w:pPr>
                    <w:widowControl/>
                    <w:jc w:val="center"/>
                    <w:textAlignment w:val="center"/>
                    <w:rPr>
                      <w:szCs w:val="21"/>
                    </w:rPr>
                  </w:pPr>
                  <w:r>
                    <w:rPr>
                      <w:rFonts w:hint="eastAsia"/>
                      <w:szCs w:val="21"/>
                    </w:rPr>
                    <w:t>悬浮物</w:t>
                  </w:r>
                </w:p>
              </w:tc>
              <w:tc>
                <w:tcPr>
                  <w:tcW w:w="773" w:type="dxa"/>
                  <w:noWrap/>
                  <w:tcMar>
                    <w:top w:w="12" w:type="dxa"/>
                    <w:left w:w="12" w:type="dxa"/>
                    <w:right w:w="12" w:type="dxa"/>
                  </w:tcMar>
                  <w:vAlign w:val="center"/>
                </w:tcPr>
                <w:p w14:paraId="2EF20191">
                  <w:pPr>
                    <w:jc w:val="center"/>
                    <w:rPr>
                      <w:rFonts w:hint="eastAsia"/>
                      <w:sz w:val="22"/>
                      <w:szCs w:val="22"/>
                    </w:rPr>
                  </w:pPr>
                  <w:r>
                    <w:rPr>
                      <w:rFonts w:hint="eastAsia"/>
                      <w:sz w:val="22"/>
                      <w:szCs w:val="22"/>
                    </w:rPr>
                    <w:t>0.173</w:t>
                  </w:r>
                </w:p>
              </w:tc>
              <w:tc>
                <w:tcPr>
                  <w:tcW w:w="796" w:type="dxa"/>
                  <w:noWrap/>
                  <w:tcMar>
                    <w:top w:w="12" w:type="dxa"/>
                    <w:left w:w="12" w:type="dxa"/>
                    <w:right w:w="12" w:type="dxa"/>
                  </w:tcMar>
                  <w:vAlign w:val="center"/>
                </w:tcPr>
                <w:p w14:paraId="2222B637">
                  <w:pPr>
                    <w:widowControl/>
                    <w:jc w:val="center"/>
                    <w:textAlignment w:val="center"/>
                    <w:rPr>
                      <w:kern w:val="0"/>
                      <w:szCs w:val="21"/>
                      <w:lang w:bidi="ar"/>
                    </w:rPr>
                  </w:pPr>
                  <w:r>
                    <w:rPr>
                      <w:szCs w:val="21"/>
                    </w:rPr>
                    <w:t>120</w:t>
                  </w:r>
                </w:p>
              </w:tc>
              <w:tc>
                <w:tcPr>
                  <w:tcW w:w="884" w:type="dxa"/>
                  <w:vMerge w:val="continue"/>
                  <w:noWrap/>
                  <w:tcMar>
                    <w:top w:w="12" w:type="dxa"/>
                    <w:left w:w="12" w:type="dxa"/>
                    <w:right w:w="12" w:type="dxa"/>
                  </w:tcMar>
                  <w:vAlign w:val="center"/>
                </w:tcPr>
                <w:p w14:paraId="1B8F3134">
                  <w:pPr>
                    <w:jc w:val="center"/>
                    <w:rPr>
                      <w:rFonts w:hint="eastAsia"/>
                      <w:szCs w:val="21"/>
                    </w:rPr>
                  </w:pPr>
                </w:p>
              </w:tc>
              <w:tc>
                <w:tcPr>
                  <w:tcW w:w="706" w:type="dxa"/>
                  <w:noWrap/>
                  <w:tcMar>
                    <w:top w:w="12" w:type="dxa"/>
                    <w:left w:w="12" w:type="dxa"/>
                    <w:right w:w="12" w:type="dxa"/>
                  </w:tcMar>
                  <w:vAlign w:val="center"/>
                </w:tcPr>
                <w:p w14:paraId="3BDCE002">
                  <w:pPr>
                    <w:widowControl/>
                    <w:jc w:val="center"/>
                    <w:textAlignment w:val="center"/>
                    <w:rPr>
                      <w:rFonts w:hint="eastAsia"/>
                      <w:kern w:val="0"/>
                      <w:szCs w:val="21"/>
                      <w:lang w:bidi="ar"/>
                    </w:rPr>
                  </w:pPr>
                  <w:r>
                    <w:rPr>
                      <w:rFonts w:hint="eastAsia"/>
                      <w:kern w:val="0"/>
                      <w:szCs w:val="21"/>
                      <w:lang w:bidi="ar"/>
                    </w:rPr>
                    <w:t>/</w:t>
                  </w:r>
                </w:p>
              </w:tc>
              <w:tc>
                <w:tcPr>
                  <w:tcW w:w="716" w:type="dxa"/>
                  <w:vMerge w:val="continue"/>
                  <w:noWrap/>
                  <w:tcMar>
                    <w:top w:w="12" w:type="dxa"/>
                    <w:left w:w="12" w:type="dxa"/>
                    <w:right w:w="12" w:type="dxa"/>
                  </w:tcMar>
                  <w:vAlign w:val="center"/>
                </w:tcPr>
                <w:p w14:paraId="4FFD1B1F">
                  <w:pPr>
                    <w:jc w:val="center"/>
                    <w:rPr>
                      <w:rFonts w:hint="eastAsia"/>
                      <w:szCs w:val="21"/>
                    </w:rPr>
                  </w:pPr>
                </w:p>
              </w:tc>
              <w:tc>
                <w:tcPr>
                  <w:tcW w:w="961" w:type="dxa"/>
                  <w:vMerge w:val="continue"/>
                  <w:noWrap/>
                  <w:tcMar>
                    <w:top w:w="12" w:type="dxa"/>
                    <w:left w:w="12" w:type="dxa"/>
                    <w:right w:w="12" w:type="dxa"/>
                  </w:tcMar>
                  <w:vAlign w:val="center"/>
                </w:tcPr>
                <w:p w14:paraId="5C054266">
                  <w:pPr>
                    <w:jc w:val="center"/>
                    <w:rPr>
                      <w:szCs w:val="21"/>
                    </w:rPr>
                  </w:pPr>
                </w:p>
              </w:tc>
              <w:tc>
                <w:tcPr>
                  <w:tcW w:w="695" w:type="dxa"/>
                  <w:vMerge w:val="continue"/>
                  <w:noWrap/>
                  <w:tcMar>
                    <w:top w:w="12" w:type="dxa"/>
                    <w:left w:w="12" w:type="dxa"/>
                    <w:right w:w="12" w:type="dxa"/>
                  </w:tcMar>
                  <w:vAlign w:val="center"/>
                </w:tcPr>
                <w:p w14:paraId="6A4F7419">
                  <w:pPr>
                    <w:jc w:val="center"/>
                    <w:rPr>
                      <w:szCs w:val="21"/>
                    </w:rPr>
                  </w:pPr>
                </w:p>
              </w:tc>
              <w:tc>
                <w:tcPr>
                  <w:tcW w:w="899" w:type="dxa"/>
                  <w:noWrap w:val="0"/>
                  <w:tcMar>
                    <w:top w:w="12" w:type="dxa"/>
                    <w:left w:w="12" w:type="dxa"/>
                    <w:right w:w="12" w:type="dxa"/>
                  </w:tcMar>
                  <w:vAlign w:val="center"/>
                </w:tcPr>
                <w:p w14:paraId="666AD632">
                  <w:pPr>
                    <w:keepNext w:val="0"/>
                    <w:keepLines w:val="0"/>
                    <w:widowControl/>
                    <w:suppressLineNumbers w:val="0"/>
                    <w:jc w:val="center"/>
                    <w:textAlignment w:val="center"/>
                    <w:rPr>
                      <w:rFonts w:hint="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0.173</w:t>
                  </w:r>
                </w:p>
              </w:tc>
              <w:tc>
                <w:tcPr>
                  <w:tcW w:w="712" w:type="dxa"/>
                  <w:noWrap w:val="0"/>
                  <w:tcMar>
                    <w:top w:w="12" w:type="dxa"/>
                    <w:left w:w="12" w:type="dxa"/>
                    <w:right w:w="12" w:type="dxa"/>
                  </w:tcMar>
                  <w:vAlign w:val="center"/>
                </w:tcPr>
                <w:p w14:paraId="7C0EB5BF">
                  <w:pPr>
                    <w:widowControl/>
                    <w:jc w:val="center"/>
                    <w:textAlignment w:val="center"/>
                    <w:rPr>
                      <w:kern w:val="0"/>
                      <w:szCs w:val="21"/>
                      <w:lang w:bidi="ar"/>
                    </w:rPr>
                  </w:pPr>
                  <w:r>
                    <w:rPr>
                      <w:szCs w:val="21"/>
                    </w:rPr>
                    <w:t>120</w:t>
                  </w:r>
                </w:p>
              </w:tc>
              <w:tc>
                <w:tcPr>
                  <w:tcW w:w="751" w:type="dxa"/>
                  <w:vMerge w:val="continue"/>
                  <w:noWrap w:val="0"/>
                  <w:tcMar>
                    <w:top w:w="12" w:type="dxa"/>
                    <w:left w:w="12" w:type="dxa"/>
                    <w:right w:w="12" w:type="dxa"/>
                  </w:tcMar>
                  <w:vAlign w:val="center"/>
                </w:tcPr>
                <w:p w14:paraId="6318117C">
                  <w:pPr>
                    <w:jc w:val="center"/>
                    <w:rPr>
                      <w:szCs w:val="21"/>
                    </w:rPr>
                  </w:pPr>
                </w:p>
              </w:tc>
              <w:tc>
                <w:tcPr>
                  <w:tcW w:w="751" w:type="dxa"/>
                  <w:vMerge w:val="continue"/>
                  <w:noWrap w:val="0"/>
                  <w:tcMar>
                    <w:top w:w="12" w:type="dxa"/>
                    <w:left w:w="12" w:type="dxa"/>
                    <w:right w:w="12" w:type="dxa"/>
                  </w:tcMar>
                  <w:vAlign w:val="center"/>
                </w:tcPr>
                <w:p w14:paraId="12087209">
                  <w:pPr>
                    <w:jc w:val="center"/>
                    <w:rPr>
                      <w:szCs w:val="21"/>
                    </w:rPr>
                  </w:pPr>
                </w:p>
              </w:tc>
              <w:tc>
                <w:tcPr>
                  <w:tcW w:w="950" w:type="dxa"/>
                  <w:vMerge w:val="continue"/>
                  <w:noWrap w:val="0"/>
                  <w:tcMar>
                    <w:top w:w="12" w:type="dxa"/>
                    <w:left w:w="12" w:type="dxa"/>
                    <w:right w:w="12" w:type="dxa"/>
                  </w:tcMar>
                  <w:vAlign w:val="center"/>
                </w:tcPr>
                <w:p w14:paraId="59DE80E9">
                  <w:pPr>
                    <w:jc w:val="center"/>
                    <w:rPr>
                      <w:szCs w:val="21"/>
                    </w:rPr>
                  </w:pPr>
                </w:p>
              </w:tc>
              <w:tc>
                <w:tcPr>
                  <w:tcW w:w="953" w:type="dxa"/>
                  <w:vMerge w:val="continue"/>
                  <w:noWrap w:val="0"/>
                  <w:tcMar>
                    <w:top w:w="12" w:type="dxa"/>
                    <w:left w:w="12" w:type="dxa"/>
                    <w:right w:w="12" w:type="dxa"/>
                  </w:tcMar>
                  <w:vAlign w:val="center"/>
                </w:tcPr>
                <w:p w14:paraId="2093EC6E">
                  <w:pPr>
                    <w:jc w:val="center"/>
                    <w:rPr>
                      <w:szCs w:val="21"/>
                    </w:rPr>
                  </w:pPr>
                </w:p>
              </w:tc>
            </w:tr>
            <w:tr w14:paraId="6D799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658" w:type="dxa"/>
                  <w:vMerge w:val="continue"/>
                  <w:noWrap w:val="0"/>
                  <w:tcMar>
                    <w:top w:w="12" w:type="dxa"/>
                    <w:left w:w="12" w:type="dxa"/>
                    <w:right w:w="12" w:type="dxa"/>
                  </w:tcMar>
                  <w:vAlign w:val="center"/>
                </w:tcPr>
                <w:p w14:paraId="6B4EC751">
                  <w:pPr>
                    <w:widowControl/>
                    <w:jc w:val="center"/>
                    <w:textAlignment w:val="center"/>
                    <w:rPr>
                      <w:szCs w:val="21"/>
                    </w:rPr>
                  </w:pPr>
                </w:p>
              </w:tc>
              <w:tc>
                <w:tcPr>
                  <w:tcW w:w="573" w:type="dxa"/>
                  <w:vMerge w:val="continue"/>
                  <w:noWrap w:val="0"/>
                  <w:tcMar>
                    <w:top w:w="12" w:type="dxa"/>
                    <w:left w:w="12" w:type="dxa"/>
                    <w:right w:w="12" w:type="dxa"/>
                  </w:tcMar>
                  <w:vAlign w:val="center"/>
                </w:tcPr>
                <w:p w14:paraId="37B75D7D">
                  <w:pPr>
                    <w:widowControl/>
                    <w:jc w:val="center"/>
                    <w:textAlignment w:val="center"/>
                    <w:rPr>
                      <w:szCs w:val="21"/>
                    </w:rPr>
                  </w:pPr>
                </w:p>
              </w:tc>
              <w:tc>
                <w:tcPr>
                  <w:tcW w:w="1559" w:type="dxa"/>
                  <w:noWrap w:val="0"/>
                  <w:tcMar>
                    <w:top w:w="12" w:type="dxa"/>
                    <w:left w:w="12" w:type="dxa"/>
                    <w:right w:w="12" w:type="dxa"/>
                  </w:tcMar>
                  <w:vAlign w:val="center"/>
                </w:tcPr>
                <w:p w14:paraId="3C868407">
                  <w:pPr>
                    <w:widowControl/>
                    <w:jc w:val="center"/>
                    <w:textAlignment w:val="center"/>
                    <w:rPr>
                      <w:szCs w:val="21"/>
                    </w:rPr>
                  </w:pPr>
                  <w:r>
                    <w:rPr>
                      <w:rStyle w:val="62"/>
                      <w:rFonts w:hint="default"/>
                      <w:color w:val="auto"/>
                      <w:lang w:bidi="ar"/>
                    </w:rPr>
                    <w:t>氨氮（</w:t>
                  </w:r>
                  <w:r>
                    <w:rPr>
                      <w:kern w:val="0"/>
                      <w:szCs w:val="21"/>
                      <w:lang w:bidi="ar"/>
                    </w:rPr>
                    <w:t>NH</w:t>
                  </w:r>
                  <w:r>
                    <w:rPr>
                      <w:kern w:val="0"/>
                      <w:szCs w:val="21"/>
                      <w:vertAlign w:val="subscript"/>
                      <w:lang w:bidi="ar"/>
                    </w:rPr>
                    <w:t>3</w:t>
                  </w:r>
                  <w:r>
                    <w:rPr>
                      <w:kern w:val="0"/>
                      <w:szCs w:val="21"/>
                      <w:lang w:bidi="ar"/>
                    </w:rPr>
                    <w:t>-N</w:t>
                  </w:r>
                  <w:r>
                    <w:rPr>
                      <w:rStyle w:val="62"/>
                      <w:rFonts w:hint="default"/>
                      <w:color w:val="auto"/>
                      <w:lang w:bidi="ar"/>
                    </w:rPr>
                    <w:t>）</w:t>
                  </w:r>
                </w:p>
              </w:tc>
              <w:tc>
                <w:tcPr>
                  <w:tcW w:w="773" w:type="dxa"/>
                  <w:noWrap/>
                  <w:tcMar>
                    <w:top w:w="12" w:type="dxa"/>
                    <w:left w:w="12" w:type="dxa"/>
                    <w:right w:w="12" w:type="dxa"/>
                  </w:tcMar>
                  <w:vAlign w:val="center"/>
                </w:tcPr>
                <w:p w14:paraId="007C1AE3">
                  <w:pPr>
                    <w:jc w:val="center"/>
                    <w:rPr>
                      <w:rFonts w:hint="eastAsia"/>
                      <w:sz w:val="22"/>
                      <w:szCs w:val="22"/>
                    </w:rPr>
                  </w:pPr>
                  <w:r>
                    <w:rPr>
                      <w:rFonts w:hint="eastAsia"/>
                      <w:sz w:val="22"/>
                      <w:szCs w:val="22"/>
                    </w:rPr>
                    <w:t>0.037</w:t>
                  </w:r>
                </w:p>
              </w:tc>
              <w:tc>
                <w:tcPr>
                  <w:tcW w:w="796" w:type="dxa"/>
                  <w:noWrap/>
                  <w:tcMar>
                    <w:top w:w="12" w:type="dxa"/>
                    <w:left w:w="12" w:type="dxa"/>
                    <w:right w:w="12" w:type="dxa"/>
                  </w:tcMar>
                  <w:vAlign w:val="center"/>
                </w:tcPr>
                <w:p w14:paraId="6A3E8E00">
                  <w:pPr>
                    <w:widowControl/>
                    <w:jc w:val="center"/>
                    <w:textAlignment w:val="center"/>
                    <w:rPr>
                      <w:rFonts w:hint="eastAsia"/>
                      <w:kern w:val="0"/>
                      <w:szCs w:val="21"/>
                      <w:lang w:bidi="ar"/>
                    </w:rPr>
                  </w:pPr>
                  <w:r>
                    <w:rPr>
                      <w:szCs w:val="21"/>
                    </w:rPr>
                    <w:t>26</w:t>
                  </w:r>
                </w:p>
              </w:tc>
              <w:tc>
                <w:tcPr>
                  <w:tcW w:w="884" w:type="dxa"/>
                  <w:vMerge w:val="continue"/>
                  <w:noWrap/>
                  <w:tcMar>
                    <w:top w:w="12" w:type="dxa"/>
                    <w:left w:w="12" w:type="dxa"/>
                    <w:right w:w="12" w:type="dxa"/>
                  </w:tcMar>
                  <w:vAlign w:val="center"/>
                </w:tcPr>
                <w:p w14:paraId="03958831">
                  <w:pPr>
                    <w:jc w:val="center"/>
                    <w:rPr>
                      <w:szCs w:val="21"/>
                    </w:rPr>
                  </w:pPr>
                </w:p>
              </w:tc>
              <w:tc>
                <w:tcPr>
                  <w:tcW w:w="706" w:type="dxa"/>
                  <w:noWrap/>
                  <w:tcMar>
                    <w:top w:w="12" w:type="dxa"/>
                    <w:left w:w="12" w:type="dxa"/>
                    <w:right w:w="12" w:type="dxa"/>
                  </w:tcMar>
                  <w:vAlign w:val="center"/>
                </w:tcPr>
                <w:p w14:paraId="57639B96">
                  <w:pPr>
                    <w:widowControl/>
                    <w:jc w:val="center"/>
                    <w:textAlignment w:val="center"/>
                    <w:rPr>
                      <w:kern w:val="0"/>
                      <w:szCs w:val="21"/>
                      <w:lang w:bidi="ar"/>
                    </w:rPr>
                  </w:pPr>
                  <w:r>
                    <w:rPr>
                      <w:rFonts w:hint="eastAsia"/>
                      <w:kern w:val="0"/>
                      <w:szCs w:val="21"/>
                      <w:lang w:val="en-US" w:eastAsia="zh-CN" w:bidi="ar"/>
                    </w:rPr>
                    <w:t>10%</w:t>
                  </w:r>
                </w:p>
              </w:tc>
              <w:tc>
                <w:tcPr>
                  <w:tcW w:w="716" w:type="dxa"/>
                  <w:vMerge w:val="continue"/>
                  <w:noWrap/>
                  <w:tcMar>
                    <w:top w:w="12" w:type="dxa"/>
                    <w:left w:w="12" w:type="dxa"/>
                    <w:right w:w="12" w:type="dxa"/>
                  </w:tcMar>
                  <w:vAlign w:val="center"/>
                </w:tcPr>
                <w:p w14:paraId="1EB6AF9C">
                  <w:pPr>
                    <w:jc w:val="center"/>
                    <w:rPr>
                      <w:szCs w:val="21"/>
                    </w:rPr>
                  </w:pPr>
                </w:p>
              </w:tc>
              <w:tc>
                <w:tcPr>
                  <w:tcW w:w="961" w:type="dxa"/>
                  <w:vMerge w:val="continue"/>
                  <w:noWrap/>
                  <w:tcMar>
                    <w:top w:w="12" w:type="dxa"/>
                    <w:left w:w="12" w:type="dxa"/>
                    <w:right w:w="12" w:type="dxa"/>
                  </w:tcMar>
                  <w:vAlign w:val="center"/>
                </w:tcPr>
                <w:p w14:paraId="05FEC42C">
                  <w:pPr>
                    <w:jc w:val="center"/>
                    <w:rPr>
                      <w:szCs w:val="21"/>
                    </w:rPr>
                  </w:pPr>
                </w:p>
              </w:tc>
              <w:tc>
                <w:tcPr>
                  <w:tcW w:w="695" w:type="dxa"/>
                  <w:vMerge w:val="continue"/>
                  <w:noWrap/>
                  <w:tcMar>
                    <w:top w:w="12" w:type="dxa"/>
                    <w:left w:w="12" w:type="dxa"/>
                    <w:right w:w="12" w:type="dxa"/>
                  </w:tcMar>
                  <w:vAlign w:val="center"/>
                </w:tcPr>
                <w:p w14:paraId="1C24EA71">
                  <w:pPr>
                    <w:jc w:val="center"/>
                    <w:rPr>
                      <w:szCs w:val="21"/>
                    </w:rPr>
                  </w:pPr>
                </w:p>
              </w:tc>
              <w:tc>
                <w:tcPr>
                  <w:tcW w:w="899" w:type="dxa"/>
                  <w:noWrap w:val="0"/>
                  <w:tcMar>
                    <w:top w:w="12" w:type="dxa"/>
                    <w:left w:w="12" w:type="dxa"/>
                    <w:right w:w="12" w:type="dxa"/>
                  </w:tcMar>
                  <w:vAlign w:val="center"/>
                </w:tcPr>
                <w:p w14:paraId="38313036">
                  <w:pPr>
                    <w:keepNext w:val="0"/>
                    <w:keepLines w:val="0"/>
                    <w:widowControl/>
                    <w:suppressLineNumbers w:val="0"/>
                    <w:jc w:val="center"/>
                    <w:textAlignment w:val="center"/>
                    <w:rPr>
                      <w:rFonts w:hint="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0.034</w:t>
                  </w:r>
                </w:p>
              </w:tc>
              <w:tc>
                <w:tcPr>
                  <w:tcW w:w="712" w:type="dxa"/>
                  <w:noWrap w:val="0"/>
                  <w:tcMar>
                    <w:top w:w="12" w:type="dxa"/>
                    <w:left w:w="12" w:type="dxa"/>
                    <w:right w:w="12" w:type="dxa"/>
                  </w:tcMar>
                  <w:vAlign w:val="center"/>
                </w:tcPr>
                <w:p w14:paraId="6B7FCFBB">
                  <w:pPr>
                    <w:widowControl/>
                    <w:jc w:val="center"/>
                    <w:textAlignment w:val="center"/>
                    <w:rPr>
                      <w:rFonts w:hint="default" w:eastAsia="宋体"/>
                      <w:kern w:val="0"/>
                      <w:szCs w:val="21"/>
                      <w:lang w:val="en-US" w:eastAsia="zh-CN" w:bidi="ar"/>
                    </w:rPr>
                  </w:pPr>
                  <w:r>
                    <w:rPr>
                      <w:szCs w:val="21"/>
                    </w:rPr>
                    <w:t>2</w:t>
                  </w:r>
                  <w:r>
                    <w:rPr>
                      <w:rFonts w:hint="eastAsia"/>
                      <w:szCs w:val="21"/>
                      <w:lang w:val="en-US" w:eastAsia="zh-CN"/>
                    </w:rPr>
                    <w:t>3.4</w:t>
                  </w:r>
                </w:p>
              </w:tc>
              <w:tc>
                <w:tcPr>
                  <w:tcW w:w="751" w:type="dxa"/>
                  <w:vMerge w:val="continue"/>
                  <w:noWrap w:val="0"/>
                  <w:tcMar>
                    <w:top w:w="12" w:type="dxa"/>
                    <w:left w:w="12" w:type="dxa"/>
                    <w:right w:w="12" w:type="dxa"/>
                  </w:tcMar>
                  <w:vAlign w:val="center"/>
                </w:tcPr>
                <w:p w14:paraId="524B69F8">
                  <w:pPr>
                    <w:jc w:val="center"/>
                    <w:rPr>
                      <w:szCs w:val="21"/>
                    </w:rPr>
                  </w:pPr>
                </w:p>
              </w:tc>
              <w:tc>
                <w:tcPr>
                  <w:tcW w:w="751" w:type="dxa"/>
                  <w:vMerge w:val="continue"/>
                  <w:noWrap w:val="0"/>
                  <w:tcMar>
                    <w:top w:w="12" w:type="dxa"/>
                    <w:left w:w="12" w:type="dxa"/>
                    <w:right w:w="12" w:type="dxa"/>
                  </w:tcMar>
                  <w:vAlign w:val="center"/>
                </w:tcPr>
                <w:p w14:paraId="310BD576">
                  <w:pPr>
                    <w:jc w:val="center"/>
                    <w:rPr>
                      <w:szCs w:val="21"/>
                    </w:rPr>
                  </w:pPr>
                </w:p>
              </w:tc>
              <w:tc>
                <w:tcPr>
                  <w:tcW w:w="950" w:type="dxa"/>
                  <w:vMerge w:val="continue"/>
                  <w:noWrap w:val="0"/>
                  <w:tcMar>
                    <w:top w:w="12" w:type="dxa"/>
                    <w:left w:w="12" w:type="dxa"/>
                    <w:right w:w="12" w:type="dxa"/>
                  </w:tcMar>
                  <w:vAlign w:val="center"/>
                </w:tcPr>
                <w:p w14:paraId="05E5396F">
                  <w:pPr>
                    <w:jc w:val="center"/>
                    <w:rPr>
                      <w:szCs w:val="21"/>
                    </w:rPr>
                  </w:pPr>
                </w:p>
              </w:tc>
              <w:tc>
                <w:tcPr>
                  <w:tcW w:w="953" w:type="dxa"/>
                  <w:vMerge w:val="continue"/>
                  <w:noWrap w:val="0"/>
                  <w:tcMar>
                    <w:top w:w="12" w:type="dxa"/>
                    <w:left w:w="12" w:type="dxa"/>
                    <w:right w:w="12" w:type="dxa"/>
                  </w:tcMar>
                  <w:vAlign w:val="center"/>
                </w:tcPr>
                <w:p w14:paraId="493ACE69">
                  <w:pPr>
                    <w:jc w:val="center"/>
                    <w:rPr>
                      <w:szCs w:val="21"/>
                    </w:rPr>
                  </w:pPr>
                </w:p>
              </w:tc>
            </w:tr>
            <w:tr w14:paraId="76E22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658" w:type="dxa"/>
                  <w:vMerge w:val="continue"/>
                  <w:noWrap w:val="0"/>
                  <w:tcMar>
                    <w:top w:w="12" w:type="dxa"/>
                    <w:left w:w="12" w:type="dxa"/>
                    <w:right w:w="12" w:type="dxa"/>
                  </w:tcMar>
                  <w:vAlign w:val="center"/>
                </w:tcPr>
                <w:p w14:paraId="4BFC2B1B">
                  <w:pPr>
                    <w:widowControl/>
                    <w:jc w:val="center"/>
                    <w:textAlignment w:val="center"/>
                    <w:rPr>
                      <w:szCs w:val="21"/>
                    </w:rPr>
                  </w:pPr>
                </w:p>
              </w:tc>
              <w:tc>
                <w:tcPr>
                  <w:tcW w:w="573" w:type="dxa"/>
                  <w:vMerge w:val="continue"/>
                  <w:noWrap w:val="0"/>
                  <w:tcMar>
                    <w:top w:w="12" w:type="dxa"/>
                    <w:left w:w="12" w:type="dxa"/>
                    <w:right w:w="12" w:type="dxa"/>
                  </w:tcMar>
                  <w:vAlign w:val="center"/>
                </w:tcPr>
                <w:p w14:paraId="19CDF182">
                  <w:pPr>
                    <w:widowControl/>
                    <w:jc w:val="center"/>
                    <w:textAlignment w:val="center"/>
                    <w:rPr>
                      <w:szCs w:val="21"/>
                    </w:rPr>
                  </w:pPr>
                </w:p>
              </w:tc>
              <w:tc>
                <w:tcPr>
                  <w:tcW w:w="1559" w:type="dxa"/>
                  <w:noWrap w:val="0"/>
                  <w:tcMar>
                    <w:top w:w="12" w:type="dxa"/>
                    <w:left w:w="12" w:type="dxa"/>
                    <w:right w:w="12" w:type="dxa"/>
                  </w:tcMar>
                  <w:vAlign w:val="center"/>
                </w:tcPr>
                <w:p w14:paraId="4C2A9B89">
                  <w:pPr>
                    <w:widowControl/>
                    <w:jc w:val="center"/>
                    <w:textAlignment w:val="center"/>
                    <w:rPr>
                      <w:rStyle w:val="62"/>
                      <w:rFonts w:hint="default"/>
                      <w:color w:val="auto"/>
                      <w:lang w:bidi="ar"/>
                    </w:rPr>
                  </w:pPr>
                  <w:r>
                    <w:rPr>
                      <w:rFonts w:hint="eastAsia"/>
                      <w:szCs w:val="21"/>
                    </w:rPr>
                    <w:t>总磷</w:t>
                  </w:r>
                </w:p>
              </w:tc>
              <w:tc>
                <w:tcPr>
                  <w:tcW w:w="773" w:type="dxa"/>
                  <w:noWrap/>
                  <w:tcMar>
                    <w:top w:w="12" w:type="dxa"/>
                    <w:left w:w="12" w:type="dxa"/>
                    <w:right w:w="12" w:type="dxa"/>
                  </w:tcMar>
                  <w:vAlign w:val="center"/>
                </w:tcPr>
                <w:p w14:paraId="6E1B9AC0">
                  <w:pPr>
                    <w:jc w:val="center"/>
                    <w:rPr>
                      <w:rFonts w:hint="eastAsia"/>
                      <w:sz w:val="22"/>
                      <w:szCs w:val="22"/>
                    </w:rPr>
                  </w:pPr>
                  <w:r>
                    <w:rPr>
                      <w:rFonts w:hint="eastAsia"/>
                      <w:sz w:val="22"/>
                      <w:szCs w:val="22"/>
                    </w:rPr>
                    <w:t>0.006</w:t>
                  </w:r>
                </w:p>
              </w:tc>
              <w:tc>
                <w:tcPr>
                  <w:tcW w:w="796" w:type="dxa"/>
                  <w:noWrap/>
                  <w:tcMar>
                    <w:top w:w="12" w:type="dxa"/>
                    <w:left w:w="12" w:type="dxa"/>
                    <w:right w:w="12" w:type="dxa"/>
                  </w:tcMar>
                  <w:vAlign w:val="center"/>
                </w:tcPr>
                <w:p w14:paraId="6E7F4E98">
                  <w:pPr>
                    <w:widowControl/>
                    <w:jc w:val="center"/>
                    <w:textAlignment w:val="center"/>
                    <w:rPr>
                      <w:rFonts w:hint="eastAsia"/>
                      <w:kern w:val="0"/>
                      <w:szCs w:val="21"/>
                      <w:lang w:bidi="ar"/>
                    </w:rPr>
                  </w:pPr>
                  <w:r>
                    <w:rPr>
                      <w:szCs w:val="21"/>
                    </w:rPr>
                    <w:t>4</w:t>
                  </w:r>
                </w:p>
              </w:tc>
              <w:tc>
                <w:tcPr>
                  <w:tcW w:w="884" w:type="dxa"/>
                  <w:vMerge w:val="continue"/>
                  <w:noWrap/>
                  <w:tcMar>
                    <w:top w:w="12" w:type="dxa"/>
                    <w:left w:w="12" w:type="dxa"/>
                    <w:right w:w="12" w:type="dxa"/>
                  </w:tcMar>
                  <w:vAlign w:val="center"/>
                </w:tcPr>
                <w:p w14:paraId="3C44386C">
                  <w:pPr>
                    <w:jc w:val="center"/>
                    <w:rPr>
                      <w:szCs w:val="21"/>
                    </w:rPr>
                  </w:pPr>
                </w:p>
              </w:tc>
              <w:tc>
                <w:tcPr>
                  <w:tcW w:w="706" w:type="dxa"/>
                  <w:noWrap/>
                  <w:tcMar>
                    <w:top w:w="12" w:type="dxa"/>
                    <w:left w:w="12" w:type="dxa"/>
                    <w:right w:w="12" w:type="dxa"/>
                  </w:tcMar>
                  <w:vAlign w:val="center"/>
                </w:tcPr>
                <w:p w14:paraId="00FC5E04">
                  <w:pPr>
                    <w:widowControl/>
                    <w:jc w:val="center"/>
                    <w:textAlignment w:val="center"/>
                    <w:rPr>
                      <w:rFonts w:hint="eastAsia"/>
                      <w:kern w:val="0"/>
                      <w:szCs w:val="21"/>
                      <w:lang w:bidi="ar"/>
                    </w:rPr>
                  </w:pPr>
                  <w:r>
                    <w:rPr>
                      <w:rFonts w:hint="eastAsia"/>
                      <w:kern w:val="0"/>
                      <w:szCs w:val="21"/>
                      <w:lang w:bidi="ar"/>
                    </w:rPr>
                    <w:t>/</w:t>
                  </w:r>
                </w:p>
              </w:tc>
              <w:tc>
                <w:tcPr>
                  <w:tcW w:w="716" w:type="dxa"/>
                  <w:vMerge w:val="continue"/>
                  <w:noWrap/>
                  <w:tcMar>
                    <w:top w:w="12" w:type="dxa"/>
                    <w:left w:w="12" w:type="dxa"/>
                    <w:right w:w="12" w:type="dxa"/>
                  </w:tcMar>
                  <w:vAlign w:val="center"/>
                </w:tcPr>
                <w:p w14:paraId="3D4F9C4C">
                  <w:pPr>
                    <w:jc w:val="center"/>
                    <w:rPr>
                      <w:szCs w:val="21"/>
                    </w:rPr>
                  </w:pPr>
                </w:p>
              </w:tc>
              <w:tc>
                <w:tcPr>
                  <w:tcW w:w="961" w:type="dxa"/>
                  <w:vMerge w:val="continue"/>
                  <w:noWrap/>
                  <w:tcMar>
                    <w:top w:w="12" w:type="dxa"/>
                    <w:left w:w="12" w:type="dxa"/>
                    <w:right w:w="12" w:type="dxa"/>
                  </w:tcMar>
                  <w:vAlign w:val="center"/>
                </w:tcPr>
                <w:p w14:paraId="5CF46F06">
                  <w:pPr>
                    <w:jc w:val="center"/>
                    <w:rPr>
                      <w:szCs w:val="21"/>
                    </w:rPr>
                  </w:pPr>
                </w:p>
              </w:tc>
              <w:tc>
                <w:tcPr>
                  <w:tcW w:w="695" w:type="dxa"/>
                  <w:vMerge w:val="continue"/>
                  <w:noWrap/>
                  <w:tcMar>
                    <w:top w:w="12" w:type="dxa"/>
                    <w:left w:w="12" w:type="dxa"/>
                    <w:right w:w="12" w:type="dxa"/>
                  </w:tcMar>
                  <w:vAlign w:val="center"/>
                </w:tcPr>
                <w:p w14:paraId="08C4CC95">
                  <w:pPr>
                    <w:jc w:val="center"/>
                    <w:rPr>
                      <w:szCs w:val="21"/>
                    </w:rPr>
                  </w:pPr>
                </w:p>
              </w:tc>
              <w:tc>
                <w:tcPr>
                  <w:tcW w:w="899" w:type="dxa"/>
                  <w:noWrap w:val="0"/>
                  <w:tcMar>
                    <w:top w:w="12" w:type="dxa"/>
                    <w:left w:w="12" w:type="dxa"/>
                    <w:right w:w="12" w:type="dxa"/>
                  </w:tcMar>
                  <w:vAlign w:val="center"/>
                </w:tcPr>
                <w:p w14:paraId="5C9F0193">
                  <w:pPr>
                    <w:keepNext w:val="0"/>
                    <w:keepLines w:val="0"/>
                    <w:widowControl/>
                    <w:suppressLineNumbers w:val="0"/>
                    <w:jc w:val="center"/>
                    <w:textAlignment w:val="center"/>
                    <w:rPr>
                      <w:rFonts w:hint="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712" w:type="dxa"/>
                  <w:noWrap w:val="0"/>
                  <w:tcMar>
                    <w:top w:w="12" w:type="dxa"/>
                    <w:left w:w="12" w:type="dxa"/>
                    <w:right w:w="12" w:type="dxa"/>
                  </w:tcMar>
                  <w:vAlign w:val="center"/>
                </w:tcPr>
                <w:p w14:paraId="25A4CE57">
                  <w:pPr>
                    <w:widowControl/>
                    <w:jc w:val="center"/>
                    <w:textAlignment w:val="center"/>
                    <w:rPr>
                      <w:rFonts w:hint="eastAsia"/>
                      <w:kern w:val="0"/>
                      <w:szCs w:val="21"/>
                      <w:lang w:bidi="ar"/>
                    </w:rPr>
                  </w:pPr>
                  <w:r>
                    <w:rPr>
                      <w:szCs w:val="21"/>
                    </w:rPr>
                    <w:t>4</w:t>
                  </w:r>
                </w:p>
              </w:tc>
              <w:tc>
                <w:tcPr>
                  <w:tcW w:w="751" w:type="dxa"/>
                  <w:vMerge w:val="continue"/>
                  <w:noWrap w:val="0"/>
                  <w:tcMar>
                    <w:top w:w="12" w:type="dxa"/>
                    <w:left w:w="12" w:type="dxa"/>
                    <w:right w:w="12" w:type="dxa"/>
                  </w:tcMar>
                  <w:vAlign w:val="center"/>
                </w:tcPr>
                <w:p w14:paraId="21678F4C">
                  <w:pPr>
                    <w:jc w:val="center"/>
                    <w:rPr>
                      <w:szCs w:val="21"/>
                    </w:rPr>
                  </w:pPr>
                </w:p>
              </w:tc>
              <w:tc>
                <w:tcPr>
                  <w:tcW w:w="751" w:type="dxa"/>
                  <w:vMerge w:val="continue"/>
                  <w:noWrap w:val="0"/>
                  <w:tcMar>
                    <w:top w:w="12" w:type="dxa"/>
                    <w:left w:w="12" w:type="dxa"/>
                    <w:right w:w="12" w:type="dxa"/>
                  </w:tcMar>
                  <w:vAlign w:val="center"/>
                </w:tcPr>
                <w:p w14:paraId="18A10E7E">
                  <w:pPr>
                    <w:jc w:val="center"/>
                    <w:rPr>
                      <w:szCs w:val="21"/>
                    </w:rPr>
                  </w:pPr>
                </w:p>
              </w:tc>
              <w:tc>
                <w:tcPr>
                  <w:tcW w:w="950" w:type="dxa"/>
                  <w:vMerge w:val="continue"/>
                  <w:noWrap w:val="0"/>
                  <w:tcMar>
                    <w:top w:w="12" w:type="dxa"/>
                    <w:left w:w="12" w:type="dxa"/>
                    <w:right w:w="12" w:type="dxa"/>
                  </w:tcMar>
                  <w:vAlign w:val="center"/>
                </w:tcPr>
                <w:p w14:paraId="4B48394E">
                  <w:pPr>
                    <w:jc w:val="center"/>
                    <w:rPr>
                      <w:szCs w:val="21"/>
                    </w:rPr>
                  </w:pPr>
                </w:p>
              </w:tc>
              <w:tc>
                <w:tcPr>
                  <w:tcW w:w="953" w:type="dxa"/>
                  <w:vMerge w:val="continue"/>
                  <w:noWrap w:val="0"/>
                  <w:tcMar>
                    <w:top w:w="12" w:type="dxa"/>
                    <w:left w:w="12" w:type="dxa"/>
                    <w:right w:w="12" w:type="dxa"/>
                  </w:tcMar>
                  <w:vAlign w:val="center"/>
                </w:tcPr>
                <w:p w14:paraId="4912EDF9">
                  <w:pPr>
                    <w:jc w:val="center"/>
                    <w:rPr>
                      <w:szCs w:val="21"/>
                    </w:rPr>
                  </w:pPr>
                </w:p>
              </w:tc>
            </w:tr>
            <w:tr w14:paraId="47815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658" w:type="dxa"/>
                  <w:vMerge w:val="continue"/>
                  <w:noWrap w:val="0"/>
                  <w:tcMar>
                    <w:top w:w="12" w:type="dxa"/>
                    <w:left w:w="12" w:type="dxa"/>
                    <w:right w:w="12" w:type="dxa"/>
                  </w:tcMar>
                  <w:vAlign w:val="center"/>
                </w:tcPr>
                <w:p w14:paraId="3E640E04">
                  <w:pPr>
                    <w:widowControl/>
                    <w:jc w:val="center"/>
                    <w:textAlignment w:val="center"/>
                    <w:rPr>
                      <w:szCs w:val="21"/>
                    </w:rPr>
                  </w:pPr>
                </w:p>
              </w:tc>
              <w:tc>
                <w:tcPr>
                  <w:tcW w:w="573" w:type="dxa"/>
                  <w:vMerge w:val="continue"/>
                  <w:noWrap w:val="0"/>
                  <w:tcMar>
                    <w:top w:w="12" w:type="dxa"/>
                    <w:left w:w="12" w:type="dxa"/>
                    <w:right w:w="12" w:type="dxa"/>
                  </w:tcMar>
                  <w:vAlign w:val="center"/>
                </w:tcPr>
                <w:p w14:paraId="3C428B1D">
                  <w:pPr>
                    <w:widowControl/>
                    <w:jc w:val="center"/>
                    <w:textAlignment w:val="center"/>
                    <w:rPr>
                      <w:szCs w:val="21"/>
                    </w:rPr>
                  </w:pPr>
                </w:p>
              </w:tc>
              <w:tc>
                <w:tcPr>
                  <w:tcW w:w="1559" w:type="dxa"/>
                  <w:noWrap w:val="0"/>
                  <w:tcMar>
                    <w:top w:w="12" w:type="dxa"/>
                    <w:left w:w="12" w:type="dxa"/>
                    <w:right w:w="12" w:type="dxa"/>
                  </w:tcMar>
                  <w:vAlign w:val="center"/>
                </w:tcPr>
                <w:p w14:paraId="282B62BF">
                  <w:pPr>
                    <w:widowControl/>
                    <w:jc w:val="center"/>
                    <w:textAlignment w:val="center"/>
                    <w:rPr>
                      <w:rStyle w:val="62"/>
                      <w:rFonts w:hint="default"/>
                      <w:color w:val="auto"/>
                      <w:lang w:bidi="ar"/>
                    </w:rPr>
                  </w:pPr>
                  <w:r>
                    <w:rPr>
                      <w:rFonts w:hint="eastAsia"/>
                    </w:rPr>
                    <w:t>总氮</w:t>
                  </w:r>
                </w:p>
              </w:tc>
              <w:tc>
                <w:tcPr>
                  <w:tcW w:w="773" w:type="dxa"/>
                  <w:noWrap/>
                  <w:tcMar>
                    <w:top w:w="12" w:type="dxa"/>
                    <w:left w:w="12" w:type="dxa"/>
                    <w:right w:w="12" w:type="dxa"/>
                  </w:tcMar>
                  <w:vAlign w:val="center"/>
                </w:tcPr>
                <w:p w14:paraId="51BEB65D">
                  <w:pPr>
                    <w:jc w:val="center"/>
                    <w:rPr>
                      <w:rFonts w:hint="eastAsia"/>
                      <w:sz w:val="22"/>
                      <w:szCs w:val="22"/>
                    </w:rPr>
                  </w:pPr>
                  <w:r>
                    <w:rPr>
                      <w:rFonts w:hint="eastAsia"/>
                      <w:sz w:val="22"/>
                      <w:szCs w:val="22"/>
                    </w:rPr>
                    <w:t>0.052</w:t>
                  </w:r>
                </w:p>
              </w:tc>
              <w:tc>
                <w:tcPr>
                  <w:tcW w:w="796" w:type="dxa"/>
                  <w:noWrap/>
                  <w:tcMar>
                    <w:top w:w="12" w:type="dxa"/>
                    <w:left w:w="12" w:type="dxa"/>
                    <w:right w:w="12" w:type="dxa"/>
                  </w:tcMar>
                  <w:vAlign w:val="center"/>
                </w:tcPr>
                <w:p w14:paraId="5B817F74">
                  <w:pPr>
                    <w:widowControl/>
                    <w:jc w:val="center"/>
                    <w:textAlignment w:val="center"/>
                    <w:rPr>
                      <w:rFonts w:hint="eastAsia"/>
                      <w:kern w:val="0"/>
                      <w:szCs w:val="21"/>
                      <w:lang w:bidi="ar"/>
                    </w:rPr>
                  </w:pPr>
                  <w:r>
                    <w:rPr>
                      <w:szCs w:val="21"/>
                    </w:rPr>
                    <w:t>36</w:t>
                  </w:r>
                </w:p>
              </w:tc>
              <w:tc>
                <w:tcPr>
                  <w:tcW w:w="884" w:type="dxa"/>
                  <w:vMerge w:val="continue"/>
                  <w:noWrap/>
                  <w:tcMar>
                    <w:top w:w="12" w:type="dxa"/>
                    <w:left w:w="12" w:type="dxa"/>
                    <w:right w:w="12" w:type="dxa"/>
                  </w:tcMar>
                  <w:vAlign w:val="center"/>
                </w:tcPr>
                <w:p w14:paraId="622E9417">
                  <w:pPr>
                    <w:jc w:val="center"/>
                    <w:rPr>
                      <w:szCs w:val="21"/>
                    </w:rPr>
                  </w:pPr>
                </w:p>
              </w:tc>
              <w:tc>
                <w:tcPr>
                  <w:tcW w:w="706" w:type="dxa"/>
                  <w:noWrap/>
                  <w:tcMar>
                    <w:top w:w="12" w:type="dxa"/>
                    <w:left w:w="12" w:type="dxa"/>
                    <w:right w:w="12" w:type="dxa"/>
                  </w:tcMar>
                  <w:vAlign w:val="center"/>
                </w:tcPr>
                <w:p w14:paraId="77BF9F66">
                  <w:pPr>
                    <w:widowControl/>
                    <w:jc w:val="center"/>
                    <w:textAlignment w:val="center"/>
                    <w:rPr>
                      <w:rFonts w:hint="eastAsia"/>
                      <w:kern w:val="0"/>
                      <w:szCs w:val="21"/>
                      <w:lang w:bidi="ar"/>
                    </w:rPr>
                  </w:pPr>
                  <w:r>
                    <w:rPr>
                      <w:rFonts w:hint="eastAsia"/>
                      <w:kern w:val="0"/>
                      <w:szCs w:val="21"/>
                      <w:lang w:bidi="ar"/>
                    </w:rPr>
                    <w:t>/</w:t>
                  </w:r>
                </w:p>
              </w:tc>
              <w:tc>
                <w:tcPr>
                  <w:tcW w:w="716" w:type="dxa"/>
                  <w:vMerge w:val="continue"/>
                  <w:noWrap/>
                  <w:tcMar>
                    <w:top w:w="12" w:type="dxa"/>
                    <w:left w:w="12" w:type="dxa"/>
                    <w:right w:w="12" w:type="dxa"/>
                  </w:tcMar>
                  <w:vAlign w:val="center"/>
                </w:tcPr>
                <w:p w14:paraId="7036F3AD">
                  <w:pPr>
                    <w:jc w:val="center"/>
                    <w:rPr>
                      <w:szCs w:val="21"/>
                    </w:rPr>
                  </w:pPr>
                </w:p>
              </w:tc>
              <w:tc>
                <w:tcPr>
                  <w:tcW w:w="961" w:type="dxa"/>
                  <w:vMerge w:val="continue"/>
                  <w:noWrap/>
                  <w:tcMar>
                    <w:top w:w="12" w:type="dxa"/>
                    <w:left w:w="12" w:type="dxa"/>
                    <w:right w:w="12" w:type="dxa"/>
                  </w:tcMar>
                  <w:vAlign w:val="center"/>
                </w:tcPr>
                <w:p w14:paraId="4BFF84B0">
                  <w:pPr>
                    <w:jc w:val="center"/>
                    <w:rPr>
                      <w:szCs w:val="21"/>
                    </w:rPr>
                  </w:pPr>
                </w:p>
              </w:tc>
              <w:tc>
                <w:tcPr>
                  <w:tcW w:w="695" w:type="dxa"/>
                  <w:vMerge w:val="continue"/>
                  <w:noWrap/>
                  <w:tcMar>
                    <w:top w:w="12" w:type="dxa"/>
                    <w:left w:w="12" w:type="dxa"/>
                    <w:right w:w="12" w:type="dxa"/>
                  </w:tcMar>
                  <w:vAlign w:val="center"/>
                </w:tcPr>
                <w:p w14:paraId="2D94D31D">
                  <w:pPr>
                    <w:jc w:val="center"/>
                    <w:rPr>
                      <w:szCs w:val="21"/>
                    </w:rPr>
                  </w:pPr>
                </w:p>
              </w:tc>
              <w:tc>
                <w:tcPr>
                  <w:tcW w:w="899" w:type="dxa"/>
                  <w:noWrap w:val="0"/>
                  <w:tcMar>
                    <w:top w:w="12" w:type="dxa"/>
                    <w:left w:w="12" w:type="dxa"/>
                    <w:right w:w="12" w:type="dxa"/>
                  </w:tcMar>
                  <w:vAlign w:val="center"/>
                </w:tcPr>
                <w:p w14:paraId="5701A7FF">
                  <w:pPr>
                    <w:keepNext w:val="0"/>
                    <w:keepLines w:val="0"/>
                    <w:widowControl/>
                    <w:suppressLineNumbers w:val="0"/>
                    <w:jc w:val="center"/>
                    <w:textAlignment w:val="center"/>
                    <w:rPr>
                      <w:rFonts w:hint="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712" w:type="dxa"/>
                  <w:noWrap w:val="0"/>
                  <w:tcMar>
                    <w:top w:w="12" w:type="dxa"/>
                    <w:left w:w="12" w:type="dxa"/>
                    <w:right w:w="12" w:type="dxa"/>
                  </w:tcMar>
                  <w:vAlign w:val="center"/>
                </w:tcPr>
                <w:p w14:paraId="1399BB31">
                  <w:pPr>
                    <w:widowControl/>
                    <w:jc w:val="center"/>
                    <w:textAlignment w:val="center"/>
                    <w:rPr>
                      <w:rFonts w:hint="eastAsia"/>
                      <w:kern w:val="0"/>
                      <w:szCs w:val="21"/>
                      <w:lang w:bidi="ar"/>
                    </w:rPr>
                  </w:pPr>
                  <w:r>
                    <w:rPr>
                      <w:szCs w:val="21"/>
                    </w:rPr>
                    <w:t>36</w:t>
                  </w:r>
                </w:p>
              </w:tc>
              <w:tc>
                <w:tcPr>
                  <w:tcW w:w="751" w:type="dxa"/>
                  <w:vMerge w:val="continue"/>
                  <w:noWrap w:val="0"/>
                  <w:tcMar>
                    <w:top w:w="12" w:type="dxa"/>
                    <w:left w:w="12" w:type="dxa"/>
                    <w:right w:w="12" w:type="dxa"/>
                  </w:tcMar>
                  <w:vAlign w:val="center"/>
                </w:tcPr>
                <w:p w14:paraId="0F93E631">
                  <w:pPr>
                    <w:jc w:val="center"/>
                    <w:rPr>
                      <w:szCs w:val="21"/>
                    </w:rPr>
                  </w:pPr>
                </w:p>
              </w:tc>
              <w:tc>
                <w:tcPr>
                  <w:tcW w:w="751" w:type="dxa"/>
                  <w:vMerge w:val="continue"/>
                  <w:noWrap w:val="0"/>
                  <w:tcMar>
                    <w:top w:w="12" w:type="dxa"/>
                    <w:left w:w="12" w:type="dxa"/>
                    <w:right w:w="12" w:type="dxa"/>
                  </w:tcMar>
                  <w:vAlign w:val="center"/>
                </w:tcPr>
                <w:p w14:paraId="144EE067">
                  <w:pPr>
                    <w:jc w:val="center"/>
                    <w:rPr>
                      <w:szCs w:val="21"/>
                    </w:rPr>
                  </w:pPr>
                </w:p>
              </w:tc>
              <w:tc>
                <w:tcPr>
                  <w:tcW w:w="950" w:type="dxa"/>
                  <w:vMerge w:val="continue"/>
                  <w:noWrap w:val="0"/>
                  <w:tcMar>
                    <w:top w:w="12" w:type="dxa"/>
                    <w:left w:w="12" w:type="dxa"/>
                    <w:right w:w="12" w:type="dxa"/>
                  </w:tcMar>
                  <w:vAlign w:val="center"/>
                </w:tcPr>
                <w:p w14:paraId="5C3C09CA">
                  <w:pPr>
                    <w:jc w:val="center"/>
                    <w:rPr>
                      <w:szCs w:val="21"/>
                    </w:rPr>
                  </w:pPr>
                </w:p>
              </w:tc>
              <w:tc>
                <w:tcPr>
                  <w:tcW w:w="953" w:type="dxa"/>
                  <w:vMerge w:val="continue"/>
                  <w:noWrap w:val="0"/>
                  <w:tcMar>
                    <w:top w:w="12" w:type="dxa"/>
                    <w:left w:w="12" w:type="dxa"/>
                    <w:right w:w="12" w:type="dxa"/>
                  </w:tcMar>
                  <w:vAlign w:val="center"/>
                </w:tcPr>
                <w:p w14:paraId="0DC2A223">
                  <w:pPr>
                    <w:jc w:val="center"/>
                    <w:rPr>
                      <w:szCs w:val="21"/>
                    </w:rPr>
                  </w:pPr>
                </w:p>
              </w:tc>
            </w:tr>
          </w:tbl>
          <w:p w14:paraId="0668C8B5">
            <w:pPr>
              <w:widowControl/>
              <w:numPr>
                <w:ilvl w:val="0"/>
                <w:numId w:val="2"/>
              </w:numPr>
              <w:jc w:val="center"/>
              <w:rPr>
                <w:rFonts w:hint="eastAsia"/>
                <w:b/>
                <w:kern w:val="0"/>
                <w:szCs w:val="21"/>
              </w:rPr>
            </w:pPr>
            <w:bookmarkStart w:id="7" w:name="_Hlk185110977"/>
            <w:r>
              <w:rPr>
                <w:b/>
                <w:kern w:val="0"/>
                <w:szCs w:val="21"/>
              </w:rPr>
              <w:t>项目</w:t>
            </w:r>
            <w:r>
              <w:rPr>
                <w:rFonts w:hint="eastAsia"/>
                <w:b/>
                <w:kern w:val="0"/>
                <w:szCs w:val="21"/>
              </w:rPr>
              <w:t>污水排放口</w:t>
            </w:r>
            <w:r>
              <w:rPr>
                <w:b/>
                <w:kern w:val="0"/>
                <w:szCs w:val="21"/>
              </w:rPr>
              <w:t>情况一览表</w:t>
            </w:r>
          </w:p>
          <w:tbl>
            <w:tblPr>
              <w:tblStyle w:val="24"/>
              <w:tblW w:w="13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894"/>
              <w:gridCol w:w="970"/>
              <w:gridCol w:w="1090"/>
              <w:gridCol w:w="1134"/>
              <w:gridCol w:w="1029"/>
              <w:gridCol w:w="1163"/>
              <w:gridCol w:w="1789"/>
              <w:gridCol w:w="1133"/>
              <w:gridCol w:w="921"/>
              <w:gridCol w:w="1768"/>
              <w:gridCol w:w="1052"/>
            </w:tblGrid>
            <w:tr w14:paraId="2C57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restart"/>
                  <w:noWrap w:val="0"/>
                  <w:tcMar>
                    <w:top w:w="12" w:type="dxa"/>
                    <w:left w:w="12" w:type="dxa"/>
                    <w:right w:w="12" w:type="dxa"/>
                  </w:tcMar>
                  <w:vAlign w:val="center"/>
                </w:tcPr>
                <w:p w14:paraId="164B8640">
                  <w:pPr>
                    <w:widowControl/>
                    <w:jc w:val="center"/>
                    <w:textAlignment w:val="center"/>
                    <w:rPr>
                      <w:szCs w:val="21"/>
                    </w:rPr>
                  </w:pPr>
                  <w:r>
                    <w:rPr>
                      <w:rStyle w:val="62"/>
                      <w:rFonts w:hint="default"/>
                      <w:color w:val="auto"/>
                      <w:lang w:bidi="ar"/>
                    </w:rPr>
                    <w:t>序号</w:t>
                  </w:r>
                </w:p>
              </w:tc>
              <w:tc>
                <w:tcPr>
                  <w:tcW w:w="894" w:type="dxa"/>
                  <w:vMerge w:val="restart"/>
                  <w:noWrap w:val="0"/>
                  <w:tcMar>
                    <w:top w:w="12" w:type="dxa"/>
                    <w:left w:w="12" w:type="dxa"/>
                    <w:right w:w="12" w:type="dxa"/>
                  </w:tcMar>
                  <w:vAlign w:val="center"/>
                </w:tcPr>
                <w:p w14:paraId="643C8251">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排放口</w:t>
                  </w:r>
                </w:p>
                <w:p w14:paraId="15866362">
                  <w:pPr>
                    <w:widowControl/>
                    <w:jc w:val="center"/>
                    <w:textAlignment w:val="center"/>
                    <w:rPr>
                      <w:rFonts w:hint="eastAsia" w:ascii="宋体" w:hAnsi="宋体" w:cs="宋体"/>
                      <w:szCs w:val="21"/>
                    </w:rPr>
                  </w:pPr>
                  <w:r>
                    <w:rPr>
                      <w:rFonts w:hint="eastAsia" w:ascii="宋体" w:hAnsi="宋体" w:cs="宋体"/>
                      <w:kern w:val="0"/>
                      <w:szCs w:val="21"/>
                      <w:lang w:bidi="ar"/>
                    </w:rPr>
                    <w:t>编号</w:t>
                  </w:r>
                </w:p>
              </w:tc>
              <w:tc>
                <w:tcPr>
                  <w:tcW w:w="970" w:type="dxa"/>
                  <w:vMerge w:val="restart"/>
                  <w:noWrap w:val="0"/>
                  <w:tcMar>
                    <w:top w:w="12" w:type="dxa"/>
                    <w:left w:w="12" w:type="dxa"/>
                    <w:right w:w="12" w:type="dxa"/>
                  </w:tcMar>
                  <w:vAlign w:val="center"/>
                </w:tcPr>
                <w:p w14:paraId="3961572D">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排放口</w:t>
                  </w:r>
                </w:p>
                <w:p w14:paraId="131D81F0">
                  <w:pPr>
                    <w:widowControl/>
                    <w:jc w:val="center"/>
                    <w:textAlignment w:val="center"/>
                    <w:rPr>
                      <w:rFonts w:hint="eastAsia" w:ascii="宋体" w:hAnsi="宋体" w:cs="宋体"/>
                      <w:szCs w:val="21"/>
                    </w:rPr>
                  </w:pPr>
                  <w:r>
                    <w:rPr>
                      <w:rFonts w:hint="eastAsia" w:ascii="宋体" w:hAnsi="宋体" w:cs="宋体"/>
                      <w:kern w:val="0"/>
                      <w:szCs w:val="21"/>
                      <w:lang w:bidi="ar"/>
                    </w:rPr>
                    <w:t>名称</w:t>
                  </w:r>
                </w:p>
              </w:tc>
              <w:tc>
                <w:tcPr>
                  <w:tcW w:w="1090" w:type="dxa"/>
                  <w:vMerge w:val="restart"/>
                  <w:noWrap w:val="0"/>
                  <w:tcMar>
                    <w:top w:w="12" w:type="dxa"/>
                    <w:left w:w="12" w:type="dxa"/>
                    <w:right w:w="12" w:type="dxa"/>
                  </w:tcMar>
                  <w:vAlign w:val="center"/>
                </w:tcPr>
                <w:p w14:paraId="69E86FDF">
                  <w:pPr>
                    <w:widowControl/>
                    <w:jc w:val="center"/>
                    <w:textAlignment w:val="center"/>
                    <w:rPr>
                      <w:rFonts w:hint="eastAsia" w:ascii="宋体" w:hAnsi="宋体" w:cs="宋体"/>
                      <w:szCs w:val="21"/>
                    </w:rPr>
                  </w:pPr>
                  <w:r>
                    <w:rPr>
                      <w:rFonts w:hint="eastAsia" w:ascii="宋体" w:hAnsi="宋体" w:cs="宋体"/>
                      <w:kern w:val="0"/>
                      <w:szCs w:val="21"/>
                      <w:lang w:bidi="ar"/>
                    </w:rPr>
                    <w:t>排放口类型</w:t>
                  </w:r>
                </w:p>
              </w:tc>
              <w:tc>
                <w:tcPr>
                  <w:tcW w:w="2163" w:type="dxa"/>
                  <w:gridSpan w:val="2"/>
                  <w:noWrap w:val="0"/>
                  <w:tcMar>
                    <w:top w:w="12" w:type="dxa"/>
                    <w:left w:w="12" w:type="dxa"/>
                    <w:right w:w="12" w:type="dxa"/>
                  </w:tcMar>
                  <w:vAlign w:val="center"/>
                </w:tcPr>
                <w:p w14:paraId="48CC236D">
                  <w:pPr>
                    <w:widowControl/>
                    <w:jc w:val="center"/>
                    <w:textAlignment w:val="center"/>
                    <w:rPr>
                      <w:szCs w:val="21"/>
                    </w:rPr>
                  </w:pPr>
                  <w:r>
                    <w:rPr>
                      <w:rStyle w:val="62"/>
                      <w:rFonts w:hint="default"/>
                      <w:color w:val="auto"/>
                      <w:lang w:bidi="ar"/>
                    </w:rPr>
                    <w:t>排放口地理坐标</w:t>
                  </w:r>
                </w:p>
              </w:tc>
              <w:tc>
                <w:tcPr>
                  <w:tcW w:w="1163" w:type="dxa"/>
                  <w:vMerge w:val="restart"/>
                  <w:noWrap w:val="0"/>
                  <w:tcMar>
                    <w:top w:w="12" w:type="dxa"/>
                    <w:left w:w="12" w:type="dxa"/>
                    <w:right w:w="12" w:type="dxa"/>
                  </w:tcMar>
                  <w:vAlign w:val="center"/>
                </w:tcPr>
                <w:p w14:paraId="0F3C78EA">
                  <w:pPr>
                    <w:widowControl/>
                    <w:jc w:val="center"/>
                    <w:textAlignment w:val="center"/>
                    <w:rPr>
                      <w:rStyle w:val="62"/>
                      <w:rFonts w:hint="default"/>
                      <w:color w:val="auto"/>
                      <w:lang w:bidi="ar"/>
                    </w:rPr>
                  </w:pPr>
                  <w:r>
                    <w:rPr>
                      <w:rStyle w:val="62"/>
                      <w:rFonts w:hint="default"/>
                      <w:color w:val="auto"/>
                      <w:lang w:bidi="ar"/>
                    </w:rPr>
                    <w:t>受纳污水</w:t>
                  </w:r>
                </w:p>
                <w:p w14:paraId="79B8EC2B">
                  <w:pPr>
                    <w:widowControl/>
                    <w:jc w:val="center"/>
                    <w:textAlignment w:val="center"/>
                    <w:rPr>
                      <w:szCs w:val="21"/>
                    </w:rPr>
                  </w:pPr>
                  <w:r>
                    <w:rPr>
                      <w:rStyle w:val="62"/>
                      <w:rFonts w:hint="default"/>
                      <w:color w:val="auto"/>
                      <w:lang w:bidi="ar"/>
                    </w:rPr>
                    <w:t>处理厂</w:t>
                  </w:r>
                </w:p>
              </w:tc>
              <w:tc>
                <w:tcPr>
                  <w:tcW w:w="2922" w:type="dxa"/>
                  <w:gridSpan w:val="2"/>
                  <w:noWrap/>
                  <w:tcMar>
                    <w:top w:w="12" w:type="dxa"/>
                    <w:left w:w="12" w:type="dxa"/>
                    <w:right w:w="12" w:type="dxa"/>
                  </w:tcMar>
                  <w:vAlign w:val="center"/>
                </w:tcPr>
                <w:p w14:paraId="4721B99E">
                  <w:pPr>
                    <w:widowControl/>
                    <w:jc w:val="center"/>
                    <w:textAlignment w:val="center"/>
                    <w:rPr>
                      <w:szCs w:val="21"/>
                    </w:rPr>
                  </w:pPr>
                  <w:r>
                    <w:rPr>
                      <w:rStyle w:val="63"/>
                      <w:rFonts w:hint="default"/>
                      <w:color w:val="auto"/>
                      <w:sz w:val="21"/>
                      <w:szCs w:val="21"/>
                      <w:lang w:bidi="ar"/>
                    </w:rPr>
                    <w:t>污染物排放标准</w:t>
                  </w:r>
                </w:p>
              </w:tc>
              <w:tc>
                <w:tcPr>
                  <w:tcW w:w="3741" w:type="dxa"/>
                  <w:gridSpan w:val="3"/>
                  <w:noWrap/>
                  <w:tcMar>
                    <w:top w:w="12" w:type="dxa"/>
                    <w:left w:w="12" w:type="dxa"/>
                    <w:right w:w="12" w:type="dxa"/>
                  </w:tcMar>
                  <w:vAlign w:val="center"/>
                </w:tcPr>
                <w:p w14:paraId="35524F53">
                  <w:pPr>
                    <w:widowControl/>
                    <w:jc w:val="center"/>
                    <w:textAlignment w:val="center"/>
                    <w:rPr>
                      <w:szCs w:val="21"/>
                    </w:rPr>
                  </w:pPr>
                  <w:r>
                    <w:rPr>
                      <w:rStyle w:val="63"/>
                      <w:rFonts w:hint="default"/>
                      <w:color w:val="auto"/>
                      <w:sz w:val="21"/>
                      <w:szCs w:val="21"/>
                      <w:lang w:bidi="ar"/>
                    </w:rPr>
                    <w:t>监测要求</w:t>
                  </w:r>
                </w:p>
              </w:tc>
            </w:tr>
            <w:tr w14:paraId="500F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continue"/>
                  <w:noWrap w:val="0"/>
                  <w:tcMar>
                    <w:top w:w="12" w:type="dxa"/>
                    <w:left w:w="12" w:type="dxa"/>
                    <w:right w:w="12" w:type="dxa"/>
                  </w:tcMar>
                  <w:vAlign w:val="center"/>
                </w:tcPr>
                <w:p w14:paraId="7FA31AE9">
                  <w:pPr>
                    <w:jc w:val="center"/>
                    <w:rPr>
                      <w:szCs w:val="21"/>
                    </w:rPr>
                  </w:pPr>
                </w:p>
              </w:tc>
              <w:tc>
                <w:tcPr>
                  <w:tcW w:w="894" w:type="dxa"/>
                  <w:vMerge w:val="continue"/>
                  <w:noWrap w:val="0"/>
                  <w:tcMar>
                    <w:top w:w="12" w:type="dxa"/>
                    <w:left w:w="12" w:type="dxa"/>
                    <w:right w:w="12" w:type="dxa"/>
                  </w:tcMar>
                  <w:vAlign w:val="center"/>
                </w:tcPr>
                <w:p w14:paraId="27074ABF">
                  <w:pPr>
                    <w:jc w:val="center"/>
                    <w:rPr>
                      <w:rFonts w:hint="eastAsia" w:ascii="宋体" w:hAnsi="宋体" w:cs="宋体"/>
                      <w:szCs w:val="21"/>
                    </w:rPr>
                  </w:pPr>
                </w:p>
              </w:tc>
              <w:tc>
                <w:tcPr>
                  <w:tcW w:w="970" w:type="dxa"/>
                  <w:vMerge w:val="continue"/>
                  <w:noWrap w:val="0"/>
                  <w:tcMar>
                    <w:top w:w="12" w:type="dxa"/>
                    <w:left w:w="12" w:type="dxa"/>
                    <w:right w:w="12" w:type="dxa"/>
                  </w:tcMar>
                  <w:vAlign w:val="center"/>
                </w:tcPr>
                <w:p w14:paraId="288D10A5">
                  <w:pPr>
                    <w:jc w:val="center"/>
                    <w:rPr>
                      <w:rFonts w:hint="eastAsia" w:ascii="宋体" w:hAnsi="宋体" w:cs="宋体"/>
                      <w:szCs w:val="21"/>
                    </w:rPr>
                  </w:pPr>
                </w:p>
              </w:tc>
              <w:tc>
                <w:tcPr>
                  <w:tcW w:w="1090" w:type="dxa"/>
                  <w:vMerge w:val="continue"/>
                  <w:noWrap w:val="0"/>
                  <w:tcMar>
                    <w:top w:w="12" w:type="dxa"/>
                    <w:left w:w="12" w:type="dxa"/>
                    <w:right w:w="12" w:type="dxa"/>
                  </w:tcMar>
                  <w:vAlign w:val="center"/>
                </w:tcPr>
                <w:p w14:paraId="2ADFF3A0">
                  <w:pPr>
                    <w:jc w:val="center"/>
                    <w:rPr>
                      <w:rFonts w:hint="eastAsia" w:ascii="宋体" w:hAnsi="宋体" w:cs="宋体"/>
                      <w:szCs w:val="21"/>
                    </w:rPr>
                  </w:pPr>
                </w:p>
              </w:tc>
              <w:tc>
                <w:tcPr>
                  <w:tcW w:w="1134" w:type="dxa"/>
                  <w:noWrap w:val="0"/>
                  <w:tcMar>
                    <w:top w:w="12" w:type="dxa"/>
                    <w:left w:w="12" w:type="dxa"/>
                    <w:right w:w="12" w:type="dxa"/>
                  </w:tcMar>
                  <w:vAlign w:val="center"/>
                </w:tcPr>
                <w:p w14:paraId="20BE4F53">
                  <w:pPr>
                    <w:widowControl/>
                    <w:jc w:val="center"/>
                    <w:textAlignment w:val="center"/>
                    <w:rPr>
                      <w:szCs w:val="21"/>
                    </w:rPr>
                  </w:pPr>
                  <w:r>
                    <w:rPr>
                      <w:rStyle w:val="62"/>
                      <w:rFonts w:hint="default"/>
                      <w:color w:val="auto"/>
                      <w:lang w:bidi="ar"/>
                    </w:rPr>
                    <w:t>经度</w:t>
                  </w:r>
                </w:p>
              </w:tc>
              <w:tc>
                <w:tcPr>
                  <w:tcW w:w="1029" w:type="dxa"/>
                  <w:noWrap w:val="0"/>
                  <w:tcMar>
                    <w:top w:w="12" w:type="dxa"/>
                    <w:left w:w="12" w:type="dxa"/>
                    <w:right w:w="12" w:type="dxa"/>
                  </w:tcMar>
                  <w:vAlign w:val="center"/>
                </w:tcPr>
                <w:p w14:paraId="3CB29EA4">
                  <w:pPr>
                    <w:widowControl/>
                    <w:jc w:val="center"/>
                    <w:textAlignment w:val="center"/>
                    <w:rPr>
                      <w:szCs w:val="21"/>
                    </w:rPr>
                  </w:pPr>
                  <w:r>
                    <w:rPr>
                      <w:rStyle w:val="62"/>
                      <w:rFonts w:hint="default"/>
                      <w:color w:val="auto"/>
                      <w:lang w:bidi="ar"/>
                    </w:rPr>
                    <w:t>纬度</w:t>
                  </w:r>
                </w:p>
              </w:tc>
              <w:tc>
                <w:tcPr>
                  <w:tcW w:w="1163" w:type="dxa"/>
                  <w:vMerge w:val="continue"/>
                  <w:noWrap w:val="0"/>
                  <w:tcMar>
                    <w:top w:w="12" w:type="dxa"/>
                    <w:left w:w="12" w:type="dxa"/>
                    <w:right w:w="12" w:type="dxa"/>
                  </w:tcMar>
                  <w:vAlign w:val="center"/>
                </w:tcPr>
                <w:p w14:paraId="475F6744">
                  <w:pPr>
                    <w:jc w:val="center"/>
                    <w:rPr>
                      <w:szCs w:val="21"/>
                    </w:rPr>
                  </w:pPr>
                </w:p>
              </w:tc>
              <w:tc>
                <w:tcPr>
                  <w:tcW w:w="1789" w:type="dxa"/>
                  <w:noWrap w:val="0"/>
                  <w:tcMar>
                    <w:top w:w="12" w:type="dxa"/>
                    <w:left w:w="12" w:type="dxa"/>
                    <w:right w:w="12" w:type="dxa"/>
                  </w:tcMar>
                  <w:vAlign w:val="center"/>
                </w:tcPr>
                <w:p w14:paraId="42EDDA74">
                  <w:pPr>
                    <w:widowControl/>
                    <w:jc w:val="center"/>
                    <w:textAlignment w:val="center"/>
                    <w:rPr>
                      <w:szCs w:val="21"/>
                    </w:rPr>
                  </w:pPr>
                  <w:r>
                    <w:rPr>
                      <w:rStyle w:val="62"/>
                      <w:rFonts w:hint="default"/>
                      <w:color w:val="auto"/>
                      <w:lang w:bidi="ar"/>
                    </w:rPr>
                    <w:t>污染物种类</w:t>
                  </w:r>
                </w:p>
              </w:tc>
              <w:tc>
                <w:tcPr>
                  <w:tcW w:w="1133" w:type="dxa"/>
                  <w:noWrap w:val="0"/>
                  <w:tcMar>
                    <w:top w:w="12" w:type="dxa"/>
                    <w:left w:w="12" w:type="dxa"/>
                    <w:right w:w="12" w:type="dxa"/>
                  </w:tcMar>
                  <w:vAlign w:val="center"/>
                </w:tcPr>
                <w:p w14:paraId="1F99D468">
                  <w:pPr>
                    <w:widowControl/>
                    <w:jc w:val="center"/>
                    <w:textAlignment w:val="center"/>
                    <w:rPr>
                      <w:szCs w:val="21"/>
                    </w:rPr>
                  </w:pPr>
                  <w:r>
                    <w:rPr>
                      <w:rStyle w:val="62"/>
                      <w:rFonts w:hint="default"/>
                      <w:color w:val="auto"/>
                      <w:lang w:bidi="ar"/>
                    </w:rPr>
                    <w:t>排放标准</w:t>
                  </w:r>
                </w:p>
              </w:tc>
              <w:tc>
                <w:tcPr>
                  <w:tcW w:w="921" w:type="dxa"/>
                  <w:noWrap/>
                  <w:tcMar>
                    <w:top w:w="12" w:type="dxa"/>
                    <w:left w:w="12" w:type="dxa"/>
                    <w:right w:w="12" w:type="dxa"/>
                  </w:tcMar>
                  <w:vAlign w:val="center"/>
                </w:tcPr>
                <w:p w14:paraId="2669E8F1">
                  <w:pPr>
                    <w:widowControl/>
                    <w:jc w:val="center"/>
                    <w:textAlignment w:val="center"/>
                    <w:rPr>
                      <w:szCs w:val="21"/>
                    </w:rPr>
                  </w:pPr>
                  <w:r>
                    <w:rPr>
                      <w:rStyle w:val="62"/>
                      <w:rFonts w:hint="default"/>
                      <w:color w:val="auto"/>
                      <w:lang w:bidi="ar"/>
                    </w:rPr>
                    <w:t>监测点位</w:t>
                  </w:r>
                </w:p>
              </w:tc>
              <w:tc>
                <w:tcPr>
                  <w:tcW w:w="1768" w:type="dxa"/>
                  <w:noWrap/>
                  <w:tcMar>
                    <w:top w:w="12" w:type="dxa"/>
                    <w:left w:w="12" w:type="dxa"/>
                    <w:right w:w="12" w:type="dxa"/>
                  </w:tcMar>
                  <w:vAlign w:val="center"/>
                </w:tcPr>
                <w:p w14:paraId="115EE651">
                  <w:pPr>
                    <w:widowControl/>
                    <w:jc w:val="center"/>
                    <w:textAlignment w:val="center"/>
                    <w:rPr>
                      <w:szCs w:val="21"/>
                    </w:rPr>
                  </w:pPr>
                  <w:r>
                    <w:rPr>
                      <w:rStyle w:val="62"/>
                      <w:rFonts w:hint="default"/>
                      <w:color w:val="auto"/>
                      <w:lang w:bidi="ar"/>
                    </w:rPr>
                    <w:t>监测因子</w:t>
                  </w:r>
                </w:p>
              </w:tc>
              <w:tc>
                <w:tcPr>
                  <w:tcW w:w="1052" w:type="dxa"/>
                  <w:noWrap/>
                  <w:tcMar>
                    <w:top w:w="12" w:type="dxa"/>
                    <w:left w:w="12" w:type="dxa"/>
                    <w:right w:w="12" w:type="dxa"/>
                  </w:tcMar>
                  <w:vAlign w:val="center"/>
                </w:tcPr>
                <w:p w14:paraId="4A19F5BE">
                  <w:pPr>
                    <w:widowControl/>
                    <w:jc w:val="center"/>
                    <w:textAlignment w:val="center"/>
                    <w:rPr>
                      <w:szCs w:val="21"/>
                    </w:rPr>
                  </w:pPr>
                  <w:r>
                    <w:rPr>
                      <w:rStyle w:val="62"/>
                      <w:rFonts w:hint="default"/>
                      <w:color w:val="auto"/>
                      <w:lang w:bidi="ar"/>
                    </w:rPr>
                    <w:t>监测频次</w:t>
                  </w:r>
                </w:p>
              </w:tc>
            </w:tr>
            <w:tr w14:paraId="4453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restart"/>
                  <w:noWrap w:val="0"/>
                  <w:tcMar>
                    <w:top w:w="12" w:type="dxa"/>
                    <w:left w:w="12" w:type="dxa"/>
                    <w:right w:w="12" w:type="dxa"/>
                  </w:tcMar>
                  <w:vAlign w:val="center"/>
                </w:tcPr>
                <w:p w14:paraId="157C02FA">
                  <w:pPr>
                    <w:widowControl/>
                    <w:jc w:val="center"/>
                    <w:textAlignment w:val="center"/>
                    <w:rPr>
                      <w:szCs w:val="21"/>
                    </w:rPr>
                  </w:pPr>
                  <w:r>
                    <w:rPr>
                      <w:kern w:val="0"/>
                      <w:szCs w:val="21"/>
                      <w:lang w:bidi="ar"/>
                    </w:rPr>
                    <w:t>1</w:t>
                  </w:r>
                </w:p>
              </w:tc>
              <w:tc>
                <w:tcPr>
                  <w:tcW w:w="894" w:type="dxa"/>
                  <w:vMerge w:val="restart"/>
                  <w:noWrap w:val="0"/>
                  <w:tcMar>
                    <w:top w:w="12" w:type="dxa"/>
                    <w:left w:w="12" w:type="dxa"/>
                    <w:right w:w="12" w:type="dxa"/>
                  </w:tcMar>
                  <w:vAlign w:val="center"/>
                </w:tcPr>
                <w:p w14:paraId="40E66D67">
                  <w:pPr>
                    <w:widowControl/>
                    <w:jc w:val="center"/>
                    <w:textAlignment w:val="center"/>
                    <w:rPr>
                      <w:szCs w:val="21"/>
                    </w:rPr>
                  </w:pPr>
                  <w:r>
                    <w:rPr>
                      <w:kern w:val="0"/>
                      <w:szCs w:val="21"/>
                      <w:lang w:bidi="ar"/>
                    </w:rPr>
                    <w:t>DW001</w:t>
                  </w:r>
                </w:p>
              </w:tc>
              <w:tc>
                <w:tcPr>
                  <w:tcW w:w="970" w:type="dxa"/>
                  <w:vMerge w:val="restart"/>
                  <w:noWrap w:val="0"/>
                  <w:tcMar>
                    <w:top w:w="12" w:type="dxa"/>
                    <w:left w:w="12" w:type="dxa"/>
                    <w:right w:w="12" w:type="dxa"/>
                  </w:tcMar>
                  <w:vAlign w:val="center"/>
                </w:tcPr>
                <w:p w14:paraId="7AB14223">
                  <w:pPr>
                    <w:widowControl/>
                    <w:jc w:val="center"/>
                    <w:textAlignment w:val="center"/>
                    <w:rPr>
                      <w:szCs w:val="21"/>
                    </w:rPr>
                  </w:pPr>
                  <w:r>
                    <w:rPr>
                      <w:rStyle w:val="62"/>
                      <w:rFonts w:hint="default"/>
                      <w:color w:val="auto"/>
                      <w:lang w:bidi="ar"/>
                    </w:rPr>
                    <w:t>厂区污水总排口</w:t>
                  </w:r>
                </w:p>
              </w:tc>
              <w:tc>
                <w:tcPr>
                  <w:tcW w:w="1090" w:type="dxa"/>
                  <w:vMerge w:val="restart"/>
                  <w:noWrap w:val="0"/>
                  <w:tcMar>
                    <w:top w:w="12" w:type="dxa"/>
                    <w:left w:w="12" w:type="dxa"/>
                    <w:right w:w="12" w:type="dxa"/>
                  </w:tcMar>
                  <w:vAlign w:val="center"/>
                </w:tcPr>
                <w:p w14:paraId="4F7045D3">
                  <w:pPr>
                    <w:jc w:val="center"/>
                    <w:rPr>
                      <w:szCs w:val="21"/>
                    </w:rPr>
                  </w:pPr>
                  <w:r>
                    <w:rPr>
                      <w:rFonts w:hint="eastAsia"/>
                      <w:szCs w:val="21"/>
                    </w:rPr>
                    <w:t>一般排放口</w:t>
                  </w:r>
                </w:p>
              </w:tc>
              <w:tc>
                <w:tcPr>
                  <w:tcW w:w="1134" w:type="dxa"/>
                  <w:vMerge w:val="restart"/>
                  <w:noWrap w:val="0"/>
                  <w:tcMar>
                    <w:top w:w="12" w:type="dxa"/>
                    <w:left w:w="12" w:type="dxa"/>
                    <w:right w:w="12" w:type="dxa"/>
                  </w:tcMar>
                  <w:vAlign w:val="center"/>
                </w:tcPr>
                <w:p w14:paraId="17462003">
                  <w:pPr>
                    <w:widowControl/>
                    <w:jc w:val="center"/>
                    <w:textAlignment w:val="center"/>
                    <w:rPr>
                      <w:szCs w:val="21"/>
                    </w:rPr>
                  </w:pPr>
                  <w:r>
                    <w:rPr>
                      <w:kern w:val="0"/>
                      <w:szCs w:val="21"/>
                      <w:lang w:bidi="ar"/>
                    </w:rPr>
                    <w:t>11</w:t>
                  </w:r>
                  <w:r>
                    <w:rPr>
                      <w:rFonts w:hint="eastAsia"/>
                      <w:kern w:val="0"/>
                      <w:szCs w:val="21"/>
                      <w:lang w:bidi="ar"/>
                    </w:rPr>
                    <w:t>6</w:t>
                  </w:r>
                  <w:r>
                    <w:rPr>
                      <w:kern w:val="0"/>
                      <w:szCs w:val="21"/>
                      <w:lang w:bidi="ar"/>
                    </w:rPr>
                    <w:t>°</w:t>
                  </w:r>
                  <w:r>
                    <w:rPr>
                      <w:rFonts w:hint="eastAsia"/>
                      <w:kern w:val="0"/>
                      <w:szCs w:val="21"/>
                      <w:lang w:bidi="ar"/>
                    </w:rPr>
                    <w:t>52</w:t>
                  </w:r>
                  <w:r>
                    <w:rPr>
                      <w:kern w:val="0"/>
                      <w:szCs w:val="21"/>
                      <w:lang w:bidi="ar"/>
                    </w:rPr>
                    <w:t>′</w:t>
                  </w:r>
                  <w:r>
                    <w:rPr>
                      <w:rFonts w:hint="eastAsia"/>
                      <w:kern w:val="0"/>
                      <w:szCs w:val="21"/>
                      <w:lang w:bidi="ar"/>
                    </w:rPr>
                    <w:t>6.99</w:t>
                  </w:r>
                  <w:r>
                    <w:rPr>
                      <w:kern w:val="0"/>
                      <w:szCs w:val="21"/>
                      <w:lang w:bidi="ar"/>
                    </w:rPr>
                    <w:t>″</w:t>
                  </w:r>
                </w:p>
              </w:tc>
              <w:tc>
                <w:tcPr>
                  <w:tcW w:w="1029" w:type="dxa"/>
                  <w:vMerge w:val="restart"/>
                  <w:noWrap w:val="0"/>
                  <w:tcMar>
                    <w:top w:w="12" w:type="dxa"/>
                    <w:left w:w="12" w:type="dxa"/>
                    <w:right w:w="12" w:type="dxa"/>
                  </w:tcMar>
                  <w:vAlign w:val="center"/>
                </w:tcPr>
                <w:p w14:paraId="0657455D">
                  <w:pPr>
                    <w:widowControl/>
                    <w:jc w:val="center"/>
                    <w:textAlignment w:val="center"/>
                    <w:rPr>
                      <w:szCs w:val="21"/>
                    </w:rPr>
                  </w:pPr>
                  <w:r>
                    <w:rPr>
                      <w:kern w:val="0"/>
                      <w:szCs w:val="21"/>
                      <w:lang w:bidi="ar"/>
                    </w:rPr>
                    <w:t>3</w:t>
                  </w:r>
                  <w:r>
                    <w:rPr>
                      <w:rFonts w:hint="eastAsia"/>
                      <w:kern w:val="0"/>
                      <w:szCs w:val="21"/>
                      <w:lang w:bidi="ar"/>
                    </w:rPr>
                    <w:t>3</w:t>
                  </w:r>
                  <w:r>
                    <w:rPr>
                      <w:kern w:val="0"/>
                      <w:szCs w:val="21"/>
                      <w:lang w:bidi="ar"/>
                    </w:rPr>
                    <w:t>°</w:t>
                  </w:r>
                  <w:r>
                    <w:rPr>
                      <w:rFonts w:hint="eastAsia"/>
                      <w:kern w:val="0"/>
                      <w:szCs w:val="21"/>
                      <w:lang w:bidi="ar"/>
                    </w:rPr>
                    <w:t>58</w:t>
                  </w:r>
                  <w:r>
                    <w:rPr>
                      <w:kern w:val="0"/>
                      <w:szCs w:val="21"/>
                      <w:lang w:bidi="ar"/>
                    </w:rPr>
                    <w:t>′</w:t>
                  </w:r>
                  <w:r>
                    <w:rPr>
                      <w:rFonts w:hint="eastAsia"/>
                      <w:kern w:val="0"/>
                      <w:szCs w:val="21"/>
                      <w:lang w:bidi="ar"/>
                    </w:rPr>
                    <w:t>8.81</w:t>
                  </w:r>
                  <w:r>
                    <w:rPr>
                      <w:kern w:val="0"/>
                      <w:szCs w:val="21"/>
                      <w:lang w:bidi="ar"/>
                    </w:rPr>
                    <w:t>″</w:t>
                  </w:r>
                </w:p>
              </w:tc>
              <w:tc>
                <w:tcPr>
                  <w:tcW w:w="1163" w:type="dxa"/>
                  <w:vMerge w:val="restart"/>
                  <w:noWrap w:val="0"/>
                  <w:tcMar>
                    <w:top w:w="12" w:type="dxa"/>
                    <w:left w:w="12" w:type="dxa"/>
                    <w:right w:w="12" w:type="dxa"/>
                  </w:tcMar>
                  <w:vAlign w:val="center"/>
                </w:tcPr>
                <w:p w14:paraId="563AD0F3">
                  <w:pPr>
                    <w:widowControl/>
                    <w:jc w:val="center"/>
                    <w:textAlignment w:val="center"/>
                    <w:rPr>
                      <w:szCs w:val="21"/>
                    </w:rPr>
                  </w:pPr>
                  <w:r>
                    <w:rPr>
                      <w:rStyle w:val="62"/>
                      <w:rFonts w:hint="default"/>
                      <w:color w:val="auto"/>
                      <w:lang w:bidi="ar"/>
                    </w:rPr>
                    <w:t>淮北龙湖污水处理厂</w:t>
                  </w:r>
                </w:p>
              </w:tc>
              <w:tc>
                <w:tcPr>
                  <w:tcW w:w="1789" w:type="dxa"/>
                  <w:noWrap w:val="0"/>
                  <w:tcMar>
                    <w:top w:w="12" w:type="dxa"/>
                    <w:left w:w="12" w:type="dxa"/>
                    <w:right w:w="12" w:type="dxa"/>
                  </w:tcMar>
                  <w:vAlign w:val="center"/>
                </w:tcPr>
                <w:p w14:paraId="27AD9203">
                  <w:pPr>
                    <w:widowControl/>
                    <w:jc w:val="center"/>
                    <w:textAlignment w:val="center"/>
                    <w:rPr>
                      <w:szCs w:val="21"/>
                    </w:rPr>
                  </w:pPr>
                  <w:r>
                    <w:rPr>
                      <w:kern w:val="0"/>
                      <w:szCs w:val="21"/>
                      <w:lang w:bidi="ar"/>
                    </w:rPr>
                    <w:t>pH</w:t>
                  </w:r>
                </w:p>
              </w:tc>
              <w:tc>
                <w:tcPr>
                  <w:tcW w:w="1133" w:type="dxa"/>
                  <w:noWrap w:val="0"/>
                  <w:tcMar>
                    <w:top w:w="12" w:type="dxa"/>
                    <w:left w:w="12" w:type="dxa"/>
                    <w:right w:w="12" w:type="dxa"/>
                  </w:tcMar>
                  <w:vAlign w:val="center"/>
                </w:tcPr>
                <w:p w14:paraId="129387AB">
                  <w:pPr>
                    <w:widowControl/>
                    <w:jc w:val="center"/>
                    <w:textAlignment w:val="center"/>
                    <w:rPr>
                      <w:szCs w:val="21"/>
                    </w:rPr>
                  </w:pPr>
                  <w:r>
                    <w:rPr>
                      <w:rFonts w:hint="eastAsia"/>
                      <w:kern w:val="0"/>
                      <w:szCs w:val="21"/>
                      <w:lang w:bidi="ar"/>
                    </w:rPr>
                    <w:t>6</w:t>
                  </w:r>
                  <w:r>
                    <w:rPr>
                      <w:kern w:val="0"/>
                      <w:szCs w:val="21"/>
                      <w:lang w:bidi="ar"/>
                    </w:rPr>
                    <w:t>~</w:t>
                  </w:r>
                  <w:r>
                    <w:rPr>
                      <w:rFonts w:hint="eastAsia"/>
                      <w:kern w:val="0"/>
                      <w:szCs w:val="21"/>
                      <w:lang w:bidi="ar"/>
                    </w:rPr>
                    <w:t>9</w:t>
                  </w:r>
                </w:p>
              </w:tc>
              <w:tc>
                <w:tcPr>
                  <w:tcW w:w="921" w:type="dxa"/>
                  <w:vMerge w:val="restart"/>
                  <w:noWrap/>
                  <w:tcMar>
                    <w:top w:w="12" w:type="dxa"/>
                    <w:left w:w="12" w:type="dxa"/>
                    <w:right w:w="12" w:type="dxa"/>
                  </w:tcMar>
                  <w:vAlign w:val="center"/>
                </w:tcPr>
                <w:p w14:paraId="59E5E78A">
                  <w:pPr>
                    <w:widowControl/>
                    <w:jc w:val="center"/>
                    <w:textAlignment w:val="center"/>
                    <w:rPr>
                      <w:rStyle w:val="63"/>
                      <w:rFonts w:hint="default"/>
                      <w:color w:val="auto"/>
                      <w:sz w:val="21"/>
                      <w:szCs w:val="21"/>
                      <w:lang w:bidi="ar"/>
                    </w:rPr>
                  </w:pPr>
                  <w:r>
                    <w:rPr>
                      <w:rStyle w:val="63"/>
                      <w:rFonts w:hint="default"/>
                      <w:color w:val="auto"/>
                      <w:sz w:val="21"/>
                      <w:szCs w:val="21"/>
                      <w:lang w:bidi="ar"/>
                    </w:rPr>
                    <w:t>污水</w:t>
                  </w:r>
                </w:p>
                <w:p w14:paraId="4137A0EB">
                  <w:pPr>
                    <w:widowControl/>
                    <w:jc w:val="center"/>
                    <w:textAlignment w:val="center"/>
                    <w:rPr>
                      <w:szCs w:val="21"/>
                    </w:rPr>
                  </w:pPr>
                  <w:r>
                    <w:rPr>
                      <w:rStyle w:val="63"/>
                      <w:rFonts w:hint="default"/>
                      <w:color w:val="auto"/>
                      <w:sz w:val="21"/>
                      <w:szCs w:val="21"/>
                      <w:lang w:bidi="ar"/>
                    </w:rPr>
                    <w:t>排口</w:t>
                  </w:r>
                </w:p>
              </w:tc>
              <w:tc>
                <w:tcPr>
                  <w:tcW w:w="1768" w:type="dxa"/>
                  <w:noWrap w:val="0"/>
                  <w:tcMar>
                    <w:top w:w="12" w:type="dxa"/>
                    <w:left w:w="12" w:type="dxa"/>
                    <w:right w:w="12" w:type="dxa"/>
                  </w:tcMar>
                  <w:vAlign w:val="center"/>
                </w:tcPr>
                <w:p w14:paraId="6B6F96F9">
                  <w:pPr>
                    <w:widowControl/>
                    <w:jc w:val="center"/>
                    <w:textAlignment w:val="center"/>
                    <w:rPr>
                      <w:szCs w:val="21"/>
                    </w:rPr>
                  </w:pPr>
                  <w:r>
                    <w:rPr>
                      <w:kern w:val="0"/>
                      <w:szCs w:val="21"/>
                      <w:lang w:bidi="ar"/>
                    </w:rPr>
                    <w:t>pH</w:t>
                  </w:r>
                </w:p>
              </w:tc>
              <w:tc>
                <w:tcPr>
                  <w:tcW w:w="1052" w:type="dxa"/>
                  <w:noWrap/>
                  <w:tcMar>
                    <w:top w:w="12" w:type="dxa"/>
                    <w:left w:w="12" w:type="dxa"/>
                    <w:right w:w="12" w:type="dxa"/>
                  </w:tcMar>
                  <w:vAlign w:val="center"/>
                </w:tcPr>
                <w:p w14:paraId="63FD8D35">
                  <w:pPr>
                    <w:widowControl/>
                    <w:jc w:val="center"/>
                    <w:textAlignment w:val="center"/>
                    <w:rPr>
                      <w:rFonts w:hint="eastAsia"/>
                      <w:szCs w:val="21"/>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3B23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continue"/>
                  <w:noWrap w:val="0"/>
                  <w:tcMar>
                    <w:top w:w="12" w:type="dxa"/>
                    <w:left w:w="12" w:type="dxa"/>
                    <w:right w:w="12" w:type="dxa"/>
                  </w:tcMar>
                  <w:vAlign w:val="center"/>
                </w:tcPr>
                <w:p w14:paraId="09B42F70">
                  <w:pPr>
                    <w:jc w:val="center"/>
                    <w:rPr>
                      <w:szCs w:val="21"/>
                    </w:rPr>
                  </w:pPr>
                </w:p>
              </w:tc>
              <w:tc>
                <w:tcPr>
                  <w:tcW w:w="894" w:type="dxa"/>
                  <w:vMerge w:val="continue"/>
                  <w:noWrap w:val="0"/>
                  <w:tcMar>
                    <w:top w:w="12" w:type="dxa"/>
                    <w:left w:w="12" w:type="dxa"/>
                    <w:right w:w="12" w:type="dxa"/>
                  </w:tcMar>
                  <w:vAlign w:val="center"/>
                </w:tcPr>
                <w:p w14:paraId="248435AC">
                  <w:pPr>
                    <w:jc w:val="center"/>
                    <w:rPr>
                      <w:szCs w:val="21"/>
                    </w:rPr>
                  </w:pPr>
                </w:p>
              </w:tc>
              <w:tc>
                <w:tcPr>
                  <w:tcW w:w="970" w:type="dxa"/>
                  <w:vMerge w:val="continue"/>
                  <w:noWrap w:val="0"/>
                  <w:tcMar>
                    <w:top w:w="12" w:type="dxa"/>
                    <w:left w:w="12" w:type="dxa"/>
                    <w:right w:w="12" w:type="dxa"/>
                  </w:tcMar>
                  <w:vAlign w:val="center"/>
                </w:tcPr>
                <w:p w14:paraId="5BE383E1">
                  <w:pPr>
                    <w:jc w:val="center"/>
                    <w:rPr>
                      <w:szCs w:val="21"/>
                    </w:rPr>
                  </w:pPr>
                </w:p>
              </w:tc>
              <w:tc>
                <w:tcPr>
                  <w:tcW w:w="1090" w:type="dxa"/>
                  <w:vMerge w:val="continue"/>
                  <w:noWrap w:val="0"/>
                  <w:tcMar>
                    <w:top w:w="12" w:type="dxa"/>
                    <w:left w:w="12" w:type="dxa"/>
                    <w:right w:w="12" w:type="dxa"/>
                  </w:tcMar>
                  <w:vAlign w:val="center"/>
                </w:tcPr>
                <w:p w14:paraId="59EA275E">
                  <w:pPr>
                    <w:jc w:val="center"/>
                    <w:rPr>
                      <w:szCs w:val="21"/>
                    </w:rPr>
                  </w:pPr>
                </w:p>
              </w:tc>
              <w:tc>
                <w:tcPr>
                  <w:tcW w:w="1134" w:type="dxa"/>
                  <w:vMerge w:val="continue"/>
                  <w:noWrap w:val="0"/>
                  <w:tcMar>
                    <w:top w:w="12" w:type="dxa"/>
                    <w:left w:w="12" w:type="dxa"/>
                    <w:right w:w="12" w:type="dxa"/>
                  </w:tcMar>
                  <w:vAlign w:val="center"/>
                </w:tcPr>
                <w:p w14:paraId="42599C94">
                  <w:pPr>
                    <w:jc w:val="center"/>
                    <w:rPr>
                      <w:szCs w:val="21"/>
                    </w:rPr>
                  </w:pPr>
                </w:p>
              </w:tc>
              <w:tc>
                <w:tcPr>
                  <w:tcW w:w="1029" w:type="dxa"/>
                  <w:vMerge w:val="continue"/>
                  <w:noWrap w:val="0"/>
                  <w:tcMar>
                    <w:top w:w="12" w:type="dxa"/>
                    <w:left w:w="12" w:type="dxa"/>
                    <w:right w:w="12" w:type="dxa"/>
                  </w:tcMar>
                  <w:vAlign w:val="center"/>
                </w:tcPr>
                <w:p w14:paraId="568259B6">
                  <w:pPr>
                    <w:jc w:val="center"/>
                    <w:rPr>
                      <w:szCs w:val="21"/>
                    </w:rPr>
                  </w:pPr>
                </w:p>
              </w:tc>
              <w:tc>
                <w:tcPr>
                  <w:tcW w:w="1163" w:type="dxa"/>
                  <w:vMerge w:val="continue"/>
                  <w:noWrap w:val="0"/>
                  <w:tcMar>
                    <w:top w:w="12" w:type="dxa"/>
                    <w:left w:w="12" w:type="dxa"/>
                    <w:right w:w="12" w:type="dxa"/>
                  </w:tcMar>
                  <w:vAlign w:val="center"/>
                </w:tcPr>
                <w:p w14:paraId="49C56EDA">
                  <w:pPr>
                    <w:jc w:val="center"/>
                    <w:rPr>
                      <w:szCs w:val="21"/>
                    </w:rPr>
                  </w:pPr>
                </w:p>
              </w:tc>
              <w:tc>
                <w:tcPr>
                  <w:tcW w:w="1789" w:type="dxa"/>
                  <w:noWrap w:val="0"/>
                  <w:tcMar>
                    <w:top w:w="12" w:type="dxa"/>
                    <w:left w:w="12" w:type="dxa"/>
                    <w:right w:w="12" w:type="dxa"/>
                  </w:tcMar>
                  <w:vAlign w:val="center"/>
                </w:tcPr>
                <w:p w14:paraId="7C4EA46D">
                  <w:pPr>
                    <w:widowControl/>
                    <w:jc w:val="center"/>
                    <w:textAlignment w:val="center"/>
                    <w:rPr>
                      <w:szCs w:val="21"/>
                    </w:rPr>
                  </w:pPr>
                  <w:r>
                    <w:rPr>
                      <w:rStyle w:val="62"/>
                      <w:rFonts w:hint="default"/>
                      <w:color w:val="auto"/>
                      <w:lang w:bidi="ar"/>
                    </w:rPr>
                    <w:t>悬浮物</w:t>
                  </w:r>
                </w:p>
              </w:tc>
              <w:tc>
                <w:tcPr>
                  <w:tcW w:w="1133" w:type="dxa"/>
                  <w:noWrap w:val="0"/>
                  <w:tcMar>
                    <w:top w:w="12" w:type="dxa"/>
                    <w:left w:w="12" w:type="dxa"/>
                    <w:right w:w="12" w:type="dxa"/>
                  </w:tcMar>
                  <w:vAlign w:val="center"/>
                </w:tcPr>
                <w:p w14:paraId="4E1F0539">
                  <w:pPr>
                    <w:widowControl/>
                    <w:jc w:val="center"/>
                    <w:textAlignment w:val="center"/>
                    <w:rPr>
                      <w:szCs w:val="21"/>
                    </w:rPr>
                  </w:pPr>
                  <w:r>
                    <w:rPr>
                      <w:rFonts w:hint="eastAsia"/>
                      <w:kern w:val="0"/>
                      <w:szCs w:val="21"/>
                      <w:lang w:bidi="ar"/>
                    </w:rPr>
                    <w:t>250</w:t>
                  </w:r>
                  <w:r>
                    <w:rPr>
                      <w:kern w:val="0"/>
                      <w:szCs w:val="21"/>
                      <w:lang w:bidi="ar"/>
                    </w:rPr>
                    <w:t>mg/L</w:t>
                  </w:r>
                </w:p>
              </w:tc>
              <w:tc>
                <w:tcPr>
                  <w:tcW w:w="921" w:type="dxa"/>
                  <w:vMerge w:val="continue"/>
                  <w:noWrap/>
                  <w:tcMar>
                    <w:top w:w="12" w:type="dxa"/>
                    <w:left w:w="12" w:type="dxa"/>
                    <w:right w:w="12" w:type="dxa"/>
                  </w:tcMar>
                  <w:vAlign w:val="center"/>
                </w:tcPr>
                <w:p w14:paraId="4C7496D3">
                  <w:pPr>
                    <w:jc w:val="center"/>
                    <w:rPr>
                      <w:szCs w:val="21"/>
                    </w:rPr>
                  </w:pPr>
                </w:p>
              </w:tc>
              <w:tc>
                <w:tcPr>
                  <w:tcW w:w="1768" w:type="dxa"/>
                  <w:noWrap w:val="0"/>
                  <w:tcMar>
                    <w:top w:w="12" w:type="dxa"/>
                    <w:left w:w="12" w:type="dxa"/>
                    <w:right w:w="12" w:type="dxa"/>
                  </w:tcMar>
                  <w:vAlign w:val="center"/>
                </w:tcPr>
                <w:p w14:paraId="38878997">
                  <w:pPr>
                    <w:widowControl/>
                    <w:jc w:val="center"/>
                    <w:textAlignment w:val="center"/>
                    <w:rPr>
                      <w:szCs w:val="21"/>
                    </w:rPr>
                  </w:pPr>
                  <w:r>
                    <w:rPr>
                      <w:rStyle w:val="62"/>
                      <w:rFonts w:hint="default"/>
                      <w:color w:val="auto"/>
                      <w:lang w:bidi="ar"/>
                    </w:rPr>
                    <w:t>悬浮物</w:t>
                  </w:r>
                </w:p>
              </w:tc>
              <w:tc>
                <w:tcPr>
                  <w:tcW w:w="1052" w:type="dxa"/>
                  <w:noWrap/>
                  <w:tcMar>
                    <w:top w:w="12" w:type="dxa"/>
                    <w:left w:w="12" w:type="dxa"/>
                    <w:right w:w="12" w:type="dxa"/>
                  </w:tcMar>
                  <w:vAlign w:val="center"/>
                </w:tcPr>
                <w:p w14:paraId="14FCBCB6">
                  <w:pPr>
                    <w:jc w:val="center"/>
                    <w:rPr>
                      <w:szCs w:val="21"/>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15C8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continue"/>
                  <w:noWrap w:val="0"/>
                  <w:tcMar>
                    <w:top w:w="12" w:type="dxa"/>
                    <w:left w:w="12" w:type="dxa"/>
                    <w:right w:w="12" w:type="dxa"/>
                  </w:tcMar>
                  <w:vAlign w:val="center"/>
                </w:tcPr>
                <w:p w14:paraId="3BEBD446">
                  <w:pPr>
                    <w:jc w:val="center"/>
                    <w:rPr>
                      <w:szCs w:val="21"/>
                    </w:rPr>
                  </w:pPr>
                </w:p>
              </w:tc>
              <w:tc>
                <w:tcPr>
                  <w:tcW w:w="894" w:type="dxa"/>
                  <w:vMerge w:val="continue"/>
                  <w:noWrap w:val="0"/>
                  <w:tcMar>
                    <w:top w:w="12" w:type="dxa"/>
                    <w:left w:w="12" w:type="dxa"/>
                    <w:right w:w="12" w:type="dxa"/>
                  </w:tcMar>
                  <w:vAlign w:val="center"/>
                </w:tcPr>
                <w:p w14:paraId="615EF363">
                  <w:pPr>
                    <w:jc w:val="center"/>
                    <w:rPr>
                      <w:szCs w:val="21"/>
                    </w:rPr>
                  </w:pPr>
                </w:p>
              </w:tc>
              <w:tc>
                <w:tcPr>
                  <w:tcW w:w="970" w:type="dxa"/>
                  <w:vMerge w:val="continue"/>
                  <w:noWrap w:val="0"/>
                  <w:tcMar>
                    <w:top w:w="12" w:type="dxa"/>
                    <w:left w:w="12" w:type="dxa"/>
                    <w:right w:w="12" w:type="dxa"/>
                  </w:tcMar>
                  <w:vAlign w:val="center"/>
                </w:tcPr>
                <w:p w14:paraId="1652866B">
                  <w:pPr>
                    <w:jc w:val="center"/>
                    <w:rPr>
                      <w:szCs w:val="21"/>
                    </w:rPr>
                  </w:pPr>
                </w:p>
              </w:tc>
              <w:tc>
                <w:tcPr>
                  <w:tcW w:w="1090" w:type="dxa"/>
                  <w:vMerge w:val="continue"/>
                  <w:noWrap w:val="0"/>
                  <w:tcMar>
                    <w:top w:w="12" w:type="dxa"/>
                    <w:left w:w="12" w:type="dxa"/>
                    <w:right w:w="12" w:type="dxa"/>
                  </w:tcMar>
                  <w:vAlign w:val="center"/>
                </w:tcPr>
                <w:p w14:paraId="7654A203">
                  <w:pPr>
                    <w:jc w:val="center"/>
                    <w:rPr>
                      <w:szCs w:val="21"/>
                    </w:rPr>
                  </w:pPr>
                </w:p>
              </w:tc>
              <w:tc>
                <w:tcPr>
                  <w:tcW w:w="1134" w:type="dxa"/>
                  <w:vMerge w:val="continue"/>
                  <w:noWrap w:val="0"/>
                  <w:tcMar>
                    <w:top w:w="12" w:type="dxa"/>
                    <w:left w:w="12" w:type="dxa"/>
                    <w:right w:w="12" w:type="dxa"/>
                  </w:tcMar>
                  <w:vAlign w:val="center"/>
                </w:tcPr>
                <w:p w14:paraId="78CFF359">
                  <w:pPr>
                    <w:jc w:val="center"/>
                    <w:rPr>
                      <w:szCs w:val="21"/>
                    </w:rPr>
                  </w:pPr>
                </w:p>
              </w:tc>
              <w:tc>
                <w:tcPr>
                  <w:tcW w:w="1029" w:type="dxa"/>
                  <w:vMerge w:val="continue"/>
                  <w:noWrap w:val="0"/>
                  <w:tcMar>
                    <w:top w:w="12" w:type="dxa"/>
                    <w:left w:w="12" w:type="dxa"/>
                    <w:right w:w="12" w:type="dxa"/>
                  </w:tcMar>
                  <w:vAlign w:val="center"/>
                </w:tcPr>
                <w:p w14:paraId="50E2B6DC">
                  <w:pPr>
                    <w:jc w:val="center"/>
                    <w:rPr>
                      <w:szCs w:val="21"/>
                    </w:rPr>
                  </w:pPr>
                </w:p>
              </w:tc>
              <w:tc>
                <w:tcPr>
                  <w:tcW w:w="1163" w:type="dxa"/>
                  <w:vMerge w:val="continue"/>
                  <w:noWrap w:val="0"/>
                  <w:tcMar>
                    <w:top w:w="12" w:type="dxa"/>
                    <w:left w:w="12" w:type="dxa"/>
                    <w:right w:w="12" w:type="dxa"/>
                  </w:tcMar>
                  <w:vAlign w:val="center"/>
                </w:tcPr>
                <w:p w14:paraId="27B1CD12">
                  <w:pPr>
                    <w:jc w:val="center"/>
                    <w:rPr>
                      <w:szCs w:val="21"/>
                    </w:rPr>
                  </w:pPr>
                </w:p>
              </w:tc>
              <w:tc>
                <w:tcPr>
                  <w:tcW w:w="1789" w:type="dxa"/>
                  <w:noWrap w:val="0"/>
                  <w:tcMar>
                    <w:top w:w="12" w:type="dxa"/>
                    <w:left w:w="12" w:type="dxa"/>
                    <w:right w:w="12" w:type="dxa"/>
                  </w:tcMar>
                  <w:vAlign w:val="center"/>
                </w:tcPr>
                <w:p w14:paraId="52BC3596">
                  <w:pPr>
                    <w:widowControl/>
                    <w:jc w:val="center"/>
                    <w:textAlignment w:val="center"/>
                    <w:rPr>
                      <w:szCs w:val="21"/>
                    </w:rPr>
                  </w:pPr>
                  <w:r>
                    <w:rPr>
                      <w:rStyle w:val="62"/>
                      <w:rFonts w:hint="default"/>
                      <w:color w:val="auto"/>
                      <w:lang w:bidi="ar"/>
                    </w:rPr>
                    <w:t>五日生化需氧量</w:t>
                  </w:r>
                </w:p>
              </w:tc>
              <w:tc>
                <w:tcPr>
                  <w:tcW w:w="1133" w:type="dxa"/>
                  <w:noWrap w:val="0"/>
                  <w:tcMar>
                    <w:top w:w="12" w:type="dxa"/>
                    <w:left w:w="12" w:type="dxa"/>
                    <w:right w:w="12" w:type="dxa"/>
                  </w:tcMar>
                  <w:vAlign w:val="center"/>
                </w:tcPr>
                <w:p w14:paraId="0A6846DC">
                  <w:pPr>
                    <w:widowControl/>
                    <w:jc w:val="center"/>
                    <w:textAlignment w:val="center"/>
                    <w:rPr>
                      <w:szCs w:val="21"/>
                    </w:rPr>
                  </w:pPr>
                  <w:r>
                    <w:rPr>
                      <w:rFonts w:hint="eastAsia"/>
                      <w:kern w:val="0"/>
                      <w:szCs w:val="21"/>
                      <w:lang w:bidi="ar"/>
                    </w:rPr>
                    <w:t>20</w:t>
                  </w:r>
                  <w:r>
                    <w:rPr>
                      <w:kern w:val="0"/>
                      <w:szCs w:val="21"/>
                      <w:lang w:bidi="ar"/>
                    </w:rPr>
                    <w:t>0mg/L</w:t>
                  </w:r>
                </w:p>
              </w:tc>
              <w:tc>
                <w:tcPr>
                  <w:tcW w:w="921" w:type="dxa"/>
                  <w:vMerge w:val="continue"/>
                  <w:noWrap/>
                  <w:tcMar>
                    <w:top w:w="12" w:type="dxa"/>
                    <w:left w:w="12" w:type="dxa"/>
                    <w:right w:w="12" w:type="dxa"/>
                  </w:tcMar>
                  <w:vAlign w:val="center"/>
                </w:tcPr>
                <w:p w14:paraId="7F09CE01">
                  <w:pPr>
                    <w:jc w:val="center"/>
                    <w:rPr>
                      <w:szCs w:val="21"/>
                    </w:rPr>
                  </w:pPr>
                </w:p>
              </w:tc>
              <w:tc>
                <w:tcPr>
                  <w:tcW w:w="1768" w:type="dxa"/>
                  <w:noWrap w:val="0"/>
                  <w:tcMar>
                    <w:top w:w="12" w:type="dxa"/>
                    <w:left w:w="12" w:type="dxa"/>
                    <w:right w:w="12" w:type="dxa"/>
                  </w:tcMar>
                  <w:vAlign w:val="center"/>
                </w:tcPr>
                <w:p w14:paraId="60A97835">
                  <w:pPr>
                    <w:widowControl/>
                    <w:jc w:val="center"/>
                    <w:textAlignment w:val="center"/>
                    <w:rPr>
                      <w:szCs w:val="21"/>
                    </w:rPr>
                  </w:pPr>
                  <w:r>
                    <w:rPr>
                      <w:rStyle w:val="62"/>
                      <w:rFonts w:hint="default"/>
                      <w:color w:val="auto"/>
                      <w:lang w:bidi="ar"/>
                    </w:rPr>
                    <w:t>五日生化需氧量</w:t>
                  </w:r>
                </w:p>
              </w:tc>
              <w:tc>
                <w:tcPr>
                  <w:tcW w:w="1052" w:type="dxa"/>
                  <w:noWrap/>
                  <w:tcMar>
                    <w:top w:w="12" w:type="dxa"/>
                    <w:left w:w="12" w:type="dxa"/>
                    <w:right w:w="12" w:type="dxa"/>
                  </w:tcMar>
                  <w:vAlign w:val="center"/>
                </w:tcPr>
                <w:p w14:paraId="4A040A20">
                  <w:pPr>
                    <w:jc w:val="center"/>
                    <w:rPr>
                      <w:szCs w:val="21"/>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29A9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452" w:type="dxa"/>
                  <w:vMerge w:val="continue"/>
                  <w:noWrap w:val="0"/>
                  <w:tcMar>
                    <w:top w:w="12" w:type="dxa"/>
                    <w:left w:w="12" w:type="dxa"/>
                    <w:right w:w="12" w:type="dxa"/>
                  </w:tcMar>
                  <w:vAlign w:val="center"/>
                </w:tcPr>
                <w:p w14:paraId="16B00A02">
                  <w:pPr>
                    <w:jc w:val="center"/>
                    <w:rPr>
                      <w:szCs w:val="21"/>
                    </w:rPr>
                  </w:pPr>
                </w:p>
              </w:tc>
              <w:tc>
                <w:tcPr>
                  <w:tcW w:w="894" w:type="dxa"/>
                  <w:vMerge w:val="continue"/>
                  <w:noWrap w:val="0"/>
                  <w:tcMar>
                    <w:top w:w="12" w:type="dxa"/>
                    <w:left w:w="12" w:type="dxa"/>
                    <w:right w:w="12" w:type="dxa"/>
                  </w:tcMar>
                  <w:vAlign w:val="center"/>
                </w:tcPr>
                <w:p w14:paraId="7430D8E4">
                  <w:pPr>
                    <w:jc w:val="center"/>
                    <w:rPr>
                      <w:szCs w:val="21"/>
                    </w:rPr>
                  </w:pPr>
                </w:p>
              </w:tc>
              <w:tc>
                <w:tcPr>
                  <w:tcW w:w="970" w:type="dxa"/>
                  <w:vMerge w:val="continue"/>
                  <w:noWrap w:val="0"/>
                  <w:tcMar>
                    <w:top w:w="12" w:type="dxa"/>
                    <w:left w:w="12" w:type="dxa"/>
                    <w:right w:w="12" w:type="dxa"/>
                  </w:tcMar>
                  <w:vAlign w:val="center"/>
                </w:tcPr>
                <w:p w14:paraId="4753F5B0">
                  <w:pPr>
                    <w:jc w:val="center"/>
                    <w:rPr>
                      <w:szCs w:val="21"/>
                    </w:rPr>
                  </w:pPr>
                </w:p>
              </w:tc>
              <w:tc>
                <w:tcPr>
                  <w:tcW w:w="1090" w:type="dxa"/>
                  <w:vMerge w:val="continue"/>
                  <w:noWrap w:val="0"/>
                  <w:tcMar>
                    <w:top w:w="12" w:type="dxa"/>
                    <w:left w:w="12" w:type="dxa"/>
                    <w:right w:w="12" w:type="dxa"/>
                  </w:tcMar>
                  <w:vAlign w:val="center"/>
                </w:tcPr>
                <w:p w14:paraId="3D2E1FA7">
                  <w:pPr>
                    <w:jc w:val="center"/>
                    <w:rPr>
                      <w:szCs w:val="21"/>
                    </w:rPr>
                  </w:pPr>
                </w:p>
              </w:tc>
              <w:tc>
                <w:tcPr>
                  <w:tcW w:w="1134" w:type="dxa"/>
                  <w:vMerge w:val="continue"/>
                  <w:noWrap w:val="0"/>
                  <w:tcMar>
                    <w:top w:w="12" w:type="dxa"/>
                    <w:left w:w="12" w:type="dxa"/>
                    <w:right w:w="12" w:type="dxa"/>
                  </w:tcMar>
                  <w:vAlign w:val="center"/>
                </w:tcPr>
                <w:p w14:paraId="0ED580BA">
                  <w:pPr>
                    <w:jc w:val="center"/>
                    <w:rPr>
                      <w:szCs w:val="21"/>
                    </w:rPr>
                  </w:pPr>
                </w:p>
              </w:tc>
              <w:tc>
                <w:tcPr>
                  <w:tcW w:w="1029" w:type="dxa"/>
                  <w:vMerge w:val="continue"/>
                  <w:noWrap w:val="0"/>
                  <w:tcMar>
                    <w:top w:w="12" w:type="dxa"/>
                    <w:left w:w="12" w:type="dxa"/>
                    <w:right w:w="12" w:type="dxa"/>
                  </w:tcMar>
                  <w:vAlign w:val="center"/>
                </w:tcPr>
                <w:p w14:paraId="4B5B6B3E">
                  <w:pPr>
                    <w:jc w:val="center"/>
                    <w:rPr>
                      <w:szCs w:val="21"/>
                    </w:rPr>
                  </w:pPr>
                </w:p>
              </w:tc>
              <w:tc>
                <w:tcPr>
                  <w:tcW w:w="1163" w:type="dxa"/>
                  <w:vMerge w:val="continue"/>
                  <w:noWrap w:val="0"/>
                  <w:tcMar>
                    <w:top w:w="12" w:type="dxa"/>
                    <w:left w:w="12" w:type="dxa"/>
                    <w:right w:w="12" w:type="dxa"/>
                  </w:tcMar>
                  <w:vAlign w:val="center"/>
                </w:tcPr>
                <w:p w14:paraId="08824D1E">
                  <w:pPr>
                    <w:jc w:val="center"/>
                    <w:rPr>
                      <w:szCs w:val="21"/>
                    </w:rPr>
                  </w:pPr>
                </w:p>
              </w:tc>
              <w:tc>
                <w:tcPr>
                  <w:tcW w:w="1789" w:type="dxa"/>
                  <w:noWrap w:val="0"/>
                  <w:tcMar>
                    <w:top w:w="12" w:type="dxa"/>
                    <w:left w:w="12" w:type="dxa"/>
                    <w:right w:w="12" w:type="dxa"/>
                  </w:tcMar>
                  <w:vAlign w:val="center"/>
                </w:tcPr>
                <w:p w14:paraId="1AE35CAE">
                  <w:pPr>
                    <w:widowControl/>
                    <w:jc w:val="center"/>
                    <w:textAlignment w:val="center"/>
                    <w:rPr>
                      <w:szCs w:val="21"/>
                    </w:rPr>
                  </w:pPr>
                  <w:r>
                    <w:rPr>
                      <w:rStyle w:val="62"/>
                      <w:rFonts w:hint="default"/>
                      <w:color w:val="auto"/>
                      <w:lang w:bidi="ar"/>
                    </w:rPr>
                    <w:t>化学需氧量</w:t>
                  </w:r>
                </w:p>
              </w:tc>
              <w:tc>
                <w:tcPr>
                  <w:tcW w:w="1133" w:type="dxa"/>
                  <w:noWrap w:val="0"/>
                  <w:tcMar>
                    <w:top w:w="12" w:type="dxa"/>
                    <w:left w:w="12" w:type="dxa"/>
                    <w:right w:w="12" w:type="dxa"/>
                  </w:tcMar>
                  <w:vAlign w:val="center"/>
                </w:tcPr>
                <w:p w14:paraId="137E0AEB">
                  <w:pPr>
                    <w:widowControl/>
                    <w:jc w:val="center"/>
                    <w:textAlignment w:val="center"/>
                    <w:rPr>
                      <w:szCs w:val="21"/>
                    </w:rPr>
                  </w:pPr>
                  <w:r>
                    <w:rPr>
                      <w:rFonts w:hint="eastAsia"/>
                      <w:kern w:val="0"/>
                      <w:szCs w:val="21"/>
                      <w:lang w:bidi="ar"/>
                    </w:rPr>
                    <w:t>50</w:t>
                  </w:r>
                  <w:r>
                    <w:rPr>
                      <w:kern w:val="0"/>
                      <w:szCs w:val="21"/>
                      <w:lang w:bidi="ar"/>
                    </w:rPr>
                    <w:t>0mg/L</w:t>
                  </w:r>
                </w:p>
              </w:tc>
              <w:tc>
                <w:tcPr>
                  <w:tcW w:w="921" w:type="dxa"/>
                  <w:vMerge w:val="continue"/>
                  <w:noWrap/>
                  <w:tcMar>
                    <w:top w:w="12" w:type="dxa"/>
                    <w:left w:w="12" w:type="dxa"/>
                    <w:right w:w="12" w:type="dxa"/>
                  </w:tcMar>
                  <w:vAlign w:val="center"/>
                </w:tcPr>
                <w:p w14:paraId="2B0E775E">
                  <w:pPr>
                    <w:jc w:val="center"/>
                    <w:rPr>
                      <w:szCs w:val="21"/>
                    </w:rPr>
                  </w:pPr>
                </w:p>
              </w:tc>
              <w:tc>
                <w:tcPr>
                  <w:tcW w:w="1768" w:type="dxa"/>
                  <w:noWrap w:val="0"/>
                  <w:tcMar>
                    <w:top w:w="12" w:type="dxa"/>
                    <w:left w:w="12" w:type="dxa"/>
                    <w:right w:w="12" w:type="dxa"/>
                  </w:tcMar>
                  <w:vAlign w:val="center"/>
                </w:tcPr>
                <w:p w14:paraId="25ED4817">
                  <w:pPr>
                    <w:widowControl/>
                    <w:jc w:val="center"/>
                    <w:textAlignment w:val="center"/>
                    <w:rPr>
                      <w:szCs w:val="21"/>
                    </w:rPr>
                  </w:pPr>
                  <w:r>
                    <w:rPr>
                      <w:rStyle w:val="62"/>
                      <w:rFonts w:hint="default"/>
                      <w:color w:val="auto"/>
                      <w:lang w:bidi="ar"/>
                    </w:rPr>
                    <w:t>化学需氧量</w:t>
                  </w:r>
                </w:p>
              </w:tc>
              <w:tc>
                <w:tcPr>
                  <w:tcW w:w="1052" w:type="dxa"/>
                  <w:noWrap/>
                  <w:tcMar>
                    <w:top w:w="12" w:type="dxa"/>
                    <w:left w:w="12" w:type="dxa"/>
                    <w:right w:w="12" w:type="dxa"/>
                  </w:tcMar>
                  <w:vAlign w:val="center"/>
                </w:tcPr>
                <w:p w14:paraId="4B4E7A09">
                  <w:pPr>
                    <w:jc w:val="center"/>
                    <w:rPr>
                      <w:szCs w:val="21"/>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7B57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52" w:type="dxa"/>
                  <w:vMerge w:val="continue"/>
                  <w:noWrap w:val="0"/>
                  <w:tcMar>
                    <w:top w:w="12" w:type="dxa"/>
                    <w:left w:w="12" w:type="dxa"/>
                    <w:right w:w="12" w:type="dxa"/>
                  </w:tcMar>
                  <w:vAlign w:val="center"/>
                </w:tcPr>
                <w:p w14:paraId="7CE9C5CC">
                  <w:pPr>
                    <w:jc w:val="center"/>
                    <w:rPr>
                      <w:szCs w:val="21"/>
                    </w:rPr>
                  </w:pPr>
                </w:p>
              </w:tc>
              <w:tc>
                <w:tcPr>
                  <w:tcW w:w="894" w:type="dxa"/>
                  <w:vMerge w:val="continue"/>
                  <w:noWrap w:val="0"/>
                  <w:tcMar>
                    <w:top w:w="12" w:type="dxa"/>
                    <w:left w:w="12" w:type="dxa"/>
                    <w:right w:w="12" w:type="dxa"/>
                  </w:tcMar>
                  <w:vAlign w:val="center"/>
                </w:tcPr>
                <w:p w14:paraId="1E6DC239">
                  <w:pPr>
                    <w:jc w:val="center"/>
                    <w:rPr>
                      <w:szCs w:val="21"/>
                    </w:rPr>
                  </w:pPr>
                </w:p>
              </w:tc>
              <w:tc>
                <w:tcPr>
                  <w:tcW w:w="970" w:type="dxa"/>
                  <w:vMerge w:val="continue"/>
                  <w:noWrap w:val="0"/>
                  <w:tcMar>
                    <w:top w:w="12" w:type="dxa"/>
                    <w:left w:w="12" w:type="dxa"/>
                    <w:right w:w="12" w:type="dxa"/>
                  </w:tcMar>
                  <w:vAlign w:val="center"/>
                </w:tcPr>
                <w:p w14:paraId="0BBB68DE">
                  <w:pPr>
                    <w:jc w:val="center"/>
                    <w:rPr>
                      <w:szCs w:val="21"/>
                    </w:rPr>
                  </w:pPr>
                </w:p>
              </w:tc>
              <w:tc>
                <w:tcPr>
                  <w:tcW w:w="1090" w:type="dxa"/>
                  <w:vMerge w:val="continue"/>
                  <w:noWrap w:val="0"/>
                  <w:tcMar>
                    <w:top w:w="12" w:type="dxa"/>
                    <w:left w:w="12" w:type="dxa"/>
                    <w:right w:w="12" w:type="dxa"/>
                  </w:tcMar>
                  <w:vAlign w:val="center"/>
                </w:tcPr>
                <w:p w14:paraId="5F74292E">
                  <w:pPr>
                    <w:jc w:val="center"/>
                    <w:rPr>
                      <w:szCs w:val="21"/>
                    </w:rPr>
                  </w:pPr>
                </w:p>
              </w:tc>
              <w:tc>
                <w:tcPr>
                  <w:tcW w:w="1134" w:type="dxa"/>
                  <w:vMerge w:val="continue"/>
                  <w:noWrap w:val="0"/>
                  <w:tcMar>
                    <w:top w:w="12" w:type="dxa"/>
                    <w:left w:w="12" w:type="dxa"/>
                    <w:right w:w="12" w:type="dxa"/>
                  </w:tcMar>
                  <w:vAlign w:val="center"/>
                </w:tcPr>
                <w:p w14:paraId="22D044DA">
                  <w:pPr>
                    <w:jc w:val="center"/>
                    <w:rPr>
                      <w:szCs w:val="21"/>
                    </w:rPr>
                  </w:pPr>
                </w:p>
              </w:tc>
              <w:tc>
                <w:tcPr>
                  <w:tcW w:w="1029" w:type="dxa"/>
                  <w:vMerge w:val="continue"/>
                  <w:noWrap w:val="0"/>
                  <w:tcMar>
                    <w:top w:w="12" w:type="dxa"/>
                    <w:left w:w="12" w:type="dxa"/>
                    <w:right w:w="12" w:type="dxa"/>
                  </w:tcMar>
                  <w:vAlign w:val="center"/>
                </w:tcPr>
                <w:p w14:paraId="1B1787D6">
                  <w:pPr>
                    <w:jc w:val="center"/>
                    <w:rPr>
                      <w:szCs w:val="21"/>
                    </w:rPr>
                  </w:pPr>
                </w:p>
              </w:tc>
              <w:tc>
                <w:tcPr>
                  <w:tcW w:w="1163" w:type="dxa"/>
                  <w:vMerge w:val="continue"/>
                  <w:noWrap w:val="0"/>
                  <w:tcMar>
                    <w:top w:w="12" w:type="dxa"/>
                    <w:left w:w="12" w:type="dxa"/>
                    <w:right w:w="12" w:type="dxa"/>
                  </w:tcMar>
                  <w:vAlign w:val="center"/>
                </w:tcPr>
                <w:p w14:paraId="331D81A9">
                  <w:pPr>
                    <w:jc w:val="center"/>
                    <w:rPr>
                      <w:szCs w:val="21"/>
                    </w:rPr>
                  </w:pPr>
                </w:p>
              </w:tc>
              <w:tc>
                <w:tcPr>
                  <w:tcW w:w="1789" w:type="dxa"/>
                  <w:noWrap w:val="0"/>
                  <w:tcMar>
                    <w:top w:w="12" w:type="dxa"/>
                    <w:left w:w="12" w:type="dxa"/>
                    <w:right w:w="12" w:type="dxa"/>
                  </w:tcMar>
                  <w:vAlign w:val="center"/>
                </w:tcPr>
                <w:p w14:paraId="1923FFF4">
                  <w:pPr>
                    <w:widowControl/>
                    <w:jc w:val="center"/>
                    <w:textAlignment w:val="center"/>
                    <w:rPr>
                      <w:szCs w:val="21"/>
                    </w:rPr>
                  </w:pPr>
                  <w:r>
                    <w:rPr>
                      <w:rStyle w:val="62"/>
                      <w:rFonts w:hint="default"/>
                      <w:color w:val="auto"/>
                      <w:lang w:bidi="ar"/>
                    </w:rPr>
                    <w:t>总磷</w:t>
                  </w:r>
                </w:p>
              </w:tc>
              <w:tc>
                <w:tcPr>
                  <w:tcW w:w="1133" w:type="dxa"/>
                  <w:noWrap w:val="0"/>
                  <w:tcMar>
                    <w:top w:w="12" w:type="dxa"/>
                    <w:left w:w="12" w:type="dxa"/>
                    <w:right w:w="12" w:type="dxa"/>
                  </w:tcMar>
                  <w:vAlign w:val="center"/>
                </w:tcPr>
                <w:p w14:paraId="5C3586BF">
                  <w:pPr>
                    <w:widowControl/>
                    <w:jc w:val="center"/>
                    <w:textAlignment w:val="center"/>
                    <w:rPr>
                      <w:szCs w:val="21"/>
                    </w:rPr>
                  </w:pPr>
                  <w:r>
                    <w:rPr>
                      <w:rFonts w:hint="eastAsia"/>
                      <w:kern w:val="0"/>
                      <w:szCs w:val="21"/>
                      <w:lang w:bidi="ar"/>
                    </w:rPr>
                    <w:t>6</w:t>
                  </w:r>
                  <w:r>
                    <w:rPr>
                      <w:kern w:val="0"/>
                      <w:szCs w:val="21"/>
                      <w:lang w:bidi="ar"/>
                    </w:rPr>
                    <w:t>mg/L</w:t>
                  </w:r>
                </w:p>
              </w:tc>
              <w:tc>
                <w:tcPr>
                  <w:tcW w:w="921" w:type="dxa"/>
                  <w:vMerge w:val="continue"/>
                  <w:noWrap/>
                  <w:tcMar>
                    <w:top w:w="12" w:type="dxa"/>
                    <w:left w:w="12" w:type="dxa"/>
                    <w:right w:w="12" w:type="dxa"/>
                  </w:tcMar>
                  <w:vAlign w:val="center"/>
                </w:tcPr>
                <w:p w14:paraId="74CC059D">
                  <w:pPr>
                    <w:jc w:val="center"/>
                    <w:rPr>
                      <w:szCs w:val="21"/>
                    </w:rPr>
                  </w:pPr>
                </w:p>
              </w:tc>
              <w:tc>
                <w:tcPr>
                  <w:tcW w:w="1768" w:type="dxa"/>
                  <w:noWrap w:val="0"/>
                  <w:tcMar>
                    <w:top w:w="12" w:type="dxa"/>
                    <w:left w:w="12" w:type="dxa"/>
                    <w:right w:w="12" w:type="dxa"/>
                  </w:tcMar>
                  <w:vAlign w:val="center"/>
                </w:tcPr>
                <w:p w14:paraId="052750F1">
                  <w:pPr>
                    <w:widowControl/>
                    <w:jc w:val="center"/>
                    <w:textAlignment w:val="center"/>
                    <w:rPr>
                      <w:szCs w:val="21"/>
                    </w:rPr>
                  </w:pPr>
                  <w:r>
                    <w:rPr>
                      <w:rStyle w:val="62"/>
                      <w:rFonts w:hint="default"/>
                      <w:color w:val="auto"/>
                      <w:lang w:bidi="ar"/>
                    </w:rPr>
                    <w:t>总磷</w:t>
                  </w:r>
                </w:p>
              </w:tc>
              <w:tc>
                <w:tcPr>
                  <w:tcW w:w="1052" w:type="dxa"/>
                  <w:noWrap/>
                  <w:tcMar>
                    <w:top w:w="12" w:type="dxa"/>
                    <w:left w:w="12" w:type="dxa"/>
                    <w:right w:w="12" w:type="dxa"/>
                  </w:tcMar>
                  <w:vAlign w:val="center"/>
                </w:tcPr>
                <w:p w14:paraId="0747985C">
                  <w:pPr>
                    <w:jc w:val="center"/>
                    <w:rPr>
                      <w:szCs w:val="21"/>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656F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52" w:type="dxa"/>
                  <w:vMerge w:val="continue"/>
                  <w:noWrap w:val="0"/>
                  <w:tcMar>
                    <w:top w:w="12" w:type="dxa"/>
                    <w:left w:w="12" w:type="dxa"/>
                    <w:right w:w="12" w:type="dxa"/>
                  </w:tcMar>
                  <w:vAlign w:val="center"/>
                </w:tcPr>
                <w:p w14:paraId="76AC6210">
                  <w:pPr>
                    <w:jc w:val="center"/>
                    <w:rPr>
                      <w:szCs w:val="21"/>
                    </w:rPr>
                  </w:pPr>
                </w:p>
              </w:tc>
              <w:tc>
                <w:tcPr>
                  <w:tcW w:w="894" w:type="dxa"/>
                  <w:vMerge w:val="continue"/>
                  <w:noWrap w:val="0"/>
                  <w:tcMar>
                    <w:top w:w="12" w:type="dxa"/>
                    <w:left w:w="12" w:type="dxa"/>
                    <w:right w:w="12" w:type="dxa"/>
                  </w:tcMar>
                  <w:vAlign w:val="center"/>
                </w:tcPr>
                <w:p w14:paraId="5406AF8D">
                  <w:pPr>
                    <w:jc w:val="center"/>
                    <w:rPr>
                      <w:szCs w:val="21"/>
                    </w:rPr>
                  </w:pPr>
                </w:p>
              </w:tc>
              <w:tc>
                <w:tcPr>
                  <w:tcW w:w="970" w:type="dxa"/>
                  <w:vMerge w:val="continue"/>
                  <w:noWrap w:val="0"/>
                  <w:tcMar>
                    <w:top w:w="12" w:type="dxa"/>
                    <w:left w:w="12" w:type="dxa"/>
                    <w:right w:w="12" w:type="dxa"/>
                  </w:tcMar>
                  <w:vAlign w:val="center"/>
                </w:tcPr>
                <w:p w14:paraId="332AC81F">
                  <w:pPr>
                    <w:jc w:val="center"/>
                    <w:rPr>
                      <w:szCs w:val="21"/>
                    </w:rPr>
                  </w:pPr>
                </w:p>
              </w:tc>
              <w:tc>
                <w:tcPr>
                  <w:tcW w:w="1090" w:type="dxa"/>
                  <w:vMerge w:val="continue"/>
                  <w:noWrap w:val="0"/>
                  <w:tcMar>
                    <w:top w:w="12" w:type="dxa"/>
                    <w:left w:w="12" w:type="dxa"/>
                    <w:right w:w="12" w:type="dxa"/>
                  </w:tcMar>
                  <w:vAlign w:val="center"/>
                </w:tcPr>
                <w:p w14:paraId="59BEAE90">
                  <w:pPr>
                    <w:jc w:val="center"/>
                    <w:rPr>
                      <w:szCs w:val="21"/>
                    </w:rPr>
                  </w:pPr>
                </w:p>
              </w:tc>
              <w:tc>
                <w:tcPr>
                  <w:tcW w:w="1134" w:type="dxa"/>
                  <w:vMerge w:val="continue"/>
                  <w:noWrap w:val="0"/>
                  <w:tcMar>
                    <w:top w:w="12" w:type="dxa"/>
                    <w:left w:w="12" w:type="dxa"/>
                    <w:right w:w="12" w:type="dxa"/>
                  </w:tcMar>
                  <w:vAlign w:val="center"/>
                </w:tcPr>
                <w:p w14:paraId="43CEE544">
                  <w:pPr>
                    <w:jc w:val="center"/>
                    <w:rPr>
                      <w:szCs w:val="21"/>
                    </w:rPr>
                  </w:pPr>
                </w:p>
              </w:tc>
              <w:tc>
                <w:tcPr>
                  <w:tcW w:w="1029" w:type="dxa"/>
                  <w:vMerge w:val="continue"/>
                  <w:noWrap w:val="0"/>
                  <w:tcMar>
                    <w:top w:w="12" w:type="dxa"/>
                    <w:left w:w="12" w:type="dxa"/>
                    <w:right w:w="12" w:type="dxa"/>
                  </w:tcMar>
                  <w:vAlign w:val="center"/>
                </w:tcPr>
                <w:p w14:paraId="3573888B">
                  <w:pPr>
                    <w:jc w:val="center"/>
                    <w:rPr>
                      <w:szCs w:val="21"/>
                    </w:rPr>
                  </w:pPr>
                </w:p>
              </w:tc>
              <w:tc>
                <w:tcPr>
                  <w:tcW w:w="1163" w:type="dxa"/>
                  <w:vMerge w:val="continue"/>
                  <w:noWrap w:val="0"/>
                  <w:tcMar>
                    <w:top w:w="12" w:type="dxa"/>
                    <w:left w:w="12" w:type="dxa"/>
                    <w:right w:w="12" w:type="dxa"/>
                  </w:tcMar>
                  <w:vAlign w:val="center"/>
                </w:tcPr>
                <w:p w14:paraId="46F12B95">
                  <w:pPr>
                    <w:jc w:val="center"/>
                    <w:rPr>
                      <w:szCs w:val="21"/>
                    </w:rPr>
                  </w:pPr>
                </w:p>
              </w:tc>
              <w:tc>
                <w:tcPr>
                  <w:tcW w:w="1789" w:type="dxa"/>
                  <w:noWrap w:val="0"/>
                  <w:tcMar>
                    <w:top w:w="12" w:type="dxa"/>
                    <w:left w:w="12" w:type="dxa"/>
                    <w:right w:w="12" w:type="dxa"/>
                  </w:tcMar>
                  <w:vAlign w:val="center"/>
                </w:tcPr>
                <w:p w14:paraId="26BC2AF0">
                  <w:pPr>
                    <w:widowControl/>
                    <w:jc w:val="center"/>
                    <w:textAlignment w:val="center"/>
                    <w:rPr>
                      <w:rStyle w:val="62"/>
                      <w:rFonts w:hint="default"/>
                      <w:color w:val="auto"/>
                      <w:lang w:bidi="ar"/>
                    </w:rPr>
                  </w:pPr>
                  <w:r>
                    <w:rPr>
                      <w:rStyle w:val="62"/>
                      <w:rFonts w:hint="default"/>
                      <w:color w:val="auto"/>
                      <w:lang w:bidi="ar"/>
                    </w:rPr>
                    <w:t>总氮</w:t>
                  </w:r>
                </w:p>
              </w:tc>
              <w:tc>
                <w:tcPr>
                  <w:tcW w:w="1133" w:type="dxa"/>
                  <w:noWrap w:val="0"/>
                  <w:tcMar>
                    <w:top w:w="12" w:type="dxa"/>
                    <w:left w:w="12" w:type="dxa"/>
                    <w:right w:w="12" w:type="dxa"/>
                  </w:tcMar>
                  <w:vAlign w:val="center"/>
                </w:tcPr>
                <w:p w14:paraId="7B06A53A">
                  <w:pPr>
                    <w:widowControl/>
                    <w:jc w:val="center"/>
                    <w:textAlignment w:val="center"/>
                    <w:rPr>
                      <w:kern w:val="0"/>
                      <w:szCs w:val="21"/>
                      <w:lang w:bidi="ar"/>
                    </w:rPr>
                  </w:pPr>
                  <w:r>
                    <w:rPr>
                      <w:rFonts w:hint="eastAsia"/>
                      <w:kern w:val="0"/>
                      <w:szCs w:val="21"/>
                      <w:lang w:bidi="ar"/>
                    </w:rPr>
                    <w:t>50</w:t>
                  </w:r>
                  <w:r>
                    <w:rPr>
                      <w:kern w:val="0"/>
                      <w:szCs w:val="21"/>
                      <w:lang w:bidi="ar"/>
                    </w:rPr>
                    <w:t>mg/L</w:t>
                  </w:r>
                </w:p>
              </w:tc>
              <w:tc>
                <w:tcPr>
                  <w:tcW w:w="921" w:type="dxa"/>
                  <w:vMerge w:val="continue"/>
                  <w:noWrap/>
                  <w:tcMar>
                    <w:top w:w="12" w:type="dxa"/>
                    <w:left w:w="12" w:type="dxa"/>
                    <w:right w:w="12" w:type="dxa"/>
                  </w:tcMar>
                  <w:vAlign w:val="center"/>
                </w:tcPr>
                <w:p w14:paraId="374DFB0E">
                  <w:pPr>
                    <w:jc w:val="center"/>
                    <w:rPr>
                      <w:szCs w:val="21"/>
                    </w:rPr>
                  </w:pPr>
                </w:p>
              </w:tc>
              <w:tc>
                <w:tcPr>
                  <w:tcW w:w="1768" w:type="dxa"/>
                  <w:noWrap w:val="0"/>
                  <w:tcMar>
                    <w:top w:w="12" w:type="dxa"/>
                    <w:left w:w="12" w:type="dxa"/>
                    <w:right w:w="12" w:type="dxa"/>
                  </w:tcMar>
                  <w:vAlign w:val="center"/>
                </w:tcPr>
                <w:p w14:paraId="22C73B8E">
                  <w:pPr>
                    <w:widowControl/>
                    <w:jc w:val="center"/>
                    <w:textAlignment w:val="center"/>
                    <w:rPr>
                      <w:rStyle w:val="62"/>
                      <w:rFonts w:hint="default"/>
                      <w:color w:val="auto"/>
                      <w:lang w:bidi="ar"/>
                    </w:rPr>
                  </w:pPr>
                  <w:r>
                    <w:rPr>
                      <w:rStyle w:val="62"/>
                      <w:rFonts w:hint="default"/>
                      <w:color w:val="auto"/>
                      <w:lang w:bidi="ar"/>
                    </w:rPr>
                    <w:t>总氮</w:t>
                  </w:r>
                </w:p>
              </w:tc>
              <w:tc>
                <w:tcPr>
                  <w:tcW w:w="1052" w:type="dxa"/>
                  <w:noWrap/>
                  <w:tcMar>
                    <w:top w:w="12" w:type="dxa"/>
                    <w:left w:w="12" w:type="dxa"/>
                    <w:right w:w="12" w:type="dxa"/>
                  </w:tcMar>
                  <w:vAlign w:val="center"/>
                </w:tcPr>
                <w:p w14:paraId="00F3C424">
                  <w:pPr>
                    <w:jc w:val="center"/>
                    <w:rPr>
                      <w:kern w:val="0"/>
                      <w:szCs w:val="21"/>
                      <w:lang w:bidi="ar"/>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tr w14:paraId="0DFC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52" w:type="dxa"/>
                  <w:vMerge w:val="continue"/>
                  <w:noWrap w:val="0"/>
                  <w:tcMar>
                    <w:top w:w="12" w:type="dxa"/>
                    <w:left w:w="12" w:type="dxa"/>
                    <w:right w:w="12" w:type="dxa"/>
                  </w:tcMar>
                  <w:vAlign w:val="center"/>
                </w:tcPr>
                <w:p w14:paraId="184BF197">
                  <w:pPr>
                    <w:jc w:val="center"/>
                    <w:rPr>
                      <w:szCs w:val="21"/>
                    </w:rPr>
                  </w:pPr>
                </w:p>
              </w:tc>
              <w:tc>
                <w:tcPr>
                  <w:tcW w:w="894" w:type="dxa"/>
                  <w:vMerge w:val="continue"/>
                  <w:noWrap w:val="0"/>
                  <w:tcMar>
                    <w:top w:w="12" w:type="dxa"/>
                    <w:left w:w="12" w:type="dxa"/>
                    <w:right w:w="12" w:type="dxa"/>
                  </w:tcMar>
                  <w:vAlign w:val="center"/>
                </w:tcPr>
                <w:p w14:paraId="1BB7247A">
                  <w:pPr>
                    <w:jc w:val="center"/>
                    <w:rPr>
                      <w:szCs w:val="21"/>
                    </w:rPr>
                  </w:pPr>
                </w:p>
              </w:tc>
              <w:tc>
                <w:tcPr>
                  <w:tcW w:w="970" w:type="dxa"/>
                  <w:vMerge w:val="continue"/>
                  <w:noWrap w:val="0"/>
                  <w:tcMar>
                    <w:top w:w="12" w:type="dxa"/>
                    <w:left w:w="12" w:type="dxa"/>
                    <w:right w:w="12" w:type="dxa"/>
                  </w:tcMar>
                  <w:vAlign w:val="center"/>
                </w:tcPr>
                <w:p w14:paraId="4ABFFB87">
                  <w:pPr>
                    <w:jc w:val="center"/>
                    <w:rPr>
                      <w:szCs w:val="21"/>
                    </w:rPr>
                  </w:pPr>
                </w:p>
              </w:tc>
              <w:tc>
                <w:tcPr>
                  <w:tcW w:w="1090" w:type="dxa"/>
                  <w:vMerge w:val="continue"/>
                  <w:noWrap w:val="0"/>
                  <w:tcMar>
                    <w:top w:w="12" w:type="dxa"/>
                    <w:left w:w="12" w:type="dxa"/>
                    <w:right w:w="12" w:type="dxa"/>
                  </w:tcMar>
                  <w:vAlign w:val="center"/>
                </w:tcPr>
                <w:p w14:paraId="215B3055">
                  <w:pPr>
                    <w:jc w:val="center"/>
                    <w:rPr>
                      <w:szCs w:val="21"/>
                    </w:rPr>
                  </w:pPr>
                </w:p>
              </w:tc>
              <w:tc>
                <w:tcPr>
                  <w:tcW w:w="1134" w:type="dxa"/>
                  <w:vMerge w:val="continue"/>
                  <w:noWrap w:val="0"/>
                  <w:tcMar>
                    <w:top w:w="12" w:type="dxa"/>
                    <w:left w:w="12" w:type="dxa"/>
                    <w:right w:w="12" w:type="dxa"/>
                  </w:tcMar>
                  <w:vAlign w:val="center"/>
                </w:tcPr>
                <w:p w14:paraId="1C86BB76">
                  <w:pPr>
                    <w:jc w:val="center"/>
                    <w:rPr>
                      <w:szCs w:val="21"/>
                    </w:rPr>
                  </w:pPr>
                </w:p>
              </w:tc>
              <w:tc>
                <w:tcPr>
                  <w:tcW w:w="1029" w:type="dxa"/>
                  <w:vMerge w:val="continue"/>
                  <w:noWrap w:val="0"/>
                  <w:tcMar>
                    <w:top w:w="12" w:type="dxa"/>
                    <w:left w:w="12" w:type="dxa"/>
                    <w:right w:w="12" w:type="dxa"/>
                  </w:tcMar>
                  <w:vAlign w:val="center"/>
                </w:tcPr>
                <w:p w14:paraId="07770D0B">
                  <w:pPr>
                    <w:jc w:val="center"/>
                    <w:rPr>
                      <w:szCs w:val="21"/>
                    </w:rPr>
                  </w:pPr>
                </w:p>
              </w:tc>
              <w:tc>
                <w:tcPr>
                  <w:tcW w:w="1163" w:type="dxa"/>
                  <w:vMerge w:val="continue"/>
                  <w:noWrap w:val="0"/>
                  <w:tcMar>
                    <w:top w:w="12" w:type="dxa"/>
                    <w:left w:w="12" w:type="dxa"/>
                    <w:right w:w="12" w:type="dxa"/>
                  </w:tcMar>
                  <w:vAlign w:val="center"/>
                </w:tcPr>
                <w:p w14:paraId="5FF3FFCC">
                  <w:pPr>
                    <w:jc w:val="center"/>
                    <w:rPr>
                      <w:szCs w:val="21"/>
                    </w:rPr>
                  </w:pPr>
                </w:p>
              </w:tc>
              <w:tc>
                <w:tcPr>
                  <w:tcW w:w="1789" w:type="dxa"/>
                  <w:noWrap w:val="0"/>
                  <w:tcMar>
                    <w:top w:w="12" w:type="dxa"/>
                    <w:left w:w="12" w:type="dxa"/>
                    <w:right w:w="12" w:type="dxa"/>
                  </w:tcMar>
                  <w:vAlign w:val="center"/>
                </w:tcPr>
                <w:p w14:paraId="10FAA804">
                  <w:pPr>
                    <w:widowControl/>
                    <w:jc w:val="center"/>
                    <w:textAlignment w:val="center"/>
                    <w:rPr>
                      <w:rStyle w:val="62"/>
                      <w:rFonts w:hint="default"/>
                      <w:color w:val="auto"/>
                      <w:lang w:bidi="ar"/>
                    </w:rPr>
                  </w:pPr>
                  <w:r>
                    <w:rPr>
                      <w:rStyle w:val="62"/>
                      <w:rFonts w:hint="default"/>
                      <w:color w:val="auto"/>
                      <w:lang w:bidi="ar"/>
                    </w:rPr>
                    <w:t>氨氮（</w:t>
                  </w:r>
                  <w:r>
                    <w:rPr>
                      <w:kern w:val="0"/>
                      <w:szCs w:val="21"/>
                      <w:lang w:bidi="ar"/>
                    </w:rPr>
                    <w:t>NH</w:t>
                  </w:r>
                  <w:r>
                    <w:rPr>
                      <w:kern w:val="0"/>
                      <w:szCs w:val="21"/>
                      <w:vertAlign w:val="subscript"/>
                      <w:lang w:bidi="ar"/>
                    </w:rPr>
                    <w:t>3</w:t>
                  </w:r>
                  <w:r>
                    <w:rPr>
                      <w:kern w:val="0"/>
                      <w:szCs w:val="21"/>
                      <w:lang w:bidi="ar"/>
                    </w:rPr>
                    <w:t>-N</w:t>
                  </w:r>
                  <w:r>
                    <w:rPr>
                      <w:rStyle w:val="62"/>
                      <w:rFonts w:hint="default"/>
                      <w:color w:val="auto"/>
                      <w:lang w:bidi="ar"/>
                    </w:rPr>
                    <w:t>）</w:t>
                  </w:r>
                </w:p>
              </w:tc>
              <w:tc>
                <w:tcPr>
                  <w:tcW w:w="1133" w:type="dxa"/>
                  <w:noWrap w:val="0"/>
                  <w:tcMar>
                    <w:top w:w="12" w:type="dxa"/>
                    <w:left w:w="12" w:type="dxa"/>
                    <w:right w:w="12" w:type="dxa"/>
                  </w:tcMar>
                  <w:vAlign w:val="center"/>
                </w:tcPr>
                <w:p w14:paraId="16BF6AAF">
                  <w:pPr>
                    <w:widowControl/>
                    <w:jc w:val="center"/>
                    <w:textAlignment w:val="center"/>
                    <w:rPr>
                      <w:kern w:val="0"/>
                      <w:szCs w:val="21"/>
                      <w:lang w:bidi="ar"/>
                    </w:rPr>
                  </w:pPr>
                  <w:r>
                    <w:rPr>
                      <w:kern w:val="0"/>
                      <w:szCs w:val="21"/>
                      <w:lang w:bidi="ar"/>
                    </w:rPr>
                    <w:t>3</w:t>
                  </w:r>
                  <w:r>
                    <w:rPr>
                      <w:rFonts w:hint="eastAsia"/>
                      <w:kern w:val="0"/>
                      <w:szCs w:val="21"/>
                      <w:lang w:bidi="ar"/>
                    </w:rPr>
                    <w:t>0</w:t>
                  </w:r>
                  <w:r>
                    <w:rPr>
                      <w:kern w:val="0"/>
                      <w:szCs w:val="21"/>
                      <w:lang w:bidi="ar"/>
                    </w:rPr>
                    <w:t>mg/L</w:t>
                  </w:r>
                </w:p>
              </w:tc>
              <w:tc>
                <w:tcPr>
                  <w:tcW w:w="921" w:type="dxa"/>
                  <w:vMerge w:val="continue"/>
                  <w:noWrap/>
                  <w:tcMar>
                    <w:top w:w="12" w:type="dxa"/>
                    <w:left w:w="12" w:type="dxa"/>
                    <w:right w:w="12" w:type="dxa"/>
                  </w:tcMar>
                  <w:vAlign w:val="center"/>
                </w:tcPr>
                <w:p w14:paraId="5945C0BA">
                  <w:pPr>
                    <w:jc w:val="center"/>
                    <w:rPr>
                      <w:szCs w:val="21"/>
                    </w:rPr>
                  </w:pPr>
                </w:p>
              </w:tc>
              <w:tc>
                <w:tcPr>
                  <w:tcW w:w="1768" w:type="dxa"/>
                  <w:noWrap w:val="0"/>
                  <w:tcMar>
                    <w:top w:w="12" w:type="dxa"/>
                    <w:left w:w="12" w:type="dxa"/>
                    <w:right w:w="12" w:type="dxa"/>
                  </w:tcMar>
                  <w:vAlign w:val="center"/>
                </w:tcPr>
                <w:p w14:paraId="465A2429">
                  <w:pPr>
                    <w:widowControl/>
                    <w:jc w:val="center"/>
                    <w:textAlignment w:val="center"/>
                    <w:rPr>
                      <w:rStyle w:val="62"/>
                      <w:rFonts w:hint="default"/>
                      <w:color w:val="auto"/>
                      <w:lang w:bidi="ar"/>
                    </w:rPr>
                  </w:pPr>
                  <w:r>
                    <w:rPr>
                      <w:rStyle w:val="62"/>
                      <w:rFonts w:hint="default"/>
                      <w:color w:val="auto"/>
                      <w:lang w:bidi="ar"/>
                    </w:rPr>
                    <w:t>氨氮（</w:t>
                  </w:r>
                  <w:r>
                    <w:rPr>
                      <w:kern w:val="0"/>
                      <w:szCs w:val="21"/>
                      <w:lang w:bidi="ar"/>
                    </w:rPr>
                    <w:t>NH</w:t>
                  </w:r>
                  <w:r>
                    <w:rPr>
                      <w:kern w:val="0"/>
                      <w:szCs w:val="21"/>
                      <w:vertAlign w:val="subscript"/>
                      <w:lang w:bidi="ar"/>
                    </w:rPr>
                    <w:t>3</w:t>
                  </w:r>
                  <w:r>
                    <w:rPr>
                      <w:kern w:val="0"/>
                      <w:szCs w:val="21"/>
                      <w:lang w:bidi="ar"/>
                    </w:rPr>
                    <w:t>-N</w:t>
                  </w:r>
                  <w:r>
                    <w:rPr>
                      <w:rStyle w:val="62"/>
                      <w:rFonts w:hint="default"/>
                      <w:color w:val="auto"/>
                      <w:lang w:bidi="ar"/>
                    </w:rPr>
                    <w:t>）</w:t>
                  </w:r>
                </w:p>
              </w:tc>
              <w:tc>
                <w:tcPr>
                  <w:tcW w:w="1052" w:type="dxa"/>
                  <w:noWrap/>
                  <w:tcMar>
                    <w:top w:w="12" w:type="dxa"/>
                    <w:left w:w="12" w:type="dxa"/>
                    <w:right w:w="12" w:type="dxa"/>
                  </w:tcMar>
                  <w:vAlign w:val="center"/>
                </w:tcPr>
                <w:p w14:paraId="465E06B7">
                  <w:pPr>
                    <w:jc w:val="center"/>
                    <w:rPr>
                      <w:kern w:val="0"/>
                      <w:szCs w:val="21"/>
                      <w:lang w:bidi="ar"/>
                    </w:rPr>
                  </w:pPr>
                  <w:r>
                    <w:rPr>
                      <w:kern w:val="0"/>
                      <w:szCs w:val="21"/>
                      <w:lang w:bidi="ar"/>
                    </w:rPr>
                    <w:t>1</w:t>
                  </w:r>
                  <w:r>
                    <w:rPr>
                      <w:rStyle w:val="63"/>
                      <w:rFonts w:hint="default"/>
                      <w:color w:val="auto"/>
                      <w:szCs w:val="21"/>
                      <w:lang w:bidi="ar"/>
                    </w:rPr>
                    <w:t>次</w:t>
                  </w:r>
                  <w:r>
                    <w:rPr>
                      <w:kern w:val="0"/>
                      <w:szCs w:val="21"/>
                      <w:lang w:bidi="ar"/>
                    </w:rPr>
                    <w:t>/</w:t>
                  </w:r>
                  <w:r>
                    <w:rPr>
                      <w:rStyle w:val="63"/>
                      <w:rFonts w:hint="default"/>
                      <w:color w:val="auto"/>
                      <w:szCs w:val="21"/>
                      <w:lang w:bidi="ar"/>
                    </w:rPr>
                    <w:t>年</w:t>
                  </w:r>
                </w:p>
              </w:tc>
            </w:tr>
            <w:bookmarkEnd w:id="7"/>
          </w:tbl>
          <w:p w14:paraId="51559FFA">
            <w:pPr>
              <w:pStyle w:val="21"/>
              <w:jc w:val="center"/>
              <w:outlineLvl w:val="0"/>
              <w:rPr>
                <w:rFonts w:hint="eastAsia" w:ascii="黑体" w:hAnsi="黑体" w:eastAsia="黑体"/>
                <w:snapToGrid w:val="0"/>
                <w:sz w:val="21"/>
                <w:szCs w:val="21"/>
              </w:rPr>
            </w:pPr>
          </w:p>
        </w:tc>
      </w:tr>
    </w:tbl>
    <w:p w14:paraId="527C3C64">
      <w:pPr>
        <w:pStyle w:val="21"/>
        <w:jc w:val="both"/>
        <w:outlineLvl w:val="0"/>
        <w:rPr>
          <w:rFonts w:hint="eastAsia" w:ascii="黑体" w:hAnsi="黑体" w:eastAsia="黑体"/>
          <w:snapToGrid w:val="0"/>
          <w:sz w:val="21"/>
          <w:szCs w:val="21"/>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646"/>
      </w:tblGrid>
      <w:tr w14:paraId="2FBA0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644" w:type="dxa"/>
            <w:noWrap w:val="0"/>
            <w:vAlign w:val="center"/>
          </w:tcPr>
          <w:p w14:paraId="3D10C279">
            <w:pPr>
              <w:adjustRightInd w:val="0"/>
              <w:snapToGrid w:val="0"/>
              <w:jc w:val="center"/>
              <w:rPr>
                <w:rFonts w:hint="eastAsia" w:ascii="宋体" w:hAnsi="宋体" w:cs="宋体"/>
                <w:b/>
                <w:bCs/>
                <w:szCs w:val="21"/>
              </w:rPr>
            </w:pPr>
            <w:r>
              <w:rPr>
                <w:rFonts w:hint="eastAsia" w:ascii="宋体" w:hAnsi="宋体" w:cs="宋体"/>
                <w:b/>
                <w:bCs/>
                <w:szCs w:val="21"/>
              </w:rPr>
              <w:t>营</w:t>
            </w:r>
          </w:p>
          <w:p w14:paraId="1AA5F091">
            <w:pPr>
              <w:adjustRightInd w:val="0"/>
              <w:snapToGrid w:val="0"/>
              <w:jc w:val="center"/>
              <w:rPr>
                <w:rFonts w:hint="eastAsia" w:ascii="宋体" w:hAnsi="宋体" w:cs="宋体"/>
                <w:b/>
                <w:bCs/>
                <w:szCs w:val="21"/>
              </w:rPr>
            </w:pPr>
            <w:r>
              <w:rPr>
                <w:rFonts w:hint="eastAsia" w:ascii="宋体" w:hAnsi="宋体" w:cs="宋体"/>
                <w:b/>
                <w:bCs/>
                <w:szCs w:val="21"/>
              </w:rPr>
              <w:t>期环</w:t>
            </w:r>
          </w:p>
          <w:p w14:paraId="79199465">
            <w:pPr>
              <w:adjustRightInd w:val="0"/>
              <w:snapToGrid w:val="0"/>
              <w:jc w:val="center"/>
              <w:rPr>
                <w:rFonts w:hint="eastAsia" w:ascii="宋体" w:hAnsi="宋体" w:cs="宋体"/>
                <w:b/>
                <w:bCs/>
                <w:szCs w:val="21"/>
              </w:rPr>
            </w:pPr>
            <w:r>
              <w:rPr>
                <w:rFonts w:hint="eastAsia" w:ascii="宋体" w:hAnsi="宋体" w:cs="宋体"/>
                <w:b/>
                <w:bCs/>
                <w:szCs w:val="21"/>
              </w:rPr>
              <w:t>境影</w:t>
            </w:r>
          </w:p>
          <w:p w14:paraId="72FA9D3B">
            <w:pPr>
              <w:adjustRightInd w:val="0"/>
              <w:snapToGrid w:val="0"/>
              <w:jc w:val="center"/>
              <w:rPr>
                <w:rFonts w:hint="eastAsia" w:ascii="宋体" w:hAnsi="宋体" w:cs="宋体"/>
                <w:b/>
                <w:bCs/>
                <w:szCs w:val="21"/>
              </w:rPr>
            </w:pPr>
            <w:r>
              <w:rPr>
                <w:rFonts w:hint="eastAsia" w:ascii="宋体" w:hAnsi="宋体" w:cs="宋体"/>
                <w:b/>
                <w:bCs/>
                <w:szCs w:val="21"/>
              </w:rPr>
              <w:t>响和</w:t>
            </w:r>
          </w:p>
          <w:p w14:paraId="64134F12">
            <w:pPr>
              <w:adjustRightInd w:val="0"/>
              <w:snapToGrid w:val="0"/>
              <w:jc w:val="center"/>
              <w:rPr>
                <w:rFonts w:hint="eastAsia" w:ascii="宋体" w:hAnsi="宋体" w:cs="宋体"/>
                <w:b/>
                <w:bCs/>
                <w:szCs w:val="21"/>
              </w:rPr>
            </w:pPr>
            <w:r>
              <w:rPr>
                <w:rFonts w:hint="eastAsia" w:ascii="宋体" w:hAnsi="宋体" w:cs="宋体"/>
                <w:b/>
                <w:bCs/>
                <w:szCs w:val="21"/>
              </w:rPr>
              <w:t>保护</w:t>
            </w:r>
          </w:p>
          <w:p w14:paraId="6216396E">
            <w:pPr>
              <w:adjustRightInd w:val="0"/>
              <w:snapToGrid w:val="0"/>
              <w:jc w:val="center"/>
              <w:rPr>
                <w:rFonts w:hint="eastAsia"/>
                <w:szCs w:val="21"/>
              </w:rPr>
            </w:pPr>
            <w:r>
              <w:rPr>
                <w:rFonts w:hint="eastAsia" w:ascii="宋体" w:hAnsi="宋体" w:cs="宋体"/>
                <w:b/>
                <w:bCs/>
                <w:szCs w:val="21"/>
              </w:rPr>
              <w:t>措施</w:t>
            </w:r>
          </w:p>
        </w:tc>
        <w:tc>
          <w:tcPr>
            <w:tcW w:w="8395" w:type="dxa"/>
            <w:noWrap w:val="0"/>
            <w:vAlign w:val="center"/>
          </w:tcPr>
          <w:p w14:paraId="0F439C67">
            <w:pPr>
              <w:spacing w:line="360" w:lineRule="auto"/>
              <w:ind w:firstLine="482" w:firstLineChars="200"/>
              <w:rPr>
                <w:b/>
                <w:bCs/>
                <w:sz w:val="24"/>
              </w:rPr>
            </w:pPr>
            <w:r>
              <w:rPr>
                <w:b/>
                <w:bCs/>
                <w:sz w:val="24"/>
              </w:rPr>
              <w:t>地表水环境影响分析：</w:t>
            </w:r>
          </w:p>
          <w:p w14:paraId="5A9E44F2">
            <w:pPr>
              <w:spacing w:line="360" w:lineRule="auto"/>
              <w:ind w:firstLine="480" w:firstLineChars="200"/>
              <w:rPr>
                <w:sz w:val="24"/>
              </w:rPr>
            </w:pPr>
            <w:r>
              <w:rPr>
                <w:rFonts w:hint="eastAsia"/>
                <w:sz w:val="24"/>
              </w:rPr>
              <w:t>本项目封闭前清洗废水循环使用，不外排；生活污水经厂区化粪池预处理后通过厂区污水总排口（DW001）排入市政污水管网，经市政污水管网进入</w:t>
            </w:r>
            <w:r>
              <w:rPr>
                <w:rFonts w:hint="eastAsia"/>
                <w:sz w:val="24"/>
                <w:szCs w:val="32"/>
              </w:rPr>
              <w:t>淮北龙湖污水处理厂</w:t>
            </w:r>
            <w:r>
              <w:rPr>
                <w:rFonts w:hint="eastAsia"/>
                <w:sz w:val="24"/>
              </w:rPr>
              <w:t>深度处理，处理达标后排入龙河。</w:t>
            </w:r>
          </w:p>
          <w:p w14:paraId="5AF39898">
            <w:pPr>
              <w:spacing w:line="360" w:lineRule="auto"/>
              <w:ind w:firstLine="480" w:firstLineChars="200"/>
              <w:rPr>
                <w:sz w:val="24"/>
              </w:rPr>
            </w:pPr>
            <w:r>
              <w:rPr>
                <w:sz w:val="24"/>
              </w:rPr>
              <w:t>本项目</w:t>
            </w:r>
            <w:r>
              <w:rPr>
                <w:rFonts w:hint="eastAsia"/>
                <w:sz w:val="24"/>
              </w:rPr>
              <w:t>投产后</w:t>
            </w:r>
            <w:r>
              <w:rPr>
                <w:sz w:val="24"/>
              </w:rPr>
              <w:t>废水排放量</w:t>
            </w:r>
            <w:r>
              <w:rPr>
                <w:rFonts w:hint="eastAsia"/>
                <w:sz w:val="24"/>
              </w:rPr>
              <w:t>4.8</w:t>
            </w:r>
            <w:r>
              <w:rPr>
                <w:sz w:val="24"/>
              </w:rPr>
              <w:t>m</w:t>
            </w:r>
            <w:r>
              <w:rPr>
                <w:sz w:val="24"/>
                <w:vertAlign w:val="superscript"/>
              </w:rPr>
              <w:t>3</w:t>
            </w:r>
            <w:r>
              <w:rPr>
                <w:sz w:val="24"/>
              </w:rPr>
              <w:t>/d，废水水质简单，污染物浓度较低，现有污水处理</w:t>
            </w:r>
            <w:r>
              <w:rPr>
                <w:rFonts w:hint="eastAsia"/>
                <w:sz w:val="24"/>
              </w:rPr>
              <w:t>设施</w:t>
            </w:r>
            <w:r>
              <w:rPr>
                <w:sz w:val="24"/>
              </w:rPr>
              <w:t>处理后</w:t>
            </w:r>
            <w:r>
              <w:rPr>
                <w:rFonts w:hint="eastAsia"/>
                <w:sz w:val="24"/>
              </w:rPr>
              <w:t>的</w:t>
            </w:r>
            <w:r>
              <w:rPr>
                <w:sz w:val="24"/>
              </w:rPr>
              <w:t>废水污染物浓度能够满足</w:t>
            </w:r>
            <w:r>
              <w:rPr>
                <w:rFonts w:hint="eastAsia"/>
                <w:sz w:val="24"/>
              </w:rPr>
              <w:t>淮北龙湖污水处理厂</w:t>
            </w:r>
            <w:r>
              <w:rPr>
                <w:sz w:val="24"/>
              </w:rPr>
              <w:t>接管标准。</w:t>
            </w:r>
          </w:p>
          <w:p w14:paraId="414E6F03">
            <w:pPr>
              <w:pStyle w:val="5"/>
              <w:spacing w:before="0" w:after="0" w:line="360" w:lineRule="auto"/>
              <w:ind w:left="480"/>
              <w:rPr>
                <w:rFonts w:ascii="Times New Roman" w:hAnsi="Times New Roman"/>
                <w:sz w:val="24"/>
                <w:szCs w:val="24"/>
              </w:rPr>
            </w:pPr>
            <w:r>
              <w:rPr>
                <w:rFonts w:ascii="Times New Roman" w:hAnsi="Times New Roman"/>
                <w:sz w:val="24"/>
                <w:szCs w:val="24"/>
              </w:rPr>
              <w:t>接管可行性分析：</w:t>
            </w:r>
          </w:p>
          <w:p w14:paraId="5574E4A9">
            <w:pPr>
              <w:spacing w:line="360" w:lineRule="auto"/>
              <w:ind w:firstLine="480" w:firstLineChars="200"/>
              <w:rPr>
                <w:szCs w:val="21"/>
              </w:rPr>
            </w:pPr>
            <w:r>
              <w:rPr>
                <w:rFonts w:hint="eastAsia"/>
                <w:sz w:val="24"/>
              </w:rPr>
              <w:t>淮北龙湖污水处理厂设计规模为20000m</w:t>
            </w:r>
            <w:r>
              <w:rPr>
                <w:rFonts w:hint="eastAsia"/>
                <w:sz w:val="24"/>
                <w:vertAlign w:val="superscript"/>
              </w:rPr>
              <w:t>3</w:t>
            </w:r>
            <w:r>
              <w:rPr>
                <w:rFonts w:hint="eastAsia"/>
                <w:sz w:val="24"/>
              </w:rPr>
              <w:t>/d，采用奥贝尔氧化沟+絮凝沉淀深度处理工艺，设计出水达到《城镇污水处理厂污染物排放标准》（GB18918-2002）中一级A 标准，出水排入龙河。污水处理厂处理工艺流程图见下图。</w:t>
            </w:r>
          </w:p>
          <w:p w14:paraId="79D68988">
            <w:pPr>
              <w:widowControl/>
              <w:jc w:val="center"/>
              <w:rPr>
                <w:szCs w:val="21"/>
              </w:rPr>
            </w:pPr>
            <w:r>
              <w:rPr>
                <w:szCs w:val="20"/>
              </w:rPr>
              <w:drawing>
                <wp:inline distT="0" distB="0" distL="114300" distR="114300">
                  <wp:extent cx="5349875" cy="2783840"/>
                  <wp:effectExtent l="0" t="0" r="3175" b="16510"/>
                  <wp:docPr id="7" name="图片 6" descr="wps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wps1171"/>
                          <pic:cNvPicPr>
                            <a:picLocks noChangeAspect="1"/>
                          </pic:cNvPicPr>
                        </pic:nvPicPr>
                        <pic:blipFill>
                          <a:blip r:embed="rId14"/>
                          <a:stretch>
                            <a:fillRect/>
                          </a:stretch>
                        </pic:blipFill>
                        <pic:spPr>
                          <a:xfrm>
                            <a:off x="0" y="0"/>
                            <a:ext cx="5349875" cy="2783840"/>
                          </a:xfrm>
                          <a:prstGeom prst="rect">
                            <a:avLst/>
                          </a:prstGeom>
                          <a:noFill/>
                          <a:ln>
                            <a:noFill/>
                          </a:ln>
                        </pic:spPr>
                      </pic:pic>
                    </a:graphicData>
                  </a:graphic>
                </wp:inline>
              </w:drawing>
            </w:r>
          </w:p>
          <w:p w14:paraId="55B4FBA7">
            <w:pPr>
              <w:adjustRightInd w:val="0"/>
              <w:snapToGrid w:val="0"/>
              <w:spacing w:line="360" w:lineRule="auto"/>
              <w:ind w:firstLine="422" w:firstLineChars="200"/>
              <w:jc w:val="center"/>
              <w:rPr>
                <w:szCs w:val="21"/>
              </w:rPr>
            </w:pPr>
            <w:r>
              <w:rPr>
                <w:b/>
                <w:bCs/>
                <w:szCs w:val="21"/>
              </w:rPr>
              <w:t>图</w:t>
            </w:r>
            <w:r>
              <w:rPr>
                <w:rFonts w:hint="eastAsia"/>
                <w:b/>
                <w:bCs/>
                <w:szCs w:val="21"/>
              </w:rPr>
              <w:t>5</w:t>
            </w:r>
            <w:r>
              <w:rPr>
                <w:b/>
                <w:bCs/>
                <w:szCs w:val="21"/>
              </w:rPr>
              <w:t xml:space="preserve"> </w:t>
            </w:r>
            <w:r>
              <w:rPr>
                <w:rFonts w:hint="eastAsia"/>
                <w:b/>
                <w:bCs/>
                <w:szCs w:val="21"/>
              </w:rPr>
              <w:t>淮北龙湖污水处理厂</w:t>
            </w:r>
            <w:r>
              <w:rPr>
                <w:b/>
                <w:bCs/>
                <w:szCs w:val="21"/>
              </w:rPr>
              <w:t>污水处理工艺流程图</w:t>
            </w:r>
          </w:p>
          <w:p w14:paraId="3B1D5D80">
            <w:pPr>
              <w:spacing w:line="360" w:lineRule="auto"/>
              <w:ind w:firstLine="480" w:firstLineChars="200"/>
              <w:rPr>
                <w:rFonts w:hint="eastAsia"/>
                <w:b/>
                <w:bCs/>
                <w:sz w:val="24"/>
              </w:rPr>
            </w:pPr>
            <w:r>
              <w:rPr>
                <w:sz w:val="24"/>
              </w:rPr>
              <w:t>本项目位于</w:t>
            </w:r>
            <w:r>
              <w:rPr>
                <w:rFonts w:hint="eastAsia"/>
                <w:sz w:val="24"/>
              </w:rPr>
              <w:t>淮北龙湖污水处理厂</w:t>
            </w:r>
            <w:r>
              <w:rPr>
                <w:sz w:val="24"/>
              </w:rPr>
              <w:t>收水服务范围内，废水经预处理后，可达到</w:t>
            </w:r>
            <w:r>
              <w:rPr>
                <w:rFonts w:hint="eastAsia"/>
                <w:sz w:val="24"/>
              </w:rPr>
              <w:t>淮北市龙湖污水处理厂</w:t>
            </w:r>
            <w:r>
              <w:rPr>
                <w:sz w:val="24"/>
              </w:rPr>
              <w:t>的接管标准；本项目污水排放量为</w:t>
            </w:r>
            <w:r>
              <w:rPr>
                <w:rFonts w:hint="eastAsia"/>
                <w:sz w:val="24"/>
              </w:rPr>
              <w:t>4.8</w:t>
            </w:r>
            <w:r>
              <w:rPr>
                <w:sz w:val="24"/>
              </w:rPr>
              <w:t>m</w:t>
            </w:r>
            <w:r>
              <w:rPr>
                <w:sz w:val="24"/>
                <w:vertAlign w:val="superscript"/>
              </w:rPr>
              <w:t>3</w:t>
            </w:r>
            <w:r>
              <w:rPr>
                <w:sz w:val="24"/>
              </w:rPr>
              <w:t>/d，污水处理厂剩余处理能力完全能够满足本项目污水处理要求，因此本项目废水排入</w:t>
            </w:r>
            <w:r>
              <w:rPr>
                <w:rFonts w:hint="eastAsia"/>
                <w:sz w:val="24"/>
              </w:rPr>
              <w:t>淮北龙湖污水处理厂</w:t>
            </w:r>
            <w:r>
              <w:rPr>
                <w:sz w:val="24"/>
              </w:rPr>
              <w:t>，从水质、水量来看，不能对其造成冲击负荷，因此本项目废水接入</w:t>
            </w:r>
            <w:r>
              <w:rPr>
                <w:rFonts w:hint="eastAsia"/>
                <w:sz w:val="24"/>
              </w:rPr>
              <w:t>淮北龙湖污水处理厂</w:t>
            </w:r>
            <w:r>
              <w:rPr>
                <w:sz w:val="24"/>
              </w:rPr>
              <w:t>是可行的。</w:t>
            </w:r>
          </w:p>
          <w:p w14:paraId="1A80EA43">
            <w:pPr>
              <w:spacing w:line="360" w:lineRule="auto"/>
              <w:ind w:firstLine="482" w:firstLineChars="200"/>
              <w:rPr>
                <w:b/>
                <w:bCs/>
                <w:sz w:val="24"/>
              </w:rPr>
            </w:pPr>
            <w:r>
              <w:rPr>
                <w:rFonts w:hint="eastAsia"/>
                <w:b/>
                <w:bCs/>
                <w:sz w:val="24"/>
              </w:rPr>
              <w:t>4.3</w:t>
            </w:r>
            <w:r>
              <w:rPr>
                <w:b/>
                <w:bCs/>
                <w:sz w:val="24"/>
              </w:rPr>
              <w:t>噪声</w:t>
            </w:r>
          </w:p>
          <w:p w14:paraId="38E173F8">
            <w:pPr>
              <w:spacing w:line="360" w:lineRule="auto"/>
              <w:ind w:firstLine="480" w:firstLineChars="200"/>
              <w:rPr>
                <w:rFonts w:hint="eastAsia"/>
                <w:szCs w:val="21"/>
              </w:rPr>
            </w:pPr>
            <w:r>
              <w:rPr>
                <w:sz w:val="24"/>
              </w:rPr>
              <w:t>本项目主要噪声设备为</w:t>
            </w:r>
            <w:r>
              <w:rPr>
                <w:rFonts w:hint="eastAsia"/>
                <w:sz w:val="24"/>
              </w:rPr>
              <w:t>等离子下料机、光纤激光切割机、车床、镗床、滚丝机、钻床、压力机、半自动CO</w:t>
            </w:r>
            <w:r>
              <w:rPr>
                <w:rFonts w:hint="eastAsia"/>
                <w:sz w:val="24"/>
                <w:vertAlign w:val="subscript"/>
              </w:rPr>
              <w:t>2</w:t>
            </w:r>
            <w:r>
              <w:rPr>
                <w:rFonts w:hint="eastAsia"/>
                <w:sz w:val="24"/>
              </w:rPr>
              <w:t>弧焊机、全自动悬链钝化封闭线</w:t>
            </w:r>
            <w:r>
              <w:rPr>
                <w:sz w:val="24"/>
              </w:rPr>
              <w:t>等设备，噪声值在</w:t>
            </w:r>
            <w:r>
              <w:rPr>
                <w:rFonts w:hint="eastAsia"/>
                <w:sz w:val="24"/>
                <w:lang w:val="en-US" w:eastAsia="zh-CN"/>
              </w:rPr>
              <w:t>65</w:t>
            </w:r>
            <w:r>
              <w:rPr>
                <w:sz w:val="24"/>
              </w:rPr>
              <w:t>-</w:t>
            </w:r>
            <w:r>
              <w:rPr>
                <w:rFonts w:hint="eastAsia"/>
                <w:sz w:val="24"/>
              </w:rPr>
              <w:t>8</w:t>
            </w:r>
            <w:r>
              <w:rPr>
                <w:rFonts w:hint="eastAsia"/>
                <w:sz w:val="24"/>
                <w:lang w:val="en-US" w:eastAsia="zh-CN"/>
              </w:rPr>
              <w:t>0</w:t>
            </w:r>
            <w:r>
              <w:rPr>
                <w:sz w:val="24"/>
              </w:rPr>
              <w:t>dB(A)之间，其噪声设备源强及采取治理措施见下表</w:t>
            </w:r>
            <w:r>
              <w:rPr>
                <w:rFonts w:hint="eastAsia"/>
                <w:sz w:val="24"/>
              </w:rPr>
              <w:t>。</w:t>
            </w:r>
          </w:p>
          <w:p w14:paraId="7ECFD72B">
            <w:pPr>
              <w:widowControl/>
              <w:numPr>
                <w:ilvl w:val="0"/>
                <w:numId w:val="2"/>
              </w:numPr>
              <w:jc w:val="center"/>
              <w:rPr>
                <w:b/>
                <w:bCs/>
                <w:szCs w:val="21"/>
              </w:rPr>
            </w:pPr>
            <w:bookmarkStart w:id="8" w:name="_Hlk185112957"/>
            <w:r>
              <w:rPr>
                <w:b/>
                <w:bCs/>
                <w:szCs w:val="21"/>
              </w:rPr>
              <w:t>本项目主要噪声源及降噪措施</w:t>
            </w:r>
          </w:p>
          <w:tbl>
            <w:tblPr>
              <w:tblStyle w:val="24"/>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1"/>
              <w:gridCol w:w="708"/>
              <w:gridCol w:w="852"/>
              <w:gridCol w:w="710"/>
              <w:gridCol w:w="426"/>
              <w:gridCol w:w="568"/>
              <w:gridCol w:w="630"/>
              <w:gridCol w:w="577"/>
              <w:gridCol w:w="709"/>
              <w:gridCol w:w="567"/>
              <w:gridCol w:w="567"/>
              <w:gridCol w:w="850"/>
              <w:gridCol w:w="961"/>
            </w:tblGrid>
            <w:tr w14:paraId="6585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251" w:type="dxa"/>
                  <w:vMerge w:val="restart"/>
                  <w:noWrap w:val="0"/>
                  <w:vAlign w:val="center"/>
                </w:tcPr>
                <w:p w14:paraId="7FD15116">
                  <w:pPr>
                    <w:jc w:val="center"/>
                    <w:rPr>
                      <w:kern w:val="0"/>
                      <w:szCs w:val="21"/>
                    </w:rPr>
                  </w:pPr>
                  <w:r>
                    <w:rPr>
                      <w:rFonts w:hint="eastAsia"/>
                      <w:kern w:val="0"/>
                      <w:szCs w:val="21"/>
                    </w:rPr>
                    <w:t>序号</w:t>
                  </w:r>
                </w:p>
              </w:tc>
              <w:tc>
                <w:tcPr>
                  <w:tcW w:w="708" w:type="dxa"/>
                  <w:vMerge w:val="restart"/>
                  <w:noWrap w:val="0"/>
                  <w:vAlign w:val="center"/>
                </w:tcPr>
                <w:p w14:paraId="5B1DF6B1">
                  <w:pPr>
                    <w:jc w:val="center"/>
                    <w:rPr>
                      <w:kern w:val="0"/>
                      <w:szCs w:val="21"/>
                    </w:rPr>
                  </w:pPr>
                  <w:r>
                    <w:rPr>
                      <w:rFonts w:hint="eastAsia"/>
                      <w:kern w:val="0"/>
                      <w:szCs w:val="21"/>
                    </w:rPr>
                    <w:t>声源名称</w:t>
                  </w:r>
                </w:p>
              </w:tc>
              <w:tc>
                <w:tcPr>
                  <w:tcW w:w="852" w:type="dxa"/>
                  <w:noWrap w:val="0"/>
                  <w:vAlign w:val="center"/>
                </w:tcPr>
                <w:p w14:paraId="548DDF35">
                  <w:pPr>
                    <w:jc w:val="center"/>
                    <w:rPr>
                      <w:kern w:val="0"/>
                      <w:szCs w:val="21"/>
                    </w:rPr>
                  </w:pPr>
                  <w:r>
                    <w:rPr>
                      <w:rFonts w:hint="eastAsia"/>
                      <w:kern w:val="0"/>
                      <w:szCs w:val="21"/>
                    </w:rPr>
                    <w:t>声源源强</w:t>
                  </w:r>
                </w:p>
              </w:tc>
              <w:tc>
                <w:tcPr>
                  <w:tcW w:w="710" w:type="dxa"/>
                  <w:vMerge w:val="restart"/>
                  <w:noWrap w:val="0"/>
                  <w:vAlign w:val="center"/>
                </w:tcPr>
                <w:p w14:paraId="5B17DE65">
                  <w:pPr>
                    <w:jc w:val="center"/>
                    <w:rPr>
                      <w:kern w:val="0"/>
                      <w:szCs w:val="21"/>
                    </w:rPr>
                  </w:pPr>
                  <w:r>
                    <w:rPr>
                      <w:rFonts w:hint="eastAsia"/>
                      <w:kern w:val="0"/>
                      <w:szCs w:val="21"/>
                    </w:rPr>
                    <w:t>声源控制措施</w:t>
                  </w:r>
                </w:p>
              </w:tc>
              <w:tc>
                <w:tcPr>
                  <w:tcW w:w="1624" w:type="dxa"/>
                  <w:gridSpan w:val="3"/>
                  <w:noWrap w:val="0"/>
                  <w:vAlign w:val="center"/>
                </w:tcPr>
                <w:p w14:paraId="727CD22F">
                  <w:pPr>
                    <w:jc w:val="center"/>
                    <w:rPr>
                      <w:kern w:val="0"/>
                      <w:szCs w:val="21"/>
                    </w:rPr>
                  </w:pPr>
                  <w:r>
                    <w:rPr>
                      <w:rFonts w:hint="eastAsia"/>
                      <w:kern w:val="0"/>
                      <w:szCs w:val="21"/>
                    </w:rPr>
                    <w:t>空间相对位置/m</w:t>
                  </w:r>
                </w:p>
              </w:tc>
              <w:tc>
                <w:tcPr>
                  <w:tcW w:w="577" w:type="dxa"/>
                  <w:vMerge w:val="restart"/>
                  <w:noWrap w:val="0"/>
                  <w:vAlign w:val="center"/>
                </w:tcPr>
                <w:p w14:paraId="72C85243">
                  <w:pPr>
                    <w:jc w:val="center"/>
                    <w:rPr>
                      <w:kern w:val="0"/>
                      <w:szCs w:val="21"/>
                    </w:rPr>
                  </w:pPr>
                  <w:r>
                    <w:rPr>
                      <w:rFonts w:hint="eastAsia"/>
                      <w:kern w:val="0"/>
                      <w:szCs w:val="21"/>
                    </w:rPr>
                    <w:t>距室内边界距离/m</w:t>
                  </w:r>
                </w:p>
              </w:tc>
              <w:tc>
                <w:tcPr>
                  <w:tcW w:w="709" w:type="dxa"/>
                  <w:vMerge w:val="restart"/>
                  <w:noWrap w:val="0"/>
                  <w:vAlign w:val="center"/>
                </w:tcPr>
                <w:p w14:paraId="69A0D4CA">
                  <w:pPr>
                    <w:jc w:val="center"/>
                    <w:rPr>
                      <w:kern w:val="0"/>
                      <w:szCs w:val="21"/>
                    </w:rPr>
                  </w:pPr>
                  <w:r>
                    <w:rPr>
                      <w:rFonts w:hint="eastAsia"/>
                      <w:kern w:val="0"/>
                      <w:szCs w:val="21"/>
                    </w:rPr>
                    <w:t>室内边界声级</w:t>
                  </w:r>
                </w:p>
                <w:p w14:paraId="24A76044">
                  <w:pPr>
                    <w:jc w:val="center"/>
                    <w:rPr>
                      <w:kern w:val="0"/>
                      <w:szCs w:val="21"/>
                    </w:rPr>
                  </w:pPr>
                  <w:r>
                    <w:rPr>
                      <w:rFonts w:hint="eastAsia"/>
                      <w:kern w:val="0"/>
                      <w:szCs w:val="21"/>
                    </w:rPr>
                    <w:t>/dB(A)</w:t>
                  </w:r>
                </w:p>
              </w:tc>
              <w:tc>
                <w:tcPr>
                  <w:tcW w:w="567" w:type="dxa"/>
                  <w:vMerge w:val="restart"/>
                  <w:noWrap w:val="0"/>
                  <w:vAlign w:val="center"/>
                </w:tcPr>
                <w:p w14:paraId="1F0AE135">
                  <w:pPr>
                    <w:jc w:val="center"/>
                    <w:rPr>
                      <w:kern w:val="0"/>
                      <w:szCs w:val="21"/>
                    </w:rPr>
                  </w:pPr>
                  <w:r>
                    <w:rPr>
                      <w:rFonts w:hint="eastAsia"/>
                      <w:kern w:val="0"/>
                      <w:szCs w:val="21"/>
                    </w:rPr>
                    <w:t>运行时段</w:t>
                  </w:r>
                </w:p>
              </w:tc>
              <w:tc>
                <w:tcPr>
                  <w:tcW w:w="567" w:type="dxa"/>
                  <w:vMerge w:val="restart"/>
                  <w:noWrap w:val="0"/>
                  <w:vAlign w:val="center"/>
                </w:tcPr>
                <w:p w14:paraId="694756ED">
                  <w:pPr>
                    <w:jc w:val="center"/>
                    <w:rPr>
                      <w:kern w:val="0"/>
                      <w:szCs w:val="21"/>
                    </w:rPr>
                  </w:pPr>
                  <w:r>
                    <w:rPr>
                      <w:rFonts w:hint="eastAsia"/>
                      <w:kern w:val="0"/>
                      <w:szCs w:val="21"/>
                    </w:rPr>
                    <w:t>建筑物插入损失 / dB(A)</w:t>
                  </w:r>
                </w:p>
              </w:tc>
              <w:tc>
                <w:tcPr>
                  <w:tcW w:w="1811" w:type="dxa"/>
                  <w:gridSpan w:val="2"/>
                  <w:noWrap w:val="0"/>
                  <w:vAlign w:val="center"/>
                </w:tcPr>
                <w:p w14:paraId="2FE23466">
                  <w:pPr>
                    <w:jc w:val="center"/>
                    <w:rPr>
                      <w:kern w:val="0"/>
                      <w:szCs w:val="21"/>
                    </w:rPr>
                  </w:pPr>
                  <w:r>
                    <w:rPr>
                      <w:rFonts w:hint="eastAsia"/>
                      <w:kern w:val="0"/>
                      <w:szCs w:val="21"/>
                    </w:rPr>
                    <w:t>建筑物外噪声</w:t>
                  </w:r>
                </w:p>
              </w:tc>
            </w:tr>
            <w:tr w14:paraId="4630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251" w:type="dxa"/>
                  <w:vMerge w:val="continue"/>
                  <w:noWrap w:val="0"/>
                  <w:vAlign w:val="center"/>
                </w:tcPr>
                <w:p w14:paraId="1B91175E">
                  <w:pPr>
                    <w:jc w:val="center"/>
                    <w:rPr>
                      <w:kern w:val="0"/>
                      <w:szCs w:val="21"/>
                    </w:rPr>
                  </w:pPr>
                </w:p>
              </w:tc>
              <w:tc>
                <w:tcPr>
                  <w:tcW w:w="708" w:type="dxa"/>
                  <w:vMerge w:val="continue"/>
                  <w:noWrap w:val="0"/>
                  <w:vAlign w:val="center"/>
                </w:tcPr>
                <w:p w14:paraId="63F08CA8">
                  <w:pPr>
                    <w:jc w:val="center"/>
                    <w:rPr>
                      <w:kern w:val="0"/>
                      <w:szCs w:val="21"/>
                    </w:rPr>
                  </w:pPr>
                </w:p>
              </w:tc>
              <w:tc>
                <w:tcPr>
                  <w:tcW w:w="852" w:type="dxa"/>
                  <w:noWrap w:val="0"/>
                  <w:vAlign w:val="center"/>
                </w:tcPr>
                <w:p w14:paraId="4EE2EAA2">
                  <w:pPr>
                    <w:jc w:val="center"/>
                    <w:rPr>
                      <w:kern w:val="0"/>
                      <w:szCs w:val="21"/>
                    </w:rPr>
                  </w:pPr>
                  <w:r>
                    <w:rPr>
                      <w:rFonts w:hint="eastAsia"/>
                      <w:kern w:val="0"/>
                      <w:szCs w:val="21"/>
                    </w:rPr>
                    <w:t>声功率级</w:t>
                  </w:r>
                </w:p>
                <w:p w14:paraId="2258A5F3">
                  <w:pPr>
                    <w:jc w:val="center"/>
                    <w:rPr>
                      <w:kern w:val="0"/>
                      <w:szCs w:val="21"/>
                    </w:rPr>
                  </w:pPr>
                  <w:r>
                    <w:rPr>
                      <w:rFonts w:hint="eastAsia"/>
                      <w:kern w:val="0"/>
                      <w:szCs w:val="21"/>
                    </w:rPr>
                    <w:t>/dB(A)</w:t>
                  </w:r>
                </w:p>
              </w:tc>
              <w:tc>
                <w:tcPr>
                  <w:tcW w:w="710" w:type="dxa"/>
                  <w:vMerge w:val="continue"/>
                  <w:noWrap w:val="0"/>
                  <w:vAlign w:val="center"/>
                </w:tcPr>
                <w:p w14:paraId="2367E4D2">
                  <w:pPr>
                    <w:jc w:val="center"/>
                    <w:rPr>
                      <w:kern w:val="0"/>
                      <w:szCs w:val="21"/>
                    </w:rPr>
                  </w:pPr>
                </w:p>
              </w:tc>
              <w:tc>
                <w:tcPr>
                  <w:tcW w:w="426" w:type="dxa"/>
                  <w:noWrap w:val="0"/>
                  <w:vAlign w:val="center"/>
                </w:tcPr>
                <w:p w14:paraId="3F642D87">
                  <w:pPr>
                    <w:jc w:val="center"/>
                    <w:rPr>
                      <w:kern w:val="0"/>
                      <w:szCs w:val="21"/>
                    </w:rPr>
                  </w:pPr>
                  <w:r>
                    <w:rPr>
                      <w:rFonts w:hint="eastAsia"/>
                      <w:kern w:val="0"/>
                      <w:szCs w:val="21"/>
                    </w:rPr>
                    <w:t>X</w:t>
                  </w:r>
                </w:p>
              </w:tc>
              <w:tc>
                <w:tcPr>
                  <w:tcW w:w="568" w:type="dxa"/>
                  <w:noWrap w:val="0"/>
                  <w:vAlign w:val="center"/>
                </w:tcPr>
                <w:p w14:paraId="4FC582C3">
                  <w:pPr>
                    <w:jc w:val="center"/>
                    <w:rPr>
                      <w:kern w:val="0"/>
                      <w:szCs w:val="21"/>
                    </w:rPr>
                  </w:pPr>
                  <w:r>
                    <w:rPr>
                      <w:rFonts w:hint="eastAsia"/>
                      <w:kern w:val="0"/>
                      <w:szCs w:val="21"/>
                    </w:rPr>
                    <w:t>Y</w:t>
                  </w:r>
                </w:p>
              </w:tc>
              <w:tc>
                <w:tcPr>
                  <w:tcW w:w="630" w:type="dxa"/>
                  <w:noWrap w:val="0"/>
                  <w:vAlign w:val="center"/>
                </w:tcPr>
                <w:p w14:paraId="78A1147B">
                  <w:pPr>
                    <w:jc w:val="center"/>
                    <w:rPr>
                      <w:kern w:val="0"/>
                      <w:szCs w:val="21"/>
                    </w:rPr>
                  </w:pPr>
                  <w:r>
                    <w:rPr>
                      <w:rFonts w:hint="eastAsia"/>
                      <w:kern w:val="0"/>
                      <w:szCs w:val="21"/>
                    </w:rPr>
                    <w:t>Z</w:t>
                  </w:r>
                </w:p>
              </w:tc>
              <w:tc>
                <w:tcPr>
                  <w:tcW w:w="577" w:type="dxa"/>
                  <w:vMerge w:val="continue"/>
                  <w:noWrap w:val="0"/>
                  <w:vAlign w:val="center"/>
                </w:tcPr>
                <w:p w14:paraId="04707E3A">
                  <w:pPr>
                    <w:jc w:val="center"/>
                    <w:rPr>
                      <w:kern w:val="0"/>
                      <w:szCs w:val="21"/>
                    </w:rPr>
                  </w:pPr>
                </w:p>
              </w:tc>
              <w:tc>
                <w:tcPr>
                  <w:tcW w:w="709" w:type="dxa"/>
                  <w:vMerge w:val="continue"/>
                  <w:noWrap w:val="0"/>
                  <w:vAlign w:val="center"/>
                </w:tcPr>
                <w:p w14:paraId="65F23772">
                  <w:pPr>
                    <w:jc w:val="center"/>
                    <w:rPr>
                      <w:kern w:val="0"/>
                      <w:szCs w:val="21"/>
                    </w:rPr>
                  </w:pPr>
                </w:p>
              </w:tc>
              <w:tc>
                <w:tcPr>
                  <w:tcW w:w="567" w:type="dxa"/>
                  <w:vMerge w:val="continue"/>
                  <w:noWrap w:val="0"/>
                  <w:vAlign w:val="center"/>
                </w:tcPr>
                <w:p w14:paraId="57AA8D3F">
                  <w:pPr>
                    <w:jc w:val="center"/>
                    <w:rPr>
                      <w:kern w:val="0"/>
                      <w:szCs w:val="21"/>
                    </w:rPr>
                  </w:pPr>
                </w:p>
              </w:tc>
              <w:tc>
                <w:tcPr>
                  <w:tcW w:w="567" w:type="dxa"/>
                  <w:vMerge w:val="continue"/>
                  <w:noWrap w:val="0"/>
                  <w:vAlign w:val="center"/>
                </w:tcPr>
                <w:p w14:paraId="691A5993">
                  <w:pPr>
                    <w:jc w:val="center"/>
                    <w:rPr>
                      <w:kern w:val="0"/>
                      <w:szCs w:val="21"/>
                    </w:rPr>
                  </w:pPr>
                </w:p>
              </w:tc>
              <w:tc>
                <w:tcPr>
                  <w:tcW w:w="850" w:type="dxa"/>
                  <w:noWrap w:val="0"/>
                  <w:vAlign w:val="center"/>
                </w:tcPr>
                <w:p w14:paraId="6D092CAF">
                  <w:pPr>
                    <w:jc w:val="center"/>
                    <w:rPr>
                      <w:kern w:val="0"/>
                      <w:szCs w:val="21"/>
                    </w:rPr>
                  </w:pPr>
                  <w:r>
                    <w:rPr>
                      <w:rFonts w:hint="eastAsia"/>
                      <w:kern w:val="0"/>
                      <w:szCs w:val="21"/>
                    </w:rPr>
                    <w:t>声压级</w:t>
                  </w:r>
                </w:p>
                <w:p w14:paraId="46295ABF">
                  <w:pPr>
                    <w:jc w:val="center"/>
                    <w:rPr>
                      <w:kern w:val="0"/>
                      <w:szCs w:val="21"/>
                    </w:rPr>
                  </w:pPr>
                  <w:r>
                    <w:rPr>
                      <w:rFonts w:hint="eastAsia"/>
                      <w:kern w:val="0"/>
                      <w:szCs w:val="21"/>
                    </w:rPr>
                    <w:t>/dB(A)</w:t>
                  </w:r>
                </w:p>
              </w:tc>
              <w:tc>
                <w:tcPr>
                  <w:tcW w:w="961" w:type="dxa"/>
                  <w:noWrap w:val="0"/>
                  <w:vAlign w:val="center"/>
                </w:tcPr>
                <w:p w14:paraId="71DC0EC4">
                  <w:pPr>
                    <w:jc w:val="center"/>
                    <w:rPr>
                      <w:kern w:val="0"/>
                      <w:szCs w:val="21"/>
                    </w:rPr>
                  </w:pPr>
                  <w:r>
                    <w:rPr>
                      <w:rFonts w:hint="eastAsia"/>
                      <w:kern w:val="0"/>
                      <w:szCs w:val="21"/>
                    </w:rPr>
                    <w:t>建筑物外距离</w:t>
                  </w:r>
                </w:p>
              </w:tc>
            </w:tr>
            <w:tr w14:paraId="0D26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251" w:type="dxa"/>
                  <w:noWrap w:val="0"/>
                  <w:vAlign w:val="center"/>
                </w:tcPr>
                <w:p w14:paraId="09BB807D">
                  <w:pPr>
                    <w:widowControl/>
                    <w:jc w:val="center"/>
                    <w:rPr>
                      <w:kern w:val="0"/>
                      <w:szCs w:val="21"/>
                    </w:rPr>
                  </w:pPr>
                  <w:r>
                    <w:rPr>
                      <w:kern w:val="0"/>
                      <w:szCs w:val="21"/>
                    </w:rPr>
                    <w:t>1</w:t>
                  </w:r>
                </w:p>
              </w:tc>
              <w:tc>
                <w:tcPr>
                  <w:tcW w:w="708" w:type="dxa"/>
                  <w:noWrap w:val="0"/>
                  <w:vAlign w:val="center"/>
                </w:tcPr>
                <w:p w14:paraId="653A4671">
                  <w:pPr>
                    <w:snapToGrid w:val="0"/>
                    <w:spacing w:before="60" w:after="60"/>
                    <w:jc w:val="center"/>
                    <w:rPr>
                      <w:rFonts w:hint="eastAsia" w:eastAsia="宋体"/>
                      <w:szCs w:val="21"/>
                      <w:lang w:val="en-US" w:eastAsia="zh-CN"/>
                    </w:rPr>
                  </w:pPr>
                  <w:r>
                    <w:rPr>
                      <w:rFonts w:hint="eastAsia"/>
                      <w:szCs w:val="21"/>
                    </w:rPr>
                    <w:t>等离子弧切料机</w:t>
                  </w:r>
                  <w:r>
                    <w:rPr>
                      <w:rFonts w:hint="eastAsia"/>
                      <w:szCs w:val="21"/>
                      <w:lang w:val="en-US" w:eastAsia="zh-CN"/>
                    </w:rPr>
                    <w:t>1</w:t>
                  </w:r>
                </w:p>
              </w:tc>
              <w:tc>
                <w:tcPr>
                  <w:tcW w:w="852" w:type="dxa"/>
                  <w:noWrap w:val="0"/>
                  <w:vAlign w:val="center"/>
                </w:tcPr>
                <w:p w14:paraId="187DE192">
                  <w:pPr>
                    <w:snapToGrid w:val="0"/>
                    <w:spacing w:before="60" w:after="60"/>
                    <w:jc w:val="center"/>
                    <w:rPr>
                      <w:rFonts w:hint="eastAsia" w:eastAsia="宋体"/>
                      <w:szCs w:val="21"/>
                      <w:lang w:eastAsia="zh-CN"/>
                    </w:rPr>
                  </w:pPr>
                  <w:r>
                    <w:rPr>
                      <w:szCs w:val="21"/>
                    </w:rPr>
                    <w:t>7</w:t>
                  </w:r>
                  <w:r>
                    <w:rPr>
                      <w:rFonts w:hint="eastAsia"/>
                      <w:szCs w:val="21"/>
                    </w:rPr>
                    <w:t>5</w:t>
                  </w:r>
                  <w:r>
                    <w:rPr>
                      <w:szCs w:val="21"/>
                    </w:rPr>
                    <w:t>-8</w:t>
                  </w:r>
                  <w:r>
                    <w:rPr>
                      <w:rFonts w:hint="eastAsia"/>
                      <w:szCs w:val="21"/>
                      <w:lang w:val="en-US" w:eastAsia="zh-CN"/>
                    </w:rPr>
                    <w:t>5</w:t>
                  </w:r>
                </w:p>
              </w:tc>
              <w:tc>
                <w:tcPr>
                  <w:tcW w:w="710" w:type="dxa"/>
                  <w:vMerge w:val="restart"/>
                  <w:noWrap w:val="0"/>
                  <w:vAlign w:val="center"/>
                </w:tcPr>
                <w:p w14:paraId="15ECA241">
                  <w:pPr>
                    <w:jc w:val="center"/>
                    <w:rPr>
                      <w:kern w:val="0"/>
                      <w:szCs w:val="21"/>
                    </w:rPr>
                  </w:pPr>
                  <w:r>
                    <w:rPr>
                      <w:szCs w:val="21"/>
                    </w:rPr>
                    <w:t>隔声减振+厂房、门窗隔声+距离衰减+合理布局</w:t>
                  </w:r>
                </w:p>
              </w:tc>
              <w:tc>
                <w:tcPr>
                  <w:tcW w:w="426" w:type="dxa"/>
                  <w:noWrap w:val="0"/>
                  <w:vAlign w:val="center"/>
                </w:tcPr>
                <w:p w14:paraId="3E5A4855">
                  <w:pPr>
                    <w:jc w:val="center"/>
                    <w:rPr>
                      <w:rFonts w:hint="eastAsia"/>
                      <w:kern w:val="0"/>
                      <w:szCs w:val="21"/>
                    </w:rPr>
                  </w:pPr>
                  <w:r>
                    <w:rPr>
                      <w:rFonts w:hint="eastAsia"/>
                      <w:kern w:val="0"/>
                      <w:szCs w:val="21"/>
                    </w:rPr>
                    <w:t>96</w:t>
                  </w:r>
                </w:p>
              </w:tc>
              <w:tc>
                <w:tcPr>
                  <w:tcW w:w="568" w:type="dxa"/>
                  <w:noWrap w:val="0"/>
                  <w:vAlign w:val="center"/>
                </w:tcPr>
                <w:p w14:paraId="2A46DA58">
                  <w:pPr>
                    <w:jc w:val="center"/>
                    <w:rPr>
                      <w:rFonts w:hint="eastAsia"/>
                      <w:kern w:val="0"/>
                      <w:szCs w:val="21"/>
                    </w:rPr>
                  </w:pPr>
                  <w:r>
                    <w:rPr>
                      <w:rFonts w:hint="eastAsia"/>
                      <w:kern w:val="0"/>
                      <w:szCs w:val="21"/>
                    </w:rPr>
                    <w:t>42</w:t>
                  </w:r>
                </w:p>
              </w:tc>
              <w:tc>
                <w:tcPr>
                  <w:tcW w:w="630" w:type="dxa"/>
                  <w:noWrap w:val="0"/>
                  <w:vAlign w:val="center"/>
                </w:tcPr>
                <w:p w14:paraId="30603C0F">
                  <w:pPr>
                    <w:jc w:val="center"/>
                    <w:rPr>
                      <w:rFonts w:hint="default" w:eastAsia="宋体"/>
                      <w:kern w:val="0"/>
                      <w:szCs w:val="21"/>
                      <w:lang w:val="en-US" w:eastAsia="zh-CN"/>
                    </w:rPr>
                  </w:pPr>
                  <w:r>
                    <w:rPr>
                      <w:rFonts w:hint="eastAsia"/>
                      <w:kern w:val="0"/>
                      <w:szCs w:val="21"/>
                      <w:lang w:val="en-US" w:eastAsia="zh-CN"/>
                    </w:rPr>
                    <w:t>1.5</w:t>
                  </w:r>
                </w:p>
              </w:tc>
              <w:tc>
                <w:tcPr>
                  <w:tcW w:w="577" w:type="dxa"/>
                  <w:noWrap w:val="0"/>
                  <w:vAlign w:val="center"/>
                </w:tcPr>
                <w:p w14:paraId="1522F8B5">
                  <w:pPr>
                    <w:jc w:val="center"/>
                    <w:rPr>
                      <w:rFonts w:hint="eastAsia"/>
                      <w:kern w:val="0"/>
                      <w:szCs w:val="21"/>
                    </w:rPr>
                  </w:pPr>
                  <w:r>
                    <w:rPr>
                      <w:rFonts w:hint="eastAsia"/>
                      <w:kern w:val="0"/>
                      <w:szCs w:val="21"/>
                    </w:rPr>
                    <w:t>24</w:t>
                  </w:r>
                </w:p>
              </w:tc>
              <w:tc>
                <w:tcPr>
                  <w:tcW w:w="709" w:type="dxa"/>
                  <w:noWrap w:val="0"/>
                  <w:vAlign w:val="center"/>
                </w:tcPr>
                <w:p w14:paraId="6C2DFDF3">
                  <w:pPr>
                    <w:jc w:val="center"/>
                    <w:rPr>
                      <w:rFonts w:hint="eastAsia" w:eastAsia="宋体"/>
                      <w:kern w:val="0"/>
                      <w:szCs w:val="21"/>
                      <w:lang w:eastAsia="zh-CN"/>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restart"/>
                  <w:noWrap w:val="0"/>
                  <w:vAlign w:val="center"/>
                </w:tcPr>
                <w:p w14:paraId="7DB536CA">
                  <w:pPr>
                    <w:jc w:val="center"/>
                    <w:rPr>
                      <w:rFonts w:hint="eastAsia"/>
                      <w:kern w:val="0"/>
                      <w:szCs w:val="21"/>
                    </w:rPr>
                  </w:pPr>
                  <w:r>
                    <w:rPr>
                      <w:kern w:val="0"/>
                      <w:szCs w:val="21"/>
                    </w:rPr>
                    <w:t>0</w:t>
                  </w:r>
                  <w:r>
                    <w:rPr>
                      <w:rFonts w:hint="eastAsia"/>
                      <w:kern w:val="0"/>
                      <w:szCs w:val="21"/>
                    </w:rPr>
                    <w:t>8</w:t>
                  </w:r>
                  <w:r>
                    <w:rPr>
                      <w:kern w:val="0"/>
                      <w:szCs w:val="21"/>
                    </w:rPr>
                    <w:t>~</w:t>
                  </w:r>
                  <w:r>
                    <w:rPr>
                      <w:rFonts w:hint="eastAsia"/>
                      <w:kern w:val="0"/>
                      <w:szCs w:val="21"/>
                    </w:rPr>
                    <w:t>18</w:t>
                  </w:r>
                </w:p>
              </w:tc>
              <w:tc>
                <w:tcPr>
                  <w:tcW w:w="567" w:type="dxa"/>
                  <w:vMerge w:val="restart"/>
                  <w:noWrap w:val="0"/>
                  <w:vAlign w:val="center"/>
                </w:tcPr>
                <w:p w14:paraId="6E9048D8">
                  <w:pPr>
                    <w:jc w:val="center"/>
                    <w:rPr>
                      <w:kern w:val="0"/>
                      <w:szCs w:val="21"/>
                    </w:rPr>
                  </w:pPr>
                  <w:r>
                    <w:rPr>
                      <w:rFonts w:hint="eastAsia"/>
                      <w:kern w:val="0"/>
                      <w:szCs w:val="21"/>
                    </w:rPr>
                    <w:t>15</w:t>
                  </w:r>
                </w:p>
              </w:tc>
              <w:tc>
                <w:tcPr>
                  <w:tcW w:w="850" w:type="dxa"/>
                  <w:noWrap w:val="0"/>
                  <w:vAlign w:val="center"/>
                </w:tcPr>
                <w:p w14:paraId="38923E58">
                  <w:pPr>
                    <w:snapToGrid w:val="0"/>
                    <w:spacing w:before="60" w:after="60"/>
                    <w:jc w:val="center"/>
                    <w:rPr>
                      <w:rFonts w:hint="default" w:eastAsia="宋体"/>
                      <w:szCs w:val="21"/>
                      <w:lang w:val="en-US" w:eastAsia="zh-CN"/>
                    </w:rPr>
                  </w:pPr>
                  <w:r>
                    <w:rPr>
                      <w:rFonts w:hint="eastAsia"/>
                      <w:szCs w:val="21"/>
                      <w:lang w:val="en-US" w:eastAsia="zh-CN"/>
                    </w:rPr>
                    <w:t>55-65</w:t>
                  </w:r>
                </w:p>
              </w:tc>
              <w:tc>
                <w:tcPr>
                  <w:tcW w:w="961" w:type="dxa"/>
                  <w:noWrap w:val="0"/>
                  <w:vAlign w:val="center"/>
                </w:tcPr>
                <w:p w14:paraId="49B44A2D">
                  <w:pPr>
                    <w:jc w:val="center"/>
                    <w:rPr>
                      <w:kern w:val="0"/>
                      <w:szCs w:val="21"/>
                    </w:rPr>
                  </w:pPr>
                  <w:r>
                    <w:rPr>
                      <w:rFonts w:hint="eastAsia"/>
                      <w:kern w:val="0"/>
                      <w:szCs w:val="21"/>
                      <w:lang w:val="en-US" w:eastAsia="zh-CN"/>
                    </w:rPr>
                    <w:t>18</w:t>
                  </w:r>
                </w:p>
              </w:tc>
            </w:tr>
            <w:tr w14:paraId="5235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251" w:type="dxa"/>
                  <w:noWrap w:val="0"/>
                  <w:vAlign w:val="center"/>
                </w:tcPr>
                <w:p w14:paraId="556E7389">
                  <w:pPr>
                    <w:widowControl/>
                    <w:jc w:val="center"/>
                    <w:rPr>
                      <w:kern w:val="0"/>
                      <w:szCs w:val="21"/>
                    </w:rPr>
                  </w:pPr>
                </w:p>
              </w:tc>
              <w:tc>
                <w:tcPr>
                  <w:tcW w:w="708" w:type="dxa"/>
                  <w:noWrap w:val="0"/>
                  <w:vAlign w:val="center"/>
                </w:tcPr>
                <w:p w14:paraId="485C59E2">
                  <w:pPr>
                    <w:snapToGrid w:val="0"/>
                    <w:spacing w:before="60" w:after="60"/>
                    <w:jc w:val="center"/>
                    <w:rPr>
                      <w:rFonts w:hint="eastAsia" w:eastAsia="宋体"/>
                      <w:szCs w:val="21"/>
                      <w:lang w:val="en-US" w:eastAsia="zh-CN"/>
                    </w:rPr>
                  </w:pPr>
                  <w:r>
                    <w:rPr>
                      <w:rFonts w:hint="eastAsia"/>
                      <w:szCs w:val="21"/>
                    </w:rPr>
                    <w:t>等离子弧切料机</w:t>
                  </w:r>
                  <w:r>
                    <w:rPr>
                      <w:rFonts w:hint="eastAsia"/>
                      <w:szCs w:val="21"/>
                      <w:lang w:val="en-US" w:eastAsia="zh-CN"/>
                    </w:rPr>
                    <w:t>2</w:t>
                  </w:r>
                </w:p>
              </w:tc>
              <w:tc>
                <w:tcPr>
                  <w:tcW w:w="852" w:type="dxa"/>
                  <w:noWrap w:val="0"/>
                  <w:vAlign w:val="center"/>
                </w:tcPr>
                <w:p w14:paraId="753CC1D1">
                  <w:pPr>
                    <w:snapToGrid w:val="0"/>
                    <w:spacing w:before="60" w:after="60"/>
                    <w:jc w:val="center"/>
                    <w:rPr>
                      <w:szCs w:val="21"/>
                    </w:rPr>
                  </w:pPr>
                  <w:r>
                    <w:rPr>
                      <w:szCs w:val="21"/>
                    </w:rPr>
                    <w:t>7</w:t>
                  </w:r>
                  <w:r>
                    <w:rPr>
                      <w:rFonts w:hint="eastAsia"/>
                      <w:szCs w:val="21"/>
                    </w:rPr>
                    <w:t>5</w:t>
                  </w:r>
                  <w:r>
                    <w:rPr>
                      <w:szCs w:val="21"/>
                    </w:rPr>
                    <w:t>-8</w:t>
                  </w:r>
                  <w:r>
                    <w:rPr>
                      <w:rFonts w:hint="eastAsia"/>
                      <w:szCs w:val="21"/>
                      <w:lang w:val="en-US" w:eastAsia="zh-CN"/>
                    </w:rPr>
                    <w:t>5</w:t>
                  </w:r>
                </w:p>
              </w:tc>
              <w:tc>
                <w:tcPr>
                  <w:tcW w:w="710" w:type="dxa"/>
                  <w:vMerge w:val="continue"/>
                  <w:noWrap w:val="0"/>
                  <w:vAlign w:val="center"/>
                </w:tcPr>
                <w:p w14:paraId="61D2BD62">
                  <w:pPr>
                    <w:jc w:val="center"/>
                    <w:rPr>
                      <w:szCs w:val="21"/>
                    </w:rPr>
                  </w:pPr>
                </w:p>
              </w:tc>
              <w:tc>
                <w:tcPr>
                  <w:tcW w:w="426" w:type="dxa"/>
                  <w:shd w:val="clear" w:color="auto" w:fill="auto"/>
                  <w:noWrap w:val="0"/>
                  <w:vAlign w:val="center"/>
                </w:tcPr>
                <w:p w14:paraId="6E1A643F">
                  <w:pPr>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8</w:t>
                  </w:r>
                  <w:r>
                    <w:rPr>
                      <w:rFonts w:hint="eastAsia"/>
                      <w:kern w:val="0"/>
                      <w:szCs w:val="21"/>
                    </w:rPr>
                    <w:t>6</w:t>
                  </w:r>
                </w:p>
              </w:tc>
              <w:tc>
                <w:tcPr>
                  <w:tcW w:w="568" w:type="dxa"/>
                  <w:shd w:val="clear" w:color="auto" w:fill="auto"/>
                  <w:noWrap w:val="0"/>
                  <w:vAlign w:val="center"/>
                </w:tcPr>
                <w:p w14:paraId="24E77EB4">
                  <w:pPr>
                    <w:jc w:val="center"/>
                    <w:rPr>
                      <w:rFonts w:hint="eastAsia" w:ascii="Times New Roman" w:hAnsi="Times New Roman" w:eastAsia="宋体" w:cs="Times New Roman"/>
                      <w:kern w:val="0"/>
                      <w:sz w:val="21"/>
                      <w:szCs w:val="21"/>
                      <w:lang w:val="en-US" w:eastAsia="zh-CN" w:bidi="ar-SA"/>
                    </w:rPr>
                  </w:pPr>
                  <w:r>
                    <w:rPr>
                      <w:rFonts w:hint="eastAsia"/>
                      <w:kern w:val="0"/>
                      <w:szCs w:val="21"/>
                    </w:rPr>
                    <w:t>42</w:t>
                  </w:r>
                </w:p>
              </w:tc>
              <w:tc>
                <w:tcPr>
                  <w:tcW w:w="630" w:type="dxa"/>
                  <w:shd w:val="clear" w:color="auto" w:fill="auto"/>
                  <w:noWrap w:val="0"/>
                  <w:vAlign w:val="center"/>
                </w:tcPr>
                <w:p w14:paraId="5B9606FE">
                  <w:pPr>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1.5</w:t>
                  </w:r>
                </w:p>
              </w:tc>
              <w:tc>
                <w:tcPr>
                  <w:tcW w:w="577" w:type="dxa"/>
                  <w:shd w:val="clear" w:color="auto" w:fill="auto"/>
                  <w:noWrap w:val="0"/>
                  <w:vAlign w:val="center"/>
                </w:tcPr>
                <w:p w14:paraId="04D05D52">
                  <w:pPr>
                    <w:jc w:val="center"/>
                    <w:rPr>
                      <w:rFonts w:hint="eastAsia" w:ascii="Times New Roman" w:hAnsi="Times New Roman" w:eastAsia="宋体" w:cs="Times New Roman"/>
                      <w:kern w:val="0"/>
                      <w:sz w:val="21"/>
                      <w:szCs w:val="21"/>
                      <w:lang w:val="en-US" w:eastAsia="zh-CN" w:bidi="ar-SA"/>
                    </w:rPr>
                  </w:pPr>
                  <w:r>
                    <w:rPr>
                      <w:rFonts w:hint="eastAsia"/>
                      <w:kern w:val="0"/>
                      <w:szCs w:val="21"/>
                    </w:rPr>
                    <w:t>24</w:t>
                  </w:r>
                </w:p>
              </w:tc>
              <w:tc>
                <w:tcPr>
                  <w:tcW w:w="709" w:type="dxa"/>
                  <w:shd w:val="clear" w:color="auto" w:fill="auto"/>
                  <w:noWrap w:val="0"/>
                  <w:vAlign w:val="center"/>
                </w:tcPr>
                <w:p w14:paraId="26760AE1">
                  <w:pPr>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0B29BE43">
                  <w:pPr>
                    <w:jc w:val="center"/>
                    <w:rPr>
                      <w:kern w:val="0"/>
                      <w:szCs w:val="21"/>
                    </w:rPr>
                  </w:pPr>
                </w:p>
              </w:tc>
              <w:tc>
                <w:tcPr>
                  <w:tcW w:w="567" w:type="dxa"/>
                  <w:vMerge w:val="continue"/>
                  <w:noWrap w:val="0"/>
                  <w:vAlign w:val="center"/>
                </w:tcPr>
                <w:p w14:paraId="0C84D210">
                  <w:pPr>
                    <w:jc w:val="center"/>
                    <w:rPr>
                      <w:rFonts w:hint="eastAsia"/>
                      <w:kern w:val="0"/>
                      <w:szCs w:val="21"/>
                    </w:rPr>
                  </w:pPr>
                </w:p>
              </w:tc>
              <w:tc>
                <w:tcPr>
                  <w:tcW w:w="850" w:type="dxa"/>
                  <w:noWrap w:val="0"/>
                  <w:vAlign w:val="center"/>
                </w:tcPr>
                <w:p w14:paraId="78F30DC2">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1D1167F2">
                  <w:pPr>
                    <w:jc w:val="center"/>
                    <w:rPr>
                      <w:rFonts w:hint="default"/>
                      <w:kern w:val="0"/>
                      <w:szCs w:val="21"/>
                      <w:lang w:val="en-US" w:eastAsia="zh-CN"/>
                    </w:rPr>
                  </w:pPr>
                  <w:r>
                    <w:rPr>
                      <w:rFonts w:hint="eastAsia"/>
                      <w:kern w:val="0"/>
                      <w:szCs w:val="21"/>
                      <w:lang w:val="en-US" w:eastAsia="zh-CN"/>
                    </w:rPr>
                    <w:t>18</w:t>
                  </w:r>
                </w:p>
              </w:tc>
            </w:tr>
            <w:tr w14:paraId="48FD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251" w:type="dxa"/>
                  <w:noWrap w:val="0"/>
                  <w:vAlign w:val="center"/>
                </w:tcPr>
                <w:p w14:paraId="3131F8C5">
                  <w:pPr>
                    <w:jc w:val="center"/>
                    <w:rPr>
                      <w:kern w:val="0"/>
                      <w:szCs w:val="21"/>
                    </w:rPr>
                  </w:pPr>
                  <w:r>
                    <w:rPr>
                      <w:rFonts w:hint="eastAsia"/>
                      <w:kern w:val="0"/>
                      <w:szCs w:val="21"/>
                    </w:rPr>
                    <w:t>2</w:t>
                  </w:r>
                </w:p>
              </w:tc>
              <w:tc>
                <w:tcPr>
                  <w:tcW w:w="708" w:type="dxa"/>
                  <w:noWrap w:val="0"/>
                  <w:vAlign w:val="center"/>
                </w:tcPr>
                <w:p w14:paraId="200BB54E">
                  <w:pPr>
                    <w:snapToGrid w:val="0"/>
                    <w:spacing w:before="60" w:after="60"/>
                    <w:jc w:val="center"/>
                    <w:rPr>
                      <w:rFonts w:hint="eastAsia"/>
                      <w:szCs w:val="21"/>
                    </w:rPr>
                  </w:pPr>
                  <w:r>
                    <w:rPr>
                      <w:rFonts w:hint="eastAsia"/>
                      <w:szCs w:val="21"/>
                    </w:rPr>
                    <w:t>光纤激光切割机</w:t>
                  </w:r>
                </w:p>
              </w:tc>
              <w:tc>
                <w:tcPr>
                  <w:tcW w:w="852" w:type="dxa"/>
                  <w:noWrap w:val="0"/>
                  <w:vAlign w:val="center"/>
                </w:tcPr>
                <w:p w14:paraId="3CCECCDA">
                  <w:pPr>
                    <w:snapToGrid w:val="0"/>
                    <w:spacing w:before="60" w:after="60"/>
                    <w:jc w:val="center"/>
                    <w:rPr>
                      <w:szCs w:val="21"/>
                    </w:rPr>
                  </w:pPr>
                  <w:r>
                    <w:rPr>
                      <w:rFonts w:hint="eastAsia"/>
                      <w:szCs w:val="21"/>
                      <w:lang w:val="en-US" w:eastAsia="zh-CN"/>
                    </w:rPr>
                    <w:t>75</w:t>
                  </w:r>
                  <w:r>
                    <w:rPr>
                      <w:rFonts w:hint="eastAsia"/>
                      <w:szCs w:val="21"/>
                    </w:rPr>
                    <w:t>-80</w:t>
                  </w:r>
                </w:p>
              </w:tc>
              <w:tc>
                <w:tcPr>
                  <w:tcW w:w="710" w:type="dxa"/>
                  <w:vMerge w:val="continue"/>
                  <w:noWrap w:val="0"/>
                  <w:vAlign w:val="center"/>
                </w:tcPr>
                <w:p w14:paraId="495F4F5B">
                  <w:pPr>
                    <w:jc w:val="center"/>
                    <w:rPr>
                      <w:kern w:val="0"/>
                      <w:szCs w:val="21"/>
                    </w:rPr>
                  </w:pPr>
                </w:p>
              </w:tc>
              <w:tc>
                <w:tcPr>
                  <w:tcW w:w="426" w:type="dxa"/>
                  <w:noWrap w:val="0"/>
                  <w:vAlign w:val="center"/>
                </w:tcPr>
                <w:p w14:paraId="5AEDD8B0">
                  <w:pPr>
                    <w:widowControl/>
                    <w:jc w:val="center"/>
                    <w:rPr>
                      <w:rFonts w:hint="eastAsia"/>
                      <w:kern w:val="0"/>
                      <w:szCs w:val="21"/>
                    </w:rPr>
                  </w:pPr>
                  <w:r>
                    <w:rPr>
                      <w:rFonts w:hint="eastAsia"/>
                      <w:kern w:val="0"/>
                      <w:szCs w:val="21"/>
                    </w:rPr>
                    <w:t>90</w:t>
                  </w:r>
                </w:p>
              </w:tc>
              <w:tc>
                <w:tcPr>
                  <w:tcW w:w="568" w:type="dxa"/>
                  <w:noWrap w:val="0"/>
                  <w:vAlign w:val="center"/>
                </w:tcPr>
                <w:p w14:paraId="4485401E">
                  <w:pPr>
                    <w:jc w:val="center"/>
                    <w:rPr>
                      <w:kern w:val="0"/>
                      <w:szCs w:val="21"/>
                    </w:rPr>
                  </w:pPr>
                  <w:r>
                    <w:rPr>
                      <w:rFonts w:hint="eastAsia"/>
                      <w:kern w:val="0"/>
                      <w:szCs w:val="21"/>
                    </w:rPr>
                    <w:t>40</w:t>
                  </w:r>
                </w:p>
              </w:tc>
              <w:tc>
                <w:tcPr>
                  <w:tcW w:w="630" w:type="dxa"/>
                  <w:noWrap w:val="0"/>
                  <w:vAlign w:val="center"/>
                </w:tcPr>
                <w:p w14:paraId="6CBBE6DB">
                  <w:pPr>
                    <w:jc w:val="center"/>
                    <w:rPr>
                      <w:kern w:val="0"/>
                      <w:szCs w:val="21"/>
                    </w:rPr>
                  </w:pPr>
                  <w:r>
                    <w:rPr>
                      <w:rFonts w:hint="eastAsia"/>
                      <w:kern w:val="0"/>
                      <w:szCs w:val="21"/>
                    </w:rPr>
                    <w:t>0</w:t>
                  </w:r>
                </w:p>
              </w:tc>
              <w:tc>
                <w:tcPr>
                  <w:tcW w:w="577" w:type="dxa"/>
                  <w:noWrap w:val="0"/>
                  <w:vAlign w:val="center"/>
                </w:tcPr>
                <w:p w14:paraId="2BD9D653">
                  <w:pPr>
                    <w:jc w:val="center"/>
                    <w:rPr>
                      <w:rFonts w:hint="eastAsia"/>
                      <w:kern w:val="0"/>
                      <w:szCs w:val="21"/>
                    </w:rPr>
                  </w:pPr>
                  <w:r>
                    <w:rPr>
                      <w:rFonts w:hint="eastAsia"/>
                      <w:kern w:val="0"/>
                      <w:szCs w:val="21"/>
                    </w:rPr>
                    <w:t>28</w:t>
                  </w:r>
                </w:p>
              </w:tc>
              <w:tc>
                <w:tcPr>
                  <w:tcW w:w="709" w:type="dxa"/>
                  <w:noWrap w:val="0"/>
                  <w:vAlign w:val="center"/>
                </w:tcPr>
                <w:p w14:paraId="13644919">
                  <w:pPr>
                    <w:jc w:val="center"/>
                    <w:rPr>
                      <w:rFonts w:hint="default"/>
                      <w:kern w:val="0"/>
                      <w:szCs w:val="21"/>
                      <w:lang w:val="en-US"/>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73ADC797">
                  <w:pPr>
                    <w:jc w:val="center"/>
                    <w:rPr>
                      <w:kern w:val="0"/>
                      <w:szCs w:val="21"/>
                    </w:rPr>
                  </w:pPr>
                </w:p>
              </w:tc>
              <w:tc>
                <w:tcPr>
                  <w:tcW w:w="567" w:type="dxa"/>
                  <w:vMerge w:val="continue"/>
                  <w:noWrap w:val="0"/>
                  <w:vAlign w:val="center"/>
                </w:tcPr>
                <w:p w14:paraId="26009720">
                  <w:pPr>
                    <w:jc w:val="center"/>
                    <w:rPr>
                      <w:kern w:val="0"/>
                      <w:szCs w:val="21"/>
                    </w:rPr>
                  </w:pPr>
                </w:p>
              </w:tc>
              <w:tc>
                <w:tcPr>
                  <w:tcW w:w="850" w:type="dxa"/>
                  <w:noWrap w:val="0"/>
                  <w:vAlign w:val="center"/>
                </w:tcPr>
                <w:p w14:paraId="4D5E1D51">
                  <w:pPr>
                    <w:snapToGrid w:val="0"/>
                    <w:spacing w:before="60" w:after="60"/>
                    <w:jc w:val="center"/>
                    <w:rPr>
                      <w:rFonts w:hint="eastAsia" w:eastAsia="宋体"/>
                      <w:szCs w:val="21"/>
                      <w:lang w:eastAsia="zh-CN"/>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1ED53890">
                  <w:pPr>
                    <w:jc w:val="center"/>
                    <w:rPr>
                      <w:kern w:val="0"/>
                      <w:szCs w:val="21"/>
                    </w:rPr>
                  </w:pPr>
                  <w:r>
                    <w:rPr>
                      <w:rFonts w:hint="eastAsia"/>
                      <w:kern w:val="0"/>
                      <w:szCs w:val="21"/>
                      <w:lang w:val="en-US" w:eastAsia="zh-CN"/>
                    </w:rPr>
                    <w:t>18</w:t>
                  </w:r>
                </w:p>
              </w:tc>
            </w:tr>
            <w:tr w14:paraId="372F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317B261F">
                  <w:pPr>
                    <w:jc w:val="center"/>
                    <w:rPr>
                      <w:kern w:val="0"/>
                      <w:szCs w:val="21"/>
                    </w:rPr>
                  </w:pPr>
                  <w:r>
                    <w:rPr>
                      <w:rFonts w:hint="eastAsia"/>
                      <w:kern w:val="0"/>
                      <w:szCs w:val="21"/>
                    </w:rPr>
                    <w:t>3</w:t>
                  </w:r>
                </w:p>
              </w:tc>
              <w:tc>
                <w:tcPr>
                  <w:tcW w:w="708" w:type="dxa"/>
                  <w:noWrap w:val="0"/>
                  <w:vAlign w:val="center"/>
                </w:tcPr>
                <w:p w14:paraId="2C6DF273">
                  <w:pPr>
                    <w:snapToGrid w:val="0"/>
                    <w:spacing w:before="60" w:after="60"/>
                    <w:jc w:val="center"/>
                    <w:rPr>
                      <w:rFonts w:hint="eastAsia"/>
                      <w:szCs w:val="21"/>
                    </w:rPr>
                  </w:pPr>
                  <w:r>
                    <w:rPr>
                      <w:rFonts w:hint="eastAsia"/>
                      <w:szCs w:val="21"/>
                    </w:rPr>
                    <w:t>车床</w:t>
                  </w:r>
                </w:p>
              </w:tc>
              <w:tc>
                <w:tcPr>
                  <w:tcW w:w="852" w:type="dxa"/>
                  <w:noWrap w:val="0"/>
                  <w:vAlign w:val="center"/>
                </w:tcPr>
                <w:p w14:paraId="7542975E">
                  <w:pPr>
                    <w:snapToGrid w:val="0"/>
                    <w:spacing w:before="60" w:after="60"/>
                    <w:jc w:val="center"/>
                    <w:rPr>
                      <w:szCs w:val="21"/>
                    </w:rPr>
                  </w:pPr>
                  <w:r>
                    <w:rPr>
                      <w:rFonts w:hint="eastAsia"/>
                      <w:szCs w:val="21"/>
                      <w:lang w:val="en-US" w:eastAsia="zh-CN"/>
                    </w:rPr>
                    <w:t>75</w:t>
                  </w:r>
                  <w:r>
                    <w:rPr>
                      <w:rFonts w:hint="eastAsia"/>
                      <w:szCs w:val="21"/>
                    </w:rPr>
                    <w:t>-80</w:t>
                  </w:r>
                </w:p>
              </w:tc>
              <w:tc>
                <w:tcPr>
                  <w:tcW w:w="710" w:type="dxa"/>
                  <w:vMerge w:val="continue"/>
                  <w:noWrap w:val="0"/>
                  <w:vAlign w:val="center"/>
                </w:tcPr>
                <w:p w14:paraId="791D2665">
                  <w:pPr>
                    <w:jc w:val="center"/>
                    <w:rPr>
                      <w:kern w:val="0"/>
                      <w:szCs w:val="21"/>
                    </w:rPr>
                  </w:pPr>
                </w:p>
              </w:tc>
              <w:tc>
                <w:tcPr>
                  <w:tcW w:w="426" w:type="dxa"/>
                  <w:noWrap w:val="0"/>
                  <w:vAlign w:val="center"/>
                </w:tcPr>
                <w:p w14:paraId="18449D35">
                  <w:pPr>
                    <w:jc w:val="center"/>
                    <w:rPr>
                      <w:rFonts w:hint="eastAsia"/>
                      <w:kern w:val="0"/>
                      <w:szCs w:val="21"/>
                    </w:rPr>
                  </w:pPr>
                  <w:r>
                    <w:rPr>
                      <w:rFonts w:hint="eastAsia"/>
                      <w:kern w:val="0"/>
                      <w:szCs w:val="21"/>
                    </w:rPr>
                    <w:t>16</w:t>
                  </w:r>
                </w:p>
              </w:tc>
              <w:tc>
                <w:tcPr>
                  <w:tcW w:w="568" w:type="dxa"/>
                  <w:noWrap w:val="0"/>
                  <w:vAlign w:val="center"/>
                </w:tcPr>
                <w:p w14:paraId="7BDF985C">
                  <w:pPr>
                    <w:jc w:val="center"/>
                    <w:rPr>
                      <w:rFonts w:hint="eastAsia"/>
                      <w:kern w:val="0"/>
                      <w:szCs w:val="21"/>
                    </w:rPr>
                  </w:pPr>
                  <w:r>
                    <w:rPr>
                      <w:rFonts w:hint="eastAsia"/>
                      <w:kern w:val="0"/>
                      <w:szCs w:val="21"/>
                    </w:rPr>
                    <w:t>40</w:t>
                  </w:r>
                </w:p>
              </w:tc>
              <w:tc>
                <w:tcPr>
                  <w:tcW w:w="630" w:type="dxa"/>
                  <w:noWrap w:val="0"/>
                  <w:vAlign w:val="center"/>
                </w:tcPr>
                <w:p w14:paraId="7157FD7D">
                  <w:pPr>
                    <w:jc w:val="center"/>
                    <w:rPr>
                      <w:kern w:val="0"/>
                      <w:szCs w:val="21"/>
                    </w:rPr>
                  </w:pPr>
                  <w:r>
                    <w:rPr>
                      <w:rFonts w:hint="eastAsia"/>
                      <w:kern w:val="0"/>
                      <w:szCs w:val="21"/>
                    </w:rPr>
                    <w:t>0</w:t>
                  </w:r>
                </w:p>
              </w:tc>
              <w:tc>
                <w:tcPr>
                  <w:tcW w:w="577" w:type="dxa"/>
                  <w:noWrap w:val="0"/>
                  <w:vAlign w:val="center"/>
                </w:tcPr>
                <w:p w14:paraId="642A0DE1">
                  <w:pPr>
                    <w:jc w:val="center"/>
                    <w:rPr>
                      <w:rFonts w:hint="eastAsia"/>
                      <w:kern w:val="0"/>
                      <w:szCs w:val="21"/>
                    </w:rPr>
                  </w:pPr>
                  <w:r>
                    <w:rPr>
                      <w:rFonts w:hint="eastAsia"/>
                      <w:kern w:val="0"/>
                      <w:szCs w:val="21"/>
                    </w:rPr>
                    <w:t>8</w:t>
                  </w:r>
                </w:p>
              </w:tc>
              <w:tc>
                <w:tcPr>
                  <w:tcW w:w="709" w:type="dxa"/>
                  <w:noWrap w:val="0"/>
                  <w:vAlign w:val="center"/>
                </w:tcPr>
                <w:p w14:paraId="50D78BBB">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11DC15B2">
                  <w:pPr>
                    <w:jc w:val="center"/>
                    <w:rPr>
                      <w:kern w:val="0"/>
                      <w:szCs w:val="21"/>
                    </w:rPr>
                  </w:pPr>
                </w:p>
              </w:tc>
              <w:tc>
                <w:tcPr>
                  <w:tcW w:w="567" w:type="dxa"/>
                  <w:vMerge w:val="continue"/>
                  <w:noWrap w:val="0"/>
                  <w:vAlign w:val="center"/>
                </w:tcPr>
                <w:p w14:paraId="04B86FE6">
                  <w:pPr>
                    <w:jc w:val="center"/>
                    <w:rPr>
                      <w:kern w:val="0"/>
                      <w:szCs w:val="21"/>
                    </w:rPr>
                  </w:pPr>
                </w:p>
              </w:tc>
              <w:tc>
                <w:tcPr>
                  <w:tcW w:w="850" w:type="dxa"/>
                  <w:noWrap w:val="0"/>
                  <w:vAlign w:val="center"/>
                </w:tcPr>
                <w:p w14:paraId="7D57DE34">
                  <w:pPr>
                    <w:snapToGrid w:val="0"/>
                    <w:spacing w:before="60" w:after="60"/>
                    <w:jc w:val="center"/>
                    <w:rPr>
                      <w:szCs w:val="21"/>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3DC55EC6">
                  <w:pPr>
                    <w:jc w:val="center"/>
                    <w:rPr>
                      <w:rFonts w:hint="default" w:eastAsia="宋体"/>
                      <w:kern w:val="0"/>
                      <w:szCs w:val="21"/>
                      <w:lang w:val="en-US" w:eastAsia="zh-CN"/>
                    </w:rPr>
                  </w:pPr>
                  <w:r>
                    <w:rPr>
                      <w:rFonts w:hint="eastAsia"/>
                      <w:kern w:val="0"/>
                      <w:szCs w:val="21"/>
                      <w:lang w:val="en-US" w:eastAsia="zh-CN"/>
                    </w:rPr>
                    <w:t>18</w:t>
                  </w:r>
                </w:p>
              </w:tc>
            </w:tr>
            <w:tr w14:paraId="5233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692BFEB8">
                  <w:pPr>
                    <w:jc w:val="center"/>
                    <w:rPr>
                      <w:kern w:val="0"/>
                      <w:szCs w:val="21"/>
                    </w:rPr>
                  </w:pPr>
                  <w:r>
                    <w:rPr>
                      <w:rFonts w:hint="eastAsia"/>
                      <w:kern w:val="0"/>
                      <w:szCs w:val="21"/>
                    </w:rPr>
                    <w:t>4</w:t>
                  </w:r>
                </w:p>
              </w:tc>
              <w:tc>
                <w:tcPr>
                  <w:tcW w:w="708" w:type="dxa"/>
                  <w:noWrap w:val="0"/>
                  <w:vAlign w:val="center"/>
                </w:tcPr>
                <w:p w14:paraId="25AAB347">
                  <w:pPr>
                    <w:snapToGrid w:val="0"/>
                    <w:spacing w:before="60" w:after="60"/>
                    <w:jc w:val="center"/>
                    <w:rPr>
                      <w:rFonts w:hint="eastAsia"/>
                      <w:szCs w:val="21"/>
                    </w:rPr>
                  </w:pPr>
                  <w:r>
                    <w:rPr>
                      <w:rFonts w:hint="eastAsia"/>
                      <w:szCs w:val="21"/>
                    </w:rPr>
                    <w:t>镗床</w:t>
                  </w:r>
                </w:p>
              </w:tc>
              <w:tc>
                <w:tcPr>
                  <w:tcW w:w="852" w:type="dxa"/>
                  <w:noWrap w:val="0"/>
                  <w:vAlign w:val="center"/>
                </w:tcPr>
                <w:p w14:paraId="315C592E">
                  <w:pPr>
                    <w:snapToGrid w:val="0"/>
                    <w:spacing w:before="60" w:after="60"/>
                    <w:jc w:val="center"/>
                    <w:rPr>
                      <w:szCs w:val="21"/>
                    </w:rPr>
                  </w:pPr>
                  <w:r>
                    <w:rPr>
                      <w:rFonts w:hint="eastAsia"/>
                      <w:szCs w:val="21"/>
                      <w:lang w:val="en-US" w:eastAsia="zh-CN"/>
                    </w:rPr>
                    <w:t>75</w:t>
                  </w:r>
                  <w:r>
                    <w:rPr>
                      <w:rFonts w:hint="eastAsia"/>
                      <w:szCs w:val="21"/>
                    </w:rPr>
                    <w:t>-80</w:t>
                  </w:r>
                </w:p>
              </w:tc>
              <w:tc>
                <w:tcPr>
                  <w:tcW w:w="710" w:type="dxa"/>
                  <w:vMerge w:val="continue"/>
                  <w:noWrap w:val="0"/>
                  <w:vAlign w:val="center"/>
                </w:tcPr>
                <w:p w14:paraId="4BFF279A">
                  <w:pPr>
                    <w:jc w:val="center"/>
                    <w:rPr>
                      <w:kern w:val="0"/>
                      <w:szCs w:val="21"/>
                    </w:rPr>
                  </w:pPr>
                </w:p>
              </w:tc>
              <w:tc>
                <w:tcPr>
                  <w:tcW w:w="426" w:type="dxa"/>
                  <w:noWrap w:val="0"/>
                  <w:vAlign w:val="center"/>
                </w:tcPr>
                <w:p w14:paraId="3D15BB32">
                  <w:pPr>
                    <w:jc w:val="center"/>
                    <w:rPr>
                      <w:rFonts w:hint="eastAsia"/>
                      <w:kern w:val="0"/>
                      <w:szCs w:val="21"/>
                    </w:rPr>
                  </w:pPr>
                  <w:r>
                    <w:rPr>
                      <w:rFonts w:hint="eastAsia"/>
                      <w:kern w:val="0"/>
                      <w:szCs w:val="21"/>
                    </w:rPr>
                    <w:t>24</w:t>
                  </w:r>
                </w:p>
              </w:tc>
              <w:tc>
                <w:tcPr>
                  <w:tcW w:w="568" w:type="dxa"/>
                  <w:noWrap w:val="0"/>
                  <w:vAlign w:val="center"/>
                </w:tcPr>
                <w:p w14:paraId="0B0B9C86">
                  <w:pPr>
                    <w:jc w:val="center"/>
                    <w:rPr>
                      <w:rFonts w:hint="eastAsia"/>
                      <w:kern w:val="0"/>
                      <w:szCs w:val="21"/>
                    </w:rPr>
                  </w:pPr>
                  <w:r>
                    <w:rPr>
                      <w:rFonts w:hint="eastAsia"/>
                      <w:kern w:val="0"/>
                      <w:szCs w:val="21"/>
                    </w:rPr>
                    <w:t>40</w:t>
                  </w:r>
                </w:p>
              </w:tc>
              <w:tc>
                <w:tcPr>
                  <w:tcW w:w="630" w:type="dxa"/>
                  <w:noWrap w:val="0"/>
                  <w:vAlign w:val="center"/>
                </w:tcPr>
                <w:p w14:paraId="7ED9CAC7">
                  <w:pPr>
                    <w:jc w:val="center"/>
                    <w:rPr>
                      <w:kern w:val="0"/>
                      <w:szCs w:val="21"/>
                    </w:rPr>
                  </w:pPr>
                  <w:r>
                    <w:rPr>
                      <w:rFonts w:hint="eastAsia"/>
                      <w:kern w:val="0"/>
                      <w:szCs w:val="21"/>
                    </w:rPr>
                    <w:t>0</w:t>
                  </w:r>
                </w:p>
              </w:tc>
              <w:tc>
                <w:tcPr>
                  <w:tcW w:w="577" w:type="dxa"/>
                  <w:noWrap w:val="0"/>
                  <w:vAlign w:val="center"/>
                </w:tcPr>
                <w:p w14:paraId="313AFE20">
                  <w:pPr>
                    <w:jc w:val="center"/>
                    <w:rPr>
                      <w:rFonts w:hint="eastAsia"/>
                      <w:kern w:val="0"/>
                      <w:szCs w:val="21"/>
                    </w:rPr>
                  </w:pPr>
                  <w:r>
                    <w:rPr>
                      <w:rFonts w:hint="eastAsia"/>
                      <w:kern w:val="0"/>
                      <w:szCs w:val="21"/>
                    </w:rPr>
                    <w:t>24</w:t>
                  </w:r>
                </w:p>
              </w:tc>
              <w:tc>
                <w:tcPr>
                  <w:tcW w:w="709" w:type="dxa"/>
                  <w:noWrap w:val="0"/>
                  <w:vAlign w:val="center"/>
                </w:tcPr>
                <w:p w14:paraId="70FD2A5D">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1FC3CA69">
                  <w:pPr>
                    <w:jc w:val="center"/>
                    <w:rPr>
                      <w:kern w:val="0"/>
                      <w:szCs w:val="21"/>
                    </w:rPr>
                  </w:pPr>
                </w:p>
              </w:tc>
              <w:tc>
                <w:tcPr>
                  <w:tcW w:w="567" w:type="dxa"/>
                  <w:vMerge w:val="continue"/>
                  <w:noWrap w:val="0"/>
                  <w:vAlign w:val="center"/>
                </w:tcPr>
                <w:p w14:paraId="792D8278">
                  <w:pPr>
                    <w:jc w:val="center"/>
                    <w:rPr>
                      <w:kern w:val="0"/>
                      <w:szCs w:val="21"/>
                    </w:rPr>
                  </w:pPr>
                </w:p>
              </w:tc>
              <w:tc>
                <w:tcPr>
                  <w:tcW w:w="850" w:type="dxa"/>
                  <w:noWrap w:val="0"/>
                  <w:vAlign w:val="center"/>
                </w:tcPr>
                <w:p w14:paraId="7D68B455">
                  <w:pPr>
                    <w:snapToGrid w:val="0"/>
                    <w:spacing w:before="60" w:after="60"/>
                    <w:jc w:val="center"/>
                    <w:rPr>
                      <w:szCs w:val="21"/>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261BC5E0">
                  <w:pPr>
                    <w:jc w:val="center"/>
                    <w:rPr>
                      <w:rFonts w:hint="default" w:eastAsia="宋体"/>
                      <w:kern w:val="0"/>
                      <w:szCs w:val="21"/>
                      <w:lang w:val="en-US" w:eastAsia="zh-CN"/>
                    </w:rPr>
                  </w:pPr>
                  <w:r>
                    <w:rPr>
                      <w:rFonts w:hint="eastAsia"/>
                      <w:kern w:val="0"/>
                      <w:szCs w:val="21"/>
                      <w:lang w:val="en-US" w:eastAsia="zh-CN"/>
                    </w:rPr>
                    <w:t>18</w:t>
                  </w:r>
                </w:p>
              </w:tc>
            </w:tr>
            <w:tr w14:paraId="2A70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7BB0247D">
                  <w:pPr>
                    <w:jc w:val="center"/>
                    <w:rPr>
                      <w:kern w:val="0"/>
                      <w:szCs w:val="21"/>
                    </w:rPr>
                  </w:pPr>
                  <w:r>
                    <w:rPr>
                      <w:rFonts w:hint="eastAsia"/>
                      <w:kern w:val="0"/>
                      <w:szCs w:val="21"/>
                    </w:rPr>
                    <w:t>5</w:t>
                  </w:r>
                </w:p>
              </w:tc>
              <w:tc>
                <w:tcPr>
                  <w:tcW w:w="708" w:type="dxa"/>
                  <w:noWrap w:val="0"/>
                  <w:vAlign w:val="center"/>
                </w:tcPr>
                <w:p w14:paraId="7E4CF58F">
                  <w:pPr>
                    <w:snapToGrid w:val="0"/>
                    <w:spacing w:before="60" w:after="60"/>
                    <w:jc w:val="center"/>
                    <w:rPr>
                      <w:rFonts w:hint="eastAsia"/>
                      <w:szCs w:val="21"/>
                    </w:rPr>
                  </w:pPr>
                  <w:r>
                    <w:rPr>
                      <w:rFonts w:hint="eastAsia"/>
                      <w:szCs w:val="21"/>
                    </w:rPr>
                    <w:t>滚丝机</w:t>
                  </w:r>
                </w:p>
              </w:tc>
              <w:tc>
                <w:tcPr>
                  <w:tcW w:w="852" w:type="dxa"/>
                  <w:noWrap w:val="0"/>
                  <w:vAlign w:val="center"/>
                </w:tcPr>
                <w:p w14:paraId="41624085">
                  <w:pPr>
                    <w:snapToGrid w:val="0"/>
                    <w:spacing w:before="60" w:after="60"/>
                    <w:jc w:val="center"/>
                    <w:rPr>
                      <w:szCs w:val="21"/>
                    </w:rPr>
                  </w:pPr>
                  <w:r>
                    <w:rPr>
                      <w:rFonts w:hint="eastAsia"/>
                      <w:szCs w:val="21"/>
                      <w:lang w:val="en-US" w:eastAsia="zh-CN"/>
                    </w:rPr>
                    <w:t>75</w:t>
                  </w:r>
                  <w:r>
                    <w:rPr>
                      <w:rFonts w:hint="eastAsia"/>
                      <w:szCs w:val="21"/>
                    </w:rPr>
                    <w:t>-80</w:t>
                  </w:r>
                </w:p>
              </w:tc>
              <w:tc>
                <w:tcPr>
                  <w:tcW w:w="710" w:type="dxa"/>
                  <w:vMerge w:val="continue"/>
                  <w:noWrap w:val="0"/>
                  <w:vAlign w:val="center"/>
                </w:tcPr>
                <w:p w14:paraId="203949DE">
                  <w:pPr>
                    <w:jc w:val="center"/>
                    <w:rPr>
                      <w:kern w:val="0"/>
                      <w:szCs w:val="21"/>
                    </w:rPr>
                  </w:pPr>
                </w:p>
              </w:tc>
              <w:tc>
                <w:tcPr>
                  <w:tcW w:w="426" w:type="dxa"/>
                  <w:noWrap w:val="0"/>
                  <w:vAlign w:val="center"/>
                </w:tcPr>
                <w:p w14:paraId="72448C23">
                  <w:pPr>
                    <w:jc w:val="center"/>
                    <w:rPr>
                      <w:rFonts w:hint="eastAsia"/>
                      <w:kern w:val="0"/>
                      <w:szCs w:val="21"/>
                    </w:rPr>
                  </w:pPr>
                  <w:r>
                    <w:rPr>
                      <w:rFonts w:hint="eastAsia"/>
                      <w:kern w:val="0"/>
                      <w:szCs w:val="21"/>
                    </w:rPr>
                    <w:t>48</w:t>
                  </w:r>
                </w:p>
              </w:tc>
              <w:tc>
                <w:tcPr>
                  <w:tcW w:w="568" w:type="dxa"/>
                  <w:noWrap w:val="0"/>
                  <w:vAlign w:val="center"/>
                </w:tcPr>
                <w:p w14:paraId="542A525C">
                  <w:pPr>
                    <w:jc w:val="center"/>
                    <w:rPr>
                      <w:rFonts w:hint="eastAsia"/>
                      <w:kern w:val="0"/>
                      <w:szCs w:val="21"/>
                    </w:rPr>
                  </w:pPr>
                  <w:r>
                    <w:rPr>
                      <w:rFonts w:hint="eastAsia"/>
                      <w:kern w:val="0"/>
                      <w:szCs w:val="21"/>
                    </w:rPr>
                    <w:t>40</w:t>
                  </w:r>
                </w:p>
              </w:tc>
              <w:tc>
                <w:tcPr>
                  <w:tcW w:w="630" w:type="dxa"/>
                  <w:noWrap w:val="0"/>
                  <w:vAlign w:val="center"/>
                </w:tcPr>
                <w:p w14:paraId="788F87B5">
                  <w:pPr>
                    <w:jc w:val="center"/>
                    <w:rPr>
                      <w:kern w:val="0"/>
                      <w:szCs w:val="21"/>
                    </w:rPr>
                  </w:pPr>
                  <w:r>
                    <w:rPr>
                      <w:rFonts w:hint="eastAsia"/>
                      <w:kern w:val="0"/>
                      <w:szCs w:val="21"/>
                    </w:rPr>
                    <w:t>0</w:t>
                  </w:r>
                </w:p>
              </w:tc>
              <w:tc>
                <w:tcPr>
                  <w:tcW w:w="577" w:type="dxa"/>
                  <w:noWrap w:val="0"/>
                  <w:vAlign w:val="center"/>
                </w:tcPr>
                <w:p w14:paraId="7EAE904B">
                  <w:pPr>
                    <w:jc w:val="center"/>
                    <w:rPr>
                      <w:rFonts w:hint="eastAsia"/>
                      <w:kern w:val="0"/>
                      <w:szCs w:val="21"/>
                    </w:rPr>
                  </w:pPr>
                  <w:r>
                    <w:rPr>
                      <w:rFonts w:hint="eastAsia"/>
                      <w:kern w:val="0"/>
                      <w:szCs w:val="21"/>
                    </w:rPr>
                    <w:t>24</w:t>
                  </w:r>
                </w:p>
              </w:tc>
              <w:tc>
                <w:tcPr>
                  <w:tcW w:w="709" w:type="dxa"/>
                  <w:noWrap w:val="0"/>
                  <w:vAlign w:val="center"/>
                </w:tcPr>
                <w:p w14:paraId="6D0F6295">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5A01F60B">
                  <w:pPr>
                    <w:jc w:val="center"/>
                    <w:rPr>
                      <w:kern w:val="0"/>
                      <w:szCs w:val="21"/>
                    </w:rPr>
                  </w:pPr>
                </w:p>
              </w:tc>
              <w:tc>
                <w:tcPr>
                  <w:tcW w:w="567" w:type="dxa"/>
                  <w:vMerge w:val="continue"/>
                  <w:noWrap w:val="0"/>
                  <w:vAlign w:val="center"/>
                </w:tcPr>
                <w:p w14:paraId="7308E45D">
                  <w:pPr>
                    <w:jc w:val="center"/>
                    <w:rPr>
                      <w:kern w:val="0"/>
                      <w:szCs w:val="21"/>
                    </w:rPr>
                  </w:pPr>
                </w:p>
              </w:tc>
              <w:tc>
                <w:tcPr>
                  <w:tcW w:w="850" w:type="dxa"/>
                  <w:noWrap w:val="0"/>
                  <w:vAlign w:val="center"/>
                </w:tcPr>
                <w:p w14:paraId="0488B513">
                  <w:pPr>
                    <w:snapToGrid w:val="0"/>
                    <w:spacing w:before="60" w:after="60"/>
                    <w:jc w:val="center"/>
                    <w:rPr>
                      <w:szCs w:val="21"/>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70554139">
                  <w:pPr>
                    <w:jc w:val="center"/>
                    <w:rPr>
                      <w:rFonts w:hint="default" w:eastAsia="宋体"/>
                      <w:kern w:val="0"/>
                      <w:szCs w:val="21"/>
                      <w:lang w:val="en-US" w:eastAsia="zh-CN"/>
                    </w:rPr>
                  </w:pPr>
                  <w:r>
                    <w:rPr>
                      <w:rFonts w:hint="eastAsia"/>
                      <w:kern w:val="0"/>
                      <w:szCs w:val="21"/>
                      <w:lang w:val="en-US" w:eastAsia="zh-CN"/>
                    </w:rPr>
                    <w:t>18</w:t>
                  </w:r>
                </w:p>
              </w:tc>
            </w:tr>
            <w:tr w14:paraId="6752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7C69C1FB">
                  <w:pPr>
                    <w:jc w:val="center"/>
                    <w:rPr>
                      <w:kern w:val="0"/>
                      <w:szCs w:val="21"/>
                    </w:rPr>
                  </w:pPr>
                  <w:r>
                    <w:rPr>
                      <w:rFonts w:hint="eastAsia"/>
                      <w:kern w:val="0"/>
                      <w:szCs w:val="21"/>
                    </w:rPr>
                    <w:t>6</w:t>
                  </w:r>
                </w:p>
              </w:tc>
              <w:tc>
                <w:tcPr>
                  <w:tcW w:w="708" w:type="dxa"/>
                  <w:noWrap w:val="0"/>
                  <w:vAlign w:val="center"/>
                </w:tcPr>
                <w:p w14:paraId="5DF13C33">
                  <w:pPr>
                    <w:snapToGrid w:val="0"/>
                    <w:spacing w:before="60" w:after="60"/>
                    <w:jc w:val="center"/>
                    <w:rPr>
                      <w:rFonts w:hint="eastAsia"/>
                      <w:szCs w:val="21"/>
                    </w:rPr>
                  </w:pPr>
                  <w:r>
                    <w:rPr>
                      <w:rFonts w:hint="eastAsia"/>
                      <w:szCs w:val="21"/>
                    </w:rPr>
                    <w:t>钻床</w:t>
                  </w:r>
                </w:p>
              </w:tc>
              <w:tc>
                <w:tcPr>
                  <w:tcW w:w="852" w:type="dxa"/>
                  <w:noWrap w:val="0"/>
                  <w:vAlign w:val="center"/>
                </w:tcPr>
                <w:p w14:paraId="11404FAC">
                  <w:pPr>
                    <w:snapToGrid w:val="0"/>
                    <w:spacing w:before="60" w:after="60"/>
                    <w:jc w:val="center"/>
                    <w:rPr>
                      <w:szCs w:val="21"/>
                    </w:rPr>
                  </w:pPr>
                  <w:r>
                    <w:rPr>
                      <w:szCs w:val="21"/>
                    </w:rPr>
                    <w:t>7</w:t>
                  </w:r>
                  <w:r>
                    <w:rPr>
                      <w:rFonts w:hint="eastAsia"/>
                      <w:szCs w:val="21"/>
                    </w:rPr>
                    <w:t>5</w:t>
                  </w:r>
                  <w:r>
                    <w:rPr>
                      <w:szCs w:val="21"/>
                    </w:rPr>
                    <w:t>-8</w:t>
                  </w:r>
                  <w:r>
                    <w:rPr>
                      <w:rFonts w:hint="eastAsia"/>
                      <w:szCs w:val="21"/>
                      <w:lang w:val="en-US" w:eastAsia="zh-CN"/>
                    </w:rPr>
                    <w:t>5</w:t>
                  </w:r>
                </w:p>
              </w:tc>
              <w:tc>
                <w:tcPr>
                  <w:tcW w:w="710" w:type="dxa"/>
                  <w:vMerge w:val="continue"/>
                  <w:noWrap w:val="0"/>
                  <w:vAlign w:val="center"/>
                </w:tcPr>
                <w:p w14:paraId="649ABA92">
                  <w:pPr>
                    <w:jc w:val="center"/>
                    <w:rPr>
                      <w:kern w:val="0"/>
                      <w:szCs w:val="21"/>
                    </w:rPr>
                  </w:pPr>
                </w:p>
              </w:tc>
              <w:tc>
                <w:tcPr>
                  <w:tcW w:w="426" w:type="dxa"/>
                  <w:noWrap w:val="0"/>
                  <w:vAlign w:val="center"/>
                </w:tcPr>
                <w:p w14:paraId="158E32F3">
                  <w:pPr>
                    <w:jc w:val="center"/>
                    <w:rPr>
                      <w:kern w:val="0"/>
                      <w:szCs w:val="21"/>
                    </w:rPr>
                  </w:pPr>
                  <w:r>
                    <w:rPr>
                      <w:rFonts w:hint="eastAsia"/>
                      <w:kern w:val="0"/>
                      <w:szCs w:val="21"/>
                    </w:rPr>
                    <w:t>38</w:t>
                  </w:r>
                </w:p>
              </w:tc>
              <w:tc>
                <w:tcPr>
                  <w:tcW w:w="568" w:type="dxa"/>
                  <w:noWrap w:val="0"/>
                  <w:vAlign w:val="center"/>
                </w:tcPr>
                <w:p w14:paraId="66B432AF">
                  <w:pPr>
                    <w:jc w:val="center"/>
                    <w:rPr>
                      <w:rFonts w:hint="eastAsia"/>
                      <w:kern w:val="0"/>
                      <w:szCs w:val="21"/>
                    </w:rPr>
                  </w:pPr>
                  <w:r>
                    <w:rPr>
                      <w:rFonts w:hint="eastAsia"/>
                      <w:kern w:val="0"/>
                      <w:szCs w:val="21"/>
                    </w:rPr>
                    <w:t>25</w:t>
                  </w:r>
                </w:p>
              </w:tc>
              <w:tc>
                <w:tcPr>
                  <w:tcW w:w="630" w:type="dxa"/>
                  <w:noWrap w:val="0"/>
                  <w:vAlign w:val="center"/>
                </w:tcPr>
                <w:p w14:paraId="5E3137AE">
                  <w:pPr>
                    <w:jc w:val="center"/>
                    <w:rPr>
                      <w:kern w:val="0"/>
                      <w:szCs w:val="21"/>
                    </w:rPr>
                  </w:pPr>
                  <w:r>
                    <w:rPr>
                      <w:rFonts w:hint="eastAsia"/>
                      <w:kern w:val="0"/>
                      <w:szCs w:val="21"/>
                    </w:rPr>
                    <w:t>0</w:t>
                  </w:r>
                </w:p>
              </w:tc>
              <w:tc>
                <w:tcPr>
                  <w:tcW w:w="577" w:type="dxa"/>
                  <w:noWrap w:val="0"/>
                  <w:vAlign w:val="center"/>
                </w:tcPr>
                <w:p w14:paraId="02B0F216">
                  <w:pPr>
                    <w:jc w:val="center"/>
                    <w:rPr>
                      <w:kern w:val="0"/>
                      <w:szCs w:val="21"/>
                    </w:rPr>
                  </w:pPr>
                  <w:r>
                    <w:rPr>
                      <w:rFonts w:hint="eastAsia"/>
                      <w:kern w:val="0"/>
                      <w:szCs w:val="21"/>
                    </w:rPr>
                    <w:t>8</w:t>
                  </w:r>
                </w:p>
              </w:tc>
              <w:tc>
                <w:tcPr>
                  <w:tcW w:w="709" w:type="dxa"/>
                  <w:noWrap w:val="0"/>
                  <w:vAlign w:val="center"/>
                </w:tcPr>
                <w:p w14:paraId="4640FE6D">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0BD5E5F6">
                  <w:pPr>
                    <w:jc w:val="center"/>
                    <w:rPr>
                      <w:kern w:val="0"/>
                      <w:szCs w:val="21"/>
                    </w:rPr>
                  </w:pPr>
                </w:p>
              </w:tc>
              <w:tc>
                <w:tcPr>
                  <w:tcW w:w="567" w:type="dxa"/>
                  <w:vMerge w:val="continue"/>
                  <w:noWrap w:val="0"/>
                  <w:vAlign w:val="center"/>
                </w:tcPr>
                <w:p w14:paraId="21CDE31E">
                  <w:pPr>
                    <w:jc w:val="center"/>
                    <w:rPr>
                      <w:kern w:val="0"/>
                      <w:szCs w:val="21"/>
                    </w:rPr>
                  </w:pPr>
                </w:p>
              </w:tc>
              <w:tc>
                <w:tcPr>
                  <w:tcW w:w="850" w:type="dxa"/>
                  <w:noWrap w:val="0"/>
                  <w:vAlign w:val="center"/>
                </w:tcPr>
                <w:p w14:paraId="2B1B38E6">
                  <w:pPr>
                    <w:snapToGrid w:val="0"/>
                    <w:spacing w:before="60" w:after="60"/>
                    <w:jc w:val="center"/>
                    <w:rPr>
                      <w:szCs w:val="21"/>
                    </w:rPr>
                  </w:pPr>
                  <w:r>
                    <w:rPr>
                      <w:rFonts w:hint="eastAsia"/>
                      <w:szCs w:val="21"/>
                      <w:lang w:val="en-US" w:eastAsia="zh-CN"/>
                    </w:rPr>
                    <w:t>55-70</w:t>
                  </w:r>
                </w:p>
              </w:tc>
              <w:tc>
                <w:tcPr>
                  <w:tcW w:w="961" w:type="dxa"/>
                  <w:noWrap w:val="0"/>
                  <w:vAlign w:val="center"/>
                </w:tcPr>
                <w:p w14:paraId="324DB11F">
                  <w:pPr>
                    <w:jc w:val="center"/>
                    <w:rPr>
                      <w:rFonts w:hint="default" w:eastAsia="宋体"/>
                      <w:kern w:val="0"/>
                      <w:szCs w:val="21"/>
                      <w:lang w:val="en-US" w:eastAsia="zh-CN"/>
                    </w:rPr>
                  </w:pPr>
                  <w:r>
                    <w:rPr>
                      <w:rFonts w:hint="eastAsia"/>
                      <w:kern w:val="0"/>
                      <w:szCs w:val="21"/>
                      <w:lang w:val="en-US" w:eastAsia="zh-CN"/>
                    </w:rPr>
                    <w:t>25</w:t>
                  </w:r>
                </w:p>
              </w:tc>
            </w:tr>
            <w:tr w14:paraId="23F2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55ACA88E">
                  <w:pPr>
                    <w:jc w:val="center"/>
                    <w:rPr>
                      <w:kern w:val="0"/>
                      <w:szCs w:val="21"/>
                    </w:rPr>
                  </w:pPr>
                  <w:r>
                    <w:rPr>
                      <w:rFonts w:hint="eastAsia"/>
                      <w:kern w:val="0"/>
                      <w:szCs w:val="21"/>
                    </w:rPr>
                    <w:t>7</w:t>
                  </w:r>
                </w:p>
              </w:tc>
              <w:tc>
                <w:tcPr>
                  <w:tcW w:w="708" w:type="dxa"/>
                  <w:noWrap w:val="0"/>
                  <w:vAlign w:val="center"/>
                </w:tcPr>
                <w:p w14:paraId="5B0BDAF3">
                  <w:pPr>
                    <w:snapToGrid w:val="0"/>
                    <w:spacing w:before="60" w:after="60"/>
                    <w:jc w:val="center"/>
                    <w:rPr>
                      <w:rFonts w:hint="eastAsia"/>
                      <w:szCs w:val="21"/>
                    </w:rPr>
                  </w:pPr>
                  <w:r>
                    <w:rPr>
                      <w:rFonts w:hint="eastAsia"/>
                      <w:szCs w:val="21"/>
                    </w:rPr>
                    <w:t>机械压力机</w:t>
                  </w:r>
                </w:p>
              </w:tc>
              <w:tc>
                <w:tcPr>
                  <w:tcW w:w="852" w:type="dxa"/>
                  <w:noWrap w:val="0"/>
                  <w:vAlign w:val="center"/>
                </w:tcPr>
                <w:p w14:paraId="693684AA">
                  <w:pPr>
                    <w:snapToGrid w:val="0"/>
                    <w:spacing w:before="60" w:after="60"/>
                    <w:jc w:val="center"/>
                    <w:rPr>
                      <w:szCs w:val="21"/>
                    </w:rPr>
                  </w:pPr>
                  <w:r>
                    <w:rPr>
                      <w:szCs w:val="21"/>
                    </w:rPr>
                    <w:t>7</w:t>
                  </w:r>
                  <w:r>
                    <w:rPr>
                      <w:rFonts w:hint="eastAsia"/>
                      <w:szCs w:val="21"/>
                    </w:rPr>
                    <w:t>5</w:t>
                  </w:r>
                  <w:r>
                    <w:rPr>
                      <w:szCs w:val="21"/>
                    </w:rPr>
                    <w:t>-8</w:t>
                  </w:r>
                  <w:r>
                    <w:rPr>
                      <w:rFonts w:hint="eastAsia"/>
                      <w:szCs w:val="21"/>
                      <w:lang w:val="en-US" w:eastAsia="zh-CN"/>
                    </w:rPr>
                    <w:t>5</w:t>
                  </w:r>
                </w:p>
              </w:tc>
              <w:tc>
                <w:tcPr>
                  <w:tcW w:w="710" w:type="dxa"/>
                  <w:vMerge w:val="continue"/>
                  <w:noWrap w:val="0"/>
                  <w:vAlign w:val="center"/>
                </w:tcPr>
                <w:p w14:paraId="62E80A44">
                  <w:pPr>
                    <w:jc w:val="center"/>
                    <w:rPr>
                      <w:kern w:val="0"/>
                      <w:szCs w:val="21"/>
                    </w:rPr>
                  </w:pPr>
                </w:p>
              </w:tc>
              <w:tc>
                <w:tcPr>
                  <w:tcW w:w="426" w:type="dxa"/>
                  <w:noWrap w:val="0"/>
                  <w:vAlign w:val="center"/>
                </w:tcPr>
                <w:p w14:paraId="3B480F20">
                  <w:pPr>
                    <w:jc w:val="center"/>
                    <w:rPr>
                      <w:kern w:val="0"/>
                      <w:szCs w:val="21"/>
                    </w:rPr>
                  </w:pPr>
                  <w:r>
                    <w:rPr>
                      <w:rFonts w:hint="eastAsia"/>
                      <w:kern w:val="0"/>
                      <w:szCs w:val="21"/>
                    </w:rPr>
                    <w:t>20</w:t>
                  </w:r>
                </w:p>
              </w:tc>
              <w:tc>
                <w:tcPr>
                  <w:tcW w:w="568" w:type="dxa"/>
                  <w:noWrap w:val="0"/>
                  <w:vAlign w:val="center"/>
                </w:tcPr>
                <w:p w14:paraId="2B5FEFA2">
                  <w:pPr>
                    <w:jc w:val="center"/>
                    <w:rPr>
                      <w:kern w:val="0"/>
                      <w:szCs w:val="21"/>
                    </w:rPr>
                  </w:pPr>
                  <w:r>
                    <w:rPr>
                      <w:rFonts w:hint="eastAsia"/>
                      <w:kern w:val="0"/>
                      <w:szCs w:val="21"/>
                    </w:rPr>
                    <w:t>72</w:t>
                  </w:r>
                </w:p>
              </w:tc>
              <w:tc>
                <w:tcPr>
                  <w:tcW w:w="630" w:type="dxa"/>
                  <w:noWrap w:val="0"/>
                  <w:vAlign w:val="center"/>
                </w:tcPr>
                <w:p w14:paraId="5ED5B4A8">
                  <w:pPr>
                    <w:jc w:val="center"/>
                    <w:rPr>
                      <w:kern w:val="0"/>
                      <w:szCs w:val="21"/>
                    </w:rPr>
                  </w:pPr>
                  <w:r>
                    <w:rPr>
                      <w:rFonts w:hint="eastAsia"/>
                      <w:kern w:val="0"/>
                      <w:szCs w:val="21"/>
                    </w:rPr>
                    <w:t>0</w:t>
                  </w:r>
                </w:p>
              </w:tc>
              <w:tc>
                <w:tcPr>
                  <w:tcW w:w="577" w:type="dxa"/>
                  <w:noWrap w:val="0"/>
                  <w:vAlign w:val="center"/>
                </w:tcPr>
                <w:p w14:paraId="426C9B1D">
                  <w:pPr>
                    <w:jc w:val="center"/>
                    <w:rPr>
                      <w:rFonts w:hint="eastAsia"/>
                      <w:kern w:val="0"/>
                      <w:szCs w:val="21"/>
                    </w:rPr>
                  </w:pPr>
                  <w:r>
                    <w:rPr>
                      <w:rFonts w:hint="eastAsia"/>
                      <w:kern w:val="0"/>
                      <w:szCs w:val="21"/>
                    </w:rPr>
                    <w:t>21</w:t>
                  </w:r>
                </w:p>
              </w:tc>
              <w:tc>
                <w:tcPr>
                  <w:tcW w:w="709" w:type="dxa"/>
                  <w:noWrap w:val="0"/>
                  <w:vAlign w:val="center"/>
                </w:tcPr>
                <w:p w14:paraId="17BD9857">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72F890B7">
                  <w:pPr>
                    <w:jc w:val="center"/>
                    <w:rPr>
                      <w:kern w:val="0"/>
                      <w:szCs w:val="21"/>
                    </w:rPr>
                  </w:pPr>
                </w:p>
              </w:tc>
              <w:tc>
                <w:tcPr>
                  <w:tcW w:w="567" w:type="dxa"/>
                  <w:vMerge w:val="continue"/>
                  <w:noWrap w:val="0"/>
                  <w:vAlign w:val="center"/>
                </w:tcPr>
                <w:p w14:paraId="525071FF">
                  <w:pPr>
                    <w:jc w:val="center"/>
                    <w:rPr>
                      <w:kern w:val="0"/>
                      <w:szCs w:val="21"/>
                    </w:rPr>
                  </w:pPr>
                </w:p>
              </w:tc>
              <w:tc>
                <w:tcPr>
                  <w:tcW w:w="850" w:type="dxa"/>
                  <w:noWrap w:val="0"/>
                  <w:vAlign w:val="center"/>
                </w:tcPr>
                <w:p w14:paraId="3C3DCBB0">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5658E532">
                  <w:pPr>
                    <w:jc w:val="center"/>
                    <w:rPr>
                      <w:kern w:val="0"/>
                      <w:szCs w:val="21"/>
                    </w:rPr>
                  </w:pPr>
                  <w:r>
                    <w:rPr>
                      <w:rFonts w:hint="eastAsia"/>
                      <w:kern w:val="0"/>
                      <w:szCs w:val="21"/>
                      <w:lang w:val="en-US" w:eastAsia="zh-CN"/>
                    </w:rPr>
                    <w:t>25</w:t>
                  </w:r>
                </w:p>
              </w:tc>
            </w:tr>
            <w:tr w14:paraId="50B6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4EA277C3">
                  <w:pPr>
                    <w:jc w:val="center"/>
                    <w:rPr>
                      <w:kern w:val="0"/>
                      <w:szCs w:val="21"/>
                    </w:rPr>
                  </w:pPr>
                  <w:r>
                    <w:rPr>
                      <w:rFonts w:hint="eastAsia"/>
                      <w:kern w:val="0"/>
                      <w:szCs w:val="21"/>
                    </w:rPr>
                    <w:t>8</w:t>
                  </w:r>
                </w:p>
              </w:tc>
              <w:tc>
                <w:tcPr>
                  <w:tcW w:w="708" w:type="dxa"/>
                  <w:noWrap w:val="0"/>
                  <w:vAlign w:val="center"/>
                </w:tcPr>
                <w:p w14:paraId="6EA748E1">
                  <w:pPr>
                    <w:snapToGrid w:val="0"/>
                    <w:spacing w:before="60" w:after="60"/>
                    <w:jc w:val="center"/>
                    <w:rPr>
                      <w:rFonts w:hint="eastAsia"/>
                      <w:szCs w:val="21"/>
                    </w:rPr>
                  </w:pPr>
                  <w:r>
                    <w:rPr>
                      <w:rFonts w:hint="eastAsia"/>
                      <w:szCs w:val="21"/>
                    </w:rPr>
                    <w:t>半自动CO</w:t>
                  </w:r>
                  <w:r>
                    <w:rPr>
                      <w:rFonts w:hint="eastAsia"/>
                      <w:szCs w:val="21"/>
                      <w:vertAlign w:val="subscript"/>
                    </w:rPr>
                    <w:t>2</w:t>
                  </w:r>
                  <w:r>
                    <w:rPr>
                      <w:rFonts w:hint="eastAsia"/>
                      <w:szCs w:val="21"/>
                    </w:rPr>
                    <w:t>弧焊机</w:t>
                  </w:r>
                </w:p>
              </w:tc>
              <w:tc>
                <w:tcPr>
                  <w:tcW w:w="852" w:type="dxa"/>
                  <w:noWrap w:val="0"/>
                  <w:vAlign w:val="center"/>
                </w:tcPr>
                <w:p w14:paraId="2CDDCD42">
                  <w:pPr>
                    <w:snapToGrid w:val="0"/>
                    <w:spacing w:before="60" w:after="60"/>
                    <w:jc w:val="center"/>
                    <w:rPr>
                      <w:szCs w:val="21"/>
                    </w:rPr>
                  </w:pPr>
                  <w:r>
                    <w:rPr>
                      <w:szCs w:val="21"/>
                    </w:rPr>
                    <w:t>7</w:t>
                  </w:r>
                  <w:r>
                    <w:rPr>
                      <w:rFonts w:hint="eastAsia"/>
                      <w:szCs w:val="21"/>
                    </w:rPr>
                    <w:t>5</w:t>
                  </w:r>
                  <w:r>
                    <w:rPr>
                      <w:szCs w:val="21"/>
                    </w:rPr>
                    <w:t>-8</w:t>
                  </w:r>
                  <w:r>
                    <w:rPr>
                      <w:rFonts w:hint="eastAsia"/>
                      <w:szCs w:val="21"/>
                      <w:lang w:val="en-US" w:eastAsia="zh-CN"/>
                    </w:rPr>
                    <w:t>5</w:t>
                  </w:r>
                </w:p>
              </w:tc>
              <w:tc>
                <w:tcPr>
                  <w:tcW w:w="710" w:type="dxa"/>
                  <w:vMerge w:val="continue"/>
                  <w:noWrap w:val="0"/>
                  <w:vAlign w:val="center"/>
                </w:tcPr>
                <w:p w14:paraId="7BDBFCB2">
                  <w:pPr>
                    <w:jc w:val="center"/>
                    <w:rPr>
                      <w:kern w:val="0"/>
                      <w:szCs w:val="21"/>
                    </w:rPr>
                  </w:pPr>
                </w:p>
              </w:tc>
              <w:tc>
                <w:tcPr>
                  <w:tcW w:w="426" w:type="dxa"/>
                  <w:noWrap w:val="0"/>
                  <w:vAlign w:val="center"/>
                </w:tcPr>
                <w:p w14:paraId="5600390F">
                  <w:pPr>
                    <w:jc w:val="center"/>
                    <w:rPr>
                      <w:rFonts w:hint="eastAsia"/>
                      <w:kern w:val="0"/>
                      <w:szCs w:val="21"/>
                    </w:rPr>
                  </w:pPr>
                  <w:r>
                    <w:rPr>
                      <w:rFonts w:hint="eastAsia"/>
                      <w:kern w:val="0"/>
                      <w:szCs w:val="21"/>
                    </w:rPr>
                    <w:t>96</w:t>
                  </w:r>
                </w:p>
              </w:tc>
              <w:tc>
                <w:tcPr>
                  <w:tcW w:w="568" w:type="dxa"/>
                  <w:noWrap w:val="0"/>
                  <w:vAlign w:val="center"/>
                </w:tcPr>
                <w:p w14:paraId="0972923D">
                  <w:pPr>
                    <w:jc w:val="center"/>
                    <w:rPr>
                      <w:rFonts w:hint="eastAsia"/>
                      <w:kern w:val="0"/>
                      <w:szCs w:val="21"/>
                    </w:rPr>
                  </w:pPr>
                  <w:r>
                    <w:rPr>
                      <w:rFonts w:hint="eastAsia"/>
                      <w:kern w:val="0"/>
                      <w:szCs w:val="21"/>
                    </w:rPr>
                    <w:t>28</w:t>
                  </w:r>
                </w:p>
              </w:tc>
              <w:tc>
                <w:tcPr>
                  <w:tcW w:w="630" w:type="dxa"/>
                  <w:noWrap w:val="0"/>
                  <w:vAlign w:val="center"/>
                </w:tcPr>
                <w:p w14:paraId="27355E73">
                  <w:pPr>
                    <w:jc w:val="center"/>
                    <w:rPr>
                      <w:kern w:val="0"/>
                      <w:szCs w:val="21"/>
                    </w:rPr>
                  </w:pPr>
                  <w:r>
                    <w:rPr>
                      <w:rFonts w:hint="eastAsia"/>
                      <w:kern w:val="0"/>
                      <w:szCs w:val="21"/>
                    </w:rPr>
                    <w:t>0</w:t>
                  </w:r>
                </w:p>
              </w:tc>
              <w:tc>
                <w:tcPr>
                  <w:tcW w:w="577" w:type="dxa"/>
                  <w:noWrap w:val="0"/>
                  <w:vAlign w:val="center"/>
                </w:tcPr>
                <w:p w14:paraId="04AA13D0">
                  <w:pPr>
                    <w:jc w:val="center"/>
                    <w:rPr>
                      <w:rFonts w:hint="eastAsia"/>
                      <w:kern w:val="0"/>
                      <w:szCs w:val="21"/>
                    </w:rPr>
                  </w:pPr>
                  <w:r>
                    <w:rPr>
                      <w:rFonts w:hint="eastAsia"/>
                      <w:kern w:val="0"/>
                      <w:szCs w:val="21"/>
                      <w:lang w:bidi="ar"/>
                    </w:rPr>
                    <w:t>21</w:t>
                  </w:r>
                </w:p>
              </w:tc>
              <w:tc>
                <w:tcPr>
                  <w:tcW w:w="709" w:type="dxa"/>
                  <w:noWrap w:val="0"/>
                  <w:vAlign w:val="center"/>
                </w:tcPr>
                <w:p w14:paraId="5C6EAD51">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02A773DE">
                  <w:pPr>
                    <w:jc w:val="center"/>
                    <w:rPr>
                      <w:kern w:val="0"/>
                      <w:szCs w:val="21"/>
                    </w:rPr>
                  </w:pPr>
                </w:p>
              </w:tc>
              <w:tc>
                <w:tcPr>
                  <w:tcW w:w="567" w:type="dxa"/>
                  <w:vMerge w:val="continue"/>
                  <w:noWrap w:val="0"/>
                  <w:vAlign w:val="center"/>
                </w:tcPr>
                <w:p w14:paraId="478A21C0">
                  <w:pPr>
                    <w:jc w:val="center"/>
                    <w:rPr>
                      <w:kern w:val="0"/>
                      <w:szCs w:val="21"/>
                    </w:rPr>
                  </w:pPr>
                </w:p>
              </w:tc>
              <w:tc>
                <w:tcPr>
                  <w:tcW w:w="850" w:type="dxa"/>
                  <w:noWrap w:val="0"/>
                  <w:vAlign w:val="center"/>
                </w:tcPr>
                <w:p w14:paraId="49027D94">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6B9F1175">
                  <w:pPr>
                    <w:jc w:val="center"/>
                    <w:rPr>
                      <w:kern w:val="0"/>
                      <w:szCs w:val="21"/>
                    </w:rPr>
                  </w:pPr>
                  <w:r>
                    <w:rPr>
                      <w:rFonts w:hint="eastAsia"/>
                      <w:kern w:val="0"/>
                      <w:szCs w:val="21"/>
                      <w:lang w:val="en-US" w:eastAsia="zh-CN"/>
                    </w:rPr>
                    <w:t>25</w:t>
                  </w:r>
                </w:p>
              </w:tc>
            </w:tr>
            <w:tr w14:paraId="1A36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252C57E6">
                  <w:pPr>
                    <w:jc w:val="center"/>
                    <w:rPr>
                      <w:kern w:val="0"/>
                      <w:szCs w:val="21"/>
                    </w:rPr>
                  </w:pPr>
                  <w:r>
                    <w:rPr>
                      <w:rFonts w:hint="eastAsia"/>
                      <w:kern w:val="0"/>
                      <w:szCs w:val="21"/>
                    </w:rPr>
                    <w:t>9</w:t>
                  </w:r>
                </w:p>
              </w:tc>
              <w:tc>
                <w:tcPr>
                  <w:tcW w:w="708" w:type="dxa"/>
                  <w:noWrap w:val="0"/>
                  <w:vAlign w:val="center"/>
                </w:tcPr>
                <w:p w14:paraId="6F594BF6">
                  <w:pPr>
                    <w:snapToGrid w:val="0"/>
                    <w:spacing w:before="60" w:after="60"/>
                    <w:jc w:val="center"/>
                    <w:rPr>
                      <w:rFonts w:hint="eastAsia"/>
                      <w:szCs w:val="21"/>
                    </w:rPr>
                  </w:pPr>
                  <w:r>
                    <w:rPr>
                      <w:rFonts w:hint="eastAsia"/>
                      <w:szCs w:val="21"/>
                    </w:rPr>
                    <w:t>全自动悬链钝化封闭线</w:t>
                  </w:r>
                </w:p>
              </w:tc>
              <w:tc>
                <w:tcPr>
                  <w:tcW w:w="852" w:type="dxa"/>
                  <w:noWrap w:val="0"/>
                  <w:vAlign w:val="center"/>
                </w:tcPr>
                <w:p w14:paraId="6646E0D0">
                  <w:pPr>
                    <w:snapToGrid w:val="0"/>
                    <w:spacing w:before="60" w:after="60"/>
                    <w:jc w:val="center"/>
                    <w:rPr>
                      <w:szCs w:val="21"/>
                    </w:rPr>
                  </w:pPr>
                  <w:r>
                    <w:rPr>
                      <w:rFonts w:hint="eastAsia"/>
                      <w:szCs w:val="21"/>
                      <w:lang w:val="en-US" w:eastAsia="zh-CN"/>
                    </w:rPr>
                    <w:t>75</w:t>
                  </w:r>
                  <w:r>
                    <w:rPr>
                      <w:rFonts w:hint="eastAsia"/>
                      <w:szCs w:val="21"/>
                    </w:rPr>
                    <w:t>-80</w:t>
                  </w:r>
                </w:p>
              </w:tc>
              <w:tc>
                <w:tcPr>
                  <w:tcW w:w="710" w:type="dxa"/>
                  <w:vMerge w:val="continue"/>
                  <w:noWrap w:val="0"/>
                  <w:vAlign w:val="center"/>
                </w:tcPr>
                <w:p w14:paraId="15267708">
                  <w:pPr>
                    <w:jc w:val="center"/>
                    <w:rPr>
                      <w:kern w:val="0"/>
                      <w:szCs w:val="21"/>
                    </w:rPr>
                  </w:pPr>
                </w:p>
              </w:tc>
              <w:tc>
                <w:tcPr>
                  <w:tcW w:w="426" w:type="dxa"/>
                  <w:noWrap w:val="0"/>
                  <w:vAlign w:val="center"/>
                </w:tcPr>
                <w:p w14:paraId="5740CBEB">
                  <w:pPr>
                    <w:jc w:val="center"/>
                    <w:rPr>
                      <w:rFonts w:hint="eastAsia"/>
                      <w:kern w:val="0"/>
                      <w:szCs w:val="21"/>
                    </w:rPr>
                  </w:pPr>
                  <w:r>
                    <w:rPr>
                      <w:rFonts w:hint="eastAsia"/>
                      <w:kern w:val="0"/>
                      <w:szCs w:val="21"/>
                    </w:rPr>
                    <w:t>48</w:t>
                  </w:r>
                </w:p>
              </w:tc>
              <w:tc>
                <w:tcPr>
                  <w:tcW w:w="568" w:type="dxa"/>
                  <w:noWrap w:val="0"/>
                  <w:vAlign w:val="center"/>
                </w:tcPr>
                <w:p w14:paraId="222E3B64">
                  <w:pPr>
                    <w:jc w:val="center"/>
                    <w:rPr>
                      <w:rFonts w:hint="eastAsia"/>
                      <w:kern w:val="0"/>
                      <w:szCs w:val="21"/>
                    </w:rPr>
                  </w:pPr>
                  <w:r>
                    <w:rPr>
                      <w:rFonts w:hint="eastAsia"/>
                      <w:kern w:val="0"/>
                      <w:szCs w:val="21"/>
                    </w:rPr>
                    <w:t>49</w:t>
                  </w:r>
                </w:p>
              </w:tc>
              <w:tc>
                <w:tcPr>
                  <w:tcW w:w="630" w:type="dxa"/>
                  <w:noWrap w:val="0"/>
                  <w:vAlign w:val="center"/>
                </w:tcPr>
                <w:p w14:paraId="787F1031">
                  <w:pPr>
                    <w:jc w:val="center"/>
                    <w:rPr>
                      <w:kern w:val="0"/>
                      <w:szCs w:val="21"/>
                    </w:rPr>
                  </w:pPr>
                  <w:r>
                    <w:rPr>
                      <w:rFonts w:hint="eastAsia"/>
                      <w:kern w:val="0"/>
                      <w:szCs w:val="21"/>
                    </w:rPr>
                    <w:t>0</w:t>
                  </w:r>
                </w:p>
              </w:tc>
              <w:tc>
                <w:tcPr>
                  <w:tcW w:w="577" w:type="dxa"/>
                  <w:noWrap w:val="0"/>
                  <w:vAlign w:val="center"/>
                </w:tcPr>
                <w:p w14:paraId="69F7FCAF">
                  <w:pPr>
                    <w:widowControl/>
                    <w:jc w:val="center"/>
                    <w:textAlignment w:val="center"/>
                    <w:rPr>
                      <w:rFonts w:hint="eastAsia"/>
                      <w:kern w:val="0"/>
                      <w:szCs w:val="21"/>
                    </w:rPr>
                  </w:pPr>
                  <w:r>
                    <w:rPr>
                      <w:rFonts w:hint="eastAsia"/>
                      <w:kern w:val="0"/>
                      <w:szCs w:val="21"/>
                      <w:lang w:bidi="ar"/>
                    </w:rPr>
                    <w:t>16</w:t>
                  </w:r>
                </w:p>
              </w:tc>
              <w:tc>
                <w:tcPr>
                  <w:tcW w:w="709" w:type="dxa"/>
                  <w:noWrap w:val="0"/>
                  <w:vAlign w:val="center"/>
                </w:tcPr>
                <w:p w14:paraId="6C34E4B8">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009C2AEB">
                  <w:pPr>
                    <w:jc w:val="center"/>
                    <w:rPr>
                      <w:kern w:val="0"/>
                      <w:szCs w:val="21"/>
                    </w:rPr>
                  </w:pPr>
                </w:p>
              </w:tc>
              <w:tc>
                <w:tcPr>
                  <w:tcW w:w="567" w:type="dxa"/>
                  <w:vMerge w:val="continue"/>
                  <w:noWrap w:val="0"/>
                  <w:vAlign w:val="center"/>
                </w:tcPr>
                <w:p w14:paraId="28B7E796">
                  <w:pPr>
                    <w:jc w:val="center"/>
                    <w:rPr>
                      <w:kern w:val="0"/>
                      <w:szCs w:val="21"/>
                    </w:rPr>
                  </w:pPr>
                </w:p>
              </w:tc>
              <w:tc>
                <w:tcPr>
                  <w:tcW w:w="850" w:type="dxa"/>
                  <w:noWrap w:val="0"/>
                  <w:vAlign w:val="center"/>
                </w:tcPr>
                <w:p w14:paraId="3E84FFFB">
                  <w:pPr>
                    <w:snapToGrid w:val="0"/>
                    <w:spacing w:before="60" w:after="60"/>
                    <w:jc w:val="center"/>
                    <w:rPr>
                      <w:rFonts w:hint="default" w:eastAsia="宋体"/>
                      <w:szCs w:val="21"/>
                      <w:lang w:val="en-US" w:eastAsia="zh-CN"/>
                    </w:rPr>
                  </w:pPr>
                  <w:r>
                    <w:rPr>
                      <w:rFonts w:hint="eastAsia"/>
                      <w:szCs w:val="21"/>
                    </w:rPr>
                    <w:t>5</w:t>
                  </w:r>
                  <w:r>
                    <w:rPr>
                      <w:rFonts w:hint="eastAsia"/>
                      <w:szCs w:val="21"/>
                      <w:lang w:val="en-US" w:eastAsia="zh-CN"/>
                    </w:rPr>
                    <w:t>0</w:t>
                  </w:r>
                  <w:r>
                    <w:rPr>
                      <w:rFonts w:hint="eastAsia"/>
                      <w:szCs w:val="21"/>
                    </w:rPr>
                    <w:t>-</w:t>
                  </w:r>
                  <w:r>
                    <w:rPr>
                      <w:rFonts w:hint="eastAsia"/>
                      <w:szCs w:val="21"/>
                      <w:lang w:val="en-US" w:eastAsia="zh-CN"/>
                    </w:rPr>
                    <w:t>60</w:t>
                  </w:r>
                </w:p>
              </w:tc>
              <w:tc>
                <w:tcPr>
                  <w:tcW w:w="961" w:type="dxa"/>
                  <w:noWrap w:val="0"/>
                  <w:vAlign w:val="center"/>
                </w:tcPr>
                <w:p w14:paraId="26ED541A">
                  <w:pPr>
                    <w:jc w:val="center"/>
                    <w:rPr>
                      <w:kern w:val="0"/>
                      <w:szCs w:val="21"/>
                    </w:rPr>
                  </w:pPr>
                  <w:r>
                    <w:rPr>
                      <w:rFonts w:hint="eastAsia"/>
                      <w:kern w:val="0"/>
                      <w:szCs w:val="21"/>
                      <w:lang w:val="en-US" w:eastAsia="zh-CN"/>
                    </w:rPr>
                    <w:t>25</w:t>
                  </w:r>
                </w:p>
              </w:tc>
            </w:tr>
            <w:tr w14:paraId="7F9D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4F19340C">
                  <w:pPr>
                    <w:jc w:val="center"/>
                    <w:rPr>
                      <w:kern w:val="0"/>
                      <w:szCs w:val="21"/>
                    </w:rPr>
                  </w:pPr>
                  <w:r>
                    <w:rPr>
                      <w:rFonts w:hint="eastAsia"/>
                      <w:kern w:val="0"/>
                      <w:szCs w:val="21"/>
                    </w:rPr>
                    <w:t>10</w:t>
                  </w:r>
                </w:p>
              </w:tc>
              <w:tc>
                <w:tcPr>
                  <w:tcW w:w="708" w:type="dxa"/>
                  <w:noWrap w:val="0"/>
                  <w:vAlign w:val="center"/>
                </w:tcPr>
                <w:p w14:paraId="4AEAC9F5">
                  <w:pPr>
                    <w:widowControl/>
                    <w:jc w:val="center"/>
                    <w:textAlignment w:val="center"/>
                    <w:rPr>
                      <w:rFonts w:hint="eastAsia"/>
                      <w:szCs w:val="21"/>
                    </w:rPr>
                  </w:pPr>
                  <w:r>
                    <w:rPr>
                      <w:rFonts w:hint="eastAsia"/>
                      <w:szCs w:val="21"/>
                    </w:rPr>
                    <w:t>数控钻铣</w:t>
                  </w:r>
                </w:p>
              </w:tc>
              <w:tc>
                <w:tcPr>
                  <w:tcW w:w="852" w:type="dxa"/>
                  <w:noWrap w:val="0"/>
                  <w:vAlign w:val="center"/>
                </w:tcPr>
                <w:p w14:paraId="2467B2FF">
                  <w:pPr>
                    <w:snapToGrid w:val="0"/>
                    <w:spacing w:before="60" w:after="60"/>
                    <w:jc w:val="center"/>
                    <w:rPr>
                      <w:rFonts w:hint="eastAsia"/>
                      <w:szCs w:val="21"/>
                    </w:rPr>
                  </w:pPr>
                  <w:r>
                    <w:rPr>
                      <w:rFonts w:hint="eastAsia"/>
                      <w:szCs w:val="21"/>
                      <w:lang w:val="en-US" w:eastAsia="zh-CN"/>
                    </w:rPr>
                    <w:t>75</w:t>
                  </w:r>
                  <w:r>
                    <w:rPr>
                      <w:rFonts w:hint="eastAsia"/>
                      <w:szCs w:val="21"/>
                    </w:rPr>
                    <w:t>-80</w:t>
                  </w:r>
                </w:p>
              </w:tc>
              <w:tc>
                <w:tcPr>
                  <w:tcW w:w="710" w:type="dxa"/>
                  <w:vMerge w:val="continue"/>
                  <w:noWrap w:val="0"/>
                  <w:vAlign w:val="center"/>
                </w:tcPr>
                <w:p w14:paraId="7E689C2E">
                  <w:pPr>
                    <w:jc w:val="center"/>
                    <w:rPr>
                      <w:kern w:val="0"/>
                      <w:szCs w:val="21"/>
                    </w:rPr>
                  </w:pPr>
                </w:p>
              </w:tc>
              <w:tc>
                <w:tcPr>
                  <w:tcW w:w="426" w:type="dxa"/>
                  <w:noWrap w:val="0"/>
                  <w:vAlign w:val="center"/>
                </w:tcPr>
                <w:p w14:paraId="4ED7ADA2">
                  <w:pPr>
                    <w:jc w:val="center"/>
                    <w:rPr>
                      <w:kern w:val="0"/>
                      <w:szCs w:val="21"/>
                    </w:rPr>
                  </w:pPr>
                  <w:r>
                    <w:rPr>
                      <w:rFonts w:hint="eastAsia"/>
                      <w:kern w:val="0"/>
                      <w:szCs w:val="21"/>
                    </w:rPr>
                    <w:t>24</w:t>
                  </w:r>
                </w:p>
              </w:tc>
              <w:tc>
                <w:tcPr>
                  <w:tcW w:w="568" w:type="dxa"/>
                  <w:noWrap w:val="0"/>
                  <w:vAlign w:val="center"/>
                </w:tcPr>
                <w:p w14:paraId="1EF01F19">
                  <w:pPr>
                    <w:jc w:val="center"/>
                    <w:rPr>
                      <w:rFonts w:hint="eastAsia"/>
                      <w:kern w:val="0"/>
                      <w:szCs w:val="21"/>
                    </w:rPr>
                  </w:pPr>
                  <w:r>
                    <w:rPr>
                      <w:rFonts w:hint="eastAsia"/>
                      <w:kern w:val="0"/>
                      <w:szCs w:val="21"/>
                    </w:rPr>
                    <w:t>28</w:t>
                  </w:r>
                </w:p>
              </w:tc>
              <w:tc>
                <w:tcPr>
                  <w:tcW w:w="630" w:type="dxa"/>
                  <w:noWrap w:val="0"/>
                  <w:vAlign w:val="center"/>
                </w:tcPr>
                <w:p w14:paraId="565AACB5">
                  <w:pPr>
                    <w:jc w:val="center"/>
                    <w:rPr>
                      <w:kern w:val="0"/>
                      <w:szCs w:val="21"/>
                    </w:rPr>
                  </w:pPr>
                  <w:r>
                    <w:rPr>
                      <w:rFonts w:hint="eastAsia"/>
                      <w:kern w:val="0"/>
                      <w:szCs w:val="21"/>
                    </w:rPr>
                    <w:t>0</w:t>
                  </w:r>
                </w:p>
              </w:tc>
              <w:tc>
                <w:tcPr>
                  <w:tcW w:w="577" w:type="dxa"/>
                  <w:noWrap w:val="0"/>
                  <w:vAlign w:val="center"/>
                </w:tcPr>
                <w:p w14:paraId="78C681A7">
                  <w:pPr>
                    <w:widowControl/>
                    <w:jc w:val="center"/>
                    <w:textAlignment w:val="center"/>
                    <w:rPr>
                      <w:kern w:val="0"/>
                      <w:szCs w:val="21"/>
                    </w:rPr>
                  </w:pPr>
                  <w:r>
                    <w:rPr>
                      <w:rFonts w:hint="eastAsia"/>
                      <w:kern w:val="0"/>
                      <w:szCs w:val="21"/>
                      <w:lang w:bidi="ar"/>
                    </w:rPr>
                    <w:t>8</w:t>
                  </w:r>
                </w:p>
              </w:tc>
              <w:tc>
                <w:tcPr>
                  <w:tcW w:w="709" w:type="dxa"/>
                  <w:noWrap w:val="0"/>
                  <w:vAlign w:val="center"/>
                </w:tcPr>
                <w:p w14:paraId="2B44678E">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76EFA027">
                  <w:pPr>
                    <w:jc w:val="center"/>
                    <w:rPr>
                      <w:kern w:val="0"/>
                      <w:szCs w:val="21"/>
                    </w:rPr>
                  </w:pPr>
                </w:p>
              </w:tc>
              <w:tc>
                <w:tcPr>
                  <w:tcW w:w="567" w:type="dxa"/>
                  <w:vMerge w:val="continue"/>
                  <w:noWrap w:val="0"/>
                  <w:vAlign w:val="center"/>
                </w:tcPr>
                <w:p w14:paraId="2F754509">
                  <w:pPr>
                    <w:jc w:val="center"/>
                    <w:rPr>
                      <w:kern w:val="0"/>
                      <w:szCs w:val="21"/>
                    </w:rPr>
                  </w:pPr>
                </w:p>
              </w:tc>
              <w:tc>
                <w:tcPr>
                  <w:tcW w:w="850" w:type="dxa"/>
                  <w:noWrap w:val="0"/>
                  <w:vAlign w:val="center"/>
                </w:tcPr>
                <w:p w14:paraId="0E5DB0F9">
                  <w:pPr>
                    <w:snapToGrid w:val="0"/>
                    <w:spacing w:before="60" w:after="60"/>
                    <w:jc w:val="center"/>
                    <w:rPr>
                      <w:rFonts w:hint="eastAsia"/>
                      <w:szCs w:val="21"/>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1E809EA1">
                  <w:pPr>
                    <w:jc w:val="center"/>
                    <w:rPr>
                      <w:kern w:val="0"/>
                      <w:szCs w:val="21"/>
                    </w:rPr>
                  </w:pPr>
                  <w:r>
                    <w:rPr>
                      <w:rFonts w:hint="eastAsia"/>
                      <w:kern w:val="0"/>
                      <w:szCs w:val="21"/>
                      <w:lang w:val="en-US" w:eastAsia="zh-CN"/>
                    </w:rPr>
                    <w:t>25</w:t>
                  </w:r>
                </w:p>
              </w:tc>
            </w:tr>
            <w:tr w14:paraId="3434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1DCBD088">
                  <w:pPr>
                    <w:jc w:val="center"/>
                    <w:rPr>
                      <w:kern w:val="0"/>
                      <w:szCs w:val="21"/>
                    </w:rPr>
                  </w:pPr>
                  <w:r>
                    <w:rPr>
                      <w:rFonts w:hint="eastAsia"/>
                      <w:kern w:val="0"/>
                      <w:szCs w:val="21"/>
                    </w:rPr>
                    <w:t>11</w:t>
                  </w:r>
                </w:p>
              </w:tc>
              <w:tc>
                <w:tcPr>
                  <w:tcW w:w="708" w:type="dxa"/>
                  <w:noWrap w:val="0"/>
                  <w:vAlign w:val="center"/>
                </w:tcPr>
                <w:p w14:paraId="52464FE4">
                  <w:pPr>
                    <w:widowControl/>
                    <w:jc w:val="center"/>
                    <w:textAlignment w:val="center"/>
                    <w:rPr>
                      <w:rFonts w:hint="eastAsia"/>
                      <w:kern w:val="0"/>
                      <w:szCs w:val="21"/>
                    </w:rPr>
                  </w:pPr>
                  <w:r>
                    <w:rPr>
                      <w:rFonts w:hint="eastAsia" w:hAnsi="宋体"/>
                    </w:rPr>
                    <w:t>数控金属带锯床</w:t>
                  </w:r>
                </w:p>
              </w:tc>
              <w:tc>
                <w:tcPr>
                  <w:tcW w:w="852" w:type="dxa"/>
                  <w:noWrap w:val="0"/>
                  <w:vAlign w:val="center"/>
                </w:tcPr>
                <w:p w14:paraId="7AE921BC">
                  <w:pPr>
                    <w:snapToGrid w:val="0"/>
                    <w:spacing w:before="60" w:after="60"/>
                    <w:jc w:val="center"/>
                    <w:rPr>
                      <w:rFonts w:hint="eastAsia"/>
                      <w:szCs w:val="21"/>
                    </w:rPr>
                  </w:pPr>
                  <w:r>
                    <w:rPr>
                      <w:rFonts w:hint="eastAsia"/>
                      <w:szCs w:val="21"/>
                      <w:lang w:val="en-US" w:eastAsia="zh-CN"/>
                    </w:rPr>
                    <w:t>75</w:t>
                  </w:r>
                  <w:r>
                    <w:rPr>
                      <w:rFonts w:hint="eastAsia"/>
                      <w:szCs w:val="21"/>
                    </w:rPr>
                    <w:t>-80</w:t>
                  </w:r>
                </w:p>
              </w:tc>
              <w:tc>
                <w:tcPr>
                  <w:tcW w:w="710" w:type="dxa"/>
                  <w:vMerge w:val="continue"/>
                  <w:noWrap w:val="0"/>
                  <w:vAlign w:val="center"/>
                </w:tcPr>
                <w:p w14:paraId="7E575418">
                  <w:pPr>
                    <w:jc w:val="center"/>
                    <w:rPr>
                      <w:kern w:val="0"/>
                      <w:szCs w:val="21"/>
                    </w:rPr>
                  </w:pPr>
                </w:p>
              </w:tc>
              <w:tc>
                <w:tcPr>
                  <w:tcW w:w="426" w:type="dxa"/>
                  <w:noWrap w:val="0"/>
                  <w:vAlign w:val="center"/>
                </w:tcPr>
                <w:p w14:paraId="168D871A">
                  <w:pPr>
                    <w:jc w:val="center"/>
                    <w:rPr>
                      <w:kern w:val="0"/>
                      <w:szCs w:val="21"/>
                    </w:rPr>
                  </w:pPr>
                  <w:r>
                    <w:rPr>
                      <w:rFonts w:hint="eastAsia"/>
                      <w:kern w:val="0"/>
                      <w:szCs w:val="21"/>
                    </w:rPr>
                    <w:t>24</w:t>
                  </w:r>
                </w:p>
              </w:tc>
              <w:tc>
                <w:tcPr>
                  <w:tcW w:w="568" w:type="dxa"/>
                  <w:noWrap w:val="0"/>
                  <w:vAlign w:val="center"/>
                </w:tcPr>
                <w:p w14:paraId="5F5E5149">
                  <w:pPr>
                    <w:jc w:val="center"/>
                    <w:rPr>
                      <w:rFonts w:hint="eastAsia"/>
                      <w:kern w:val="0"/>
                      <w:szCs w:val="21"/>
                    </w:rPr>
                  </w:pPr>
                  <w:r>
                    <w:rPr>
                      <w:rFonts w:hint="eastAsia"/>
                      <w:kern w:val="0"/>
                      <w:szCs w:val="21"/>
                    </w:rPr>
                    <w:t>40</w:t>
                  </w:r>
                </w:p>
              </w:tc>
              <w:tc>
                <w:tcPr>
                  <w:tcW w:w="630" w:type="dxa"/>
                  <w:noWrap w:val="0"/>
                  <w:vAlign w:val="center"/>
                </w:tcPr>
                <w:p w14:paraId="53DCC6D5">
                  <w:pPr>
                    <w:jc w:val="center"/>
                    <w:rPr>
                      <w:kern w:val="0"/>
                      <w:szCs w:val="21"/>
                    </w:rPr>
                  </w:pPr>
                  <w:r>
                    <w:rPr>
                      <w:rFonts w:hint="eastAsia"/>
                      <w:kern w:val="0"/>
                      <w:szCs w:val="21"/>
                    </w:rPr>
                    <w:t>0</w:t>
                  </w:r>
                </w:p>
              </w:tc>
              <w:tc>
                <w:tcPr>
                  <w:tcW w:w="577" w:type="dxa"/>
                  <w:noWrap w:val="0"/>
                  <w:vAlign w:val="center"/>
                </w:tcPr>
                <w:p w14:paraId="4E6B51A6">
                  <w:pPr>
                    <w:widowControl/>
                    <w:jc w:val="center"/>
                    <w:textAlignment w:val="center"/>
                    <w:rPr>
                      <w:rFonts w:hint="eastAsia"/>
                      <w:kern w:val="0"/>
                      <w:szCs w:val="21"/>
                    </w:rPr>
                  </w:pPr>
                  <w:r>
                    <w:rPr>
                      <w:rFonts w:hint="eastAsia"/>
                      <w:kern w:val="0"/>
                      <w:szCs w:val="21"/>
                      <w:lang w:bidi="ar"/>
                    </w:rPr>
                    <w:t>24</w:t>
                  </w:r>
                </w:p>
              </w:tc>
              <w:tc>
                <w:tcPr>
                  <w:tcW w:w="709" w:type="dxa"/>
                  <w:noWrap w:val="0"/>
                  <w:vAlign w:val="center"/>
                </w:tcPr>
                <w:p w14:paraId="592C19E5">
                  <w:pPr>
                    <w:jc w:val="center"/>
                    <w:rPr>
                      <w:kern w:val="0"/>
                      <w:szCs w:val="21"/>
                    </w:rPr>
                  </w:pPr>
                  <w:r>
                    <w:rPr>
                      <w:rFonts w:hint="eastAsia"/>
                      <w:kern w:val="0"/>
                      <w:szCs w:val="21"/>
                      <w:lang w:val="en-US" w:eastAsia="zh-CN"/>
                    </w:rPr>
                    <w:t>6</w:t>
                  </w:r>
                  <w:r>
                    <w:rPr>
                      <w:rFonts w:hint="eastAsia"/>
                      <w:kern w:val="0"/>
                      <w:szCs w:val="21"/>
                    </w:rPr>
                    <w:t>5-</w:t>
                  </w:r>
                  <w:r>
                    <w:rPr>
                      <w:rFonts w:hint="eastAsia"/>
                      <w:kern w:val="0"/>
                      <w:szCs w:val="21"/>
                      <w:lang w:val="en-US" w:eastAsia="zh-CN"/>
                    </w:rPr>
                    <w:t>75</w:t>
                  </w:r>
                </w:p>
              </w:tc>
              <w:tc>
                <w:tcPr>
                  <w:tcW w:w="567" w:type="dxa"/>
                  <w:vMerge w:val="continue"/>
                  <w:noWrap w:val="0"/>
                  <w:vAlign w:val="center"/>
                </w:tcPr>
                <w:p w14:paraId="7D357F07">
                  <w:pPr>
                    <w:jc w:val="center"/>
                    <w:rPr>
                      <w:kern w:val="0"/>
                      <w:szCs w:val="21"/>
                    </w:rPr>
                  </w:pPr>
                </w:p>
              </w:tc>
              <w:tc>
                <w:tcPr>
                  <w:tcW w:w="567" w:type="dxa"/>
                  <w:vMerge w:val="continue"/>
                  <w:noWrap w:val="0"/>
                  <w:vAlign w:val="center"/>
                </w:tcPr>
                <w:p w14:paraId="61A1FCCF">
                  <w:pPr>
                    <w:jc w:val="center"/>
                    <w:rPr>
                      <w:kern w:val="0"/>
                      <w:szCs w:val="21"/>
                    </w:rPr>
                  </w:pPr>
                </w:p>
              </w:tc>
              <w:tc>
                <w:tcPr>
                  <w:tcW w:w="850" w:type="dxa"/>
                  <w:noWrap w:val="0"/>
                  <w:vAlign w:val="center"/>
                </w:tcPr>
                <w:p w14:paraId="7626877D">
                  <w:pPr>
                    <w:snapToGrid w:val="0"/>
                    <w:spacing w:before="60" w:after="60"/>
                    <w:jc w:val="center"/>
                    <w:rPr>
                      <w:rFonts w:hint="eastAsia"/>
                      <w:szCs w:val="21"/>
                    </w:rPr>
                  </w:pPr>
                  <w:r>
                    <w:rPr>
                      <w:rFonts w:hint="eastAsia"/>
                      <w:szCs w:val="21"/>
                    </w:rPr>
                    <w:t>5</w:t>
                  </w:r>
                  <w:r>
                    <w:rPr>
                      <w:rFonts w:hint="eastAsia"/>
                      <w:szCs w:val="21"/>
                      <w:lang w:val="en-US" w:eastAsia="zh-CN"/>
                    </w:rPr>
                    <w:t>0</w:t>
                  </w:r>
                  <w:r>
                    <w:rPr>
                      <w:rFonts w:hint="eastAsia"/>
                      <w:szCs w:val="21"/>
                    </w:rPr>
                    <w:t>-6</w:t>
                  </w:r>
                  <w:r>
                    <w:rPr>
                      <w:rFonts w:hint="eastAsia"/>
                      <w:szCs w:val="21"/>
                      <w:lang w:val="en-US" w:eastAsia="zh-CN"/>
                    </w:rPr>
                    <w:t>0</w:t>
                  </w:r>
                </w:p>
              </w:tc>
              <w:tc>
                <w:tcPr>
                  <w:tcW w:w="961" w:type="dxa"/>
                  <w:noWrap w:val="0"/>
                  <w:vAlign w:val="center"/>
                </w:tcPr>
                <w:p w14:paraId="2AC71A2C">
                  <w:pPr>
                    <w:jc w:val="center"/>
                    <w:rPr>
                      <w:kern w:val="0"/>
                      <w:szCs w:val="21"/>
                    </w:rPr>
                  </w:pPr>
                  <w:r>
                    <w:rPr>
                      <w:rFonts w:hint="eastAsia"/>
                      <w:kern w:val="0"/>
                      <w:szCs w:val="21"/>
                    </w:rPr>
                    <w:t>28.5</w:t>
                  </w:r>
                </w:p>
              </w:tc>
            </w:tr>
            <w:tr w14:paraId="62FF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0FF14A63">
                  <w:pPr>
                    <w:jc w:val="center"/>
                    <w:rPr>
                      <w:kern w:val="0"/>
                      <w:szCs w:val="21"/>
                    </w:rPr>
                  </w:pPr>
                  <w:r>
                    <w:rPr>
                      <w:rFonts w:hint="eastAsia"/>
                      <w:kern w:val="0"/>
                      <w:szCs w:val="21"/>
                    </w:rPr>
                    <w:t>12</w:t>
                  </w:r>
                </w:p>
              </w:tc>
              <w:tc>
                <w:tcPr>
                  <w:tcW w:w="708" w:type="dxa"/>
                  <w:noWrap w:val="0"/>
                  <w:vAlign w:val="center"/>
                </w:tcPr>
                <w:p w14:paraId="5FD14092">
                  <w:pPr>
                    <w:widowControl/>
                    <w:jc w:val="center"/>
                    <w:textAlignment w:val="center"/>
                    <w:rPr>
                      <w:rFonts w:hint="eastAsia"/>
                      <w:szCs w:val="21"/>
                    </w:rPr>
                  </w:pPr>
                  <w:r>
                    <w:rPr>
                      <w:rFonts w:hint="eastAsia"/>
                      <w:szCs w:val="21"/>
                    </w:rPr>
                    <w:t>液压摆式剪板机</w:t>
                  </w:r>
                </w:p>
              </w:tc>
              <w:tc>
                <w:tcPr>
                  <w:tcW w:w="852" w:type="dxa"/>
                  <w:noWrap w:val="0"/>
                  <w:vAlign w:val="center"/>
                </w:tcPr>
                <w:p w14:paraId="17F1EF17">
                  <w:pPr>
                    <w:snapToGrid w:val="0"/>
                    <w:spacing w:before="60" w:after="60"/>
                    <w:jc w:val="center"/>
                    <w:rPr>
                      <w:rFonts w:hint="eastAsia"/>
                      <w:szCs w:val="21"/>
                    </w:rPr>
                  </w:pPr>
                  <w:r>
                    <w:rPr>
                      <w:szCs w:val="21"/>
                    </w:rPr>
                    <w:t>7</w:t>
                  </w:r>
                  <w:r>
                    <w:rPr>
                      <w:rFonts w:hint="eastAsia"/>
                      <w:szCs w:val="21"/>
                    </w:rPr>
                    <w:t>5</w:t>
                  </w:r>
                  <w:r>
                    <w:rPr>
                      <w:szCs w:val="21"/>
                    </w:rPr>
                    <w:t>-8</w:t>
                  </w:r>
                  <w:r>
                    <w:rPr>
                      <w:rFonts w:hint="eastAsia"/>
                      <w:szCs w:val="21"/>
                      <w:lang w:val="en-US" w:eastAsia="zh-CN"/>
                    </w:rPr>
                    <w:t>5</w:t>
                  </w:r>
                </w:p>
              </w:tc>
              <w:tc>
                <w:tcPr>
                  <w:tcW w:w="710" w:type="dxa"/>
                  <w:vMerge w:val="continue"/>
                  <w:noWrap w:val="0"/>
                  <w:vAlign w:val="center"/>
                </w:tcPr>
                <w:p w14:paraId="442B8F76">
                  <w:pPr>
                    <w:jc w:val="center"/>
                    <w:rPr>
                      <w:kern w:val="0"/>
                      <w:szCs w:val="21"/>
                    </w:rPr>
                  </w:pPr>
                </w:p>
              </w:tc>
              <w:tc>
                <w:tcPr>
                  <w:tcW w:w="426" w:type="dxa"/>
                  <w:noWrap w:val="0"/>
                  <w:vAlign w:val="center"/>
                </w:tcPr>
                <w:p w14:paraId="40EEC61F">
                  <w:pPr>
                    <w:jc w:val="center"/>
                    <w:rPr>
                      <w:rFonts w:hint="eastAsia"/>
                      <w:kern w:val="0"/>
                      <w:szCs w:val="21"/>
                    </w:rPr>
                  </w:pPr>
                  <w:r>
                    <w:rPr>
                      <w:rFonts w:hint="eastAsia"/>
                      <w:kern w:val="0"/>
                      <w:szCs w:val="21"/>
                    </w:rPr>
                    <w:t>40</w:t>
                  </w:r>
                </w:p>
              </w:tc>
              <w:tc>
                <w:tcPr>
                  <w:tcW w:w="568" w:type="dxa"/>
                  <w:noWrap w:val="0"/>
                  <w:vAlign w:val="center"/>
                </w:tcPr>
                <w:p w14:paraId="3E383CEA">
                  <w:pPr>
                    <w:jc w:val="center"/>
                    <w:rPr>
                      <w:rFonts w:hint="eastAsia"/>
                      <w:kern w:val="0"/>
                      <w:szCs w:val="21"/>
                    </w:rPr>
                  </w:pPr>
                  <w:r>
                    <w:rPr>
                      <w:rFonts w:hint="eastAsia"/>
                      <w:kern w:val="0"/>
                      <w:szCs w:val="21"/>
                    </w:rPr>
                    <w:t>136</w:t>
                  </w:r>
                </w:p>
              </w:tc>
              <w:tc>
                <w:tcPr>
                  <w:tcW w:w="630" w:type="dxa"/>
                  <w:noWrap w:val="0"/>
                  <w:vAlign w:val="center"/>
                </w:tcPr>
                <w:p w14:paraId="42113808">
                  <w:pPr>
                    <w:jc w:val="center"/>
                    <w:rPr>
                      <w:kern w:val="0"/>
                      <w:szCs w:val="21"/>
                    </w:rPr>
                  </w:pPr>
                  <w:r>
                    <w:rPr>
                      <w:rFonts w:hint="eastAsia"/>
                      <w:kern w:val="0"/>
                      <w:szCs w:val="21"/>
                    </w:rPr>
                    <w:t>0</w:t>
                  </w:r>
                </w:p>
              </w:tc>
              <w:tc>
                <w:tcPr>
                  <w:tcW w:w="577" w:type="dxa"/>
                  <w:noWrap w:val="0"/>
                  <w:vAlign w:val="center"/>
                </w:tcPr>
                <w:p w14:paraId="0E351446">
                  <w:pPr>
                    <w:widowControl/>
                    <w:jc w:val="center"/>
                    <w:textAlignment w:val="center"/>
                    <w:rPr>
                      <w:kern w:val="0"/>
                      <w:szCs w:val="21"/>
                    </w:rPr>
                  </w:pPr>
                  <w:r>
                    <w:rPr>
                      <w:rFonts w:hint="eastAsia"/>
                      <w:kern w:val="0"/>
                      <w:szCs w:val="21"/>
                      <w:lang w:bidi="ar"/>
                    </w:rPr>
                    <w:t>8</w:t>
                  </w:r>
                </w:p>
              </w:tc>
              <w:tc>
                <w:tcPr>
                  <w:tcW w:w="709" w:type="dxa"/>
                  <w:noWrap w:val="0"/>
                  <w:vAlign w:val="center"/>
                </w:tcPr>
                <w:p w14:paraId="22147508">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386E37AB">
                  <w:pPr>
                    <w:jc w:val="center"/>
                    <w:rPr>
                      <w:kern w:val="0"/>
                      <w:szCs w:val="21"/>
                    </w:rPr>
                  </w:pPr>
                </w:p>
              </w:tc>
              <w:tc>
                <w:tcPr>
                  <w:tcW w:w="567" w:type="dxa"/>
                  <w:vMerge w:val="continue"/>
                  <w:noWrap w:val="0"/>
                  <w:vAlign w:val="center"/>
                </w:tcPr>
                <w:p w14:paraId="111F5F29">
                  <w:pPr>
                    <w:jc w:val="center"/>
                    <w:rPr>
                      <w:kern w:val="0"/>
                      <w:szCs w:val="21"/>
                    </w:rPr>
                  </w:pPr>
                </w:p>
              </w:tc>
              <w:tc>
                <w:tcPr>
                  <w:tcW w:w="850" w:type="dxa"/>
                  <w:noWrap w:val="0"/>
                  <w:vAlign w:val="center"/>
                </w:tcPr>
                <w:p w14:paraId="7B9546C0">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3942E829">
                  <w:pPr>
                    <w:jc w:val="center"/>
                    <w:rPr>
                      <w:kern w:val="0"/>
                      <w:szCs w:val="21"/>
                    </w:rPr>
                  </w:pPr>
                  <w:r>
                    <w:rPr>
                      <w:rFonts w:hint="eastAsia"/>
                      <w:kern w:val="0"/>
                      <w:szCs w:val="21"/>
                    </w:rPr>
                    <w:t>28.5</w:t>
                  </w:r>
                </w:p>
              </w:tc>
            </w:tr>
            <w:tr w14:paraId="29D0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251" w:type="dxa"/>
                  <w:noWrap w:val="0"/>
                  <w:vAlign w:val="center"/>
                </w:tcPr>
                <w:p w14:paraId="2BA3D2F3">
                  <w:pPr>
                    <w:jc w:val="center"/>
                    <w:rPr>
                      <w:kern w:val="0"/>
                      <w:szCs w:val="21"/>
                    </w:rPr>
                  </w:pPr>
                  <w:r>
                    <w:rPr>
                      <w:rFonts w:hint="eastAsia"/>
                      <w:kern w:val="0"/>
                      <w:szCs w:val="21"/>
                    </w:rPr>
                    <w:t>13</w:t>
                  </w:r>
                </w:p>
              </w:tc>
              <w:tc>
                <w:tcPr>
                  <w:tcW w:w="708" w:type="dxa"/>
                  <w:noWrap w:val="0"/>
                  <w:vAlign w:val="center"/>
                </w:tcPr>
                <w:p w14:paraId="09EF5C27">
                  <w:pPr>
                    <w:widowControl/>
                    <w:jc w:val="center"/>
                    <w:textAlignment w:val="center"/>
                    <w:rPr>
                      <w:rFonts w:hint="eastAsia"/>
                      <w:szCs w:val="21"/>
                    </w:rPr>
                  </w:pPr>
                  <w:r>
                    <w:rPr>
                      <w:rFonts w:hint="eastAsia"/>
                      <w:kern w:val="0"/>
                      <w:szCs w:val="21"/>
                    </w:rPr>
                    <w:t>钢筋弯箍机</w:t>
                  </w:r>
                </w:p>
              </w:tc>
              <w:tc>
                <w:tcPr>
                  <w:tcW w:w="852" w:type="dxa"/>
                  <w:noWrap w:val="0"/>
                  <w:vAlign w:val="center"/>
                </w:tcPr>
                <w:p w14:paraId="3D46E0E1">
                  <w:pPr>
                    <w:snapToGrid w:val="0"/>
                    <w:spacing w:before="60" w:after="60"/>
                    <w:jc w:val="center"/>
                    <w:rPr>
                      <w:rFonts w:hint="eastAsia"/>
                      <w:szCs w:val="21"/>
                    </w:rPr>
                  </w:pPr>
                  <w:r>
                    <w:rPr>
                      <w:rFonts w:hint="eastAsia"/>
                      <w:szCs w:val="21"/>
                    </w:rPr>
                    <w:t>70-80</w:t>
                  </w:r>
                </w:p>
              </w:tc>
              <w:tc>
                <w:tcPr>
                  <w:tcW w:w="710" w:type="dxa"/>
                  <w:vMerge w:val="continue"/>
                  <w:noWrap w:val="0"/>
                  <w:vAlign w:val="center"/>
                </w:tcPr>
                <w:p w14:paraId="71A11D52">
                  <w:pPr>
                    <w:jc w:val="center"/>
                    <w:rPr>
                      <w:kern w:val="0"/>
                      <w:szCs w:val="21"/>
                    </w:rPr>
                  </w:pPr>
                </w:p>
              </w:tc>
              <w:tc>
                <w:tcPr>
                  <w:tcW w:w="426" w:type="dxa"/>
                  <w:noWrap w:val="0"/>
                  <w:vAlign w:val="center"/>
                </w:tcPr>
                <w:p w14:paraId="21920E31">
                  <w:pPr>
                    <w:jc w:val="center"/>
                    <w:rPr>
                      <w:kern w:val="0"/>
                      <w:szCs w:val="21"/>
                    </w:rPr>
                  </w:pPr>
                  <w:r>
                    <w:rPr>
                      <w:rFonts w:hint="eastAsia"/>
                      <w:kern w:val="0"/>
                      <w:szCs w:val="21"/>
                    </w:rPr>
                    <w:t>54</w:t>
                  </w:r>
                </w:p>
              </w:tc>
              <w:tc>
                <w:tcPr>
                  <w:tcW w:w="568" w:type="dxa"/>
                  <w:noWrap w:val="0"/>
                  <w:vAlign w:val="center"/>
                </w:tcPr>
                <w:p w14:paraId="1492609C">
                  <w:pPr>
                    <w:jc w:val="center"/>
                    <w:rPr>
                      <w:kern w:val="0"/>
                      <w:szCs w:val="21"/>
                    </w:rPr>
                  </w:pPr>
                  <w:r>
                    <w:rPr>
                      <w:rFonts w:hint="eastAsia"/>
                      <w:kern w:val="0"/>
                      <w:szCs w:val="21"/>
                    </w:rPr>
                    <w:t>38</w:t>
                  </w:r>
                </w:p>
              </w:tc>
              <w:tc>
                <w:tcPr>
                  <w:tcW w:w="630" w:type="dxa"/>
                  <w:noWrap w:val="0"/>
                  <w:vAlign w:val="center"/>
                </w:tcPr>
                <w:p w14:paraId="199D86FA">
                  <w:pPr>
                    <w:jc w:val="center"/>
                    <w:rPr>
                      <w:kern w:val="0"/>
                      <w:szCs w:val="21"/>
                    </w:rPr>
                  </w:pPr>
                  <w:r>
                    <w:rPr>
                      <w:rFonts w:hint="eastAsia"/>
                      <w:kern w:val="0"/>
                      <w:szCs w:val="21"/>
                    </w:rPr>
                    <w:t>0</w:t>
                  </w:r>
                </w:p>
              </w:tc>
              <w:tc>
                <w:tcPr>
                  <w:tcW w:w="577" w:type="dxa"/>
                  <w:noWrap w:val="0"/>
                  <w:vAlign w:val="center"/>
                </w:tcPr>
                <w:p w14:paraId="2C7BA6B3">
                  <w:pPr>
                    <w:widowControl/>
                    <w:jc w:val="center"/>
                    <w:textAlignment w:val="center"/>
                    <w:rPr>
                      <w:rFonts w:hint="eastAsia"/>
                      <w:kern w:val="0"/>
                      <w:szCs w:val="21"/>
                    </w:rPr>
                  </w:pPr>
                  <w:r>
                    <w:rPr>
                      <w:rFonts w:hint="eastAsia"/>
                      <w:kern w:val="0"/>
                      <w:szCs w:val="21"/>
                      <w:lang w:bidi="ar"/>
                    </w:rPr>
                    <w:t>21</w:t>
                  </w:r>
                </w:p>
              </w:tc>
              <w:tc>
                <w:tcPr>
                  <w:tcW w:w="709" w:type="dxa"/>
                  <w:noWrap w:val="0"/>
                  <w:vAlign w:val="center"/>
                </w:tcPr>
                <w:p w14:paraId="68061493">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2098D0B0">
                  <w:pPr>
                    <w:jc w:val="center"/>
                    <w:rPr>
                      <w:kern w:val="0"/>
                      <w:szCs w:val="21"/>
                    </w:rPr>
                  </w:pPr>
                </w:p>
              </w:tc>
              <w:tc>
                <w:tcPr>
                  <w:tcW w:w="567" w:type="dxa"/>
                  <w:vMerge w:val="continue"/>
                  <w:noWrap w:val="0"/>
                  <w:vAlign w:val="center"/>
                </w:tcPr>
                <w:p w14:paraId="08D97629">
                  <w:pPr>
                    <w:jc w:val="center"/>
                    <w:rPr>
                      <w:kern w:val="0"/>
                      <w:szCs w:val="21"/>
                    </w:rPr>
                  </w:pPr>
                </w:p>
              </w:tc>
              <w:tc>
                <w:tcPr>
                  <w:tcW w:w="850" w:type="dxa"/>
                  <w:noWrap w:val="0"/>
                  <w:vAlign w:val="center"/>
                </w:tcPr>
                <w:p w14:paraId="3D7542C3">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261A93F5">
                  <w:pPr>
                    <w:jc w:val="center"/>
                    <w:rPr>
                      <w:kern w:val="0"/>
                      <w:szCs w:val="21"/>
                    </w:rPr>
                  </w:pPr>
                  <w:r>
                    <w:rPr>
                      <w:rFonts w:hint="eastAsia"/>
                      <w:kern w:val="0"/>
                      <w:szCs w:val="21"/>
                    </w:rPr>
                    <w:t>28.5</w:t>
                  </w:r>
                </w:p>
              </w:tc>
            </w:tr>
            <w:tr w14:paraId="039D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251" w:type="dxa"/>
                  <w:noWrap w:val="0"/>
                  <w:vAlign w:val="center"/>
                </w:tcPr>
                <w:p w14:paraId="4DC1B619">
                  <w:pPr>
                    <w:jc w:val="center"/>
                    <w:rPr>
                      <w:kern w:val="0"/>
                      <w:szCs w:val="21"/>
                    </w:rPr>
                  </w:pPr>
                  <w:r>
                    <w:rPr>
                      <w:rFonts w:hint="eastAsia"/>
                      <w:kern w:val="0"/>
                      <w:szCs w:val="21"/>
                    </w:rPr>
                    <w:t>14</w:t>
                  </w:r>
                </w:p>
              </w:tc>
              <w:tc>
                <w:tcPr>
                  <w:tcW w:w="708" w:type="dxa"/>
                  <w:noWrap w:val="0"/>
                  <w:vAlign w:val="center"/>
                </w:tcPr>
                <w:p w14:paraId="6F0805A2">
                  <w:pPr>
                    <w:widowControl/>
                    <w:jc w:val="center"/>
                    <w:textAlignment w:val="center"/>
                    <w:rPr>
                      <w:rFonts w:hint="eastAsia"/>
                      <w:kern w:val="0"/>
                      <w:szCs w:val="21"/>
                    </w:rPr>
                  </w:pPr>
                  <w:r>
                    <w:rPr>
                      <w:rFonts w:hint="eastAsia" w:hAnsi="宋体"/>
                    </w:rPr>
                    <w:t>开式可倾压力机</w:t>
                  </w:r>
                </w:p>
              </w:tc>
              <w:tc>
                <w:tcPr>
                  <w:tcW w:w="852" w:type="dxa"/>
                  <w:noWrap w:val="0"/>
                  <w:vAlign w:val="center"/>
                </w:tcPr>
                <w:p w14:paraId="50C1B593">
                  <w:pPr>
                    <w:snapToGrid w:val="0"/>
                    <w:spacing w:before="60" w:after="60"/>
                    <w:jc w:val="center"/>
                    <w:rPr>
                      <w:rFonts w:hint="eastAsia"/>
                      <w:szCs w:val="21"/>
                    </w:rPr>
                  </w:pPr>
                  <w:r>
                    <w:rPr>
                      <w:rFonts w:hint="eastAsia"/>
                      <w:szCs w:val="21"/>
                    </w:rPr>
                    <w:t>70-80</w:t>
                  </w:r>
                </w:p>
              </w:tc>
              <w:tc>
                <w:tcPr>
                  <w:tcW w:w="710" w:type="dxa"/>
                  <w:vMerge w:val="continue"/>
                  <w:noWrap w:val="0"/>
                  <w:vAlign w:val="center"/>
                </w:tcPr>
                <w:p w14:paraId="4BF99704">
                  <w:pPr>
                    <w:jc w:val="center"/>
                    <w:rPr>
                      <w:kern w:val="0"/>
                      <w:szCs w:val="21"/>
                    </w:rPr>
                  </w:pPr>
                </w:p>
              </w:tc>
              <w:tc>
                <w:tcPr>
                  <w:tcW w:w="426" w:type="dxa"/>
                  <w:noWrap w:val="0"/>
                  <w:vAlign w:val="center"/>
                </w:tcPr>
                <w:p w14:paraId="525B2C61">
                  <w:pPr>
                    <w:jc w:val="center"/>
                    <w:rPr>
                      <w:rFonts w:hint="eastAsia"/>
                      <w:kern w:val="0"/>
                      <w:szCs w:val="21"/>
                    </w:rPr>
                  </w:pPr>
                  <w:r>
                    <w:rPr>
                      <w:rFonts w:hint="eastAsia"/>
                      <w:kern w:val="0"/>
                      <w:szCs w:val="21"/>
                    </w:rPr>
                    <w:t>60</w:t>
                  </w:r>
                </w:p>
              </w:tc>
              <w:tc>
                <w:tcPr>
                  <w:tcW w:w="568" w:type="dxa"/>
                  <w:noWrap w:val="0"/>
                  <w:vAlign w:val="center"/>
                </w:tcPr>
                <w:p w14:paraId="5106D3B8">
                  <w:pPr>
                    <w:jc w:val="center"/>
                    <w:rPr>
                      <w:rFonts w:hint="eastAsia"/>
                      <w:kern w:val="0"/>
                      <w:szCs w:val="21"/>
                    </w:rPr>
                  </w:pPr>
                  <w:r>
                    <w:rPr>
                      <w:rFonts w:hint="eastAsia"/>
                      <w:kern w:val="0"/>
                      <w:szCs w:val="21"/>
                    </w:rPr>
                    <w:t>104</w:t>
                  </w:r>
                </w:p>
              </w:tc>
              <w:tc>
                <w:tcPr>
                  <w:tcW w:w="630" w:type="dxa"/>
                  <w:noWrap w:val="0"/>
                  <w:vAlign w:val="center"/>
                </w:tcPr>
                <w:p w14:paraId="0B1EC1E7">
                  <w:pPr>
                    <w:jc w:val="center"/>
                    <w:rPr>
                      <w:kern w:val="0"/>
                      <w:szCs w:val="21"/>
                    </w:rPr>
                  </w:pPr>
                  <w:r>
                    <w:rPr>
                      <w:rFonts w:hint="eastAsia"/>
                      <w:kern w:val="0"/>
                      <w:szCs w:val="21"/>
                    </w:rPr>
                    <w:t>0</w:t>
                  </w:r>
                </w:p>
              </w:tc>
              <w:tc>
                <w:tcPr>
                  <w:tcW w:w="577" w:type="dxa"/>
                  <w:noWrap w:val="0"/>
                  <w:vAlign w:val="center"/>
                </w:tcPr>
                <w:p w14:paraId="2D6C117F">
                  <w:pPr>
                    <w:widowControl/>
                    <w:jc w:val="center"/>
                    <w:textAlignment w:val="center"/>
                    <w:rPr>
                      <w:rFonts w:hint="eastAsia"/>
                      <w:kern w:val="0"/>
                      <w:szCs w:val="21"/>
                    </w:rPr>
                  </w:pPr>
                  <w:r>
                    <w:rPr>
                      <w:rFonts w:hint="eastAsia"/>
                      <w:kern w:val="0"/>
                      <w:szCs w:val="21"/>
                    </w:rPr>
                    <w:t>21</w:t>
                  </w:r>
                </w:p>
              </w:tc>
              <w:tc>
                <w:tcPr>
                  <w:tcW w:w="709" w:type="dxa"/>
                  <w:noWrap w:val="0"/>
                  <w:vAlign w:val="center"/>
                </w:tcPr>
                <w:p w14:paraId="6AD09A3C">
                  <w:pPr>
                    <w:jc w:val="center"/>
                    <w:rPr>
                      <w:kern w:val="0"/>
                      <w:szCs w:val="21"/>
                    </w:rPr>
                  </w:pPr>
                  <w:r>
                    <w:rPr>
                      <w:rFonts w:hint="eastAsia"/>
                      <w:kern w:val="0"/>
                      <w:szCs w:val="21"/>
                      <w:lang w:val="en-US" w:eastAsia="zh-CN"/>
                    </w:rPr>
                    <w:t>70</w:t>
                  </w:r>
                  <w:r>
                    <w:rPr>
                      <w:rFonts w:hint="eastAsia"/>
                      <w:kern w:val="0"/>
                      <w:szCs w:val="21"/>
                    </w:rPr>
                    <w:t>-</w:t>
                  </w:r>
                  <w:r>
                    <w:rPr>
                      <w:rFonts w:hint="eastAsia"/>
                      <w:kern w:val="0"/>
                      <w:szCs w:val="21"/>
                      <w:lang w:val="en-US" w:eastAsia="zh-CN"/>
                    </w:rPr>
                    <w:t>80</w:t>
                  </w:r>
                </w:p>
              </w:tc>
              <w:tc>
                <w:tcPr>
                  <w:tcW w:w="567" w:type="dxa"/>
                  <w:vMerge w:val="continue"/>
                  <w:noWrap w:val="0"/>
                  <w:vAlign w:val="center"/>
                </w:tcPr>
                <w:p w14:paraId="4D8F6F6F">
                  <w:pPr>
                    <w:jc w:val="center"/>
                    <w:rPr>
                      <w:kern w:val="0"/>
                      <w:szCs w:val="21"/>
                    </w:rPr>
                  </w:pPr>
                </w:p>
              </w:tc>
              <w:tc>
                <w:tcPr>
                  <w:tcW w:w="567" w:type="dxa"/>
                  <w:vMerge w:val="continue"/>
                  <w:noWrap w:val="0"/>
                  <w:vAlign w:val="center"/>
                </w:tcPr>
                <w:p w14:paraId="38861B5C">
                  <w:pPr>
                    <w:jc w:val="center"/>
                    <w:rPr>
                      <w:kern w:val="0"/>
                      <w:szCs w:val="21"/>
                    </w:rPr>
                  </w:pPr>
                </w:p>
              </w:tc>
              <w:tc>
                <w:tcPr>
                  <w:tcW w:w="850" w:type="dxa"/>
                  <w:noWrap w:val="0"/>
                  <w:vAlign w:val="center"/>
                </w:tcPr>
                <w:p w14:paraId="08DD54D1">
                  <w:pPr>
                    <w:snapToGrid w:val="0"/>
                    <w:spacing w:before="60" w:after="60"/>
                    <w:jc w:val="center"/>
                    <w:rPr>
                      <w:rFonts w:hint="default"/>
                      <w:szCs w:val="21"/>
                      <w:lang w:val="en-US"/>
                    </w:rPr>
                  </w:pPr>
                  <w:r>
                    <w:rPr>
                      <w:rFonts w:hint="eastAsia"/>
                      <w:szCs w:val="21"/>
                      <w:lang w:val="en-US" w:eastAsia="zh-CN"/>
                    </w:rPr>
                    <w:t>55-65</w:t>
                  </w:r>
                </w:p>
              </w:tc>
              <w:tc>
                <w:tcPr>
                  <w:tcW w:w="961" w:type="dxa"/>
                  <w:noWrap w:val="0"/>
                  <w:vAlign w:val="center"/>
                </w:tcPr>
                <w:p w14:paraId="1A91E07D">
                  <w:pPr>
                    <w:jc w:val="center"/>
                    <w:rPr>
                      <w:kern w:val="0"/>
                      <w:szCs w:val="21"/>
                    </w:rPr>
                  </w:pPr>
                  <w:r>
                    <w:rPr>
                      <w:rFonts w:hint="eastAsia"/>
                      <w:kern w:val="0"/>
                      <w:szCs w:val="21"/>
                    </w:rPr>
                    <w:t>28.5</w:t>
                  </w:r>
                </w:p>
              </w:tc>
            </w:tr>
          </w:tbl>
          <w:p w14:paraId="580F3409">
            <w:pPr>
              <w:pStyle w:val="11"/>
              <w:rPr>
                <w:rFonts w:ascii="Times New Roman" w:hAnsi="Times New Roman" w:eastAsia="宋体"/>
                <w:sz w:val="21"/>
                <w:szCs w:val="21"/>
              </w:rPr>
            </w:pPr>
            <w:r>
              <w:rPr>
                <w:rFonts w:ascii="Times New Roman" w:hAnsi="Times New Roman" w:eastAsia="宋体"/>
                <w:sz w:val="21"/>
                <w:szCs w:val="21"/>
              </w:rPr>
              <w:t>备注：</w:t>
            </w:r>
            <w:r>
              <w:rPr>
                <w:rFonts w:ascii="Cambria Math" w:hAnsi="Cambria Math" w:eastAsia="宋体" w:cs="Cambria Math"/>
                <w:sz w:val="21"/>
                <w:szCs w:val="21"/>
              </w:rPr>
              <w:t>①</w:t>
            </w:r>
            <w:r>
              <w:rPr>
                <w:rFonts w:ascii="Times New Roman" w:hAnsi="Times New Roman" w:eastAsia="宋体"/>
                <w:sz w:val="21"/>
                <w:szCs w:val="21"/>
              </w:rPr>
              <w:t>以厂区西南角为坐标原点（0,0,0）。</w:t>
            </w:r>
          </w:p>
          <w:bookmarkEnd w:id="8"/>
          <w:p w14:paraId="332C00E8">
            <w:pPr>
              <w:spacing w:line="360" w:lineRule="auto"/>
              <w:ind w:firstLine="480" w:firstLineChars="200"/>
              <w:rPr>
                <w:rFonts w:hint="eastAsia"/>
                <w:sz w:val="24"/>
              </w:rPr>
            </w:pPr>
            <w:r>
              <w:rPr>
                <w:rFonts w:hint="eastAsia"/>
                <w:sz w:val="24"/>
              </w:rPr>
              <w:t>1、声环境影响分析</w:t>
            </w:r>
          </w:p>
          <w:p w14:paraId="35BFF783">
            <w:pPr>
              <w:spacing w:line="360" w:lineRule="auto"/>
              <w:ind w:firstLine="480" w:firstLineChars="200"/>
              <w:rPr>
                <w:sz w:val="24"/>
              </w:rPr>
            </w:pPr>
            <w:r>
              <w:rPr>
                <w:rFonts w:hint="eastAsia"/>
                <w:sz w:val="24"/>
              </w:rPr>
              <w:t>本项目生产设备均布置在生产厂房内，</w:t>
            </w:r>
            <w:r>
              <w:rPr>
                <w:sz w:val="24"/>
              </w:rPr>
              <w:t>通过选用低噪设备、安装减振基座，</w:t>
            </w:r>
            <w:r>
              <w:rPr>
                <w:rFonts w:hint="eastAsia"/>
                <w:sz w:val="24"/>
              </w:rPr>
              <w:t>并</w:t>
            </w:r>
            <w:r>
              <w:rPr>
                <w:sz w:val="24"/>
              </w:rPr>
              <w:t>经厂区建筑物的隔声、距离的衰减，</w:t>
            </w:r>
            <w:r>
              <w:rPr>
                <w:rFonts w:hint="eastAsia"/>
                <w:sz w:val="24"/>
              </w:rPr>
              <w:t>厂界噪声排放</w:t>
            </w:r>
            <w:r>
              <w:rPr>
                <w:sz w:val="24"/>
              </w:rPr>
              <w:t>预测模式选用《环境影响评价技术导则——声环境》（HJ2.4-20</w:t>
            </w:r>
            <w:r>
              <w:rPr>
                <w:rFonts w:hint="eastAsia"/>
                <w:sz w:val="24"/>
              </w:rPr>
              <w:t>21</w:t>
            </w:r>
            <w:r>
              <w:rPr>
                <w:sz w:val="24"/>
              </w:rPr>
              <w:t>）推荐的模式，其数学表达式如下：</w:t>
            </w:r>
          </w:p>
          <w:p w14:paraId="77F4EC88">
            <w:pPr>
              <w:numPr>
                <w:ilvl w:val="0"/>
                <w:numId w:val="3"/>
              </w:numPr>
              <w:spacing w:line="360" w:lineRule="auto"/>
              <w:rPr>
                <w:rFonts w:hint="eastAsia"/>
                <w:sz w:val="24"/>
              </w:rPr>
            </w:pPr>
            <w:r>
              <w:rPr>
                <w:rFonts w:hint="eastAsia"/>
                <w:sz w:val="24"/>
              </w:rPr>
              <w:t>室内声源等效室外声源声功率级计算方法</w:t>
            </w:r>
          </w:p>
          <w:p w14:paraId="56885057">
            <w:pPr>
              <w:spacing w:line="360" w:lineRule="auto"/>
              <w:ind w:firstLine="480" w:firstLineChars="200"/>
              <w:rPr>
                <w:rFonts w:hint="eastAsia"/>
                <w:sz w:val="24"/>
              </w:rPr>
            </w:pPr>
            <w:r>
              <w:rPr>
                <w:rFonts w:hint="eastAsia"/>
                <w:sz w:val="24"/>
              </w:rPr>
              <w:t>如下图所示，声源位于室内，室内声源可采用等效室外声源声功率级法进行计算。设靠近开口处（或窗户）室内、室外某倍频带的声压级或 A 声级分别为 Lp1 和 Lp2。若声源所在室内声场为近似扩散声场，则室外的倍频带声压级可按下式近似求出：</w:t>
            </w:r>
          </w:p>
          <w:p w14:paraId="08E469DC">
            <w:pPr>
              <w:spacing w:line="360" w:lineRule="auto"/>
              <w:jc w:val="center"/>
              <w:rPr>
                <w:rFonts w:hint="eastAsia"/>
                <w:sz w:val="24"/>
              </w:rPr>
            </w:pPr>
            <w:r>
              <w:rPr>
                <w:i/>
                <w:w w:val="115"/>
                <w:position w:val="1"/>
                <w:sz w:val="24"/>
              </w:rPr>
              <w:t>L</w:t>
            </w:r>
            <w:r>
              <w:rPr>
                <w:i/>
                <w:w w:val="115"/>
                <w:position w:val="-3"/>
                <w:sz w:val="24"/>
                <w:vertAlign w:val="subscript"/>
              </w:rPr>
              <w:t>p</w:t>
            </w:r>
            <w:r>
              <w:rPr>
                <w:w w:val="115"/>
                <w:position w:val="-3"/>
                <w:sz w:val="24"/>
                <w:vertAlign w:val="subscript"/>
              </w:rPr>
              <w:t>2</w:t>
            </w:r>
            <w:r>
              <w:rPr>
                <w:rFonts w:ascii="Symbol" w:hAnsi="Symbol"/>
                <w:w w:val="115"/>
                <w:position w:val="1"/>
                <w:sz w:val="24"/>
              </w:rPr>
              <w:t></w:t>
            </w:r>
            <w:r>
              <w:rPr>
                <w:i/>
                <w:w w:val="115"/>
                <w:position w:val="1"/>
                <w:sz w:val="24"/>
              </w:rPr>
              <w:t>L</w:t>
            </w:r>
            <w:r>
              <w:rPr>
                <w:i/>
                <w:w w:val="115"/>
                <w:position w:val="-3"/>
                <w:sz w:val="24"/>
                <w:vertAlign w:val="subscript"/>
              </w:rPr>
              <w:t>p</w:t>
            </w:r>
            <w:r>
              <w:rPr>
                <w:w w:val="115"/>
                <w:position w:val="-3"/>
                <w:sz w:val="24"/>
                <w:vertAlign w:val="subscript"/>
              </w:rPr>
              <w:t>1</w:t>
            </w:r>
            <w:r>
              <w:rPr>
                <w:rFonts w:ascii="Symbol" w:hAnsi="Symbol"/>
                <w:w w:val="115"/>
                <w:position w:val="1"/>
                <w:sz w:val="24"/>
              </w:rPr>
              <w:t></w:t>
            </w:r>
            <w:r>
              <w:rPr>
                <w:rFonts w:ascii="Symbol" w:hAnsi="Symbol"/>
                <w:w w:val="115"/>
                <w:sz w:val="24"/>
              </w:rPr>
              <w:t></w:t>
            </w:r>
            <w:r>
              <w:rPr>
                <w:i/>
                <w:w w:val="115"/>
                <w:position w:val="1"/>
                <w:sz w:val="24"/>
              </w:rPr>
              <w:t>TL</w:t>
            </w:r>
            <w:r>
              <w:rPr>
                <w:rFonts w:ascii="Symbol" w:hAnsi="Symbol"/>
                <w:w w:val="115"/>
                <w:position w:val="1"/>
                <w:sz w:val="24"/>
              </w:rPr>
              <w:t></w:t>
            </w:r>
            <w:r>
              <w:rPr>
                <w:w w:val="115"/>
                <w:position w:val="1"/>
                <w:sz w:val="24"/>
              </w:rPr>
              <w:t>6</w:t>
            </w:r>
            <w:r>
              <w:rPr>
                <w:rFonts w:ascii="Symbol" w:hAnsi="Symbol"/>
                <w:w w:val="115"/>
                <w:sz w:val="24"/>
              </w:rPr>
              <w:t></w:t>
            </w:r>
          </w:p>
          <w:p w14:paraId="66F0E890">
            <w:pPr>
              <w:spacing w:line="360" w:lineRule="auto"/>
              <w:ind w:firstLine="480" w:firstLineChars="200"/>
              <w:rPr>
                <w:rFonts w:hint="eastAsia"/>
                <w:sz w:val="24"/>
              </w:rPr>
            </w:pPr>
            <w:r>
              <w:rPr>
                <w:rFonts w:hint="eastAsia"/>
                <w:sz w:val="24"/>
              </w:rPr>
              <w:t>式中：L</w:t>
            </w:r>
            <w:r>
              <w:rPr>
                <w:rFonts w:hint="eastAsia"/>
                <w:sz w:val="24"/>
                <w:vertAlign w:val="subscript"/>
              </w:rPr>
              <w:t>p1</w:t>
            </w:r>
            <w:r>
              <w:rPr>
                <w:rFonts w:hint="eastAsia"/>
                <w:sz w:val="24"/>
              </w:rPr>
              <w:t>——靠近开口处（或窗户）室内某倍频带的声压级或A声级，dB；</w:t>
            </w:r>
          </w:p>
          <w:p w14:paraId="1FCF30F8">
            <w:pPr>
              <w:spacing w:line="360" w:lineRule="auto"/>
              <w:ind w:firstLine="1200" w:firstLineChars="500"/>
              <w:rPr>
                <w:rFonts w:hint="eastAsia"/>
                <w:sz w:val="24"/>
              </w:rPr>
            </w:pPr>
            <w:r>
              <w:rPr>
                <w:rFonts w:hint="eastAsia"/>
                <w:sz w:val="24"/>
              </w:rPr>
              <w:t>L</w:t>
            </w:r>
            <w:r>
              <w:rPr>
                <w:rFonts w:hint="eastAsia"/>
                <w:sz w:val="24"/>
                <w:vertAlign w:val="subscript"/>
              </w:rPr>
              <w:t>p2</w:t>
            </w:r>
            <w:r>
              <w:rPr>
                <w:rFonts w:hint="eastAsia"/>
                <w:sz w:val="24"/>
              </w:rPr>
              <w:t xml:space="preserve">——靠近开口处（或窗户）室外某倍频带的声压级或A声级，dB； </w:t>
            </w:r>
          </w:p>
          <w:p w14:paraId="4C3320F3">
            <w:pPr>
              <w:spacing w:line="360" w:lineRule="auto"/>
              <w:ind w:firstLine="1200" w:firstLineChars="500"/>
              <w:rPr>
                <w:rFonts w:hint="eastAsia"/>
                <w:sz w:val="24"/>
              </w:rPr>
            </w:pPr>
            <w:r>
              <w:rPr>
                <w:rFonts w:hint="eastAsia"/>
                <w:sz w:val="24"/>
              </w:rPr>
              <w:t>TL——隔墙（或窗户）倍频带或A声级的隔声量，dB。</w:t>
            </w:r>
          </w:p>
          <w:p w14:paraId="57999688">
            <w:pPr>
              <w:spacing w:line="360" w:lineRule="auto"/>
              <w:jc w:val="center"/>
              <w:rPr>
                <w:szCs w:val="21"/>
              </w:rPr>
            </w:pPr>
            <w:r>
              <w:rPr>
                <w:szCs w:val="21"/>
              </w:rPr>
              <w:drawing>
                <wp:inline distT="0" distB="0" distL="114300" distR="114300">
                  <wp:extent cx="2644775" cy="1250315"/>
                  <wp:effectExtent l="0" t="0" r="317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2644775" cy="1250315"/>
                          </a:xfrm>
                          <a:prstGeom prst="rect">
                            <a:avLst/>
                          </a:prstGeom>
                          <a:noFill/>
                          <a:ln>
                            <a:noFill/>
                          </a:ln>
                        </pic:spPr>
                      </pic:pic>
                    </a:graphicData>
                  </a:graphic>
                </wp:inline>
              </w:drawing>
            </w:r>
          </w:p>
          <w:p w14:paraId="1C047A6B">
            <w:pPr>
              <w:pStyle w:val="8"/>
              <w:jc w:val="center"/>
              <w:rPr>
                <w:rFonts w:hint="eastAsia"/>
                <w:sz w:val="21"/>
                <w:szCs w:val="21"/>
              </w:rPr>
            </w:pPr>
            <w:r>
              <w:rPr>
                <w:rFonts w:hint="eastAsia"/>
                <w:b/>
                <w:kern w:val="2"/>
                <w:sz w:val="21"/>
                <w:szCs w:val="21"/>
              </w:rPr>
              <w:t>图6 室内声源等效为室外声源图例</w:t>
            </w:r>
          </w:p>
          <w:p w14:paraId="2ACCE606">
            <w:pPr>
              <w:spacing w:line="360" w:lineRule="auto"/>
              <w:ind w:firstLine="480" w:firstLineChars="200"/>
              <w:rPr>
                <w:rFonts w:hint="eastAsia"/>
                <w:sz w:val="24"/>
              </w:rPr>
            </w:pPr>
            <w:r>
              <w:rPr>
                <w:rFonts w:hint="eastAsia" w:ascii="宋体" w:hAnsi="宋体" w:cs="宋体"/>
                <w:sz w:val="24"/>
              </w:rPr>
              <w:t>②</w:t>
            </w:r>
            <w:r>
              <w:rPr>
                <w:rFonts w:hint="eastAsia"/>
                <w:sz w:val="24"/>
              </w:rPr>
              <w:t>工业企业噪声计算</w:t>
            </w:r>
          </w:p>
          <w:p w14:paraId="3736622F">
            <w:pPr>
              <w:spacing w:line="360" w:lineRule="auto"/>
              <w:ind w:firstLine="480" w:firstLineChars="200"/>
              <w:rPr>
                <w:rFonts w:hint="eastAsia"/>
                <w:sz w:val="24"/>
              </w:rPr>
            </w:pPr>
            <w:r>
              <w:rPr>
                <w:rFonts w:hint="eastAsia"/>
                <w:sz w:val="24"/>
              </w:rPr>
              <w:t>设第 i 个室外声源在预测点产生的A 声级为 LAi ，在 T 时间内该声源工作时间为ti ；第 j 个等效室外声源在预测点产生的A 声级为 LAj ，在 T 时间内该声源工作时间为t j ，则拟建工程声源对预测点产生的贡献值（Leqg）为：</w:t>
            </w:r>
          </w:p>
          <w:p w14:paraId="00944266">
            <w:pPr>
              <w:spacing w:line="360" w:lineRule="auto"/>
              <w:jc w:val="center"/>
              <w:rPr>
                <w:rFonts w:hint="eastAsia"/>
                <w:sz w:val="24"/>
              </w:rPr>
            </w:pPr>
            <w:r>
              <w:rPr>
                <w:sz w:val="24"/>
              </w:rPr>
              <w:drawing>
                <wp:inline distT="0" distB="0" distL="114300" distR="114300">
                  <wp:extent cx="2344420" cy="404495"/>
                  <wp:effectExtent l="0" t="0" r="1778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2344420" cy="404495"/>
                          </a:xfrm>
                          <a:prstGeom prst="rect">
                            <a:avLst/>
                          </a:prstGeom>
                          <a:noFill/>
                          <a:ln>
                            <a:noFill/>
                          </a:ln>
                        </pic:spPr>
                      </pic:pic>
                    </a:graphicData>
                  </a:graphic>
                </wp:inline>
              </w:drawing>
            </w:r>
          </w:p>
          <w:p w14:paraId="3C72585E">
            <w:pPr>
              <w:spacing w:line="360" w:lineRule="auto"/>
              <w:ind w:firstLine="480" w:firstLineChars="200"/>
              <w:rPr>
                <w:rFonts w:hint="eastAsia"/>
                <w:sz w:val="24"/>
              </w:rPr>
            </w:pPr>
            <w:r>
              <w:rPr>
                <w:rFonts w:hint="eastAsia"/>
                <w:sz w:val="24"/>
              </w:rPr>
              <w:t>式中：L</w:t>
            </w:r>
            <w:r>
              <w:rPr>
                <w:rFonts w:hint="eastAsia"/>
                <w:sz w:val="24"/>
                <w:vertAlign w:val="subscript"/>
              </w:rPr>
              <w:t>eqg</w:t>
            </w:r>
            <w:r>
              <w:rPr>
                <w:rFonts w:hint="eastAsia"/>
                <w:sz w:val="24"/>
              </w:rPr>
              <w:t>——建设项目声源在预测点产生的噪声贡献值，dB；</w:t>
            </w:r>
          </w:p>
          <w:p w14:paraId="7C0C20ED">
            <w:pPr>
              <w:spacing w:line="360" w:lineRule="auto"/>
              <w:ind w:firstLine="1200" w:firstLineChars="500"/>
              <w:rPr>
                <w:rFonts w:hint="eastAsia"/>
                <w:sz w:val="24"/>
              </w:rPr>
            </w:pPr>
            <w:r>
              <w:rPr>
                <w:rFonts w:hint="eastAsia"/>
                <w:sz w:val="24"/>
              </w:rPr>
              <w:t>T——用于计算等效声级的时间，s；</w:t>
            </w:r>
          </w:p>
          <w:p w14:paraId="0FE4612D">
            <w:pPr>
              <w:spacing w:line="360" w:lineRule="auto"/>
              <w:ind w:firstLine="1200" w:firstLineChars="500"/>
              <w:rPr>
                <w:rFonts w:hint="eastAsia"/>
                <w:sz w:val="24"/>
              </w:rPr>
            </w:pPr>
            <w:r>
              <w:rPr>
                <w:rFonts w:hint="eastAsia"/>
                <w:sz w:val="24"/>
              </w:rPr>
              <w:t>N——室外声源个数；</w:t>
            </w:r>
          </w:p>
          <w:p w14:paraId="7E2E8F3A">
            <w:pPr>
              <w:spacing w:line="360" w:lineRule="auto"/>
              <w:ind w:firstLine="1200" w:firstLineChars="500"/>
              <w:rPr>
                <w:rFonts w:hint="eastAsia"/>
                <w:sz w:val="24"/>
              </w:rPr>
            </w:pPr>
            <w:r>
              <w:rPr>
                <w:rFonts w:hint="eastAsia"/>
                <w:sz w:val="24"/>
              </w:rPr>
              <w:t>t</w:t>
            </w:r>
            <w:r>
              <w:rPr>
                <w:rFonts w:hint="eastAsia"/>
                <w:sz w:val="24"/>
                <w:vertAlign w:val="subscript"/>
              </w:rPr>
              <w:t>i</w:t>
            </w:r>
            <w:r>
              <w:rPr>
                <w:rFonts w:hint="eastAsia"/>
                <w:sz w:val="24"/>
              </w:rPr>
              <w:t>——在 T 时间内i声源工作时间，s；</w:t>
            </w:r>
          </w:p>
          <w:p w14:paraId="43EA6766">
            <w:pPr>
              <w:spacing w:line="360" w:lineRule="auto"/>
              <w:ind w:firstLine="1200" w:firstLineChars="500"/>
              <w:rPr>
                <w:rFonts w:hint="eastAsia"/>
                <w:sz w:val="24"/>
              </w:rPr>
            </w:pPr>
            <w:r>
              <w:rPr>
                <w:rFonts w:hint="eastAsia"/>
                <w:sz w:val="24"/>
              </w:rPr>
              <w:t>M——等效室外声源个数；</w:t>
            </w:r>
          </w:p>
          <w:p w14:paraId="0A0D4725">
            <w:pPr>
              <w:spacing w:line="360" w:lineRule="auto"/>
              <w:ind w:firstLine="1200" w:firstLineChars="500"/>
              <w:rPr>
                <w:rFonts w:hint="eastAsia"/>
                <w:sz w:val="24"/>
              </w:rPr>
            </w:pPr>
            <w:r>
              <w:rPr>
                <w:rFonts w:hint="eastAsia"/>
                <w:sz w:val="24"/>
              </w:rPr>
              <w:t>t</w:t>
            </w:r>
            <w:r>
              <w:rPr>
                <w:rFonts w:hint="eastAsia"/>
                <w:sz w:val="24"/>
                <w:vertAlign w:val="subscript"/>
              </w:rPr>
              <w:t>j</w:t>
            </w:r>
            <w:r>
              <w:rPr>
                <w:rFonts w:hint="eastAsia"/>
                <w:sz w:val="24"/>
              </w:rPr>
              <w:t>——在 T 时间内j声源工作时间，s。</w:t>
            </w:r>
          </w:p>
          <w:p w14:paraId="579EBEEE">
            <w:pPr>
              <w:spacing w:line="360" w:lineRule="auto"/>
              <w:ind w:firstLine="480" w:firstLineChars="200"/>
              <w:rPr>
                <w:rFonts w:hint="eastAsia"/>
                <w:sz w:val="24"/>
              </w:rPr>
            </w:pPr>
            <w:r>
              <w:rPr>
                <w:rFonts w:hint="eastAsia" w:ascii="宋体" w:hAnsi="宋体" w:cs="宋体"/>
                <w:sz w:val="24"/>
              </w:rPr>
              <w:t>③</w:t>
            </w:r>
            <w:r>
              <w:rPr>
                <w:rFonts w:hint="eastAsia"/>
                <w:sz w:val="24"/>
              </w:rPr>
              <w:t>预测值计算</w:t>
            </w:r>
          </w:p>
          <w:p w14:paraId="31228A09">
            <w:pPr>
              <w:spacing w:line="360" w:lineRule="auto"/>
              <w:ind w:firstLine="480" w:firstLineChars="200"/>
              <w:rPr>
                <w:sz w:val="24"/>
              </w:rPr>
            </w:pPr>
            <w:r>
              <w:rPr>
                <w:sz w:val="24"/>
              </w:rPr>
              <w:t>预测点的贡献值和背景值按能量叠加方法计算得到的声级。噪声预测值（Leq）计算公式为：</w:t>
            </w:r>
          </w:p>
          <w:p w14:paraId="7D73B6DF">
            <w:pPr>
              <w:spacing w:line="360" w:lineRule="auto"/>
              <w:jc w:val="center"/>
              <w:rPr>
                <w:sz w:val="24"/>
              </w:rPr>
            </w:pPr>
            <w:r>
              <w:rPr>
                <w:sz w:val="24"/>
              </w:rPr>
              <w:drawing>
                <wp:inline distT="0" distB="0" distL="114300" distR="114300">
                  <wp:extent cx="1744345" cy="271145"/>
                  <wp:effectExtent l="0" t="0" r="8255" b="146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1744345" cy="271145"/>
                          </a:xfrm>
                          <a:prstGeom prst="rect">
                            <a:avLst/>
                          </a:prstGeom>
                          <a:noFill/>
                          <a:ln>
                            <a:noFill/>
                          </a:ln>
                        </pic:spPr>
                      </pic:pic>
                    </a:graphicData>
                  </a:graphic>
                </wp:inline>
              </w:drawing>
            </w:r>
          </w:p>
          <w:p w14:paraId="36E9838C">
            <w:pPr>
              <w:spacing w:line="360" w:lineRule="auto"/>
              <w:ind w:firstLine="480" w:firstLineChars="200"/>
              <w:rPr>
                <w:sz w:val="24"/>
              </w:rPr>
            </w:pPr>
            <w:r>
              <w:rPr>
                <w:sz w:val="24"/>
              </w:rPr>
              <w:t>式中：L</w:t>
            </w:r>
            <w:r>
              <w:rPr>
                <w:sz w:val="24"/>
                <w:vertAlign w:val="subscript"/>
              </w:rPr>
              <w:t>eq</w:t>
            </w:r>
            <w:r>
              <w:rPr>
                <w:sz w:val="24"/>
              </w:rPr>
              <w:t>——预测点的噪声预测值，dB；</w:t>
            </w:r>
          </w:p>
          <w:p w14:paraId="74581930">
            <w:pPr>
              <w:spacing w:line="360" w:lineRule="auto"/>
              <w:ind w:firstLine="1200" w:firstLineChars="500"/>
              <w:rPr>
                <w:sz w:val="24"/>
              </w:rPr>
            </w:pPr>
            <w:r>
              <w:rPr>
                <w:sz w:val="24"/>
              </w:rPr>
              <w:t>L</w:t>
            </w:r>
            <w:r>
              <w:rPr>
                <w:sz w:val="24"/>
                <w:vertAlign w:val="subscript"/>
              </w:rPr>
              <w:t>eqg</w:t>
            </w:r>
            <w:r>
              <w:rPr>
                <w:sz w:val="24"/>
              </w:rPr>
              <w:t>——建设项目声源在预测点产生的噪声贡献值，dB；</w:t>
            </w:r>
          </w:p>
          <w:p w14:paraId="310AC279">
            <w:pPr>
              <w:pStyle w:val="65"/>
              <w:ind w:firstLine="1200" w:firstLineChars="500"/>
            </w:pPr>
            <w:r>
              <w:t>L</w:t>
            </w:r>
            <w:r>
              <w:rPr>
                <w:vertAlign w:val="subscript"/>
              </w:rPr>
              <w:t>eqb</w:t>
            </w:r>
            <w:r>
              <w:t>——预测点的背景噪声值，dB。</w:t>
            </w:r>
          </w:p>
          <w:p w14:paraId="398B0208">
            <w:pPr>
              <w:widowControl/>
              <w:numPr>
                <w:ilvl w:val="0"/>
                <w:numId w:val="2"/>
              </w:numPr>
              <w:jc w:val="center"/>
              <w:rPr>
                <w:b/>
                <w:bCs/>
                <w:szCs w:val="21"/>
              </w:rPr>
            </w:pPr>
            <w:r>
              <w:rPr>
                <w:b/>
                <w:bCs/>
                <w:szCs w:val="21"/>
              </w:rPr>
              <w:t>项目厂界</w:t>
            </w:r>
            <w:r>
              <w:rPr>
                <w:rFonts w:hint="eastAsia"/>
                <w:b/>
                <w:bCs/>
                <w:szCs w:val="21"/>
              </w:rPr>
              <w:t>及敏感点</w:t>
            </w:r>
            <w:r>
              <w:rPr>
                <w:b/>
                <w:bCs/>
                <w:szCs w:val="21"/>
              </w:rPr>
              <w:t>噪声预测结果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8"/>
              <w:gridCol w:w="1302"/>
              <w:gridCol w:w="1302"/>
              <w:gridCol w:w="2196"/>
              <w:gridCol w:w="2199"/>
            </w:tblGrid>
            <w:tr w14:paraId="6B9F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42" w:type="pct"/>
                  <w:vMerge w:val="restart"/>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7AC9A726">
                  <w:pPr>
                    <w:jc w:val="center"/>
                    <w:rPr>
                      <w:b/>
                      <w:bCs/>
                    </w:rPr>
                  </w:pPr>
                  <w:r>
                    <w:rPr>
                      <w:b/>
                      <w:bCs/>
                    </w:rPr>
                    <w:t>预测点</w:t>
                  </w:r>
                </w:p>
              </w:tc>
              <w:tc>
                <w:tcPr>
                  <w:tcW w:w="773" w:type="pct"/>
                  <w:vMerge w:val="restart"/>
                  <w:tcBorders>
                    <w:top w:val="single" w:color="auto" w:sz="4" w:space="0"/>
                    <w:left w:val="nil"/>
                    <w:right w:val="single" w:color="auto" w:sz="4" w:space="0"/>
                  </w:tcBorders>
                  <w:noWrap w:val="0"/>
                  <w:tcMar>
                    <w:top w:w="15" w:type="dxa"/>
                    <w:left w:w="15" w:type="dxa"/>
                    <w:bottom w:w="0" w:type="dxa"/>
                    <w:right w:w="15" w:type="dxa"/>
                  </w:tcMar>
                  <w:vAlign w:val="center"/>
                </w:tcPr>
                <w:p w14:paraId="47C5BBB2">
                  <w:pPr>
                    <w:jc w:val="center"/>
                    <w:rPr>
                      <w:rFonts w:hint="eastAsia" w:eastAsia="宋体"/>
                      <w:b/>
                      <w:bCs/>
                      <w:lang w:val="en-US" w:eastAsia="zh-CN"/>
                    </w:rPr>
                  </w:pPr>
                  <w:r>
                    <w:rPr>
                      <w:rFonts w:hint="eastAsia"/>
                      <w:b/>
                      <w:bCs/>
                      <w:lang w:val="en-US" w:eastAsia="zh-CN"/>
                    </w:rPr>
                    <w:t>背景值</w:t>
                  </w:r>
                </w:p>
              </w:tc>
              <w:tc>
                <w:tcPr>
                  <w:tcW w:w="773" w:type="pct"/>
                  <w:vMerge w:val="restart"/>
                  <w:tcBorders>
                    <w:top w:val="single" w:color="auto" w:sz="4" w:space="0"/>
                    <w:left w:val="nil"/>
                    <w:right w:val="single" w:color="auto" w:sz="4" w:space="0"/>
                  </w:tcBorders>
                  <w:noWrap w:val="0"/>
                  <w:tcMar>
                    <w:top w:w="15" w:type="dxa"/>
                    <w:left w:w="15" w:type="dxa"/>
                    <w:bottom w:w="0" w:type="dxa"/>
                    <w:right w:w="15" w:type="dxa"/>
                  </w:tcMar>
                  <w:vAlign w:val="center"/>
                </w:tcPr>
                <w:p w14:paraId="2808AF37">
                  <w:pPr>
                    <w:jc w:val="center"/>
                    <w:rPr>
                      <w:b/>
                      <w:bCs/>
                    </w:rPr>
                  </w:pPr>
                  <w:r>
                    <w:rPr>
                      <w:b/>
                      <w:bCs/>
                    </w:rPr>
                    <w:t>贡献值</w:t>
                  </w:r>
                </w:p>
              </w:tc>
              <w:tc>
                <w:tcPr>
                  <w:tcW w:w="1304" w:type="pct"/>
                  <w:vMerge w:val="restart"/>
                  <w:tcBorders>
                    <w:top w:val="single" w:color="auto" w:sz="4" w:space="0"/>
                    <w:left w:val="nil"/>
                    <w:right w:val="single" w:color="auto" w:sz="4" w:space="0"/>
                  </w:tcBorders>
                  <w:noWrap w:val="0"/>
                  <w:tcMar>
                    <w:top w:w="15" w:type="dxa"/>
                    <w:left w:w="15" w:type="dxa"/>
                    <w:bottom w:w="0" w:type="dxa"/>
                    <w:right w:w="15" w:type="dxa"/>
                  </w:tcMar>
                  <w:vAlign w:val="center"/>
                </w:tcPr>
                <w:p w14:paraId="5F8931FB">
                  <w:pPr>
                    <w:jc w:val="center"/>
                    <w:rPr>
                      <w:rFonts w:hint="eastAsia" w:eastAsia="宋体"/>
                      <w:b/>
                      <w:bCs/>
                      <w:lang w:val="en-US" w:eastAsia="zh-CN"/>
                    </w:rPr>
                  </w:pPr>
                  <w:r>
                    <w:rPr>
                      <w:rFonts w:hint="eastAsia"/>
                      <w:b/>
                      <w:bCs/>
                      <w:lang w:val="en-US" w:eastAsia="zh-CN"/>
                    </w:rPr>
                    <w:t>预测值</w:t>
                  </w:r>
                </w:p>
              </w:tc>
              <w:tc>
                <w:tcPr>
                  <w:tcW w:w="1305"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C97C022">
                  <w:pPr>
                    <w:jc w:val="center"/>
                    <w:rPr>
                      <w:b/>
                      <w:bCs/>
                    </w:rPr>
                  </w:pPr>
                  <w:r>
                    <w:rPr>
                      <w:rFonts w:hint="eastAsia"/>
                      <w:b/>
                      <w:bCs/>
                    </w:rPr>
                    <w:t>标准限值</w:t>
                  </w:r>
                </w:p>
              </w:tc>
            </w:tr>
            <w:tr w14:paraId="3BAE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42" w:type="pct"/>
                  <w:vMerge w:val="continue"/>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5599CB9">
                  <w:pPr>
                    <w:jc w:val="center"/>
                    <w:rPr>
                      <w:b/>
                      <w:bCs/>
                    </w:rPr>
                  </w:pPr>
                </w:p>
              </w:tc>
              <w:tc>
                <w:tcPr>
                  <w:tcW w:w="773" w:type="pct"/>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14:paraId="4D5F0F17">
                  <w:pPr>
                    <w:jc w:val="center"/>
                    <w:rPr>
                      <w:b/>
                      <w:bCs/>
                    </w:rPr>
                  </w:pPr>
                </w:p>
              </w:tc>
              <w:tc>
                <w:tcPr>
                  <w:tcW w:w="773" w:type="pct"/>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14:paraId="37266243">
                  <w:pPr>
                    <w:jc w:val="center"/>
                    <w:rPr>
                      <w:b/>
                      <w:bCs/>
                    </w:rPr>
                  </w:pPr>
                </w:p>
              </w:tc>
              <w:tc>
                <w:tcPr>
                  <w:tcW w:w="1304" w:type="pct"/>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14:paraId="29087760">
                  <w:pPr>
                    <w:jc w:val="center"/>
                    <w:rPr>
                      <w:b/>
                      <w:bCs/>
                    </w:rPr>
                  </w:pPr>
                </w:p>
              </w:tc>
              <w:tc>
                <w:tcPr>
                  <w:tcW w:w="1305"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3A1B8665">
                  <w:pPr>
                    <w:jc w:val="center"/>
                    <w:rPr>
                      <w:rFonts w:hint="eastAsia"/>
                      <w:b/>
                      <w:bCs/>
                    </w:rPr>
                  </w:pPr>
                  <w:r>
                    <w:rPr>
                      <w:b/>
                      <w:bCs/>
                    </w:rPr>
                    <w:t>昼</w:t>
                  </w:r>
                </w:p>
              </w:tc>
            </w:tr>
            <w:tr w14:paraId="48E1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4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E8C0AB2">
                  <w:pPr>
                    <w:jc w:val="center"/>
                  </w:pPr>
                  <w:r>
                    <w:t>东厂界</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8834802">
                  <w:pPr>
                    <w:jc w:val="center"/>
                    <w:rPr>
                      <w:rFonts w:hint="eastAsia" w:eastAsia="宋体"/>
                      <w:lang w:val="en-US" w:eastAsia="zh-CN"/>
                    </w:rPr>
                  </w:pPr>
                  <w:r>
                    <w:rPr>
                      <w:rFonts w:hint="eastAsia"/>
                      <w:lang w:val="en-US" w:eastAsia="zh-CN"/>
                    </w:rPr>
                    <w:t>/</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85BC69F">
                  <w:pPr>
                    <w:jc w:val="center"/>
                    <w:rPr>
                      <w:szCs w:val="21"/>
                    </w:rPr>
                  </w:pPr>
                  <w:r>
                    <w:rPr>
                      <w:rFonts w:hint="eastAsia"/>
                      <w:szCs w:val="21"/>
                    </w:rPr>
                    <w:t>49.6</w:t>
                  </w:r>
                </w:p>
              </w:tc>
              <w:tc>
                <w:tcPr>
                  <w:tcW w:w="1304" w:type="pct"/>
                  <w:tcBorders>
                    <w:top w:val="single" w:color="auto" w:sz="4" w:space="0"/>
                    <w:left w:val="nil"/>
                    <w:right w:val="single" w:color="auto" w:sz="4" w:space="0"/>
                  </w:tcBorders>
                  <w:shd w:val="clear" w:color="auto" w:fill="auto"/>
                  <w:noWrap w:val="0"/>
                  <w:tcMar>
                    <w:top w:w="15" w:type="dxa"/>
                    <w:left w:w="15" w:type="dxa"/>
                    <w:bottom w:w="0" w:type="dxa"/>
                    <w:right w:w="15" w:type="dxa"/>
                  </w:tcMar>
                  <w:vAlign w:val="center"/>
                </w:tcPr>
                <w:p w14:paraId="3565E351">
                  <w:pPr>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5" w:type="pct"/>
                  <w:vMerge w:val="restart"/>
                  <w:tcBorders>
                    <w:top w:val="single" w:color="auto" w:sz="4" w:space="0"/>
                    <w:left w:val="nil"/>
                    <w:right w:val="single" w:color="auto" w:sz="4" w:space="0"/>
                  </w:tcBorders>
                  <w:noWrap w:val="0"/>
                  <w:tcMar>
                    <w:top w:w="15" w:type="dxa"/>
                    <w:left w:w="15" w:type="dxa"/>
                    <w:bottom w:w="0" w:type="dxa"/>
                    <w:right w:w="15" w:type="dxa"/>
                  </w:tcMar>
                  <w:vAlign w:val="center"/>
                </w:tcPr>
                <w:p w14:paraId="4801E3A5">
                  <w:pPr>
                    <w:jc w:val="center"/>
                    <w:rPr>
                      <w:rFonts w:hint="eastAsia"/>
                    </w:rPr>
                  </w:pPr>
                  <w:r>
                    <w:rPr>
                      <w:rFonts w:hint="eastAsia"/>
                    </w:rPr>
                    <w:t>60</w:t>
                  </w:r>
                </w:p>
              </w:tc>
            </w:tr>
            <w:tr w14:paraId="7CA3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4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FC55D75">
                  <w:pPr>
                    <w:jc w:val="center"/>
                  </w:pPr>
                  <w:r>
                    <w:t>南厂界</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09DD960C">
                  <w:pPr>
                    <w:jc w:val="center"/>
                    <w:rPr>
                      <w:rFonts w:hint="eastAsia" w:eastAsia="宋体"/>
                      <w:lang w:val="en-US" w:eastAsia="zh-CN"/>
                    </w:rPr>
                  </w:pPr>
                  <w:r>
                    <w:rPr>
                      <w:rFonts w:hint="eastAsia"/>
                      <w:lang w:val="en-US" w:eastAsia="zh-CN"/>
                    </w:rPr>
                    <w:t>/</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0CEACCF0">
                  <w:pPr>
                    <w:adjustRightInd w:val="0"/>
                    <w:snapToGrid w:val="0"/>
                    <w:jc w:val="center"/>
                    <w:rPr>
                      <w:szCs w:val="21"/>
                    </w:rPr>
                  </w:pPr>
                  <w:r>
                    <w:rPr>
                      <w:rFonts w:hint="eastAsia"/>
                      <w:szCs w:val="21"/>
                    </w:rPr>
                    <w:t>5</w:t>
                  </w:r>
                  <w:r>
                    <w:rPr>
                      <w:rFonts w:hint="eastAsia"/>
                      <w:szCs w:val="21"/>
                      <w:lang w:val="en-US" w:eastAsia="zh-CN"/>
                    </w:rPr>
                    <w:t>3</w:t>
                  </w:r>
                  <w:r>
                    <w:rPr>
                      <w:rFonts w:hint="eastAsia"/>
                      <w:szCs w:val="21"/>
                    </w:rPr>
                    <w:t>.2</w:t>
                  </w:r>
                </w:p>
              </w:tc>
              <w:tc>
                <w:tcPr>
                  <w:tcW w:w="1304" w:type="pct"/>
                  <w:tcBorders>
                    <w:left w:val="nil"/>
                    <w:right w:val="single" w:color="auto" w:sz="4" w:space="0"/>
                  </w:tcBorders>
                  <w:shd w:val="clear" w:color="auto" w:fill="auto"/>
                  <w:noWrap w:val="0"/>
                  <w:tcMar>
                    <w:top w:w="15" w:type="dxa"/>
                    <w:left w:w="15" w:type="dxa"/>
                    <w:bottom w:w="0" w:type="dxa"/>
                    <w:right w:w="15" w:type="dxa"/>
                  </w:tcMar>
                  <w:vAlign w:val="center"/>
                </w:tcPr>
                <w:p w14:paraId="329E6DA6">
                  <w:pPr>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5" w:type="pct"/>
                  <w:vMerge w:val="continue"/>
                  <w:tcBorders>
                    <w:left w:val="nil"/>
                    <w:right w:val="single" w:color="auto" w:sz="4" w:space="0"/>
                  </w:tcBorders>
                  <w:noWrap w:val="0"/>
                  <w:tcMar>
                    <w:top w:w="15" w:type="dxa"/>
                    <w:left w:w="15" w:type="dxa"/>
                    <w:bottom w:w="0" w:type="dxa"/>
                    <w:right w:w="15" w:type="dxa"/>
                  </w:tcMar>
                  <w:vAlign w:val="center"/>
                </w:tcPr>
                <w:p w14:paraId="155D3EF1">
                  <w:pPr>
                    <w:jc w:val="center"/>
                  </w:pPr>
                </w:p>
              </w:tc>
            </w:tr>
            <w:tr w14:paraId="77A2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4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DFEC47B">
                  <w:pPr>
                    <w:jc w:val="center"/>
                  </w:pPr>
                  <w:r>
                    <w:t>西厂界</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DD795AE">
                  <w:pPr>
                    <w:jc w:val="center"/>
                    <w:rPr>
                      <w:rFonts w:hint="eastAsia" w:eastAsia="宋体"/>
                      <w:lang w:val="en-US" w:eastAsia="zh-CN"/>
                    </w:rPr>
                  </w:pPr>
                  <w:r>
                    <w:rPr>
                      <w:rFonts w:hint="eastAsia"/>
                      <w:lang w:val="en-US" w:eastAsia="zh-CN"/>
                    </w:rPr>
                    <w:t>/</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37B4164">
                  <w:pPr>
                    <w:adjustRightInd w:val="0"/>
                    <w:snapToGrid w:val="0"/>
                    <w:jc w:val="center"/>
                    <w:rPr>
                      <w:szCs w:val="21"/>
                    </w:rPr>
                  </w:pPr>
                  <w:r>
                    <w:rPr>
                      <w:rFonts w:hint="eastAsia"/>
                      <w:szCs w:val="21"/>
                    </w:rPr>
                    <w:t>48.3</w:t>
                  </w:r>
                </w:p>
              </w:tc>
              <w:tc>
                <w:tcPr>
                  <w:tcW w:w="1304" w:type="pct"/>
                  <w:tcBorders>
                    <w:left w:val="nil"/>
                    <w:right w:val="single" w:color="auto" w:sz="4" w:space="0"/>
                  </w:tcBorders>
                  <w:shd w:val="clear" w:color="auto" w:fill="auto"/>
                  <w:noWrap w:val="0"/>
                  <w:tcMar>
                    <w:top w:w="15" w:type="dxa"/>
                    <w:left w:w="15" w:type="dxa"/>
                    <w:bottom w:w="0" w:type="dxa"/>
                    <w:right w:w="15" w:type="dxa"/>
                  </w:tcMar>
                  <w:vAlign w:val="center"/>
                </w:tcPr>
                <w:p w14:paraId="66595E89">
                  <w:pPr>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5" w:type="pct"/>
                  <w:vMerge w:val="continue"/>
                  <w:tcBorders>
                    <w:left w:val="nil"/>
                    <w:right w:val="single" w:color="auto" w:sz="4" w:space="0"/>
                  </w:tcBorders>
                  <w:noWrap w:val="0"/>
                  <w:tcMar>
                    <w:top w:w="15" w:type="dxa"/>
                    <w:left w:w="15" w:type="dxa"/>
                    <w:bottom w:w="0" w:type="dxa"/>
                    <w:right w:w="15" w:type="dxa"/>
                  </w:tcMar>
                  <w:vAlign w:val="center"/>
                </w:tcPr>
                <w:p w14:paraId="73CEA00E">
                  <w:pPr>
                    <w:jc w:val="center"/>
                  </w:pPr>
                </w:p>
              </w:tc>
            </w:tr>
            <w:tr w14:paraId="725F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84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44842CA">
                  <w:pPr>
                    <w:jc w:val="center"/>
                  </w:pPr>
                  <w:r>
                    <w:t>北厂界</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14431520">
                  <w:pPr>
                    <w:jc w:val="center"/>
                    <w:rPr>
                      <w:rFonts w:hint="eastAsia" w:eastAsia="宋体"/>
                      <w:lang w:val="en-US" w:eastAsia="zh-CN"/>
                    </w:rPr>
                  </w:pPr>
                  <w:r>
                    <w:rPr>
                      <w:rFonts w:hint="eastAsia"/>
                      <w:lang w:val="en-US" w:eastAsia="zh-CN"/>
                    </w:rPr>
                    <w:t>/</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0B657626">
                  <w:pPr>
                    <w:adjustRightInd w:val="0"/>
                    <w:snapToGrid w:val="0"/>
                    <w:jc w:val="center"/>
                    <w:rPr>
                      <w:szCs w:val="21"/>
                    </w:rPr>
                  </w:pPr>
                  <w:r>
                    <w:rPr>
                      <w:rFonts w:hint="eastAsia"/>
                      <w:szCs w:val="21"/>
                    </w:rPr>
                    <w:t>5</w:t>
                  </w:r>
                  <w:r>
                    <w:rPr>
                      <w:rFonts w:hint="eastAsia"/>
                      <w:szCs w:val="21"/>
                      <w:lang w:val="en-US" w:eastAsia="zh-CN"/>
                    </w:rPr>
                    <w:t>1</w:t>
                  </w:r>
                  <w:r>
                    <w:rPr>
                      <w:rFonts w:hint="eastAsia"/>
                      <w:szCs w:val="21"/>
                    </w:rPr>
                    <w:t>.8</w:t>
                  </w:r>
                </w:p>
              </w:tc>
              <w:tc>
                <w:tcPr>
                  <w:tcW w:w="1304" w:type="pct"/>
                  <w:tcBorders>
                    <w:left w:val="nil"/>
                    <w:right w:val="single" w:color="auto" w:sz="4" w:space="0"/>
                  </w:tcBorders>
                  <w:shd w:val="clear" w:color="auto" w:fill="auto"/>
                  <w:noWrap w:val="0"/>
                  <w:tcMar>
                    <w:top w:w="15" w:type="dxa"/>
                    <w:left w:w="15" w:type="dxa"/>
                    <w:bottom w:w="0" w:type="dxa"/>
                    <w:right w:w="15" w:type="dxa"/>
                  </w:tcMar>
                  <w:vAlign w:val="center"/>
                </w:tcPr>
                <w:p w14:paraId="03BD775B">
                  <w:pPr>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5" w:type="pct"/>
                  <w:vMerge w:val="continue"/>
                  <w:tcBorders>
                    <w:left w:val="nil"/>
                    <w:right w:val="single" w:color="auto" w:sz="4" w:space="0"/>
                  </w:tcBorders>
                  <w:noWrap w:val="0"/>
                  <w:tcMar>
                    <w:top w:w="15" w:type="dxa"/>
                    <w:left w:w="15" w:type="dxa"/>
                    <w:bottom w:w="0" w:type="dxa"/>
                    <w:right w:w="15" w:type="dxa"/>
                  </w:tcMar>
                  <w:vAlign w:val="center"/>
                </w:tcPr>
                <w:p w14:paraId="41587792">
                  <w:pPr>
                    <w:jc w:val="center"/>
                  </w:pPr>
                </w:p>
              </w:tc>
            </w:tr>
            <w:tr w14:paraId="7355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84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9CA5F0B">
                  <w:pPr>
                    <w:jc w:val="center"/>
                  </w:pPr>
                  <w:r>
                    <w:rPr>
                      <w:rFonts w:hint="eastAsia"/>
                    </w:rPr>
                    <w:t>和谐新家园</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4C7D405F">
                  <w:pPr>
                    <w:jc w:val="center"/>
                    <w:rPr>
                      <w:rFonts w:hint="default" w:eastAsia="宋体"/>
                      <w:lang w:val="en-US" w:eastAsia="zh-CN"/>
                    </w:rPr>
                  </w:pPr>
                  <w:r>
                    <w:rPr>
                      <w:rFonts w:hint="eastAsia"/>
                      <w:lang w:val="en-US" w:eastAsia="zh-CN"/>
                    </w:rPr>
                    <w:t>51.5</w:t>
                  </w:r>
                </w:p>
              </w:tc>
              <w:tc>
                <w:tcPr>
                  <w:tcW w:w="773"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79E03921">
                  <w:pPr>
                    <w:jc w:val="center"/>
                  </w:pPr>
                  <w:r>
                    <w:rPr>
                      <w:rFonts w:hint="eastAsia"/>
                    </w:rPr>
                    <w:t>4</w:t>
                  </w:r>
                  <w:r>
                    <w:rPr>
                      <w:rFonts w:hint="eastAsia"/>
                      <w:lang w:val="en-US" w:eastAsia="zh-CN"/>
                    </w:rPr>
                    <w:t>5</w:t>
                  </w:r>
                  <w:r>
                    <w:rPr>
                      <w:rFonts w:hint="eastAsia"/>
                    </w:rPr>
                    <w:t>.6</w:t>
                  </w:r>
                </w:p>
              </w:tc>
              <w:tc>
                <w:tcPr>
                  <w:tcW w:w="1304" w:type="pct"/>
                  <w:tcBorders>
                    <w:left w:val="nil"/>
                    <w:bottom w:val="single" w:color="auto" w:sz="4" w:space="0"/>
                    <w:right w:val="single" w:color="auto" w:sz="4" w:space="0"/>
                  </w:tcBorders>
                  <w:shd w:val="clear" w:color="auto" w:fill="auto"/>
                  <w:noWrap w:val="0"/>
                  <w:tcMar>
                    <w:top w:w="15" w:type="dxa"/>
                    <w:left w:w="15" w:type="dxa"/>
                    <w:bottom w:w="0" w:type="dxa"/>
                    <w:right w:w="15" w:type="dxa"/>
                  </w:tcMar>
                  <w:vAlign w:val="center"/>
                </w:tcPr>
                <w:p w14:paraId="7AFCC27C">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52.49</w:t>
                  </w:r>
                </w:p>
              </w:tc>
              <w:tc>
                <w:tcPr>
                  <w:tcW w:w="1305" w:type="pct"/>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14:paraId="1D7AB5C2">
                  <w:pPr>
                    <w:jc w:val="center"/>
                  </w:pPr>
                </w:p>
              </w:tc>
            </w:tr>
          </w:tbl>
          <w:p w14:paraId="0C193D13">
            <w:pPr>
              <w:spacing w:line="360" w:lineRule="auto"/>
              <w:ind w:firstLine="480" w:firstLineChars="200"/>
              <w:rPr>
                <w:sz w:val="24"/>
              </w:rPr>
            </w:pPr>
            <w:bookmarkStart w:id="9" w:name="_Hlk185367971"/>
            <w:r>
              <w:rPr>
                <w:rFonts w:hint="eastAsia"/>
                <w:sz w:val="24"/>
              </w:rPr>
              <w:t>经预测</w:t>
            </w:r>
            <w:r>
              <w:rPr>
                <w:sz w:val="24"/>
              </w:rPr>
              <w:t>厂界噪声能够满足《工业企业厂界环境噪声排放标准》（GB12348-2008）</w:t>
            </w:r>
            <w:r>
              <w:rPr>
                <w:rFonts w:hint="eastAsia"/>
                <w:sz w:val="24"/>
              </w:rPr>
              <w:t>中2类</w:t>
            </w:r>
            <w:r>
              <w:rPr>
                <w:sz w:val="24"/>
              </w:rPr>
              <w:t>标准</w:t>
            </w:r>
            <w:r>
              <w:rPr>
                <w:rFonts w:hint="eastAsia"/>
                <w:sz w:val="24"/>
              </w:rPr>
              <w:t>，项目周边50m范围保护目标声环境质量能够满足《声环境质量标准》（GB3096-2008）中2类标准。因此本项目建设对区域声环境造成的不利影响较小</w:t>
            </w:r>
            <w:r>
              <w:rPr>
                <w:sz w:val="24"/>
              </w:rPr>
              <w:t>。</w:t>
            </w:r>
          </w:p>
          <w:bookmarkEnd w:id="9"/>
          <w:p w14:paraId="271305F4">
            <w:pPr>
              <w:pStyle w:val="14"/>
              <w:ind w:left="0" w:leftChars="0" w:firstLine="480"/>
              <w:rPr>
                <w:rFonts w:hint="eastAsia"/>
                <w:sz w:val="24"/>
              </w:rPr>
            </w:pPr>
            <w:r>
              <w:rPr>
                <w:rFonts w:hint="eastAsia"/>
                <w:sz w:val="24"/>
              </w:rPr>
              <w:t>本项目厂界噪声监测要求如下：</w:t>
            </w:r>
          </w:p>
          <w:p w14:paraId="24E47BD9">
            <w:pPr>
              <w:widowControl/>
              <w:numPr>
                <w:ilvl w:val="0"/>
                <w:numId w:val="2"/>
              </w:numPr>
              <w:jc w:val="center"/>
              <w:rPr>
                <w:b/>
                <w:bCs/>
                <w:szCs w:val="21"/>
              </w:rPr>
            </w:pPr>
            <w:r>
              <w:rPr>
                <w:b/>
                <w:bCs/>
                <w:szCs w:val="21"/>
              </w:rPr>
              <w:t>本项目</w:t>
            </w:r>
            <w:r>
              <w:rPr>
                <w:rFonts w:hint="eastAsia"/>
                <w:b/>
                <w:bCs/>
                <w:szCs w:val="21"/>
              </w:rPr>
              <w:t>厂界噪声检测要求</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515"/>
              <w:gridCol w:w="2170"/>
              <w:gridCol w:w="1707"/>
              <w:gridCol w:w="1739"/>
            </w:tblGrid>
            <w:tr w14:paraId="4C55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64" w:type="pct"/>
                  <w:noWrap w:val="0"/>
                  <w:vAlign w:val="center"/>
                </w:tcPr>
                <w:p w14:paraId="44CA0D4B">
                  <w:pPr>
                    <w:jc w:val="center"/>
                    <w:rPr>
                      <w:b/>
                      <w:szCs w:val="21"/>
                    </w:rPr>
                  </w:pPr>
                  <w:r>
                    <w:rPr>
                      <w:b/>
                      <w:szCs w:val="21"/>
                    </w:rPr>
                    <w:t>测点编号</w:t>
                  </w:r>
                </w:p>
              </w:tc>
              <w:tc>
                <w:tcPr>
                  <w:tcW w:w="900" w:type="pct"/>
                  <w:noWrap w:val="0"/>
                  <w:vAlign w:val="center"/>
                </w:tcPr>
                <w:p w14:paraId="345AEE0C">
                  <w:pPr>
                    <w:jc w:val="center"/>
                    <w:rPr>
                      <w:rFonts w:hint="eastAsia"/>
                      <w:b/>
                      <w:szCs w:val="21"/>
                    </w:rPr>
                  </w:pPr>
                  <w:r>
                    <w:rPr>
                      <w:rFonts w:hint="eastAsia"/>
                      <w:b/>
                      <w:szCs w:val="21"/>
                    </w:rPr>
                    <w:t>监测点位</w:t>
                  </w:r>
                </w:p>
              </w:tc>
              <w:tc>
                <w:tcPr>
                  <w:tcW w:w="1289" w:type="pct"/>
                  <w:noWrap w:val="0"/>
                  <w:vAlign w:val="center"/>
                </w:tcPr>
                <w:p w14:paraId="3E89E9A5">
                  <w:pPr>
                    <w:jc w:val="center"/>
                    <w:rPr>
                      <w:b/>
                      <w:szCs w:val="21"/>
                    </w:rPr>
                  </w:pPr>
                  <w:r>
                    <w:rPr>
                      <w:b/>
                      <w:szCs w:val="21"/>
                    </w:rPr>
                    <w:t>测点位置</w:t>
                  </w:r>
                </w:p>
              </w:tc>
              <w:tc>
                <w:tcPr>
                  <w:tcW w:w="1014" w:type="pct"/>
                  <w:noWrap w:val="0"/>
                  <w:vAlign w:val="center"/>
                </w:tcPr>
                <w:p w14:paraId="3E588017">
                  <w:pPr>
                    <w:jc w:val="center"/>
                    <w:rPr>
                      <w:rFonts w:hint="eastAsia"/>
                      <w:b/>
                      <w:szCs w:val="21"/>
                    </w:rPr>
                  </w:pPr>
                  <w:r>
                    <w:rPr>
                      <w:rFonts w:hint="eastAsia"/>
                      <w:b/>
                      <w:szCs w:val="21"/>
                    </w:rPr>
                    <w:t>监测因子</w:t>
                  </w:r>
                </w:p>
              </w:tc>
              <w:tc>
                <w:tcPr>
                  <w:tcW w:w="1033" w:type="pct"/>
                  <w:noWrap w:val="0"/>
                  <w:vAlign w:val="center"/>
                </w:tcPr>
                <w:p w14:paraId="3B7FBCBD">
                  <w:pPr>
                    <w:jc w:val="center"/>
                    <w:rPr>
                      <w:b/>
                      <w:szCs w:val="21"/>
                    </w:rPr>
                  </w:pPr>
                  <w:r>
                    <w:rPr>
                      <w:b/>
                      <w:szCs w:val="21"/>
                    </w:rPr>
                    <w:t>监测频次</w:t>
                  </w:r>
                </w:p>
              </w:tc>
            </w:tr>
            <w:tr w14:paraId="3D3D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64" w:type="pct"/>
                  <w:noWrap w:val="0"/>
                  <w:vAlign w:val="center"/>
                </w:tcPr>
                <w:p w14:paraId="78DAA064">
                  <w:pPr>
                    <w:jc w:val="center"/>
                    <w:rPr>
                      <w:szCs w:val="21"/>
                    </w:rPr>
                  </w:pPr>
                  <w:r>
                    <w:rPr>
                      <w:szCs w:val="21"/>
                    </w:rPr>
                    <w:t>N1</w:t>
                  </w:r>
                </w:p>
              </w:tc>
              <w:tc>
                <w:tcPr>
                  <w:tcW w:w="900" w:type="pct"/>
                  <w:noWrap w:val="0"/>
                  <w:vAlign w:val="center"/>
                </w:tcPr>
                <w:p w14:paraId="52855B7C">
                  <w:pPr>
                    <w:jc w:val="center"/>
                    <w:rPr>
                      <w:szCs w:val="21"/>
                    </w:rPr>
                  </w:pPr>
                  <w:r>
                    <w:rPr>
                      <w:szCs w:val="21"/>
                    </w:rPr>
                    <w:t>厂界东</w:t>
                  </w:r>
                </w:p>
              </w:tc>
              <w:tc>
                <w:tcPr>
                  <w:tcW w:w="1289" w:type="pct"/>
                  <w:noWrap w:val="0"/>
                  <w:vAlign w:val="center"/>
                </w:tcPr>
                <w:p w14:paraId="659061EA">
                  <w:pPr>
                    <w:jc w:val="center"/>
                    <w:rPr>
                      <w:szCs w:val="21"/>
                    </w:rPr>
                  </w:pPr>
                  <w:r>
                    <w:rPr>
                      <w:szCs w:val="21"/>
                    </w:rPr>
                    <w:t>东厂界外1m</w:t>
                  </w:r>
                </w:p>
              </w:tc>
              <w:tc>
                <w:tcPr>
                  <w:tcW w:w="1014" w:type="pct"/>
                  <w:vMerge w:val="restart"/>
                  <w:noWrap w:val="0"/>
                  <w:vAlign w:val="center"/>
                </w:tcPr>
                <w:p w14:paraId="1B94EE1E">
                  <w:pPr>
                    <w:jc w:val="center"/>
                    <w:rPr>
                      <w:szCs w:val="21"/>
                    </w:rPr>
                  </w:pPr>
                  <w:r>
                    <w:rPr>
                      <w:szCs w:val="21"/>
                    </w:rPr>
                    <w:t>连续等效A声级L</w:t>
                  </w:r>
                  <w:r>
                    <w:rPr>
                      <w:szCs w:val="21"/>
                      <w:vertAlign w:val="subscript"/>
                    </w:rPr>
                    <w:t>eq</w:t>
                  </w:r>
                </w:p>
              </w:tc>
              <w:tc>
                <w:tcPr>
                  <w:tcW w:w="1033" w:type="pct"/>
                  <w:vMerge w:val="restart"/>
                  <w:noWrap w:val="0"/>
                  <w:vAlign w:val="center"/>
                </w:tcPr>
                <w:p w14:paraId="3E0A482F">
                  <w:pPr>
                    <w:jc w:val="center"/>
                    <w:rPr>
                      <w:szCs w:val="21"/>
                    </w:rPr>
                  </w:pPr>
                  <w:r>
                    <w:rPr>
                      <w:rFonts w:hint="eastAsia"/>
                      <w:szCs w:val="21"/>
                    </w:rPr>
                    <w:t>1次/季</w:t>
                  </w:r>
                </w:p>
              </w:tc>
            </w:tr>
            <w:tr w14:paraId="14C6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64" w:type="pct"/>
                  <w:noWrap w:val="0"/>
                  <w:vAlign w:val="center"/>
                </w:tcPr>
                <w:p w14:paraId="3DBD139B">
                  <w:pPr>
                    <w:jc w:val="center"/>
                    <w:rPr>
                      <w:szCs w:val="21"/>
                    </w:rPr>
                  </w:pPr>
                  <w:r>
                    <w:rPr>
                      <w:szCs w:val="21"/>
                    </w:rPr>
                    <w:t>N2</w:t>
                  </w:r>
                </w:p>
              </w:tc>
              <w:tc>
                <w:tcPr>
                  <w:tcW w:w="900" w:type="pct"/>
                  <w:noWrap w:val="0"/>
                  <w:vAlign w:val="center"/>
                </w:tcPr>
                <w:p w14:paraId="4C814128">
                  <w:pPr>
                    <w:jc w:val="center"/>
                    <w:rPr>
                      <w:szCs w:val="21"/>
                    </w:rPr>
                  </w:pPr>
                  <w:r>
                    <w:rPr>
                      <w:szCs w:val="21"/>
                    </w:rPr>
                    <w:t>厂界南</w:t>
                  </w:r>
                </w:p>
              </w:tc>
              <w:tc>
                <w:tcPr>
                  <w:tcW w:w="1289" w:type="pct"/>
                  <w:noWrap w:val="0"/>
                  <w:vAlign w:val="center"/>
                </w:tcPr>
                <w:p w14:paraId="1B3D3F3D">
                  <w:pPr>
                    <w:jc w:val="center"/>
                    <w:rPr>
                      <w:szCs w:val="21"/>
                    </w:rPr>
                  </w:pPr>
                  <w:r>
                    <w:rPr>
                      <w:szCs w:val="21"/>
                    </w:rPr>
                    <w:t>南厂界外1m</w:t>
                  </w:r>
                </w:p>
              </w:tc>
              <w:tc>
                <w:tcPr>
                  <w:tcW w:w="1014" w:type="pct"/>
                  <w:vMerge w:val="continue"/>
                  <w:noWrap w:val="0"/>
                  <w:vAlign w:val="center"/>
                </w:tcPr>
                <w:p w14:paraId="2D226346">
                  <w:pPr>
                    <w:jc w:val="center"/>
                    <w:rPr>
                      <w:szCs w:val="21"/>
                    </w:rPr>
                  </w:pPr>
                </w:p>
              </w:tc>
              <w:tc>
                <w:tcPr>
                  <w:tcW w:w="1033" w:type="pct"/>
                  <w:vMerge w:val="continue"/>
                  <w:noWrap w:val="0"/>
                  <w:vAlign w:val="center"/>
                </w:tcPr>
                <w:p w14:paraId="1D51C5CE">
                  <w:pPr>
                    <w:jc w:val="center"/>
                    <w:rPr>
                      <w:szCs w:val="21"/>
                    </w:rPr>
                  </w:pPr>
                </w:p>
              </w:tc>
            </w:tr>
            <w:tr w14:paraId="1D3B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64" w:type="pct"/>
                  <w:noWrap w:val="0"/>
                  <w:vAlign w:val="center"/>
                </w:tcPr>
                <w:p w14:paraId="30AF071B">
                  <w:pPr>
                    <w:jc w:val="center"/>
                    <w:rPr>
                      <w:szCs w:val="21"/>
                    </w:rPr>
                  </w:pPr>
                  <w:r>
                    <w:rPr>
                      <w:szCs w:val="21"/>
                    </w:rPr>
                    <w:t>N3</w:t>
                  </w:r>
                </w:p>
              </w:tc>
              <w:tc>
                <w:tcPr>
                  <w:tcW w:w="900" w:type="pct"/>
                  <w:noWrap w:val="0"/>
                  <w:vAlign w:val="center"/>
                </w:tcPr>
                <w:p w14:paraId="26026F92">
                  <w:pPr>
                    <w:jc w:val="center"/>
                    <w:rPr>
                      <w:szCs w:val="21"/>
                    </w:rPr>
                  </w:pPr>
                  <w:r>
                    <w:rPr>
                      <w:szCs w:val="21"/>
                    </w:rPr>
                    <w:t>厂界西</w:t>
                  </w:r>
                </w:p>
              </w:tc>
              <w:tc>
                <w:tcPr>
                  <w:tcW w:w="1289" w:type="pct"/>
                  <w:noWrap w:val="0"/>
                  <w:vAlign w:val="center"/>
                </w:tcPr>
                <w:p w14:paraId="6AF19750">
                  <w:pPr>
                    <w:jc w:val="center"/>
                    <w:rPr>
                      <w:szCs w:val="21"/>
                    </w:rPr>
                  </w:pPr>
                  <w:r>
                    <w:rPr>
                      <w:szCs w:val="21"/>
                    </w:rPr>
                    <w:t>西厂界外1m</w:t>
                  </w:r>
                </w:p>
              </w:tc>
              <w:tc>
                <w:tcPr>
                  <w:tcW w:w="1014" w:type="pct"/>
                  <w:vMerge w:val="continue"/>
                  <w:noWrap w:val="0"/>
                  <w:vAlign w:val="center"/>
                </w:tcPr>
                <w:p w14:paraId="41705F1E">
                  <w:pPr>
                    <w:jc w:val="center"/>
                    <w:rPr>
                      <w:szCs w:val="21"/>
                    </w:rPr>
                  </w:pPr>
                </w:p>
              </w:tc>
              <w:tc>
                <w:tcPr>
                  <w:tcW w:w="1033" w:type="pct"/>
                  <w:vMerge w:val="continue"/>
                  <w:noWrap w:val="0"/>
                  <w:vAlign w:val="center"/>
                </w:tcPr>
                <w:p w14:paraId="3C433389">
                  <w:pPr>
                    <w:jc w:val="center"/>
                    <w:rPr>
                      <w:szCs w:val="21"/>
                    </w:rPr>
                  </w:pPr>
                </w:p>
              </w:tc>
            </w:tr>
            <w:tr w14:paraId="2AF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64" w:type="pct"/>
                  <w:noWrap w:val="0"/>
                  <w:vAlign w:val="center"/>
                </w:tcPr>
                <w:p w14:paraId="7AA81180">
                  <w:pPr>
                    <w:jc w:val="center"/>
                    <w:rPr>
                      <w:szCs w:val="21"/>
                    </w:rPr>
                  </w:pPr>
                  <w:r>
                    <w:rPr>
                      <w:szCs w:val="21"/>
                    </w:rPr>
                    <w:t>N4</w:t>
                  </w:r>
                </w:p>
              </w:tc>
              <w:tc>
                <w:tcPr>
                  <w:tcW w:w="900" w:type="pct"/>
                  <w:noWrap w:val="0"/>
                  <w:vAlign w:val="center"/>
                </w:tcPr>
                <w:p w14:paraId="5FCC4983">
                  <w:pPr>
                    <w:jc w:val="center"/>
                    <w:rPr>
                      <w:szCs w:val="21"/>
                    </w:rPr>
                  </w:pPr>
                  <w:r>
                    <w:rPr>
                      <w:szCs w:val="21"/>
                    </w:rPr>
                    <w:t>厂界北</w:t>
                  </w:r>
                </w:p>
              </w:tc>
              <w:tc>
                <w:tcPr>
                  <w:tcW w:w="1289" w:type="pct"/>
                  <w:noWrap w:val="0"/>
                  <w:vAlign w:val="center"/>
                </w:tcPr>
                <w:p w14:paraId="022A7D87">
                  <w:pPr>
                    <w:jc w:val="center"/>
                    <w:rPr>
                      <w:szCs w:val="21"/>
                    </w:rPr>
                  </w:pPr>
                  <w:r>
                    <w:rPr>
                      <w:szCs w:val="21"/>
                    </w:rPr>
                    <w:t>北厂界外1m</w:t>
                  </w:r>
                </w:p>
              </w:tc>
              <w:tc>
                <w:tcPr>
                  <w:tcW w:w="1014" w:type="pct"/>
                  <w:vMerge w:val="continue"/>
                  <w:noWrap w:val="0"/>
                  <w:vAlign w:val="center"/>
                </w:tcPr>
                <w:p w14:paraId="6849F7BE">
                  <w:pPr>
                    <w:jc w:val="center"/>
                    <w:rPr>
                      <w:szCs w:val="21"/>
                    </w:rPr>
                  </w:pPr>
                </w:p>
              </w:tc>
              <w:tc>
                <w:tcPr>
                  <w:tcW w:w="1033" w:type="pct"/>
                  <w:vMerge w:val="continue"/>
                  <w:noWrap w:val="0"/>
                  <w:vAlign w:val="center"/>
                </w:tcPr>
                <w:p w14:paraId="41E8267A">
                  <w:pPr>
                    <w:jc w:val="center"/>
                    <w:rPr>
                      <w:szCs w:val="21"/>
                    </w:rPr>
                  </w:pPr>
                </w:p>
              </w:tc>
            </w:tr>
            <w:tr w14:paraId="2470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64" w:type="pct"/>
                  <w:noWrap w:val="0"/>
                  <w:vAlign w:val="center"/>
                </w:tcPr>
                <w:p w14:paraId="34C6F6B5">
                  <w:pPr>
                    <w:jc w:val="center"/>
                    <w:rPr>
                      <w:rFonts w:hint="eastAsia"/>
                      <w:szCs w:val="21"/>
                    </w:rPr>
                  </w:pPr>
                  <w:r>
                    <w:rPr>
                      <w:rFonts w:hint="eastAsia"/>
                      <w:szCs w:val="21"/>
                    </w:rPr>
                    <w:t>N5</w:t>
                  </w:r>
                </w:p>
              </w:tc>
              <w:tc>
                <w:tcPr>
                  <w:tcW w:w="900" w:type="pct"/>
                  <w:noWrap w:val="0"/>
                  <w:vAlign w:val="center"/>
                </w:tcPr>
                <w:p w14:paraId="4FDBEF03">
                  <w:pPr>
                    <w:jc w:val="center"/>
                    <w:rPr>
                      <w:rFonts w:hint="eastAsia"/>
                      <w:szCs w:val="21"/>
                    </w:rPr>
                  </w:pPr>
                  <w:r>
                    <w:rPr>
                      <w:rFonts w:hint="eastAsia"/>
                      <w:szCs w:val="21"/>
                    </w:rPr>
                    <w:t>和谐新家园</w:t>
                  </w:r>
                </w:p>
              </w:tc>
              <w:tc>
                <w:tcPr>
                  <w:tcW w:w="1289" w:type="pct"/>
                  <w:noWrap w:val="0"/>
                  <w:vAlign w:val="center"/>
                </w:tcPr>
                <w:p w14:paraId="66984035">
                  <w:pPr>
                    <w:jc w:val="center"/>
                    <w:rPr>
                      <w:szCs w:val="21"/>
                    </w:rPr>
                  </w:pPr>
                  <w:r>
                    <w:rPr>
                      <w:rFonts w:hint="eastAsia"/>
                      <w:szCs w:val="21"/>
                    </w:rPr>
                    <w:t>和谐新家园</w:t>
                  </w:r>
                </w:p>
              </w:tc>
              <w:tc>
                <w:tcPr>
                  <w:tcW w:w="1014" w:type="pct"/>
                  <w:vMerge w:val="continue"/>
                  <w:noWrap w:val="0"/>
                  <w:vAlign w:val="center"/>
                </w:tcPr>
                <w:p w14:paraId="3F639DAB">
                  <w:pPr>
                    <w:jc w:val="center"/>
                    <w:rPr>
                      <w:szCs w:val="21"/>
                    </w:rPr>
                  </w:pPr>
                </w:p>
              </w:tc>
              <w:tc>
                <w:tcPr>
                  <w:tcW w:w="1033" w:type="pct"/>
                  <w:vMerge w:val="continue"/>
                  <w:noWrap w:val="0"/>
                  <w:vAlign w:val="center"/>
                </w:tcPr>
                <w:p w14:paraId="61F1BA0D">
                  <w:pPr>
                    <w:jc w:val="center"/>
                    <w:rPr>
                      <w:szCs w:val="21"/>
                    </w:rPr>
                  </w:pPr>
                </w:p>
              </w:tc>
            </w:tr>
          </w:tbl>
          <w:p w14:paraId="67286B56">
            <w:pPr>
              <w:pStyle w:val="14"/>
              <w:ind w:left="0" w:leftChars="0"/>
              <w:rPr>
                <w:rFonts w:hint="eastAsia"/>
                <w:szCs w:val="21"/>
              </w:rPr>
            </w:pPr>
          </w:p>
        </w:tc>
      </w:tr>
    </w:tbl>
    <w:p w14:paraId="319C4E60">
      <w:pPr>
        <w:pStyle w:val="21"/>
        <w:jc w:val="center"/>
        <w:outlineLvl w:val="0"/>
        <w:rPr>
          <w:rFonts w:hint="eastAsia" w:ascii="黑体" w:hAnsi="黑体" w:eastAsia="黑体"/>
          <w:snapToGrid w:val="0"/>
          <w:sz w:val="21"/>
          <w:szCs w:val="21"/>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474"/>
      </w:tblGrid>
      <w:tr w14:paraId="32F66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62" w:hRule="atLeast"/>
          <w:jc w:val="center"/>
        </w:trPr>
        <w:tc>
          <w:tcPr>
            <w:tcW w:w="491" w:type="dxa"/>
            <w:noWrap w:val="0"/>
            <w:vAlign w:val="center"/>
          </w:tcPr>
          <w:p w14:paraId="31FE2317">
            <w:pPr>
              <w:adjustRightInd w:val="0"/>
              <w:snapToGrid w:val="0"/>
              <w:jc w:val="center"/>
              <w:rPr>
                <w:rFonts w:hint="eastAsia" w:ascii="宋体" w:hAnsi="宋体" w:cs="宋体"/>
                <w:b/>
                <w:bCs/>
                <w:szCs w:val="21"/>
              </w:rPr>
            </w:pPr>
            <w:r>
              <w:rPr>
                <w:rFonts w:hint="eastAsia" w:ascii="宋体" w:hAnsi="宋体" w:cs="宋体"/>
                <w:b/>
                <w:bCs/>
                <w:szCs w:val="21"/>
              </w:rPr>
              <w:t>运营</w:t>
            </w:r>
          </w:p>
          <w:p w14:paraId="7CCC8712">
            <w:pPr>
              <w:adjustRightInd w:val="0"/>
              <w:snapToGrid w:val="0"/>
              <w:jc w:val="center"/>
              <w:rPr>
                <w:rFonts w:hint="eastAsia" w:ascii="宋体" w:hAnsi="宋体" w:cs="宋体"/>
                <w:b/>
                <w:bCs/>
                <w:szCs w:val="21"/>
              </w:rPr>
            </w:pPr>
            <w:r>
              <w:rPr>
                <w:rFonts w:hint="eastAsia" w:ascii="宋体" w:hAnsi="宋体" w:cs="宋体"/>
                <w:b/>
                <w:bCs/>
                <w:szCs w:val="21"/>
              </w:rPr>
              <w:t>期环</w:t>
            </w:r>
          </w:p>
          <w:p w14:paraId="177264F5">
            <w:pPr>
              <w:adjustRightInd w:val="0"/>
              <w:snapToGrid w:val="0"/>
              <w:jc w:val="center"/>
              <w:rPr>
                <w:rFonts w:hint="eastAsia" w:ascii="宋体" w:hAnsi="宋体" w:cs="宋体"/>
                <w:b/>
                <w:bCs/>
                <w:szCs w:val="21"/>
              </w:rPr>
            </w:pPr>
            <w:r>
              <w:rPr>
                <w:rFonts w:hint="eastAsia" w:ascii="宋体" w:hAnsi="宋体" w:cs="宋体"/>
                <w:b/>
                <w:bCs/>
                <w:szCs w:val="21"/>
              </w:rPr>
              <w:t>境影</w:t>
            </w:r>
          </w:p>
          <w:p w14:paraId="457376FA">
            <w:pPr>
              <w:adjustRightInd w:val="0"/>
              <w:snapToGrid w:val="0"/>
              <w:jc w:val="center"/>
              <w:rPr>
                <w:rFonts w:hint="eastAsia" w:ascii="宋体" w:hAnsi="宋体" w:cs="宋体"/>
                <w:b/>
                <w:bCs/>
                <w:szCs w:val="21"/>
              </w:rPr>
            </w:pPr>
            <w:r>
              <w:rPr>
                <w:rFonts w:hint="eastAsia" w:ascii="宋体" w:hAnsi="宋体" w:cs="宋体"/>
                <w:b/>
                <w:bCs/>
                <w:szCs w:val="21"/>
              </w:rPr>
              <w:t>响和</w:t>
            </w:r>
          </w:p>
          <w:p w14:paraId="19623039">
            <w:pPr>
              <w:adjustRightInd w:val="0"/>
              <w:snapToGrid w:val="0"/>
              <w:jc w:val="center"/>
              <w:rPr>
                <w:rFonts w:hint="eastAsia" w:ascii="黑体" w:hAnsi="黑体" w:eastAsia="黑体"/>
                <w:snapToGrid w:val="0"/>
                <w:szCs w:val="21"/>
              </w:rPr>
            </w:pPr>
            <w:r>
              <w:rPr>
                <w:rFonts w:hint="eastAsia" w:ascii="宋体" w:hAnsi="宋体" w:cs="宋体"/>
                <w:b/>
                <w:bCs/>
                <w:szCs w:val="21"/>
              </w:rPr>
              <w:t>保护措施</w:t>
            </w:r>
          </w:p>
        </w:tc>
        <w:tc>
          <w:tcPr>
            <w:tcW w:w="8474" w:type="dxa"/>
            <w:noWrap w:val="0"/>
            <w:vAlign w:val="top"/>
          </w:tcPr>
          <w:p w14:paraId="631F7376">
            <w:pPr>
              <w:spacing w:line="360" w:lineRule="auto"/>
              <w:ind w:firstLine="482" w:firstLineChars="200"/>
              <w:rPr>
                <w:rFonts w:hint="eastAsia"/>
                <w:b/>
                <w:bCs/>
                <w:sz w:val="24"/>
              </w:rPr>
            </w:pPr>
            <w:r>
              <w:rPr>
                <w:rFonts w:hint="eastAsia"/>
                <w:b/>
                <w:bCs/>
                <w:sz w:val="24"/>
              </w:rPr>
              <w:t>4.4固体废物</w:t>
            </w:r>
          </w:p>
          <w:p w14:paraId="6503559E">
            <w:pPr>
              <w:pStyle w:val="20"/>
              <w:widowControl/>
              <w:spacing w:after="0" w:line="360" w:lineRule="auto"/>
              <w:ind w:firstLine="480" w:firstLineChars="200"/>
              <w:rPr>
                <w:bCs/>
                <w:sz w:val="24"/>
              </w:rPr>
            </w:pPr>
            <w:bookmarkStart w:id="10" w:name="_Hlk185367718"/>
            <w:r>
              <w:rPr>
                <w:bCs/>
                <w:sz w:val="24"/>
              </w:rPr>
              <w:t>本项目产生的固体废物分为危险废物、一般工业固体废物和生活垃圾。根据《国家危险废物名录》（202</w:t>
            </w:r>
            <w:r>
              <w:rPr>
                <w:rFonts w:hint="eastAsia"/>
                <w:bCs/>
                <w:sz w:val="24"/>
              </w:rPr>
              <w:t>5</w:t>
            </w:r>
            <w:r>
              <w:rPr>
                <w:bCs/>
                <w:sz w:val="24"/>
              </w:rPr>
              <w:t>版），本项目产生的危险废物主要</w:t>
            </w:r>
            <w:r>
              <w:rPr>
                <w:rFonts w:hint="eastAsia"/>
                <w:bCs/>
                <w:sz w:val="24"/>
              </w:rPr>
              <w:t>为：废润滑油、废液压油、废乳化切削液、废油桶、废过滤棉、废活性炭</w:t>
            </w:r>
            <w:r>
              <w:rPr>
                <w:rFonts w:hint="eastAsia"/>
                <w:bCs/>
                <w:sz w:val="24"/>
                <w:lang w:eastAsia="zh-CN"/>
              </w:rPr>
              <w:t>、</w:t>
            </w:r>
            <w:r>
              <w:rPr>
                <w:rFonts w:hint="eastAsia"/>
                <w:bCs/>
                <w:sz w:val="24"/>
                <w:lang w:val="en-US" w:eastAsia="zh-CN"/>
              </w:rPr>
              <w:t>漆渣</w:t>
            </w:r>
            <w:r>
              <w:rPr>
                <w:bCs/>
                <w:sz w:val="24"/>
              </w:rPr>
              <w:t>。一般工业固废</w:t>
            </w:r>
            <w:r>
              <w:rPr>
                <w:rFonts w:hint="eastAsia"/>
                <w:bCs/>
                <w:sz w:val="24"/>
              </w:rPr>
              <w:t>主要为</w:t>
            </w:r>
            <w:r>
              <w:rPr>
                <w:bCs/>
                <w:sz w:val="24"/>
              </w:rPr>
              <w:t>：废包装</w:t>
            </w:r>
            <w:r>
              <w:rPr>
                <w:rFonts w:hint="eastAsia"/>
                <w:bCs/>
                <w:sz w:val="24"/>
              </w:rPr>
              <w:t>材料</w:t>
            </w:r>
            <w:r>
              <w:rPr>
                <w:bCs/>
                <w:sz w:val="24"/>
              </w:rPr>
              <w:t>、</w:t>
            </w:r>
            <w:r>
              <w:rPr>
                <w:rFonts w:hint="eastAsia"/>
                <w:bCs/>
                <w:sz w:val="24"/>
              </w:rPr>
              <w:t>废</w:t>
            </w:r>
            <w:r>
              <w:rPr>
                <w:rFonts w:hint="eastAsia"/>
                <w:bCs/>
                <w:sz w:val="24"/>
                <w:lang w:val="en-US" w:eastAsia="zh-CN"/>
              </w:rPr>
              <w:t>铁</w:t>
            </w:r>
            <w:r>
              <w:rPr>
                <w:rFonts w:hint="eastAsia"/>
                <w:bCs/>
                <w:sz w:val="24"/>
              </w:rPr>
              <w:t>屑、</w:t>
            </w:r>
            <w:r>
              <w:rPr>
                <w:bCs/>
                <w:sz w:val="24"/>
              </w:rPr>
              <w:t>废边角料、</w:t>
            </w:r>
            <w:r>
              <w:rPr>
                <w:rFonts w:hint="eastAsia"/>
                <w:bCs/>
                <w:sz w:val="24"/>
              </w:rPr>
              <w:t>废钢丸、废漆桶、废渗锌剂、不合格品</w:t>
            </w:r>
            <w:r>
              <w:rPr>
                <w:bCs/>
                <w:sz w:val="24"/>
              </w:rPr>
              <w:t>、布袋除尘器收集粉尘</w:t>
            </w:r>
            <w:r>
              <w:rPr>
                <w:rFonts w:hint="eastAsia"/>
                <w:bCs/>
                <w:sz w:val="24"/>
              </w:rPr>
              <w:t>、清洗沉淀物。</w:t>
            </w:r>
            <w:bookmarkEnd w:id="10"/>
          </w:p>
          <w:p w14:paraId="10907137">
            <w:pPr>
              <w:pStyle w:val="20"/>
              <w:widowControl/>
              <w:spacing w:line="360" w:lineRule="auto"/>
              <w:ind w:firstLine="480" w:firstLineChars="200"/>
              <w:rPr>
                <w:rFonts w:hint="eastAsia"/>
                <w:bCs/>
                <w:sz w:val="24"/>
              </w:rPr>
            </w:pPr>
            <w:r>
              <w:rPr>
                <w:rFonts w:hint="eastAsia"/>
                <w:bCs/>
                <w:sz w:val="24"/>
              </w:rPr>
              <w:t>1、危险废物</w:t>
            </w:r>
          </w:p>
          <w:p w14:paraId="45B9A769">
            <w:pPr>
              <w:pStyle w:val="20"/>
              <w:widowControl/>
              <w:spacing w:line="360" w:lineRule="auto"/>
              <w:ind w:firstLine="480" w:firstLineChars="200"/>
              <w:rPr>
                <w:bCs/>
                <w:sz w:val="24"/>
              </w:rPr>
            </w:pPr>
            <w:r>
              <w:rPr>
                <w:rFonts w:hint="eastAsia"/>
                <w:bCs/>
                <w:sz w:val="24"/>
              </w:rPr>
              <w:t>（1）废润滑油</w:t>
            </w:r>
          </w:p>
          <w:p w14:paraId="5312188F">
            <w:pPr>
              <w:pStyle w:val="20"/>
              <w:widowControl/>
              <w:spacing w:line="360" w:lineRule="auto"/>
              <w:ind w:firstLine="480" w:firstLineChars="200"/>
              <w:rPr>
                <w:rFonts w:hint="eastAsia"/>
                <w:bCs/>
                <w:sz w:val="24"/>
              </w:rPr>
            </w:pPr>
            <w:r>
              <w:rPr>
                <w:rFonts w:hint="eastAsia"/>
                <w:bCs/>
                <w:sz w:val="24"/>
              </w:rPr>
              <w:t>本项目</w:t>
            </w:r>
            <w:r>
              <w:rPr>
                <w:rFonts w:hint="eastAsia"/>
                <w:bCs/>
                <w:sz w:val="24"/>
                <w:lang w:val="en-US" w:eastAsia="zh-CN"/>
              </w:rPr>
              <w:t>机加工过程会</w:t>
            </w:r>
            <w:r>
              <w:rPr>
                <w:rFonts w:hint="eastAsia"/>
                <w:bCs/>
                <w:sz w:val="24"/>
              </w:rPr>
              <w:t>产生废润滑油，产生量约为0.21t/a，属于《国家危险废物名录》（2025版）中HW</w:t>
            </w:r>
            <w:r>
              <w:rPr>
                <w:rFonts w:hint="eastAsia"/>
                <w:bCs/>
                <w:sz w:val="24"/>
                <w:lang w:val="en-US" w:eastAsia="zh-CN"/>
              </w:rPr>
              <w:t>08废矿物油与含矿物油废物</w:t>
            </w:r>
            <w:r>
              <w:rPr>
                <w:rFonts w:hint="eastAsia"/>
                <w:bCs/>
                <w:sz w:val="24"/>
              </w:rPr>
              <w:t>（代码为900-21</w:t>
            </w:r>
            <w:r>
              <w:rPr>
                <w:rFonts w:hint="eastAsia"/>
                <w:bCs/>
                <w:sz w:val="24"/>
                <w:lang w:val="en-US" w:eastAsia="zh-CN"/>
              </w:rPr>
              <w:t>7</w:t>
            </w:r>
            <w:r>
              <w:rPr>
                <w:rFonts w:hint="eastAsia"/>
                <w:bCs/>
                <w:sz w:val="24"/>
              </w:rPr>
              <w:t>-08），分类收集后暂存于危废仓库，定期委托有资质单位处置。</w:t>
            </w:r>
          </w:p>
          <w:p w14:paraId="057B8CD6">
            <w:pPr>
              <w:pStyle w:val="20"/>
              <w:widowControl/>
              <w:spacing w:line="360" w:lineRule="auto"/>
              <w:ind w:firstLine="480" w:firstLineChars="200"/>
              <w:rPr>
                <w:rFonts w:hint="eastAsia"/>
                <w:bCs/>
                <w:sz w:val="24"/>
              </w:rPr>
            </w:pPr>
            <w:r>
              <w:rPr>
                <w:rFonts w:hint="eastAsia"/>
                <w:bCs/>
                <w:sz w:val="24"/>
              </w:rPr>
              <w:t>（2）废液压油</w:t>
            </w:r>
          </w:p>
          <w:p w14:paraId="0575D479">
            <w:pPr>
              <w:pStyle w:val="20"/>
              <w:widowControl/>
              <w:spacing w:line="360" w:lineRule="auto"/>
              <w:ind w:firstLine="480" w:firstLineChars="200"/>
              <w:rPr>
                <w:rFonts w:hint="eastAsia"/>
                <w:bCs/>
                <w:sz w:val="24"/>
              </w:rPr>
            </w:pPr>
            <w:r>
              <w:rPr>
                <w:rFonts w:hint="eastAsia"/>
                <w:bCs/>
                <w:sz w:val="24"/>
              </w:rPr>
              <w:t>本项目</w:t>
            </w:r>
            <w:r>
              <w:rPr>
                <w:rFonts w:hint="eastAsia"/>
                <w:bCs/>
                <w:sz w:val="24"/>
                <w:lang w:val="en-US" w:eastAsia="zh-CN"/>
              </w:rPr>
              <w:t>机加工过程会</w:t>
            </w:r>
            <w:r>
              <w:rPr>
                <w:rFonts w:hint="eastAsia"/>
                <w:bCs/>
                <w:sz w:val="24"/>
              </w:rPr>
              <w:t>产生废液压油，产生量约为0.07t/a，属于《国家危险废物名录》（2025版）中HW</w:t>
            </w:r>
            <w:r>
              <w:rPr>
                <w:rFonts w:hint="eastAsia"/>
                <w:bCs/>
                <w:sz w:val="24"/>
                <w:lang w:val="en-US" w:eastAsia="zh-CN"/>
              </w:rPr>
              <w:t>08废矿物油与含矿物油废物</w:t>
            </w:r>
            <w:r>
              <w:rPr>
                <w:rFonts w:hint="eastAsia"/>
                <w:bCs/>
                <w:sz w:val="24"/>
              </w:rPr>
              <w:t>（代码为900-21</w:t>
            </w:r>
            <w:r>
              <w:rPr>
                <w:rFonts w:hint="eastAsia"/>
                <w:bCs/>
                <w:sz w:val="24"/>
                <w:lang w:val="en-US" w:eastAsia="zh-CN"/>
              </w:rPr>
              <w:t>8</w:t>
            </w:r>
            <w:r>
              <w:rPr>
                <w:rFonts w:hint="eastAsia"/>
                <w:bCs/>
                <w:sz w:val="24"/>
              </w:rPr>
              <w:t>-08），分类收集后暂存于危废仓库，定期委托有资质单位处置。</w:t>
            </w:r>
          </w:p>
          <w:p w14:paraId="46624E91">
            <w:pPr>
              <w:pStyle w:val="20"/>
              <w:widowControl/>
              <w:spacing w:line="360" w:lineRule="auto"/>
              <w:ind w:firstLine="480" w:firstLineChars="200"/>
              <w:rPr>
                <w:rFonts w:hint="eastAsia"/>
                <w:bCs/>
                <w:sz w:val="24"/>
              </w:rPr>
            </w:pPr>
            <w:r>
              <w:rPr>
                <w:rFonts w:hint="eastAsia"/>
                <w:bCs/>
                <w:sz w:val="24"/>
              </w:rPr>
              <w:t>（3）废乳化削切油</w:t>
            </w:r>
          </w:p>
          <w:p w14:paraId="063BBA15">
            <w:pPr>
              <w:pStyle w:val="20"/>
              <w:widowControl/>
              <w:spacing w:line="360" w:lineRule="auto"/>
              <w:ind w:firstLine="480" w:firstLineChars="200"/>
              <w:rPr>
                <w:rFonts w:hint="eastAsia"/>
                <w:bCs/>
                <w:sz w:val="24"/>
              </w:rPr>
            </w:pPr>
            <w:r>
              <w:rPr>
                <w:rFonts w:hint="eastAsia"/>
                <w:bCs/>
                <w:sz w:val="24"/>
              </w:rPr>
              <w:t>本项目利用高精度的加工机械对工件进一步加工，此工序产生废乳化削切油，产生量约为0.35t/a，属于《国家危险废物名录》（2025版）中HW</w:t>
            </w:r>
            <w:r>
              <w:rPr>
                <w:rFonts w:hint="eastAsia"/>
                <w:bCs/>
                <w:sz w:val="24"/>
                <w:lang w:val="en-US" w:eastAsia="zh-CN"/>
              </w:rPr>
              <w:t>0</w:t>
            </w:r>
            <w:r>
              <w:rPr>
                <w:rFonts w:hint="eastAsia"/>
                <w:bCs/>
                <w:sz w:val="24"/>
              </w:rPr>
              <w:t>9油/水、烃/水混合物或者乳化液（代码为</w:t>
            </w:r>
            <w:r>
              <w:rPr>
                <w:bCs/>
                <w:sz w:val="24"/>
              </w:rPr>
              <w:t>900-</w:t>
            </w:r>
            <w:r>
              <w:rPr>
                <w:rFonts w:hint="eastAsia"/>
                <w:bCs/>
                <w:sz w:val="24"/>
                <w:lang w:val="en-US" w:eastAsia="zh-CN"/>
              </w:rPr>
              <w:t>006</w:t>
            </w:r>
            <w:r>
              <w:rPr>
                <w:bCs/>
                <w:sz w:val="24"/>
              </w:rPr>
              <w:t>-</w:t>
            </w:r>
            <w:r>
              <w:rPr>
                <w:rFonts w:hint="eastAsia"/>
                <w:bCs/>
                <w:sz w:val="24"/>
                <w:lang w:val="en-US" w:eastAsia="zh-CN"/>
              </w:rPr>
              <w:t>09</w:t>
            </w:r>
            <w:r>
              <w:rPr>
                <w:rFonts w:hint="eastAsia"/>
                <w:bCs/>
                <w:sz w:val="24"/>
              </w:rPr>
              <w:t>），分类收集后暂存于危废仓库，定期委托有资质单位处置。</w:t>
            </w:r>
          </w:p>
          <w:p w14:paraId="4393C031">
            <w:pPr>
              <w:pStyle w:val="20"/>
              <w:widowControl/>
              <w:spacing w:after="0" w:line="360" w:lineRule="auto"/>
              <w:ind w:firstLine="480" w:firstLineChars="200"/>
              <w:rPr>
                <w:bCs/>
                <w:sz w:val="24"/>
              </w:rPr>
            </w:pPr>
            <w:r>
              <w:rPr>
                <w:rFonts w:hint="eastAsia"/>
                <w:bCs/>
                <w:sz w:val="24"/>
              </w:rPr>
              <w:t>（4）废油桶</w:t>
            </w:r>
          </w:p>
          <w:p w14:paraId="5FEA0494">
            <w:pPr>
              <w:pStyle w:val="20"/>
              <w:widowControl/>
              <w:spacing w:line="360" w:lineRule="auto"/>
              <w:ind w:firstLine="480" w:firstLineChars="200"/>
              <w:rPr>
                <w:rFonts w:hint="eastAsia"/>
                <w:bCs/>
                <w:sz w:val="24"/>
              </w:rPr>
            </w:pPr>
            <w:r>
              <w:rPr>
                <w:rFonts w:hint="eastAsia"/>
                <w:bCs/>
                <w:sz w:val="24"/>
              </w:rPr>
              <w:t>本项目润滑油、液压油等化学品使用过程产生沾染化学品的废包装材料，产生量约为0.7t/a，属于《国家危险废物名录》（2025版）中HW</w:t>
            </w:r>
            <w:r>
              <w:rPr>
                <w:rFonts w:hint="eastAsia"/>
                <w:bCs/>
                <w:sz w:val="24"/>
                <w:lang w:val="en-US" w:eastAsia="zh-CN"/>
              </w:rPr>
              <w:t>08废矿物油与含矿物油废物</w:t>
            </w:r>
            <w:r>
              <w:rPr>
                <w:rFonts w:hint="eastAsia"/>
                <w:bCs/>
                <w:sz w:val="24"/>
              </w:rPr>
              <w:t>（代码为</w:t>
            </w:r>
            <w:r>
              <w:rPr>
                <w:bCs/>
                <w:sz w:val="24"/>
              </w:rPr>
              <w:t>900-</w:t>
            </w:r>
            <w:r>
              <w:rPr>
                <w:rFonts w:hint="eastAsia"/>
                <w:bCs/>
                <w:sz w:val="24"/>
                <w:lang w:val="en-US" w:eastAsia="zh-CN"/>
              </w:rPr>
              <w:t>249</w:t>
            </w:r>
            <w:r>
              <w:rPr>
                <w:bCs/>
                <w:sz w:val="24"/>
              </w:rPr>
              <w:t>-</w:t>
            </w:r>
            <w:r>
              <w:rPr>
                <w:rFonts w:hint="eastAsia"/>
                <w:bCs/>
                <w:sz w:val="24"/>
                <w:lang w:val="en-US" w:eastAsia="zh-CN"/>
              </w:rPr>
              <w:t>08</w:t>
            </w:r>
            <w:r>
              <w:rPr>
                <w:rFonts w:hint="eastAsia"/>
                <w:bCs/>
                <w:sz w:val="24"/>
              </w:rPr>
              <w:t>），分类收集后暂存于危废仓库，定期委托有资质单位处置。</w:t>
            </w:r>
          </w:p>
          <w:p w14:paraId="37AB8B2A">
            <w:pPr>
              <w:pStyle w:val="20"/>
              <w:widowControl/>
              <w:spacing w:line="360" w:lineRule="auto"/>
              <w:ind w:firstLine="480" w:firstLineChars="200"/>
              <w:rPr>
                <w:rFonts w:hint="eastAsia"/>
                <w:bCs/>
                <w:sz w:val="24"/>
              </w:rPr>
            </w:pPr>
            <w:r>
              <w:rPr>
                <w:rFonts w:hint="eastAsia"/>
                <w:bCs/>
                <w:sz w:val="24"/>
              </w:rPr>
              <w:t>（5）废过滤棉</w:t>
            </w:r>
          </w:p>
          <w:p w14:paraId="53A7E294">
            <w:pPr>
              <w:pStyle w:val="20"/>
              <w:widowControl/>
              <w:spacing w:line="360" w:lineRule="auto"/>
              <w:ind w:firstLine="480" w:firstLineChars="200"/>
              <w:rPr>
                <w:bCs/>
                <w:sz w:val="24"/>
              </w:rPr>
            </w:pPr>
            <w:r>
              <w:rPr>
                <w:rFonts w:hint="eastAsia"/>
                <w:bCs/>
                <w:sz w:val="24"/>
              </w:rPr>
              <w:t>本项目废气处理过程中产生废过滤棉，产生量约为0.07t/a，属于《国家危险废物名录》（2025版）中HW49其他废物（代码为</w:t>
            </w:r>
            <w:r>
              <w:rPr>
                <w:bCs/>
                <w:sz w:val="24"/>
              </w:rPr>
              <w:t>900-047-49</w:t>
            </w:r>
            <w:r>
              <w:rPr>
                <w:rFonts w:hint="eastAsia"/>
                <w:bCs/>
                <w:sz w:val="24"/>
              </w:rPr>
              <w:t>），分类收集后暂存于危废仓库，定期委托有资质单位处置。</w:t>
            </w:r>
          </w:p>
          <w:p w14:paraId="6A3ACB18">
            <w:pPr>
              <w:pStyle w:val="20"/>
              <w:widowControl/>
              <w:spacing w:line="360" w:lineRule="auto"/>
              <w:ind w:firstLine="480" w:firstLineChars="200"/>
              <w:rPr>
                <w:bCs/>
                <w:sz w:val="24"/>
              </w:rPr>
            </w:pPr>
            <w:r>
              <w:rPr>
                <w:rFonts w:hint="eastAsia"/>
                <w:bCs/>
                <w:sz w:val="24"/>
              </w:rPr>
              <w:t>（6）废活性炭</w:t>
            </w:r>
          </w:p>
          <w:p w14:paraId="3F3DE4AB">
            <w:pPr>
              <w:pStyle w:val="20"/>
              <w:widowControl/>
              <w:spacing w:line="360" w:lineRule="auto"/>
              <w:ind w:firstLine="480" w:firstLineChars="200"/>
              <w:rPr>
                <w:rFonts w:hint="eastAsia"/>
                <w:bCs/>
                <w:sz w:val="24"/>
              </w:rPr>
            </w:pPr>
            <w:r>
              <w:rPr>
                <w:rFonts w:hint="eastAsia"/>
                <w:sz w:val="24"/>
              </w:rPr>
              <w:t>本项目喷漆晾干产生的非甲烷总烃，漆雾需经过两级活性炭吸附设施处理后排放</w:t>
            </w:r>
            <w:r>
              <w:rPr>
                <w:rFonts w:hint="eastAsia"/>
                <w:bCs/>
                <w:sz w:val="24"/>
              </w:rPr>
              <w:t>，需要定期更换活性炭，根据废气污染源强核算，</w:t>
            </w:r>
            <w:r>
              <w:rPr>
                <w:rFonts w:hint="eastAsia"/>
                <w:bCs/>
                <w:sz w:val="24"/>
                <w:lang w:val="en-US" w:eastAsia="zh-CN"/>
              </w:rPr>
              <w:t>有机废气的产生量为0.574t/a，</w:t>
            </w:r>
            <w:r>
              <w:rPr>
                <w:rFonts w:hint="eastAsia"/>
                <w:bCs/>
                <w:sz w:val="24"/>
              </w:rPr>
              <w:t>经活性炭吸附的有机废气量</w:t>
            </w:r>
            <w:r>
              <w:rPr>
                <w:rFonts w:hint="eastAsia"/>
                <w:bCs/>
                <w:sz w:val="24"/>
                <w:lang w:val="en-US" w:eastAsia="zh-CN"/>
              </w:rPr>
              <w:t>0.4908</w:t>
            </w:r>
            <w:r>
              <w:rPr>
                <w:rFonts w:hint="eastAsia"/>
                <w:bCs/>
                <w:sz w:val="24"/>
              </w:rPr>
              <w:t>t/a，按照1t活性炭可以吸附0.33t有机废气计算，项目废活性炭产生量为</w:t>
            </w:r>
            <w:r>
              <w:rPr>
                <w:rFonts w:hint="eastAsia"/>
                <w:bCs/>
                <w:sz w:val="24"/>
                <w:lang w:val="en-US" w:eastAsia="zh-CN"/>
              </w:rPr>
              <w:t>1.978</w:t>
            </w:r>
            <w:r>
              <w:rPr>
                <w:rFonts w:hint="eastAsia"/>
                <w:bCs/>
                <w:sz w:val="24"/>
              </w:rPr>
              <w:t>t/a。废活性炭属于《国家危险废物名录》（2025版）中HW49其他废物（代码为900-039-49），分类收集后暂存于危废仓库，定期委托有资质单位处置。</w:t>
            </w:r>
          </w:p>
          <w:p w14:paraId="4D21A1F5">
            <w:pPr>
              <w:pStyle w:val="20"/>
              <w:widowControl/>
              <w:spacing w:line="360" w:lineRule="auto"/>
              <w:ind w:firstLine="480" w:firstLineChars="200"/>
              <w:rPr>
                <w:rFonts w:hint="eastAsia" w:eastAsia="宋体"/>
                <w:bCs/>
                <w:sz w:val="24"/>
                <w:lang w:eastAsia="zh-CN"/>
              </w:rPr>
            </w:pPr>
            <w:r>
              <w:rPr>
                <w:rFonts w:hint="eastAsia"/>
                <w:bCs/>
                <w:sz w:val="24"/>
              </w:rPr>
              <w:t>（7）</w:t>
            </w:r>
            <w:r>
              <w:rPr>
                <w:rFonts w:hint="eastAsia"/>
                <w:bCs/>
                <w:sz w:val="24"/>
                <w:lang w:val="en-US" w:eastAsia="zh-CN"/>
              </w:rPr>
              <w:t>漆渣</w:t>
            </w:r>
          </w:p>
          <w:p w14:paraId="4C238456">
            <w:pPr>
              <w:pStyle w:val="20"/>
              <w:widowControl/>
              <w:spacing w:line="360" w:lineRule="auto"/>
              <w:ind w:firstLine="480" w:firstLineChars="200"/>
              <w:rPr>
                <w:rFonts w:hint="default" w:eastAsia="宋体"/>
                <w:bCs/>
                <w:sz w:val="24"/>
                <w:lang w:val="en-US" w:eastAsia="zh-CN"/>
              </w:rPr>
            </w:pPr>
            <w:r>
              <w:rPr>
                <w:rFonts w:hint="eastAsia"/>
                <w:bCs/>
                <w:sz w:val="24"/>
              </w:rPr>
              <w:t>本项目</w:t>
            </w:r>
            <w:r>
              <w:rPr>
                <w:rFonts w:hint="eastAsia"/>
                <w:bCs/>
                <w:sz w:val="24"/>
                <w:lang w:val="en-US" w:eastAsia="zh-CN"/>
              </w:rPr>
              <w:t>喷漆及封闭过程使用</w:t>
            </w:r>
            <w:r>
              <w:rPr>
                <w:rFonts w:hint="eastAsia" w:ascii="Times New Roman" w:hAnsi="Times New Roman" w:cs="Times New Roman"/>
                <w:color w:val="auto"/>
                <w:sz w:val="24"/>
              </w:rPr>
              <w:t>水性环氧底漆</w:t>
            </w:r>
            <w:r>
              <w:rPr>
                <w:rFonts w:hint="eastAsia" w:ascii="Times New Roman" w:hAnsi="Times New Roman" w:cs="Times New Roman"/>
                <w:color w:val="auto"/>
                <w:sz w:val="24"/>
                <w:lang w:eastAsia="zh-CN"/>
              </w:rPr>
              <w:t>，</w:t>
            </w:r>
            <w:r>
              <w:rPr>
                <w:rFonts w:hint="eastAsia" w:ascii="Times New Roman" w:hAnsi="Times New Roman"/>
                <w:bCs/>
                <w:sz w:val="24"/>
              </w:rPr>
              <w:t>根据</w:t>
            </w:r>
            <w:r>
              <w:rPr>
                <w:rFonts w:hint="eastAsia" w:ascii="Times New Roman" w:hAnsi="Times New Roman"/>
                <w:bCs/>
                <w:sz w:val="24"/>
                <w:lang w:val="en-US" w:eastAsia="zh-CN"/>
              </w:rPr>
              <w:t>本</w:t>
            </w:r>
            <w:r>
              <w:rPr>
                <w:rFonts w:hint="eastAsia" w:ascii="Times New Roman" w:hAnsi="Times New Roman"/>
                <w:bCs/>
                <w:sz w:val="24"/>
              </w:rPr>
              <w:t>项目漆料平衡可知，</w:t>
            </w:r>
            <w:r>
              <w:rPr>
                <w:rFonts w:hint="eastAsia" w:ascii="Times New Roman" w:hAnsi="Times New Roman"/>
                <w:bCs/>
                <w:sz w:val="24"/>
                <w:lang w:eastAsia="zh-CN"/>
              </w:rPr>
              <w:t>本</w:t>
            </w:r>
            <w:r>
              <w:rPr>
                <w:rFonts w:hint="eastAsia" w:ascii="Times New Roman" w:hAnsi="Times New Roman"/>
                <w:bCs/>
                <w:sz w:val="24"/>
              </w:rPr>
              <w:t>项目漆渣产生量为</w:t>
            </w:r>
            <w:r>
              <w:rPr>
                <w:rFonts w:ascii="Times New Roman" w:hAnsi="Times New Roman"/>
                <w:bCs/>
                <w:sz w:val="24"/>
              </w:rPr>
              <w:t>0.</w:t>
            </w:r>
            <w:r>
              <w:rPr>
                <w:rFonts w:hint="eastAsia" w:ascii="Times New Roman" w:hAnsi="Times New Roman"/>
                <w:bCs/>
                <w:sz w:val="24"/>
                <w:lang w:val="en-US" w:eastAsia="zh-CN"/>
              </w:rPr>
              <w:t>189</w:t>
            </w:r>
            <w:r>
              <w:rPr>
                <w:rFonts w:ascii="Times New Roman" w:hAnsi="Times New Roman"/>
                <w:bCs/>
                <w:sz w:val="24"/>
              </w:rPr>
              <w:t>t/a</w:t>
            </w:r>
            <w:r>
              <w:rPr>
                <w:rFonts w:hint="eastAsia"/>
                <w:bCs/>
                <w:sz w:val="24"/>
              </w:rPr>
              <w:t>。</w:t>
            </w:r>
            <w:r>
              <w:rPr>
                <w:rFonts w:hint="eastAsia"/>
                <w:bCs/>
                <w:sz w:val="24"/>
                <w:lang w:val="en-US" w:eastAsia="zh-CN"/>
              </w:rPr>
              <w:t>漆渣属于</w:t>
            </w:r>
            <w:r>
              <w:rPr>
                <w:rFonts w:hint="eastAsia"/>
                <w:bCs/>
                <w:sz w:val="24"/>
              </w:rPr>
              <w:t>《国家危险废物名录》（2025版）中HW49其他废物（代码为900-047-49），分类收集后暂存于危废仓库，定期委托有资质单位处置</w:t>
            </w:r>
          </w:p>
          <w:p w14:paraId="1D7FA373">
            <w:pPr>
              <w:pStyle w:val="20"/>
              <w:widowControl/>
              <w:spacing w:line="360" w:lineRule="auto"/>
              <w:ind w:firstLine="480" w:firstLineChars="200"/>
              <w:rPr>
                <w:rFonts w:hint="eastAsia"/>
                <w:bCs/>
                <w:sz w:val="24"/>
              </w:rPr>
            </w:pPr>
            <w:r>
              <w:rPr>
                <w:rFonts w:hint="eastAsia"/>
                <w:bCs/>
                <w:sz w:val="24"/>
              </w:rPr>
              <w:t>2、一般固废</w:t>
            </w:r>
          </w:p>
          <w:p w14:paraId="08B7526B">
            <w:pPr>
              <w:pStyle w:val="20"/>
              <w:widowControl/>
              <w:spacing w:line="360" w:lineRule="auto"/>
              <w:ind w:firstLine="480" w:firstLineChars="200"/>
              <w:rPr>
                <w:rFonts w:hint="eastAsia"/>
                <w:bCs/>
                <w:sz w:val="24"/>
              </w:rPr>
            </w:pPr>
            <w:r>
              <w:rPr>
                <w:rFonts w:hint="eastAsia"/>
                <w:bCs/>
                <w:sz w:val="24"/>
              </w:rPr>
              <w:t>（1）</w:t>
            </w:r>
            <w:r>
              <w:rPr>
                <w:bCs/>
                <w:sz w:val="24"/>
              </w:rPr>
              <w:t>废包装</w:t>
            </w:r>
            <w:r>
              <w:rPr>
                <w:rFonts w:hint="eastAsia"/>
                <w:bCs/>
                <w:sz w:val="24"/>
              </w:rPr>
              <w:t>材料</w:t>
            </w:r>
          </w:p>
          <w:p w14:paraId="72411C92">
            <w:pPr>
              <w:pStyle w:val="20"/>
              <w:widowControl/>
              <w:spacing w:line="360" w:lineRule="auto"/>
              <w:ind w:firstLine="480" w:firstLineChars="200"/>
              <w:rPr>
                <w:rFonts w:hint="eastAsia"/>
                <w:bCs/>
                <w:sz w:val="24"/>
              </w:rPr>
            </w:pPr>
            <w:r>
              <w:rPr>
                <w:rFonts w:hint="eastAsia"/>
                <w:bCs/>
                <w:sz w:val="24"/>
              </w:rPr>
              <w:t>本项目配件等原料拆包产生废外包装材料，产生量为0.7t/a，不涉及危险物质，属于一般固废，委托物资公司回收利用。</w:t>
            </w:r>
          </w:p>
          <w:p w14:paraId="0404FF53">
            <w:pPr>
              <w:pStyle w:val="20"/>
              <w:widowControl/>
              <w:spacing w:line="360" w:lineRule="auto"/>
              <w:ind w:firstLine="480" w:firstLineChars="200"/>
              <w:rPr>
                <w:rFonts w:hint="eastAsia"/>
                <w:bCs/>
                <w:sz w:val="24"/>
              </w:rPr>
            </w:pPr>
            <w:r>
              <w:rPr>
                <w:rFonts w:hint="eastAsia"/>
                <w:bCs/>
                <w:sz w:val="24"/>
              </w:rPr>
              <w:t>（2）废金属屑</w:t>
            </w:r>
          </w:p>
          <w:p w14:paraId="2F16E867">
            <w:pPr>
              <w:pStyle w:val="20"/>
              <w:widowControl/>
              <w:spacing w:line="360" w:lineRule="auto"/>
              <w:ind w:firstLine="480" w:firstLineChars="200"/>
              <w:rPr>
                <w:rFonts w:hint="eastAsia"/>
                <w:bCs/>
                <w:sz w:val="24"/>
              </w:rPr>
            </w:pPr>
            <w:r>
              <w:rPr>
                <w:rFonts w:hint="eastAsia"/>
                <w:bCs/>
                <w:sz w:val="24"/>
              </w:rPr>
              <w:t>本项目下料切割过程中产生废金属屑，产生量为4.2t/a，不涉及危险物质，属于一般固废，委托物资公司回收利用。</w:t>
            </w:r>
          </w:p>
          <w:p w14:paraId="588635E9">
            <w:pPr>
              <w:pStyle w:val="20"/>
              <w:widowControl/>
              <w:spacing w:line="360" w:lineRule="auto"/>
              <w:ind w:firstLine="480" w:firstLineChars="200"/>
              <w:rPr>
                <w:bCs/>
                <w:sz w:val="24"/>
              </w:rPr>
            </w:pPr>
            <w:r>
              <w:rPr>
                <w:rFonts w:hint="eastAsia"/>
                <w:bCs/>
                <w:sz w:val="24"/>
              </w:rPr>
              <w:t>（3）</w:t>
            </w:r>
            <w:r>
              <w:rPr>
                <w:bCs/>
                <w:sz w:val="24"/>
              </w:rPr>
              <w:t>废边角料</w:t>
            </w:r>
          </w:p>
          <w:p w14:paraId="5728A6FE">
            <w:pPr>
              <w:pStyle w:val="20"/>
              <w:widowControl/>
              <w:spacing w:after="0" w:line="360" w:lineRule="auto"/>
              <w:ind w:firstLine="480" w:firstLineChars="200"/>
              <w:rPr>
                <w:bCs/>
                <w:sz w:val="24"/>
              </w:rPr>
            </w:pPr>
            <w:r>
              <w:rPr>
                <w:rFonts w:hint="eastAsia"/>
                <w:bCs/>
                <w:sz w:val="24"/>
              </w:rPr>
              <w:t>本项目</w:t>
            </w:r>
            <w:r>
              <w:rPr>
                <w:rFonts w:hint="eastAsia"/>
                <w:bCs/>
                <w:sz w:val="24"/>
                <w:lang w:val="en-US" w:eastAsia="zh-CN"/>
              </w:rPr>
              <w:t>切割下料过程会产生</w:t>
            </w:r>
            <w:r>
              <w:rPr>
                <w:rFonts w:hint="eastAsia"/>
                <w:bCs/>
                <w:sz w:val="24"/>
              </w:rPr>
              <w:t>废边角料，产生量为35t/a，不涉及危险物质，属于一般固废，委托物资公司回收利用。</w:t>
            </w:r>
          </w:p>
          <w:p w14:paraId="70ABF15C">
            <w:pPr>
              <w:pStyle w:val="20"/>
              <w:widowControl/>
              <w:spacing w:line="360" w:lineRule="auto"/>
              <w:ind w:firstLine="480" w:firstLineChars="200"/>
              <w:rPr>
                <w:rFonts w:hint="eastAsia"/>
                <w:bCs/>
                <w:sz w:val="24"/>
              </w:rPr>
            </w:pPr>
            <w:r>
              <w:rPr>
                <w:rFonts w:hint="eastAsia"/>
                <w:bCs/>
                <w:sz w:val="24"/>
              </w:rPr>
              <w:t>（4）废钢丸</w:t>
            </w:r>
          </w:p>
          <w:p w14:paraId="32320ADF">
            <w:pPr>
              <w:pStyle w:val="20"/>
              <w:widowControl/>
              <w:spacing w:after="0" w:line="360" w:lineRule="auto"/>
              <w:ind w:firstLine="480" w:firstLineChars="200"/>
              <w:rPr>
                <w:bCs/>
                <w:sz w:val="24"/>
              </w:rPr>
            </w:pPr>
            <w:r>
              <w:rPr>
                <w:rFonts w:hint="eastAsia"/>
                <w:bCs/>
                <w:sz w:val="24"/>
              </w:rPr>
              <w:t>本项目抛丸过程产生废</w:t>
            </w:r>
            <w:r>
              <w:rPr>
                <w:rFonts w:hint="eastAsia"/>
                <w:bCs/>
                <w:sz w:val="24"/>
                <w:lang w:val="en-US" w:eastAsia="zh-CN"/>
              </w:rPr>
              <w:t>钢丸</w:t>
            </w:r>
            <w:r>
              <w:rPr>
                <w:rFonts w:hint="eastAsia"/>
                <w:bCs/>
                <w:sz w:val="24"/>
              </w:rPr>
              <w:t>，产生量为0.14t/a，不涉及危险物质，属于一般固废，委托物资公司回收利用。</w:t>
            </w:r>
          </w:p>
          <w:p w14:paraId="0C682106">
            <w:pPr>
              <w:pStyle w:val="20"/>
              <w:widowControl/>
              <w:spacing w:line="360" w:lineRule="auto"/>
              <w:ind w:firstLine="480" w:firstLineChars="200"/>
              <w:rPr>
                <w:bCs/>
                <w:sz w:val="24"/>
              </w:rPr>
            </w:pPr>
            <w:r>
              <w:rPr>
                <w:rFonts w:hint="eastAsia"/>
                <w:bCs/>
                <w:sz w:val="24"/>
              </w:rPr>
              <w:t>（5）废漆桶</w:t>
            </w:r>
          </w:p>
          <w:p w14:paraId="44659DB0">
            <w:pPr>
              <w:pStyle w:val="20"/>
              <w:widowControl/>
              <w:spacing w:line="360" w:lineRule="auto"/>
              <w:ind w:firstLine="480" w:firstLineChars="200"/>
              <w:rPr>
                <w:rFonts w:hint="eastAsia"/>
                <w:bCs/>
                <w:sz w:val="24"/>
              </w:rPr>
            </w:pPr>
            <w:r>
              <w:rPr>
                <w:rFonts w:hint="eastAsia"/>
                <w:bCs/>
                <w:sz w:val="24"/>
              </w:rPr>
              <w:t>本项目水性漆使用过程产生沾染化学品的废包装材料，产生量为0.35t/a，不涉及危险物质，属于一般固废，委托物资公司回收利用。</w:t>
            </w:r>
          </w:p>
          <w:p w14:paraId="771D7E91">
            <w:pPr>
              <w:pStyle w:val="20"/>
              <w:widowControl/>
              <w:spacing w:line="360" w:lineRule="auto"/>
              <w:ind w:firstLine="480" w:firstLineChars="200"/>
              <w:rPr>
                <w:bCs/>
                <w:sz w:val="24"/>
              </w:rPr>
            </w:pPr>
            <w:r>
              <w:rPr>
                <w:rFonts w:hint="eastAsia"/>
                <w:bCs/>
                <w:sz w:val="24"/>
              </w:rPr>
              <w:t>（6）抛丸机布袋除尘器收集粉尘</w:t>
            </w:r>
          </w:p>
          <w:p w14:paraId="7A4BB7FB">
            <w:pPr>
              <w:pStyle w:val="20"/>
              <w:widowControl/>
              <w:spacing w:line="360" w:lineRule="auto"/>
              <w:ind w:firstLine="480" w:firstLineChars="200"/>
              <w:rPr>
                <w:rFonts w:hint="eastAsia"/>
                <w:bCs/>
                <w:sz w:val="24"/>
              </w:rPr>
            </w:pPr>
            <w:r>
              <w:rPr>
                <w:rFonts w:hint="eastAsia"/>
                <w:bCs/>
                <w:sz w:val="24"/>
              </w:rPr>
              <w:t>本项目抛丸过程中产生粉尘，通过抛丸机自带布袋除尘器收集，产生量为</w:t>
            </w:r>
            <w:r>
              <w:rPr>
                <w:bCs/>
                <w:sz w:val="24"/>
              </w:rPr>
              <w:t>1</w:t>
            </w:r>
            <w:r>
              <w:rPr>
                <w:rFonts w:hint="eastAsia"/>
                <w:bCs/>
                <w:sz w:val="24"/>
                <w:lang w:val="en-US" w:eastAsia="zh-CN"/>
              </w:rPr>
              <w:t>5.023</w:t>
            </w:r>
            <w:r>
              <w:rPr>
                <w:rFonts w:hint="eastAsia"/>
                <w:bCs/>
                <w:sz w:val="24"/>
              </w:rPr>
              <w:t>t/a，不涉及危险物质，属于一般固废，委托物资公司回收利用。</w:t>
            </w:r>
          </w:p>
          <w:p w14:paraId="382A34CF">
            <w:pPr>
              <w:pStyle w:val="20"/>
              <w:widowControl/>
              <w:spacing w:after="0" w:line="360" w:lineRule="auto"/>
              <w:ind w:firstLine="480" w:firstLineChars="200"/>
              <w:rPr>
                <w:bCs/>
                <w:sz w:val="24"/>
              </w:rPr>
            </w:pPr>
            <w:r>
              <w:rPr>
                <w:rFonts w:hint="eastAsia"/>
                <w:bCs/>
                <w:sz w:val="24"/>
              </w:rPr>
              <w:t>（7）废渗锌剂</w:t>
            </w:r>
          </w:p>
          <w:p w14:paraId="5EF0CEE8">
            <w:pPr>
              <w:pStyle w:val="20"/>
              <w:widowControl/>
              <w:spacing w:after="0" w:line="360" w:lineRule="auto"/>
              <w:ind w:firstLine="480" w:firstLineChars="200"/>
              <w:rPr>
                <w:rFonts w:hint="eastAsia"/>
                <w:bCs/>
                <w:sz w:val="24"/>
              </w:rPr>
            </w:pPr>
            <w:r>
              <w:rPr>
                <w:rFonts w:hint="eastAsia"/>
                <w:bCs/>
                <w:sz w:val="24"/>
              </w:rPr>
              <w:t>本项目渗锌过程中产生废渗锌剂，产生量为</w:t>
            </w:r>
            <w:r>
              <w:rPr>
                <w:rFonts w:hint="eastAsia"/>
                <w:bCs/>
                <w:sz w:val="24"/>
                <w:lang w:val="en-US" w:eastAsia="zh-CN"/>
              </w:rPr>
              <w:t>0</w:t>
            </w:r>
            <w:r>
              <w:rPr>
                <w:rFonts w:hint="eastAsia"/>
                <w:bCs/>
                <w:sz w:val="24"/>
              </w:rPr>
              <w:t>.5t/a，不涉及危险物质，属于一般固废，委托物资公司回收利用。</w:t>
            </w:r>
          </w:p>
          <w:p w14:paraId="6869FAF9">
            <w:pPr>
              <w:pStyle w:val="20"/>
              <w:widowControl/>
              <w:spacing w:after="0" w:line="360" w:lineRule="auto"/>
              <w:ind w:firstLine="480" w:firstLineChars="200"/>
              <w:rPr>
                <w:bCs/>
                <w:sz w:val="24"/>
              </w:rPr>
            </w:pPr>
            <w:r>
              <w:rPr>
                <w:rFonts w:hint="eastAsia"/>
                <w:bCs/>
                <w:sz w:val="24"/>
              </w:rPr>
              <w:t>（8）不合格品</w:t>
            </w:r>
          </w:p>
          <w:p w14:paraId="3541D94E">
            <w:pPr>
              <w:pStyle w:val="20"/>
              <w:widowControl/>
              <w:spacing w:after="0" w:line="360" w:lineRule="auto"/>
              <w:ind w:firstLine="480" w:firstLineChars="200"/>
              <w:rPr>
                <w:rFonts w:hint="eastAsia"/>
                <w:bCs/>
                <w:sz w:val="24"/>
              </w:rPr>
            </w:pPr>
            <w:r>
              <w:rPr>
                <w:rFonts w:hint="eastAsia"/>
                <w:bCs/>
                <w:sz w:val="24"/>
              </w:rPr>
              <w:t>本项目检测过程中产生的不合格品，产生量为3.5t/a，不涉及危险物质，属于一般固废，委托物资公司回收利用。</w:t>
            </w:r>
          </w:p>
          <w:p w14:paraId="3BA6EB3E">
            <w:pPr>
              <w:pStyle w:val="20"/>
              <w:widowControl/>
              <w:spacing w:after="0" w:line="360" w:lineRule="auto"/>
              <w:ind w:firstLine="480" w:firstLineChars="200"/>
              <w:rPr>
                <w:bCs/>
                <w:sz w:val="24"/>
              </w:rPr>
            </w:pPr>
            <w:r>
              <w:rPr>
                <w:rFonts w:hint="eastAsia"/>
                <w:bCs/>
                <w:sz w:val="24"/>
              </w:rPr>
              <w:t>（9）清洗沉淀物</w:t>
            </w:r>
          </w:p>
          <w:p w14:paraId="4A1FA20E">
            <w:pPr>
              <w:pStyle w:val="20"/>
              <w:widowControl/>
              <w:spacing w:line="360" w:lineRule="auto"/>
              <w:ind w:firstLine="480" w:firstLineChars="200"/>
              <w:rPr>
                <w:bCs/>
                <w:sz w:val="24"/>
              </w:rPr>
            </w:pPr>
            <w:r>
              <w:rPr>
                <w:rFonts w:hint="eastAsia"/>
                <w:bCs/>
                <w:sz w:val="24"/>
              </w:rPr>
              <w:t>本项目封闭清洗过程中产生清洗槽沉淀物，产生量为0.</w:t>
            </w:r>
            <w:r>
              <w:rPr>
                <w:rFonts w:hint="eastAsia"/>
                <w:bCs/>
                <w:sz w:val="24"/>
                <w:lang w:val="en-US" w:eastAsia="zh-CN"/>
              </w:rPr>
              <w:t>8</w:t>
            </w:r>
            <w:r>
              <w:rPr>
                <w:rFonts w:hint="eastAsia"/>
                <w:bCs/>
                <w:sz w:val="24"/>
              </w:rPr>
              <w:t>5t/a，不涉及危险物质，属于一般固废，委托物资公司回收利用。</w:t>
            </w:r>
          </w:p>
          <w:p w14:paraId="69D625BB">
            <w:pPr>
              <w:pStyle w:val="20"/>
              <w:widowControl/>
              <w:spacing w:line="360" w:lineRule="auto"/>
              <w:ind w:firstLine="480" w:firstLineChars="200"/>
              <w:rPr>
                <w:rFonts w:hint="eastAsia"/>
                <w:bCs/>
                <w:sz w:val="24"/>
              </w:rPr>
            </w:pPr>
            <w:r>
              <w:rPr>
                <w:rFonts w:hint="eastAsia"/>
                <w:bCs/>
                <w:sz w:val="24"/>
              </w:rPr>
              <w:t>3、生活垃圾</w:t>
            </w:r>
          </w:p>
          <w:p w14:paraId="5FBA8B65">
            <w:pPr>
              <w:pStyle w:val="20"/>
              <w:widowControl/>
              <w:spacing w:line="360" w:lineRule="auto"/>
              <w:ind w:firstLine="480" w:firstLineChars="200"/>
              <w:rPr>
                <w:rFonts w:hint="eastAsia"/>
                <w:bCs/>
                <w:sz w:val="24"/>
              </w:rPr>
            </w:pPr>
            <w:r>
              <w:rPr>
                <w:rFonts w:hint="eastAsia"/>
                <w:bCs/>
                <w:sz w:val="24"/>
              </w:rPr>
              <w:t>项目劳动定员100人，年工作300天，垃圾产生量按每人0.5kg/d，则生活垃圾产生量为</w:t>
            </w:r>
            <w:r>
              <w:rPr>
                <w:rFonts w:hint="eastAsia"/>
                <w:bCs/>
                <w:sz w:val="24"/>
                <w:lang w:val="en-US" w:eastAsia="zh-CN"/>
              </w:rPr>
              <w:t>15</w:t>
            </w:r>
            <w:r>
              <w:rPr>
                <w:rFonts w:hint="eastAsia"/>
                <w:bCs/>
                <w:sz w:val="24"/>
              </w:rPr>
              <w:t>t/a，分类收集后由环卫部门统一收集、处置。</w:t>
            </w:r>
          </w:p>
        </w:tc>
      </w:tr>
    </w:tbl>
    <w:p w14:paraId="72A4CC3D">
      <w:pPr>
        <w:pStyle w:val="21"/>
        <w:outlineLvl w:val="0"/>
        <w:rPr>
          <w:rFonts w:hint="eastAsia" w:ascii="黑体" w:hAnsi="黑体" w:eastAsia="黑体"/>
          <w:snapToGrid w:val="0"/>
          <w:sz w:val="21"/>
          <w:szCs w:val="21"/>
        </w:rPr>
        <w:sectPr>
          <w:pgSz w:w="11906" w:h="16838"/>
          <w:pgMar w:top="1418"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24"/>
        <w:tblW w:w="1402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3480"/>
      </w:tblGrid>
      <w:tr w14:paraId="5D81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9" w:hRule="atLeast"/>
        </w:trPr>
        <w:tc>
          <w:tcPr>
            <w:tcW w:w="540" w:type="dxa"/>
            <w:tcBorders>
              <w:top w:val="single" w:color="auto" w:sz="12" w:space="0"/>
              <w:left w:val="single" w:color="auto" w:sz="12" w:space="0"/>
              <w:bottom w:val="single" w:color="auto" w:sz="12" w:space="0"/>
              <w:right w:val="single" w:color="auto" w:sz="4" w:space="0"/>
            </w:tcBorders>
            <w:noWrap w:val="0"/>
            <w:vAlign w:val="center"/>
          </w:tcPr>
          <w:p w14:paraId="1873A5FF">
            <w:pPr>
              <w:adjustRightInd w:val="0"/>
              <w:snapToGrid w:val="0"/>
              <w:jc w:val="center"/>
              <w:rPr>
                <w:rFonts w:hint="eastAsia" w:ascii="宋体" w:hAnsi="宋体" w:cs="宋体"/>
                <w:b/>
                <w:bCs/>
                <w:szCs w:val="21"/>
              </w:rPr>
            </w:pPr>
            <w:r>
              <w:rPr>
                <w:rFonts w:hint="eastAsia" w:ascii="宋体" w:hAnsi="宋体" w:cs="宋体"/>
                <w:b/>
                <w:bCs/>
                <w:szCs w:val="21"/>
              </w:rPr>
              <w:t>运营</w:t>
            </w:r>
          </w:p>
          <w:p w14:paraId="191E0FE7">
            <w:pPr>
              <w:adjustRightInd w:val="0"/>
              <w:snapToGrid w:val="0"/>
              <w:jc w:val="center"/>
              <w:rPr>
                <w:rFonts w:hint="eastAsia" w:ascii="宋体" w:hAnsi="宋体" w:cs="宋体"/>
                <w:b/>
                <w:bCs/>
                <w:szCs w:val="21"/>
              </w:rPr>
            </w:pPr>
            <w:r>
              <w:rPr>
                <w:rFonts w:hint="eastAsia" w:ascii="宋体" w:hAnsi="宋体" w:cs="宋体"/>
                <w:b/>
                <w:bCs/>
                <w:szCs w:val="21"/>
              </w:rPr>
              <w:t>期环</w:t>
            </w:r>
          </w:p>
          <w:p w14:paraId="40CDF3E7">
            <w:pPr>
              <w:adjustRightInd w:val="0"/>
              <w:snapToGrid w:val="0"/>
              <w:jc w:val="center"/>
              <w:rPr>
                <w:rFonts w:hint="eastAsia" w:ascii="宋体" w:hAnsi="宋体" w:cs="宋体"/>
                <w:b/>
                <w:bCs/>
                <w:szCs w:val="21"/>
              </w:rPr>
            </w:pPr>
            <w:r>
              <w:rPr>
                <w:rFonts w:hint="eastAsia" w:ascii="宋体" w:hAnsi="宋体" w:cs="宋体"/>
                <w:b/>
                <w:bCs/>
                <w:szCs w:val="21"/>
              </w:rPr>
              <w:t>境影</w:t>
            </w:r>
          </w:p>
          <w:p w14:paraId="15F9CFA2">
            <w:pPr>
              <w:adjustRightInd w:val="0"/>
              <w:snapToGrid w:val="0"/>
              <w:jc w:val="center"/>
              <w:rPr>
                <w:rFonts w:hint="eastAsia" w:ascii="宋体" w:hAnsi="宋体" w:cs="宋体"/>
                <w:b/>
                <w:bCs/>
                <w:szCs w:val="21"/>
              </w:rPr>
            </w:pPr>
            <w:r>
              <w:rPr>
                <w:rFonts w:hint="eastAsia" w:ascii="宋体" w:hAnsi="宋体" w:cs="宋体"/>
                <w:b/>
                <w:bCs/>
                <w:szCs w:val="21"/>
              </w:rPr>
              <w:t>响和</w:t>
            </w:r>
          </w:p>
          <w:p w14:paraId="00D1FE4A">
            <w:pPr>
              <w:tabs>
                <w:tab w:val="left" w:pos="1380"/>
              </w:tabs>
              <w:jc w:val="center"/>
              <w:rPr>
                <w:rFonts w:hint="eastAsia"/>
              </w:rPr>
            </w:pPr>
            <w:r>
              <w:rPr>
                <w:rFonts w:hint="eastAsia" w:ascii="宋体" w:hAnsi="宋体" w:cs="宋体"/>
                <w:b/>
                <w:bCs/>
                <w:szCs w:val="21"/>
              </w:rPr>
              <w:t>保护措施</w:t>
            </w:r>
          </w:p>
        </w:tc>
        <w:tc>
          <w:tcPr>
            <w:tcW w:w="13480" w:type="dxa"/>
            <w:tcBorders>
              <w:top w:val="single" w:color="auto" w:sz="12" w:space="0"/>
              <w:left w:val="single" w:color="auto" w:sz="4" w:space="0"/>
              <w:bottom w:val="single" w:color="auto" w:sz="12" w:space="0"/>
              <w:right w:val="single" w:color="auto" w:sz="12" w:space="0"/>
            </w:tcBorders>
            <w:noWrap w:val="0"/>
            <w:vAlign w:val="top"/>
          </w:tcPr>
          <w:p w14:paraId="3956083E">
            <w:pPr>
              <w:pStyle w:val="20"/>
              <w:widowControl/>
              <w:spacing w:after="0" w:line="360" w:lineRule="auto"/>
              <w:ind w:firstLine="480" w:firstLineChars="200"/>
              <w:rPr>
                <w:rFonts w:hint="eastAsia"/>
                <w:bCs/>
                <w:sz w:val="24"/>
              </w:rPr>
            </w:pPr>
            <w:r>
              <w:rPr>
                <w:rFonts w:hint="eastAsia"/>
                <w:bCs/>
                <w:sz w:val="24"/>
              </w:rPr>
              <w:t>本项目固体废物产生及处置情况见下表。</w:t>
            </w:r>
          </w:p>
          <w:p w14:paraId="0E7CBDA1">
            <w:pPr>
              <w:widowControl/>
              <w:numPr>
                <w:ilvl w:val="0"/>
                <w:numId w:val="2"/>
              </w:numPr>
              <w:jc w:val="center"/>
              <w:rPr>
                <w:rFonts w:hint="eastAsia"/>
                <w:b/>
                <w:bCs/>
                <w:szCs w:val="21"/>
              </w:rPr>
            </w:pPr>
            <w:bookmarkStart w:id="11" w:name="_Hlk185111246"/>
            <w:r>
              <w:rPr>
                <w:b/>
                <w:bCs/>
                <w:szCs w:val="21"/>
              </w:rPr>
              <w:t>本项目</w:t>
            </w:r>
            <w:r>
              <w:rPr>
                <w:rFonts w:hint="eastAsia"/>
                <w:b/>
                <w:bCs/>
                <w:szCs w:val="21"/>
              </w:rPr>
              <w:t>固体废物产生及排放情况一览表</w:t>
            </w:r>
          </w:p>
          <w:tbl>
            <w:tblPr>
              <w:tblStyle w:val="24"/>
              <w:tblW w:w="13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3"/>
              <w:gridCol w:w="1160"/>
              <w:gridCol w:w="1574"/>
              <w:gridCol w:w="1146"/>
              <w:gridCol w:w="1160"/>
              <w:gridCol w:w="1160"/>
              <w:gridCol w:w="960"/>
              <w:gridCol w:w="760"/>
              <w:gridCol w:w="995"/>
              <w:gridCol w:w="804"/>
              <w:gridCol w:w="1988"/>
              <w:gridCol w:w="814"/>
            </w:tblGrid>
            <w:tr w14:paraId="01DA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noWrap w:val="0"/>
                  <w:tcMar>
                    <w:top w:w="12" w:type="dxa"/>
                    <w:left w:w="12" w:type="dxa"/>
                    <w:right w:w="12" w:type="dxa"/>
                  </w:tcMar>
                  <w:vAlign w:val="center"/>
                </w:tcPr>
                <w:p w14:paraId="09476931">
                  <w:pPr>
                    <w:widowControl/>
                    <w:jc w:val="center"/>
                    <w:textAlignment w:val="center"/>
                    <w:rPr>
                      <w:szCs w:val="21"/>
                    </w:rPr>
                  </w:pPr>
                  <w:r>
                    <w:rPr>
                      <w:rFonts w:hint="eastAsia" w:ascii="宋体" w:hAnsi="宋体" w:cs="宋体"/>
                      <w:kern w:val="0"/>
                      <w:szCs w:val="21"/>
                      <w:lang w:bidi="ar"/>
                    </w:rPr>
                    <w:t>序号</w:t>
                  </w:r>
                </w:p>
              </w:tc>
              <w:tc>
                <w:tcPr>
                  <w:tcW w:w="1160" w:type="dxa"/>
                  <w:noWrap w:val="0"/>
                  <w:tcMar>
                    <w:top w:w="12" w:type="dxa"/>
                    <w:left w:w="12" w:type="dxa"/>
                    <w:right w:w="12" w:type="dxa"/>
                  </w:tcMar>
                  <w:vAlign w:val="center"/>
                </w:tcPr>
                <w:p w14:paraId="1B0BD112">
                  <w:pPr>
                    <w:widowControl/>
                    <w:jc w:val="center"/>
                    <w:textAlignment w:val="center"/>
                    <w:rPr>
                      <w:szCs w:val="21"/>
                    </w:rPr>
                  </w:pPr>
                  <w:r>
                    <w:rPr>
                      <w:rFonts w:hint="eastAsia" w:ascii="宋体" w:hAnsi="宋体" w:cs="宋体"/>
                      <w:kern w:val="0"/>
                      <w:szCs w:val="21"/>
                      <w:lang w:bidi="ar"/>
                    </w:rPr>
                    <w:t>产生环节</w:t>
                  </w:r>
                </w:p>
              </w:tc>
              <w:tc>
                <w:tcPr>
                  <w:tcW w:w="1574" w:type="dxa"/>
                  <w:noWrap w:val="0"/>
                  <w:tcMar>
                    <w:top w:w="12" w:type="dxa"/>
                    <w:left w:w="12" w:type="dxa"/>
                    <w:right w:w="12" w:type="dxa"/>
                  </w:tcMar>
                  <w:vAlign w:val="center"/>
                </w:tcPr>
                <w:p w14:paraId="6DF13497">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固体废</w:t>
                  </w:r>
                </w:p>
                <w:p w14:paraId="3361FEF0">
                  <w:pPr>
                    <w:widowControl/>
                    <w:jc w:val="center"/>
                    <w:textAlignment w:val="center"/>
                    <w:rPr>
                      <w:szCs w:val="21"/>
                    </w:rPr>
                  </w:pPr>
                  <w:r>
                    <w:rPr>
                      <w:rFonts w:hint="eastAsia" w:ascii="宋体" w:hAnsi="宋体" w:cs="宋体"/>
                      <w:kern w:val="0"/>
                      <w:szCs w:val="21"/>
                      <w:lang w:bidi="ar"/>
                    </w:rPr>
                    <w:t>物名称</w:t>
                  </w:r>
                </w:p>
              </w:tc>
              <w:tc>
                <w:tcPr>
                  <w:tcW w:w="1146" w:type="dxa"/>
                  <w:noWrap w:val="0"/>
                  <w:tcMar>
                    <w:top w:w="12" w:type="dxa"/>
                    <w:left w:w="12" w:type="dxa"/>
                    <w:right w:w="12" w:type="dxa"/>
                  </w:tcMar>
                  <w:vAlign w:val="center"/>
                </w:tcPr>
                <w:p w14:paraId="4DA0375D">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固体废</w:t>
                  </w:r>
                </w:p>
                <w:p w14:paraId="7E93C633">
                  <w:pPr>
                    <w:widowControl/>
                    <w:jc w:val="center"/>
                    <w:textAlignment w:val="center"/>
                    <w:rPr>
                      <w:szCs w:val="21"/>
                    </w:rPr>
                  </w:pPr>
                  <w:r>
                    <w:rPr>
                      <w:rFonts w:hint="eastAsia" w:ascii="宋体" w:hAnsi="宋体" w:cs="宋体"/>
                      <w:kern w:val="0"/>
                      <w:szCs w:val="21"/>
                      <w:lang w:bidi="ar"/>
                    </w:rPr>
                    <w:t>物属性</w:t>
                  </w:r>
                </w:p>
              </w:tc>
              <w:tc>
                <w:tcPr>
                  <w:tcW w:w="1160" w:type="dxa"/>
                  <w:noWrap w:val="0"/>
                  <w:tcMar>
                    <w:top w:w="12" w:type="dxa"/>
                    <w:left w:w="12" w:type="dxa"/>
                    <w:right w:w="12" w:type="dxa"/>
                  </w:tcMar>
                  <w:vAlign w:val="center"/>
                </w:tcPr>
                <w:p w14:paraId="3EB3E362">
                  <w:pPr>
                    <w:widowControl/>
                    <w:jc w:val="center"/>
                    <w:textAlignment w:val="center"/>
                    <w:rPr>
                      <w:szCs w:val="21"/>
                    </w:rPr>
                  </w:pPr>
                  <w:r>
                    <w:rPr>
                      <w:rFonts w:hint="eastAsia" w:ascii="宋体" w:hAnsi="宋体" w:cs="宋体"/>
                      <w:kern w:val="0"/>
                      <w:szCs w:val="21"/>
                      <w:lang w:bidi="ar"/>
                    </w:rPr>
                    <w:t>固废代码</w:t>
                  </w:r>
                </w:p>
              </w:tc>
              <w:tc>
                <w:tcPr>
                  <w:tcW w:w="1160" w:type="dxa"/>
                  <w:noWrap w:val="0"/>
                  <w:tcMar>
                    <w:top w:w="12" w:type="dxa"/>
                    <w:left w:w="12" w:type="dxa"/>
                    <w:right w:w="12" w:type="dxa"/>
                  </w:tcMar>
                  <w:vAlign w:val="center"/>
                </w:tcPr>
                <w:p w14:paraId="7DECB653">
                  <w:pPr>
                    <w:widowControl/>
                    <w:jc w:val="center"/>
                    <w:textAlignment w:val="center"/>
                    <w:rPr>
                      <w:szCs w:val="21"/>
                    </w:rPr>
                  </w:pPr>
                  <w:r>
                    <w:rPr>
                      <w:rFonts w:hint="eastAsia" w:ascii="宋体" w:hAnsi="宋体" w:cs="宋体"/>
                      <w:kern w:val="0"/>
                      <w:szCs w:val="21"/>
                      <w:lang w:bidi="ar"/>
                    </w:rPr>
                    <w:t>主要有毒有害物质</w:t>
                  </w:r>
                </w:p>
              </w:tc>
              <w:tc>
                <w:tcPr>
                  <w:tcW w:w="960" w:type="dxa"/>
                  <w:noWrap w:val="0"/>
                  <w:tcMar>
                    <w:top w:w="12" w:type="dxa"/>
                    <w:left w:w="12" w:type="dxa"/>
                    <w:right w:w="12" w:type="dxa"/>
                  </w:tcMar>
                  <w:vAlign w:val="center"/>
                </w:tcPr>
                <w:p w14:paraId="41209DB8">
                  <w:pPr>
                    <w:widowControl/>
                    <w:jc w:val="center"/>
                    <w:textAlignment w:val="center"/>
                    <w:rPr>
                      <w:szCs w:val="21"/>
                    </w:rPr>
                  </w:pPr>
                  <w:r>
                    <w:rPr>
                      <w:rFonts w:hint="eastAsia" w:ascii="宋体" w:hAnsi="宋体" w:cs="宋体"/>
                      <w:kern w:val="0"/>
                      <w:szCs w:val="21"/>
                      <w:lang w:bidi="ar"/>
                    </w:rPr>
                    <w:t>物理性状</w:t>
                  </w:r>
                </w:p>
              </w:tc>
              <w:tc>
                <w:tcPr>
                  <w:tcW w:w="760" w:type="dxa"/>
                  <w:noWrap w:val="0"/>
                  <w:tcMar>
                    <w:top w:w="12" w:type="dxa"/>
                    <w:left w:w="12" w:type="dxa"/>
                    <w:right w:w="12" w:type="dxa"/>
                  </w:tcMar>
                  <w:vAlign w:val="center"/>
                </w:tcPr>
                <w:p w14:paraId="272E1853">
                  <w:pPr>
                    <w:widowControl/>
                    <w:jc w:val="center"/>
                    <w:textAlignment w:val="center"/>
                    <w:rPr>
                      <w:szCs w:val="21"/>
                    </w:rPr>
                  </w:pPr>
                  <w:r>
                    <w:rPr>
                      <w:rFonts w:hint="eastAsia" w:ascii="宋体" w:hAnsi="宋体" w:cs="宋体"/>
                      <w:kern w:val="0"/>
                      <w:szCs w:val="21"/>
                      <w:lang w:bidi="ar"/>
                    </w:rPr>
                    <w:t>环境危险性</w:t>
                  </w:r>
                </w:p>
              </w:tc>
              <w:tc>
                <w:tcPr>
                  <w:tcW w:w="995" w:type="dxa"/>
                  <w:noWrap w:val="0"/>
                  <w:tcMar>
                    <w:top w:w="12" w:type="dxa"/>
                    <w:left w:w="12" w:type="dxa"/>
                    <w:right w:w="12" w:type="dxa"/>
                  </w:tcMar>
                  <w:vAlign w:val="center"/>
                </w:tcPr>
                <w:p w14:paraId="66D784D1">
                  <w:pPr>
                    <w:widowControl/>
                    <w:jc w:val="center"/>
                    <w:textAlignment w:val="center"/>
                    <w:rPr>
                      <w:szCs w:val="21"/>
                    </w:rPr>
                  </w:pPr>
                  <w:r>
                    <w:rPr>
                      <w:rFonts w:hint="eastAsia" w:ascii="宋体" w:hAnsi="宋体" w:cs="宋体"/>
                      <w:kern w:val="0"/>
                      <w:szCs w:val="21"/>
                      <w:lang w:bidi="ar"/>
                    </w:rPr>
                    <w:t>年度产生量（</w:t>
                  </w:r>
                  <w:r>
                    <w:rPr>
                      <w:kern w:val="0"/>
                      <w:szCs w:val="21"/>
                      <w:lang w:bidi="ar"/>
                    </w:rPr>
                    <w:t>t/a</w:t>
                  </w:r>
                  <w:r>
                    <w:rPr>
                      <w:rFonts w:hint="eastAsia" w:ascii="宋体" w:hAnsi="宋体" w:cs="宋体"/>
                      <w:kern w:val="0"/>
                      <w:szCs w:val="21"/>
                      <w:lang w:bidi="ar"/>
                    </w:rPr>
                    <w:t>）</w:t>
                  </w:r>
                </w:p>
              </w:tc>
              <w:tc>
                <w:tcPr>
                  <w:tcW w:w="804" w:type="dxa"/>
                  <w:noWrap w:val="0"/>
                  <w:tcMar>
                    <w:top w:w="12" w:type="dxa"/>
                    <w:left w:w="12" w:type="dxa"/>
                    <w:right w:w="12" w:type="dxa"/>
                  </w:tcMar>
                  <w:vAlign w:val="center"/>
                </w:tcPr>
                <w:p w14:paraId="67A6277E">
                  <w:pPr>
                    <w:widowControl/>
                    <w:jc w:val="center"/>
                    <w:textAlignment w:val="center"/>
                    <w:rPr>
                      <w:rFonts w:ascii="宋体" w:hAnsi="宋体" w:cs="宋体"/>
                      <w:kern w:val="0"/>
                      <w:szCs w:val="21"/>
                      <w:lang w:bidi="ar"/>
                    </w:rPr>
                  </w:pPr>
                  <w:r>
                    <w:rPr>
                      <w:rFonts w:hint="eastAsia" w:ascii="宋体" w:hAnsi="宋体" w:cs="宋体"/>
                      <w:kern w:val="0"/>
                      <w:szCs w:val="21"/>
                      <w:lang w:bidi="ar"/>
                    </w:rPr>
                    <w:t>贮存方式</w:t>
                  </w:r>
                </w:p>
              </w:tc>
              <w:tc>
                <w:tcPr>
                  <w:tcW w:w="1988" w:type="dxa"/>
                  <w:noWrap w:val="0"/>
                  <w:tcMar>
                    <w:top w:w="12" w:type="dxa"/>
                    <w:left w:w="12" w:type="dxa"/>
                    <w:right w:w="12" w:type="dxa"/>
                  </w:tcMar>
                  <w:vAlign w:val="center"/>
                </w:tcPr>
                <w:p w14:paraId="073938B0">
                  <w:pPr>
                    <w:widowControl/>
                    <w:jc w:val="center"/>
                    <w:textAlignment w:val="center"/>
                    <w:rPr>
                      <w:rFonts w:ascii="宋体" w:hAnsi="宋体" w:cs="宋体"/>
                      <w:kern w:val="0"/>
                      <w:szCs w:val="21"/>
                      <w:lang w:bidi="ar"/>
                    </w:rPr>
                  </w:pPr>
                  <w:r>
                    <w:rPr>
                      <w:rFonts w:hint="eastAsia" w:ascii="宋体" w:hAnsi="宋体" w:cs="宋体"/>
                      <w:kern w:val="0"/>
                      <w:szCs w:val="21"/>
                      <w:lang w:bidi="ar"/>
                    </w:rPr>
                    <w:t>处置</w:t>
                  </w:r>
                  <w:r>
                    <w:rPr>
                      <w:kern w:val="0"/>
                      <w:szCs w:val="21"/>
                      <w:lang w:bidi="ar"/>
                    </w:rPr>
                    <w:t>/</w:t>
                  </w:r>
                  <w:r>
                    <w:rPr>
                      <w:rFonts w:hint="eastAsia" w:ascii="宋体" w:hAnsi="宋体" w:cs="宋体"/>
                      <w:kern w:val="0"/>
                      <w:szCs w:val="21"/>
                      <w:lang w:bidi="ar"/>
                    </w:rPr>
                    <w:t>利用方式</w:t>
                  </w:r>
                </w:p>
              </w:tc>
              <w:tc>
                <w:tcPr>
                  <w:tcW w:w="814" w:type="dxa"/>
                  <w:noWrap w:val="0"/>
                  <w:tcMar>
                    <w:top w:w="12" w:type="dxa"/>
                    <w:left w:w="12" w:type="dxa"/>
                    <w:right w:w="12" w:type="dxa"/>
                  </w:tcMar>
                  <w:vAlign w:val="center"/>
                </w:tcPr>
                <w:p w14:paraId="4836D496">
                  <w:pPr>
                    <w:widowControl/>
                    <w:jc w:val="center"/>
                    <w:textAlignment w:val="center"/>
                    <w:rPr>
                      <w:szCs w:val="21"/>
                    </w:rPr>
                  </w:pPr>
                  <w:r>
                    <w:rPr>
                      <w:rFonts w:hint="eastAsia" w:ascii="宋体" w:hAnsi="宋体" w:cs="宋体"/>
                      <w:kern w:val="0"/>
                      <w:szCs w:val="21"/>
                      <w:lang w:bidi="ar"/>
                    </w:rPr>
                    <w:t>利用</w:t>
                  </w:r>
                  <w:r>
                    <w:rPr>
                      <w:kern w:val="0"/>
                      <w:szCs w:val="21"/>
                      <w:lang w:bidi="ar"/>
                    </w:rPr>
                    <w:t>/</w:t>
                  </w:r>
                  <w:r>
                    <w:rPr>
                      <w:rFonts w:hint="eastAsia" w:ascii="宋体" w:hAnsi="宋体" w:cs="宋体"/>
                      <w:kern w:val="0"/>
                      <w:szCs w:val="21"/>
                      <w:lang w:bidi="ar"/>
                    </w:rPr>
                    <w:t>处置量（</w:t>
                  </w:r>
                  <w:r>
                    <w:rPr>
                      <w:kern w:val="0"/>
                      <w:szCs w:val="21"/>
                      <w:lang w:bidi="ar"/>
                    </w:rPr>
                    <w:t>t/a</w:t>
                  </w:r>
                  <w:r>
                    <w:rPr>
                      <w:rFonts w:hint="eastAsia" w:ascii="宋体" w:hAnsi="宋体" w:cs="宋体"/>
                      <w:kern w:val="0"/>
                      <w:szCs w:val="21"/>
                      <w:lang w:bidi="ar"/>
                    </w:rPr>
                    <w:t>）</w:t>
                  </w:r>
                </w:p>
              </w:tc>
            </w:tr>
            <w:tr w14:paraId="4567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restart"/>
                  <w:noWrap w:val="0"/>
                  <w:tcMar>
                    <w:top w:w="12" w:type="dxa"/>
                    <w:left w:w="12" w:type="dxa"/>
                    <w:right w:w="12" w:type="dxa"/>
                  </w:tcMar>
                  <w:vAlign w:val="center"/>
                </w:tcPr>
                <w:p w14:paraId="163A8993">
                  <w:pPr>
                    <w:widowControl/>
                    <w:jc w:val="center"/>
                    <w:textAlignment w:val="center"/>
                    <w:rPr>
                      <w:szCs w:val="21"/>
                    </w:rPr>
                  </w:pPr>
                  <w:r>
                    <w:rPr>
                      <w:kern w:val="0"/>
                      <w:szCs w:val="21"/>
                      <w:lang w:bidi="ar"/>
                    </w:rPr>
                    <w:t>1</w:t>
                  </w:r>
                </w:p>
              </w:tc>
              <w:tc>
                <w:tcPr>
                  <w:tcW w:w="1160" w:type="dxa"/>
                  <w:vMerge w:val="restart"/>
                  <w:noWrap w:val="0"/>
                  <w:tcMar>
                    <w:top w:w="12" w:type="dxa"/>
                    <w:left w:w="12" w:type="dxa"/>
                    <w:right w:w="12" w:type="dxa"/>
                  </w:tcMar>
                  <w:vAlign w:val="center"/>
                </w:tcPr>
                <w:p w14:paraId="1FB511E8">
                  <w:pPr>
                    <w:widowControl/>
                    <w:jc w:val="center"/>
                    <w:textAlignment w:val="center"/>
                    <w:rPr>
                      <w:rFonts w:hint="eastAsia"/>
                      <w:szCs w:val="21"/>
                    </w:rPr>
                  </w:pPr>
                  <w:r>
                    <w:rPr>
                      <w:rFonts w:hint="eastAsia" w:ascii="宋体" w:hAnsi="宋体" w:cs="宋体"/>
                      <w:kern w:val="0"/>
                      <w:szCs w:val="21"/>
                      <w:lang w:bidi="ar"/>
                    </w:rPr>
                    <w:t>精加工</w:t>
                  </w:r>
                </w:p>
              </w:tc>
              <w:tc>
                <w:tcPr>
                  <w:tcW w:w="1574" w:type="dxa"/>
                  <w:noWrap w:val="0"/>
                  <w:tcMar>
                    <w:top w:w="12" w:type="dxa"/>
                    <w:left w:w="12" w:type="dxa"/>
                    <w:right w:w="12" w:type="dxa"/>
                  </w:tcMar>
                  <w:vAlign w:val="center"/>
                </w:tcPr>
                <w:p w14:paraId="6A46020E">
                  <w:pPr>
                    <w:widowControl/>
                    <w:jc w:val="center"/>
                    <w:textAlignment w:val="center"/>
                    <w:rPr>
                      <w:szCs w:val="21"/>
                    </w:rPr>
                  </w:pPr>
                  <w:r>
                    <w:rPr>
                      <w:rFonts w:hint="eastAsia" w:ascii="宋体" w:hAnsi="宋体" w:cs="宋体"/>
                      <w:kern w:val="0"/>
                      <w:szCs w:val="21"/>
                      <w:lang w:bidi="ar"/>
                    </w:rPr>
                    <w:t>废液压油</w:t>
                  </w:r>
                </w:p>
              </w:tc>
              <w:tc>
                <w:tcPr>
                  <w:tcW w:w="1146" w:type="dxa"/>
                  <w:noWrap w:val="0"/>
                  <w:tcMar>
                    <w:top w:w="12" w:type="dxa"/>
                    <w:left w:w="12" w:type="dxa"/>
                    <w:right w:w="12" w:type="dxa"/>
                  </w:tcMar>
                  <w:vAlign w:val="center"/>
                </w:tcPr>
                <w:p w14:paraId="2FF96969">
                  <w:pPr>
                    <w:widowControl/>
                    <w:jc w:val="center"/>
                    <w:textAlignment w:val="center"/>
                    <w:rPr>
                      <w:szCs w:val="21"/>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402F458A">
                  <w:pPr>
                    <w:widowControl/>
                    <w:jc w:val="center"/>
                    <w:textAlignment w:val="center"/>
                    <w:rPr>
                      <w:szCs w:val="21"/>
                    </w:rPr>
                  </w:pPr>
                  <w:r>
                    <w:rPr>
                      <w:kern w:val="0"/>
                      <w:szCs w:val="21"/>
                      <w:lang w:bidi="ar"/>
                    </w:rPr>
                    <w:t>900-218-08</w:t>
                  </w:r>
                </w:p>
              </w:tc>
              <w:tc>
                <w:tcPr>
                  <w:tcW w:w="1160" w:type="dxa"/>
                  <w:noWrap w:val="0"/>
                  <w:tcMar>
                    <w:top w:w="12" w:type="dxa"/>
                    <w:left w:w="12" w:type="dxa"/>
                    <w:right w:w="12" w:type="dxa"/>
                  </w:tcMar>
                  <w:vAlign w:val="center"/>
                </w:tcPr>
                <w:p w14:paraId="4E8FC91B">
                  <w:pPr>
                    <w:widowControl/>
                    <w:jc w:val="center"/>
                    <w:textAlignment w:val="center"/>
                    <w:rPr>
                      <w:szCs w:val="21"/>
                    </w:rPr>
                  </w:pPr>
                  <w:r>
                    <w:rPr>
                      <w:rFonts w:hint="eastAsia" w:ascii="宋体" w:hAnsi="宋体" w:cs="宋体"/>
                      <w:kern w:val="0"/>
                      <w:szCs w:val="21"/>
                      <w:lang w:bidi="ar"/>
                    </w:rPr>
                    <w:t>矿物油</w:t>
                  </w:r>
                </w:p>
              </w:tc>
              <w:tc>
                <w:tcPr>
                  <w:tcW w:w="960" w:type="dxa"/>
                  <w:noWrap w:val="0"/>
                  <w:tcMar>
                    <w:top w:w="12" w:type="dxa"/>
                    <w:left w:w="12" w:type="dxa"/>
                    <w:right w:w="12" w:type="dxa"/>
                  </w:tcMar>
                  <w:vAlign w:val="center"/>
                </w:tcPr>
                <w:p w14:paraId="59F69A13">
                  <w:pPr>
                    <w:widowControl/>
                    <w:jc w:val="center"/>
                    <w:textAlignment w:val="center"/>
                    <w:rPr>
                      <w:szCs w:val="21"/>
                    </w:rPr>
                  </w:pPr>
                  <w:r>
                    <w:rPr>
                      <w:rFonts w:hint="eastAsia" w:ascii="宋体" w:hAnsi="宋体" w:cs="宋体"/>
                      <w:kern w:val="0"/>
                      <w:szCs w:val="21"/>
                      <w:lang w:bidi="ar"/>
                    </w:rPr>
                    <w:t>液态</w:t>
                  </w:r>
                </w:p>
              </w:tc>
              <w:tc>
                <w:tcPr>
                  <w:tcW w:w="760" w:type="dxa"/>
                  <w:noWrap w:val="0"/>
                  <w:tcMar>
                    <w:top w:w="12" w:type="dxa"/>
                    <w:left w:w="12" w:type="dxa"/>
                    <w:right w:w="12" w:type="dxa"/>
                  </w:tcMar>
                  <w:vAlign w:val="center"/>
                </w:tcPr>
                <w:p w14:paraId="42F71A76">
                  <w:pPr>
                    <w:widowControl/>
                    <w:jc w:val="center"/>
                    <w:textAlignment w:val="center"/>
                    <w:rPr>
                      <w:szCs w:val="21"/>
                    </w:rPr>
                  </w:pPr>
                  <w:r>
                    <w:rPr>
                      <w:kern w:val="0"/>
                      <w:szCs w:val="21"/>
                      <w:lang w:bidi="ar"/>
                    </w:rPr>
                    <w:t>T</w:t>
                  </w:r>
                  <w:r>
                    <w:rPr>
                      <w:rFonts w:hint="eastAsia" w:ascii="宋体" w:hAnsi="宋体" w:cs="宋体"/>
                      <w:kern w:val="0"/>
                      <w:szCs w:val="21"/>
                      <w:lang w:bidi="ar"/>
                    </w:rPr>
                    <w:t>，</w:t>
                  </w:r>
                  <w:r>
                    <w:rPr>
                      <w:kern w:val="0"/>
                      <w:szCs w:val="21"/>
                      <w:lang w:bidi="ar"/>
                    </w:rPr>
                    <w:t>I</w:t>
                  </w:r>
                </w:p>
              </w:tc>
              <w:tc>
                <w:tcPr>
                  <w:tcW w:w="995" w:type="dxa"/>
                  <w:noWrap w:val="0"/>
                  <w:tcMar>
                    <w:top w:w="12" w:type="dxa"/>
                    <w:left w:w="12" w:type="dxa"/>
                    <w:right w:w="12" w:type="dxa"/>
                  </w:tcMar>
                  <w:vAlign w:val="center"/>
                </w:tcPr>
                <w:p w14:paraId="4D4BC35B">
                  <w:pPr>
                    <w:widowControl/>
                    <w:jc w:val="center"/>
                    <w:textAlignment w:val="center"/>
                    <w:rPr>
                      <w:rFonts w:hint="eastAsia"/>
                      <w:szCs w:val="21"/>
                    </w:rPr>
                  </w:pPr>
                  <w:r>
                    <w:rPr>
                      <w:rFonts w:hint="eastAsia"/>
                      <w:kern w:val="0"/>
                      <w:szCs w:val="21"/>
                      <w:lang w:bidi="ar"/>
                    </w:rPr>
                    <w:t>0.07</w:t>
                  </w:r>
                </w:p>
              </w:tc>
              <w:tc>
                <w:tcPr>
                  <w:tcW w:w="804" w:type="dxa"/>
                  <w:vMerge w:val="restart"/>
                  <w:noWrap w:val="0"/>
                  <w:tcMar>
                    <w:top w:w="12" w:type="dxa"/>
                    <w:left w:w="12" w:type="dxa"/>
                    <w:right w:w="12" w:type="dxa"/>
                  </w:tcMar>
                  <w:vAlign w:val="center"/>
                </w:tcPr>
                <w:p w14:paraId="7541251E">
                  <w:pPr>
                    <w:widowControl/>
                    <w:jc w:val="center"/>
                    <w:textAlignment w:val="center"/>
                    <w:rPr>
                      <w:szCs w:val="21"/>
                    </w:rPr>
                  </w:pPr>
                  <w:r>
                    <w:rPr>
                      <w:rFonts w:hint="eastAsia" w:ascii="宋体" w:hAnsi="宋体" w:cs="宋体"/>
                      <w:kern w:val="0"/>
                      <w:szCs w:val="21"/>
                      <w:lang w:bidi="ar"/>
                    </w:rPr>
                    <w:t>贮存在危废仓库</w:t>
                  </w:r>
                </w:p>
              </w:tc>
              <w:tc>
                <w:tcPr>
                  <w:tcW w:w="1988" w:type="dxa"/>
                  <w:vMerge w:val="restart"/>
                  <w:noWrap w:val="0"/>
                  <w:tcMar>
                    <w:top w:w="12" w:type="dxa"/>
                    <w:left w:w="12" w:type="dxa"/>
                    <w:right w:w="12" w:type="dxa"/>
                  </w:tcMar>
                  <w:vAlign w:val="center"/>
                </w:tcPr>
                <w:p w14:paraId="53828DA2">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委托有资质单位处置</w:t>
                  </w:r>
                </w:p>
              </w:tc>
              <w:tc>
                <w:tcPr>
                  <w:tcW w:w="814" w:type="dxa"/>
                  <w:shd w:val="clear" w:color="auto" w:fill="auto"/>
                  <w:noWrap w:val="0"/>
                  <w:tcMar>
                    <w:top w:w="12" w:type="dxa"/>
                    <w:left w:w="12" w:type="dxa"/>
                    <w:right w:w="12" w:type="dxa"/>
                  </w:tcMar>
                  <w:vAlign w:val="center"/>
                </w:tcPr>
                <w:p w14:paraId="29569740">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0.07</w:t>
                  </w:r>
                </w:p>
              </w:tc>
            </w:tr>
            <w:tr w14:paraId="3093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continue"/>
                  <w:noWrap w:val="0"/>
                  <w:tcMar>
                    <w:top w:w="12" w:type="dxa"/>
                    <w:left w:w="12" w:type="dxa"/>
                    <w:right w:w="12" w:type="dxa"/>
                  </w:tcMar>
                  <w:vAlign w:val="center"/>
                </w:tcPr>
                <w:p w14:paraId="46CAAEE4">
                  <w:pPr>
                    <w:widowControl/>
                    <w:jc w:val="center"/>
                    <w:textAlignment w:val="center"/>
                    <w:rPr>
                      <w:rFonts w:hint="eastAsia"/>
                      <w:kern w:val="0"/>
                      <w:szCs w:val="21"/>
                      <w:lang w:bidi="ar"/>
                    </w:rPr>
                  </w:pPr>
                </w:p>
              </w:tc>
              <w:tc>
                <w:tcPr>
                  <w:tcW w:w="1160" w:type="dxa"/>
                  <w:vMerge w:val="continue"/>
                  <w:noWrap w:val="0"/>
                  <w:tcMar>
                    <w:top w:w="12" w:type="dxa"/>
                    <w:left w:w="12" w:type="dxa"/>
                    <w:right w:w="12" w:type="dxa"/>
                  </w:tcMar>
                  <w:vAlign w:val="center"/>
                </w:tcPr>
                <w:p w14:paraId="46DC0B35">
                  <w:pPr>
                    <w:widowControl/>
                    <w:jc w:val="center"/>
                    <w:textAlignment w:val="center"/>
                    <w:rPr>
                      <w:rFonts w:hint="eastAsia" w:ascii="宋体" w:hAnsi="宋体" w:cs="宋体"/>
                      <w:kern w:val="0"/>
                      <w:szCs w:val="21"/>
                      <w:lang w:bidi="ar"/>
                    </w:rPr>
                  </w:pPr>
                </w:p>
              </w:tc>
              <w:tc>
                <w:tcPr>
                  <w:tcW w:w="1574" w:type="dxa"/>
                  <w:noWrap w:val="0"/>
                  <w:tcMar>
                    <w:top w:w="12" w:type="dxa"/>
                    <w:left w:w="12" w:type="dxa"/>
                    <w:right w:w="12" w:type="dxa"/>
                  </w:tcMar>
                  <w:vAlign w:val="center"/>
                </w:tcPr>
                <w:p w14:paraId="1D495557">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废乳化切削液</w:t>
                  </w:r>
                </w:p>
              </w:tc>
              <w:tc>
                <w:tcPr>
                  <w:tcW w:w="1146" w:type="dxa"/>
                  <w:noWrap w:val="0"/>
                  <w:tcMar>
                    <w:top w:w="12" w:type="dxa"/>
                    <w:left w:w="12" w:type="dxa"/>
                    <w:right w:w="12" w:type="dxa"/>
                  </w:tcMar>
                  <w:vAlign w:val="center"/>
                </w:tcPr>
                <w:p w14:paraId="230C6CC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216CDBD5">
                  <w:pPr>
                    <w:widowControl/>
                    <w:jc w:val="center"/>
                    <w:textAlignment w:val="center"/>
                    <w:rPr>
                      <w:kern w:val="0"/>
                      <w:szCs w:val="21"/>
                      <w:lang w:bidi="ar"/>
                    </w:rPr>
                  </w:pPr>
                  <w:r>
                    <w:rPr>
                      <w:rFonts w:hint="eastAsia"/>
                      <w:kern w:val="0"/>
                      <w:szCs w:val="21"/>
                      <w:lang w:bidi="ar"/>
                    </w:rPr>
                    <w:t>900-006-09</w:t>
                  </w:r>
                </w:p>
              </w:tc>
              <w:tc>
                <w:tcPr>
                  <w:tcW w:w="1160" w:type="dxa"/>
                  <w:noWrap w:val="0"/>
                  <w:tcMar>
                    <w:top w:w="12" w:type="dxa"/>
                    <w:left w:w="12" w:type="dxa"/>
                    <w:right w:w="12" w:type="dxa"/>
                  </w:tcMar>
                  <w:vAlign w:val="center"/>
                </w:tcPr>
                <w:p w14:paraId="01C00805">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矿物油</w:t>
                  </w:r>
                </w:p>
              </w:tc>
              <w:tc>
                <w:tcPr>
                  <w:tcW w:w="960" w:type="dxa"/>
                  <w:noWrap w:val="0"/>
                  <w:tcMar>
                    <w:top w:w="12" w:type="dxa"/>
                    <w:left w:w="12" w:type="dxa"/>
                    <w:right w:w="12" w:type="dxa"/>
                  </w:tcMar>
                  <w:vAlign w:val="center"/>
                </w:tcPr>
                <w:p w14:paraId="7504DA58">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液态</w:t>
                  </w:r>
                </w:p>
              </w:tc>
              <w:tc>
                <w:tcPr>
                  <w:tcW w:w="760" w:type="dxa"/>
                  <w:noWrap w:val="0"/>
                  <w:tcMar>
                    <w:top w:w="12" w:type="dxa"/>
                    <w:left w:w="12" w:type="dxa"/>
                    <w:right w:w="12" w:type="dxa"/>
                  </w:tcMar>
                  <w:vAlign w:val="center"/>
                </w:tcPr>
                <w:p w14:paraId="16BA2A66">
                  <w:pPr>
                    <w:widowControl/>
                    <w:jc w:val="center"/>
                    <w:textAlignment w:val="center"/>
                    <w:rPr>
                      <w:kern w:val="0"/>
                      <w:szCs w:val="21"/>
                      <w:lang w:bidi="ar"/>
                    </w:rPr>
                  </w:pPr>
                  <w:r>
                    <w:rPr>
                      <w:kern w:val="0"/>
                      <w:szCs w:val="21"/>
                      <w:lang w:bidi="ar"/>
                    </w:rPr>
                    <w:t>T</w:t>
                  </w:r>
                  <w:r>
                    <w:rPr>
                      <w:rFonts w:hint="eastAsia" w:ascii="宋体" w:hAnsi="宋体" w:cs="宋体"/>
                      <w:kern w:val="0"/>
                      <w:szCs w:val="21"/>
                      <w:lang w:bidi="ar"/>
                    </w:rPr>
                    <w:t>，</w:t>
                  </w:r>
                  <w:r>
                    <w:rPr>
                      <w:kern w:val="0"/>
                      <w:szCs w:val="21"/>
                      <w:lang w:bidi="ar"/>
                    </w:rPr>
                    <w:t>I</w:t>
                  </w:r>
                </w:p>
              </w:tc>
              <w:tc>
                <w:tcPr>
                  <w:tcW w:w="995" w:type="dxa"/>
                  <w:noWrap w:val="0"/>
                  <w:tcMar>
                    <w:top w:w="12" w:type="dxa"/>
                    <w:left w:w="12" w:type="dxa"/>
                    <w:right w:w="12" w:type="dxa"/>
                  </w:tcMar>
                  <w:vAlign w:val="center"/>
                </w:tcPr>
                <w:p w14:paraId="583301AA">
                  <w:pPr>
                    <w:widowControl/>
                    <w:jc w:val="center"/>
                    <w:textAlignment w:val="center"/>
                    <w:rPr>
                      <w:rFonts w:hint="eastAsia"/>
                      <w:kern w:val="0"/>
                      <w:szCs w:val="21"/>
                      <w:lang w:bidi="ar"/>
                    </w:rPr>
                  </w:pPr>
                  <w:r>
                    <w:rPr>
                      <w:rFonts w:hint="eastAsia"/>
                      <w:kern w:val="0"/>
                      <w:szCs w:val="21"/>
                      <w:lang w:bidi="ar"/>
                    </w:rPr>
                    <w:t>0.35</w:t>
                  </w:r>
                </w:p>
              </w:tc>
              <w:tc>
                <w:tcPr>
                  <w:tcW w:w="804" w:type="dxa"/>
                  <w:vMerge w:val="continue"/>
                  <w:noWrap w:val="0"/>
                  <w:tcMar>
                    <w:top w:w="12" w:type="dxa"/>
                    <w:left w:w="12" w:type="dxa"/>
                    <w:right w:w="12" w:type="dxa"/>
                  </w:tcMar>
                  <w:vAlign w:val="center"/>
                </w:tcPr>
                <w:p w14:paraId="314897C9">
                  <w:pPr>
                    <w:widowControl/>
                    <w:jc w:val="center"/>
                    <w:textAlignment w:val="center"/>
                    <w:rPr>
                      <w:rFonts w:hint="eastAsia" w:ascii="宋体" w:hAnsi="宋体" w:cs="宋体"/>
                      <w:kern w:val="0"/>
                      <w:szCs w:val="21"/>
                      <w:lang w:bidi="ar"/>
                    </w:rPr>
                  </w:pPr>
                </w:p>
              </w:tc>
              <w:tc>
                <w:tcPr>
                  <w:tcW w:w="1988" w:type="dxa"/>
                  <w:vMerge w:val="continue"/>
                  <w:noWrap w:val="0"/>
                  <w:tcMar>
                    <w:top w:w="12" w:type="dxa"/>
                    <w:left w:w="12" w:type="dxa"/>
                    <w:right w:w="12" w:type="dxa"/>
                  </w:tcMar>
                  <w:vAlign w:val="center"/>
                </w:tcPr>
                <w:p w14:paraId="765B4E1F">
                  <w:pPr>
                    <w:widowControl/>
                    <w:jc w:val="center"/>
                    <w:textAlignment w:val="center"/>
                    <w:rPr>
                      <w:rFonts w:hint="eastAsia" w:ascii="宋体" w:hAnsi="宋体" w:cs="宋体"/>
                      <w:kern w:val="0"/>
                      <w:szCs w:val="21"/>
                      <w:lang w:bidi="ar"/>
                    </w:rPr>
                  </w:pPr>
                </w:p>
              </w:tc>
              <w:tc>
                <w:tcPr>
                  <w:tcW w:w="814" w:type="dxa"/>
                  <w:shd w:val="clear" w:color="auto" w:fill="auto"/>
                  <w:noWrap w:val="0"/>
                  <w:tcMar>
                    <w:top w:w="12" w:type="dxa"/>
                    <w:left w:w="12" w:type="dxa"/>
                    <w:right w:w="12" w:type="dxa"/>
                  </w:tcMar>
                  <w:vAlign w:val="center"/>
                </w:tcPr>
                <w:p w14:paraId="1AFAF952">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bidi="ar"/>
                    </w:rPr>
                    <w:t>0.35</w:t>
                  </w:r>
                </w:p>
              </w:tc>
            </w:tr>
            <w:tr w14:paraId="0928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continue"/>
                  <w:noWrap w:val="0"/>
                  <w:tcMar>
                    <w:top w:w="12" w:type="dxa"/>
                    <w:left w:w="12" w:type="dxa"/>
                    <w:right w:w="12" w:type="dxa"/>
                  </w:tcMar>
                  <w:vAlign w:val="center"/>
                </w:tcPr>
                <w:p w14:paraId="779383BC">
                  <w:pPr>
                    <w:widowControl/>
                    <w:jc w:val="center"/>
                    <w:textAlignment w:val="center"/>
                    <w:rPr>
                      <w:szCs w:val="21"/>
                    </w:rPr>
                  </w:pPr>
                </w:p>
              </w:tc>
              <w:tc>
                <w:tcPr>
                  <w:tcW w:w="1160" w:type="dxa"/>
                  <w:vMerge w:val="continue"/>
                  <w:noWrap w:val="0"/>
                  <w:tcMar>
                    <w:top w:w="12" w:type="dxa"/>
                    <w:left w:w="12" w:type="dxa"/>
                    <w:right w:w="12" w:type="dxa"/>
                  </w:tcMar>
                  <w:vAlign w:val="center"/>
                </w:tcPr>
                <w:p w14:paraId="199D4FC6">
                  <w:pPr>
                    <w:widowControl/>
                    <w:jc w:val="center"/>
                    <w:textAlignment w:val="center"/>
                    <w:rPr>
                      <w:rFonts w:hint="eastAsia"/>
                      <w:szCs w:val="21"/>
                    </w:rPr>
                  </w:pPr>
                </w:p>
              </w:tc>
              <w:tc>
                <w:tcPr>
                  <w:tcW w:w="1574" w:type="dxa"/>
                  <w:noWrap w:val="0"/>
                  <w:tcMar>
                    <w:top w:w="12" w:type="dxa"/>
                    <w:left w:w="12" w:type="dxa"/>
                    <w:right w:w="12" w:type="dxa"/>
                  </w:tcMar>
                  <w:vAlign w:val="center"/>
                </w:tcPr>
                <w:p w14:paraId="64E8F508">
                  <w:pPr>
                    <w:widowControl/>
                    <w:jc w:val="center"/>
                    <w:textAlignment w:val="center"/>
                    <w:rPr>
                      <w:rFonts w:hint="eastAsia"/>
                      <w:szCs w:val="21"/>
                    </w:rPr>
                  </w:pPr>
                  <w:r>
                    <w:rPr>
                      <w:rFonts w:hint="eastAsia" w:ascii="宋体" w:hAnsi="宋体" w:cs="宋体"/>
                      <w:kern w:val="0"/>
                      <w:szCs w:val="21"/>
                      <w:lang w:bidi="ar"/>
                    </w:rPr>
                    <w:t>废油桶</w:t>
                  </w:r>
                </w:p>
              </w:tc>
              <w:tc>
                <w:tcPr>
                  <w:tcW w:w="1146" w:type="dxa"/>
                  <w:noWrap w:val="0"/>
                  <w:tcMar>
                    <w:top w:w="12" w:type="dxa"/>
                    <w:left w:w="12" w:type="dxa"/>
                    <w:right w:w="12" w:type="dxa"/>
                  </w:tcMar>
                  <w:vAlign w:val="center"/>
                </w:tcPr>
                <w:p w14:paraId="0EBF2CBE">
                  <w:pPr>
                    <w:widowControl/>
                    <w:jc w:val="center"/>
                    <w:textAlignment w:val="center"/>
                    <w:rPr>
                      <w:rFonts w:hint="eastAsia"/>
                      <w:szCs w:val="21"/>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7A32F01E">
                  <w:pPr>
                    <w:widowControl/>
                    <w:jc w:val="center"/>
                    <w:textAlignment w:val="center"/>
                    <w:rPr>
                      <w:szCs w:val="21"/>
                    </w:rPr>
                  </w:pPr>
                  <w:r>
                    <w:rPr>
                      <w:kern w:val="0"/>
                      <w:szCs w:val="21"/>
                      <w:lang w:bidi="ar"/>
                    </w:rPr>
                    <w:t>900-2</w:t>
                  </w:r>
                  <w:r>
                    <w:rPr>
                      <w:rFonts w:hint="eastAsia"/>
                      <w:kern w:val="0"/>
                      <w:szCs w:val="21"/>
                      <w:lang w:bidi="ar"/>
                    </w:rPr>
                    <w:t>49</w:t>
                  </w:r>
                  <w:r>
                    <w:rPr>
                      <w:kern w:val="0"/>
                      <w:szCs w:val="21"/>
                      <w:lang w:bidi="ar"/>
                    </w:rPr>
                    <w:t>-08</w:t>
                  </w:r>
                </w:p>
              </w:tc>
              <w:tc>
                <w:tcPr>
                  <w:tcW w:w="1160" w:type="dxa"/>
                  <w:noWrap w:val="0"/>
                  <w:tcMar>
                    <w:top w:w="12" w:type="dxa"/>
                    <w:left w:w="12" w:type="dxa"/>
                    <w:right w:w="12" w:type="dxa"/>
                  </w:tcMar>
                  <w:vAlign w:val="center"/>
                </w:tcPr>
                <w:p w14:paraId="23F85D43">
                  <w:pPr>
                    <w:widowControl/>
                    <w:jc w:val="center"/>
                    <w:textAlignment w:val="center"/>
                    <w:rPr>
                      <w:rFonts w:hint="eastAsia"/>
                      <w:szCs w:val="21"/>
                    </w:rPr>
                  </w:pPr>
                  <w:r>
                    <w:rPr>
                      <w:rFonts w:hint="eastAsia" w:ascii="宋体" w:hAnsi="宋体" w:cs="宋体"/>
                      <w:kern w:val="0"/>
                      <w:szCs w:val="21"/>
                      <w:lang w:bidi="ar"/>
                    </w:rPr>
                    <w:t>矿物油</w:t>
                  </w:r>
                </w:p>
              </w:tc>
              <w:tc>
                <w:tcPr>
                  <w:tcW w:w="960" w:type="dxa"/>
                  <w:noWrap w:val="0"/>
                  <w:tcMar>
                    <w:top w:w="12" w:type="dxa"/>
                    <w:left w:w="12" w:type="dxa"/>
                    <w:right w:w="12" w:type="dxa"/>
                  </w:tcMar>
                  <w:vAlign w:val="center"/>
                </w:tcPr>
                <w:p w14:paraId="2A1C45F5">
                  <w:pPr>
                    <w:widowControl/>
                    <w:jc w:val="center"/>
                    <w:textAlignment w:val="center"/>
                    <w:rPr>
                      <w:rFonts w:hint="eastAsia"/>
                      <w:szCs w:val="21"/>
                    </w:rPr>
                  </w:pPr>
                  <w:r>
                    <w:rPr>
                      <w:rFonts w:hint="eastAsia" w:ascii="宋体" w:hAnsi="宋体" w:cs="宋体"/>
                      <w:kern w:val="0"/>
                      <w:szCs w:val="21"/>
                      <w:lang w:bidi="ar"/>
                    </w:rPr>
                    <w:t>液态</w:t>
                  </w:r>
                </w:p>
              </w:tc>
              <w:tc>
                <w:tcPr>
                  <w:tcW w:w="760" w:type="dxa"/>
                  <w:noWrap w:val="0"/>
                  <w:tcMar>
                    <w:top w:w="12" w:type="dxa"/>
                    <w:left w:w="12" w:type="dxa"/>
                    <w:right w:w="12" w:type="dxa"/>
                  </w:tcMar>
                  <w:vAlign w:val="center"/>
                </w:tcPr>
                <w:p w14:paraId="2FDF84E7">
                  <w:pPr>
                    <w:widowControl/>
                    <w:jc w:val="center"/>
                    <w:textAlignment w:val="center"/>
                    <w:rPr>
                      <w:szCs w:val="21"/>
                    </w:rPr>
                  </w:pPr>
                  <w:r>
                    <w:rPr>
                      <w:kern w:val="0"/>
                      <w:szCs w:val="21"/>
                      <w:lang w:bidi="ar"/>
                    </w:rPr>
                    <w:t>T</w:t>
                  </w:r>
                  <w:r>
                    <w:rPr>
                      <w:rFonts w:hint="eastAsia" w:ascii="宋体" w:hAnsi="宋体" w:cs="宋体"/>
                      <w:kern w:val="0"/>
                      <w:szCs w:val="21"/>
                      <w:lang w:bidi="ar"/>
                    </w:rPr>
                    <w:t>，</w:t>
                  </w:r>
                  <w:r>
                    <w:rPr>
                      <w:kern w:val="0"/>
                      <w:szCs w:val="21"/>
                      <w:lang w:bidi="ar"/>
                    </w:rPr>
                    <w:t>I</w:t>
                  </w:r>
                </w:p>
              </w:tc>
              <w:tc>
                <w:tcPr>
                  <w:tcW w:w="995" w:type="dxa"/>
                  <w:noWrap w:val="0"/>
                  <w:tcMar>
                    <w:top w:w="12" w:type="dxa"/>
                    <w:left w:w="12" w:type="dxa"/>
                    <w:right w:w="12" w:type="dxa"/>
                  </w:tcMar>
                  <w:vAlign w:val="center"/>
                </w:tcPr>
                <w:p w14:paraId="052B7491">
                  <w:pPr>
                    <w:widowControl/>
                    <w:jc w:val="center"/>
                    <w:textAlignment w:val="center"/>
                    <w:rPr>
                      <w:rFonts w:hint="eastAsia"/>
                      <w:szCs w:val="21"/>
                    </w:rPr>
                  </w:pPr>
                  <w:r>
                    <w:rPr>
                      <w:rFonts w:hint="eastAsia"/>
                      <w:kern w:val="0"/>
                      <w:szCs w:val="21"/>
                      <w:lang w:bidi="ar"/>
                    </w:rPr>
                    <w:t>0.7</w:t>
                  </w:r>
                </w:p>
              </w:tc>
              <w:tc>
                <w:tcPr>
                  <w:tcW w:w="804" w:type="dxa"/>
                  <w:vMerge w:val="continue"/>
                  <w:noWrap w:val="0"/>
                  <w:tcMar>
                    <w:top w:w="12" w:type="dxa"/>
                    <w:left w:w="12" w:type="dxa"/>
                    <w:right w:w="12" w:type="dxa"/>
                  </w:tcMar>
                  <w:vAlign w:val="center"/>
                </w:tcPr>
                <w:p w14:paraId="5A1F2443">
                  <w:pPr>
                    <w:jc w:val="center"/>
                    <w:rPr>
                      <w:szCs w:val="21"/>
                    </w:rPr>
                  </w:pPr>
                </w:p>
              </w:tc>
              <w:tc>
                <w:tcPr>
                  <w:tcW w:w="1988" w:type="dxa"/>
                  <w:vMerge w:val="continue"/>
                  <w:noWrap w:val="0"/>
                  <w:tcMar>
                    <w:top w:w="12" w:type="dxa"/>
                    <w:left w:w="12" w:type="dxa"/>
                    <w:right w:w="12" w:type="dxa"/>
                  </w:tcMar>
                  <w:vAlign w:val="center"/>
                </w:tcPr>
                <w:p w14:paraId="6A3E8582">
                  <w:pPr>
                    <w:widowControl/>
                    <w:jc w:val="center"/>
                    <w:textAlignment w:val="center"/>
                    <w:rPr>
                      <w:szCs w:val="21"/>
                    </w:rPr>
                  </w:pPr>
                </w:p>
              </w:tc>
              <w:tc>
                <w:tcPr>
                  <w:tcW w:w="814" w:type="dxa"/>
                  <w:shd w:val="clear" w:color="auto" w:fill="auto"/>
                  <w:noWrap w:val="0"/>
                  <w:tcMar>
                    <w:top w:w="12" w:type="dxa"/>
                    <w:left w:w="12" w:type="dxa"/>
                    <w:right w:w="12" w:type="dxa"/>
                  </w:tcMar>
                  <w:vAlign w:val="center"/>
                </w:tcPr>
                <w:p w14:paraId="6844AA3B">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0.7</w:t>
                  </w:r>
                </w:p>
              </w:tc>
            </w:tr>
            <w:tr w14:paraId="56A0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restart"/>
                  <w:noWrap w:val="0"/>
                  <w:tcMar>
                    <w:top w:w="12" w:type="dxa"/>
                    <w:left w:w="12" w:type="dxa"/>
                    <w:right w:w="12" w:type="dxa"/>
                  </w:tcMar>
                  <w:vAlign w:val="center"/>
                </w:tcPr>
                <w:p w14:paraId="4E1A4C63">
                  <w:pPr>
                    <w:widowControl/>
                    <w:jc w:val="center"/>
                    <w:textAlignment w:val="center"/>
                    <w:rPr>
                      <w:szCs w:val="21"/>
                    </w:rPr>
                  </w:pPr>
                  <w:r>
                    <w:rPr>
                      <w:rFonts w:hint="eastAsia"/>
                      <w:szCs w:val="21"/>
                    </w:rPr>
                    <w:t>2</w:t>
                  </w:r>
                </w:p>
              </w:tc>
              <w:tc>
                <w:tcPr>
                  <w:tcW w:w="1160" w:type="dxa"/>
                  <w:vMerge w:val="restart"/>
                  <w:noWrap w:val="0"/>
                  <w:tcMar>
                    <w:top w:w="12" w:type="dxa"/>
                    <w:left w:w="12" w:type="dxa"/>
                    <w:right w:w="12" w:type="dxa"/>
                  </w:tcMar>
                  <w:vAlign w:val="center"/>
                </w:tcPr>
                <w:p w14:paraId="63092996">
                  <w:pPr>
                    <w:widowControl/>
                    <w:jc w:val="center"/>
                    <w:textAlignment w:val="center"/>
                    <w:rPr>
                      <w:rFonts w:hint="eastAsia"/>
                      <w:szCs w:val="21"/>
                    </w:rPr>
                  </w:pPr>
                  <w:r>
                    <w:rPr>
                      <w:rFonts w:hint="eastAsia"/>
                      <w:szCs w:val="21"/>
                    </w:rPr>
                    <w:t>废气处理</w:t>
                  </w:r>
                </w:p>
              </w:tc>
              <w:tc>
                <w:tcPr>
                  <w:tcW w:w="1574" w:type="dxa"/>
                  <w:noWrap w:val="0"/>
                  <w:tcMar>
                    <w:top w:w="12" w:type="dxa"/>
                    <w:left w:w="12" w:type="dxa"/>
                    <w:right w:w="12" w:type="dxa"/>
                  </w:tcMar>
                  <w:vAlign w:val="center"/>
                </w:tcPr>
                <w:p w14:paraId="70D3E40D">
                  <w:pPr>
                    <w:widowControl/>
                    <w:jc w:val="center"/>
                    <w:textAlignment w:val="center"/>
                    <w:rPr>
                      <w:rFonts w:hint="eastAsia"/>
                      <w:szCs w:val="21"/>
                    </w:rPr>
                  </w:pPr>
                  <w:r>
                    <w:rPr>
                      <w:rFonts w:hint="eastAsia"/>
                      <w:szCs w:val="21"/>
                    </w:rPr>
                    <w:t>废过滤棉</w:t>
                  </w:r>
                </w:p>
              </w:tc>
              <w:tc>
                <w:tcPr>
                  <w:tcW w:w="1146" w:type="dxa"/>
                  <w:noWrap w:val="0"/>
                  <w:tcMar>
                    <w:top w:w="12" w:type="dxa"/>
                    <w:left w:w="12" w:type="dxa"/>
                    <w:right w:w="12" w:type="dxa"/>
                  </w:tcMar>
                  <w:vAlign w:val="center"/>
                </w:tcPr>
                <w:p w14:paraId="0E772000">
                  <w:pPr>
                    <w:widowControl/>
                    <w:jc w:val="center"/>
                    <w:textAlignment w:val="center"/>
                    <w:rPr>
                      <w:rFonts w:hint="eastAsia"/>
                      <w:szCs w:val="21"/>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33259601">
                  <w:pPr>
                    <w:widowControl/>
                    <w:jc w:val="center"/>
                    <w:textAlignment w:val="center"/>
                    <w:rPr>
                      <w:kern w:val="0"/>
                      <w:szCs w:val="21"/>
                      <w:lang w:bidi="ar"/>
                    </w:rPr>
                  </w:pPr>
                  <w:r>
                    <w:rPr>
                      <w:kern w:val="0"/>
                      <w:szCs w:val="21"/>
                      <w:lang w:bidi="ar"/>
                    </w:rPr>
                    <w:t>900-047-49</w:t>
                  </w:r>
                </w:p>
              </w:tc>
              <w:tc>
                <w:tcPr>
                  <w:tcW w:w="1160" w:type="dxa"/>
                  <w:noWrap w:val="0"/>
                  <w:tcMar>
                    <w:top w:w="12" w:type="dxa"/>
                    <w:left w:w="12" w:type="dxa"/>
                    <w:right w:w="12" w:type="dxa"/>
                  </w:tcMar>
                  <w:vAlign w:val="center"/>
                </w:tcPr>
                <w:p w14:paraId="01FE71C0">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有机物</w:t>
                  </w:r>
                </w:p>
              </w:tc>
              <w:tc>
                <w:tcPr>
                  <w:tcW w:w="960" w:type="dxa"/>
                  <w:noWrap w:val="0"/>
                  <w:tcMar>
                    <w:top w:w="12" w:type="dxa"/>
                    <w:left w:w="12" w:type="dxa"/>
                    <w:right w:w="12" w:type="dxa"/>
                  </w:tcMar>
                  <w:vAlign w:val="center"/>
                </w:tcPr>
                <w:p w14:paraId="662C20BA">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固态</w:t>
                  </w:r>
                </w:p>
              </w:tc>
              <w:tc>
                <w:tcPr>
                  <w:tcW w:w="760" w:type="dxa"/>
                  <w:noWrap w:val="0"/>
                  <w:tcMar>
                    <w:top w:w="12" w:type="dxa"/>
                    <w:left w:w="12" w:type="dxa"/>
                    <w:right w:w="12" w:type="dxa"/>
                  </w:tcMar>
                  <w:vAlign w:val="center"/>
                </w:tcPr>
                <w:p w14:paraId="197F2D64">
                  <w:pPr>
                    <w:widowControl/>
                    <w:jc w:val="center"/>
                    <w:textAlignment w:val="center"/>
                    <w:rPr>
                      <w:kern w:val="0"/>
                      <w:szCs w:val="21"/>
                      <w:lang w:bidi="ar"/>
                    </w:rPr>
                  </w:pPr>
                  <w:r>
                    <w:rPr>
                      <w:rFonts w:hint="eastAsia"/>
                      <w:kern w:val="0"/>
                      <w:szCs w:val="21"/>
                      <w:lang w:bidi="ar"/>
                    </w:rPr>
                    <w:t>T/In</w:t>
                  </w:r>
                </w:p>
              </w:tc>
              <w:tc>
                <w:tcPr>
                  <w:tcW w:w="995" w:type="dxa"/>
                  <w:noWrap w:val="0"/>
                  <w:tcMar>
                    <w:top w:w="12" w:type="dxa"/>
                    <w:left w:w="12" w:type="dxa"/>
                    <w:right w:w="12" w:type="dxa"/>
                  </w:tcMar>
                  <w:vAlign w:val="center"/>
                </w:tcPr>
                <w:p w14:paraId="64D6A0FB">
                  <w:pPr>
                    <w:widowControl/>
                    <w:jc w:val="center"/>
                    <w:textAlignment w:val="center"/>
                    <w:rPr>
                      <w:kern w:val="0"/>
                      <w:szCs w:val="21"/>
                      <w:lang w:bidi="ar"/>
                    </w:rPr>
                  </w:pPr>
                  <w:r>
                    <w:rPr>
                      <w:rFonts w:hint="eastAsia"/>
                      <w:kern w:val="0"/>
                      <w:szCs w:val="21"/>
                      <w:lang w:bidi="ar"/>
                    </w:rPr>
                    <w:t>0.07</w:t>
                  </w:r>
                </w:p>
              </w:tc>
              <w:tc>
                <w:tcPr>
                  <w:tcW w:w="804" w:type="dxa"/>
                  <w:vMerge w:val="continue"/>
                  <w:noWrap w:val="0"/>
                  <w:tcMar>
                    <w:top w:w="12" w:type="dxa"/>
                    <w:left w:w="12" w:type="dxa"/>
                    <w:right w:w="12" w:type="dxa"/>
                  </w:tcMar>
                  <w:vAlign w:val="center"/>
                </w:tcPr>
                <w:p w14:paraId="0C45D929">
                  <w:pPr>
                    <w:jc w:val="center"/>
                    <w:rPr>
                      <w:szCs w:val="21"/>
                    </w:rPr>
                  </w:pPr>
                </w:p>
              </w:tc>
              <w:tc>
                <w:tcPr>
                  <w:tcW w:w="1988" w:type="dxa"/>
                  <w:vMerge w:val="continue"/>
                  <w:noWrap w:val="0"/>
                  <w:tcMar>
                    <w:top w:w="12" w:type="dxa"/>
                    <w:left w:w="12" w:type="dxa"/>
                    <w:right w:w="12" w:type="dxa"/>
                  </w:tcMar>
                  <w:vAlign w:val="center"/>
                </w:tcPr>
                <w:p w14:paraId="03687A4A">
                  <w:pPr>
                    <w:widowControl/>
                    <w:jc w:val="center"/>
                    <w:textAlignment w:val="center"/>
                    <w:rPr>
                      <w:szCs w:val="21"/>
                    </w:rPr>
                  </w:pPr>
                </w:p>
              </w:tc>
              <w:tc>
                <w:tcPr>
                  <w:tcW w:w="814" w:type="dxa"/>
                  <w:shd w:val="clear" w:color="auto" w:fill="auto"/>
                  <w:noWrap w:val="0"/>
                  <w:tcMar>
                    <w:top w:w="12" w:type="dxa"/>
                    <w:left w:w="12" w:type="dxa"/>
                    <w:right w:w="12" w:type="dxa"/>
                  </w:tcMar>
                  <w:vAlign w:val="center"/>
                </w:tcPr>
                <w:p w14:paraId="504DC37A">
                  <w:pPr>
                    <w:widowControl/>
                    <w:jc w:val="center"/>
                    <w:textAlignment w:val="center"/>
                    <w:rPr>
                      <w:rFonts w:ascii="Times New Roman" w:hAnsi="Times New Roman" w:eastAsia="宋体" w:cs="Times New Roman"/>
                      <w:kern w:val="0"/>
                      <w:sz w:val="21"/>
                      <w:szCs w:val="21"/>
                      <w:lang w:val="en-US" w:eastAsia="zh-CN" w:bidi="ar"/>
                    </w:rPr>
                  </w:pPr>
                  <w:r>
                    <w:rPr>
                      <w:rFonts w:hint="eastAsia"/>
                      <w:kern w:val="0"/>
                      <w:szCs w:val="21"/>
                      <w:lang w:bidi="ar"/>
                    </w:rPr>
                    <w:t>0.07</w:t>
                  </w:r>
                </w:p>
              </w:tc>
            </w:tr>
            <w:tr w14:paraId="0825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continue"/>
                  <w:noWrap w:val="0"/>
                  <w:tcMar>
                    <w:top w:w="12" w:type="dxa"/>
                    <w:left w:w="12" w:type="dxa"/>
                    <w:right w:w="12" w:type="dxa"/>
                  </w:tcMar>
                  <w:vAlign w:val="center"/>
                </w:tcPr>
                <w:p w14:paraId="1A8228A2">
                  <w:pPr>
                    <w:widowControl/>
                    <w:jc w:val="center"/>
                    <w:textAlignment w:val="center"/>
                    <w:rPr>
                      <w:szCs w:val="21"/>
                    </w:rPr>
                  </w:pPr>
                </w:p>
              </w:tc>
              <w:tc>
                <w:tcPr>
                  <w:tcW w:w="1160" w:type="dxa"/>
                  <w:vMerge w:val="continue"/>
                  <w:noWrap w:val="0"/>
                  <w:tcMar>
                    <w:top w:w="12" w:type="dxa"/>
                    <w:left w:w="12" w:type="dxa"/>
                    <w:right w:w="12" w:type="dxa"/>
                  </w:tcMar>
                  <w:vAlign w:val="center"/>
                </w:tcPr>
                <w:p w14:paraId="52063DED">
                  <w:pPr>
                    <w:widowControl/>
                    <w:jc w:val="center"/>
                    <w:textAlignment w:val="center"/>
                    <w:rPr>
                      <w:rFonts w:hint="eastAsia"/>
                      <w:szCs w:val="21"/>
                    </w:rPr>
                  </w:pPr>
                </w:p>
              </w:tc>
              <w:tc>
                <w:tcPr>
                  <w:tcW w:w="1574" w:type="dxa"/>
                  <w:noWrap w:val="0"/>
                  <w:tcMar>
                    <w:top w:w="12" w:type="dxa"/>
                    <w:left w:w="12" w:type="dxa"/>
                    <w:right w:w="12" w:type="dxa"/>
                  </w:tcMar>
                  <w:vAlign w:val="center"/>
                </w:tcPr>
                <w:p w14:paraId="4DE20316">
                  <w:pPr>
                    <w:widowControl/>
                    <w:jc w:val="center"/>
                    <w:textAlignment w:val="center"/>
                    <w:rPr>
                      <w:rFonts w:hint="eastAsia"/>
                      <w:szCs w:val="21"/>
                    </w:rPr>
                  </w:pPr>
                  <w:r>
                    <w:rPr>
                      <w:rFonts w:hint="eastAsia"/>
                      <w:szCs w:val="21"/>
                    </w:rPr>
                    <w:t>废活性炭</w:t>
                  </w:r>
                </w:p>
              </w:tc>
              <w:tc>
                <w:tcPr>
                  <w:tcW w:w="1146" w:type="dxa"/>
                  <w:noWrap w:val="0"/>
                  <w:tcMar>
                    <w:top w:w="12" w:type="dxa"/>
                    <w:left w:w="12" w:type="dxa"/>
                    <w:right w:w="12" w:type="dxa"/>
                  </w:tcMar>
                  <w:vAlign w:val="center"/>
                </w:tcPr>
                <w:p w14:paraId="1FAE69C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39F897FC">
                  <w:pPr>
                    <w:widowControl/>
                    <w:jc w:val="center"/>
                    <w:textAlignment w:val="center"/>
                    <w:rPr>
                      <w:rFonts w:hint="default" w:eastAsia="宋体"/>
                      <w:kern w:val="0"/>
                      <w:szCs w:val="21"/>
                      <w:lang w:val="en-US" w:eastAsia="zh-CN" w:bidi="ar"/>
                    </w:rPr>
                  </w:pPr>
                  <w:r>
                    <w:rPr>
                      <w:kern w:val="0"/>
                      <w:szCs w:val="21"/>
                      <w:lang w:bidi="ar"/>
                    </w:rPr>
                    <w:t>900-</w:t>
                  </w:r>
                  <w:r>
                    <w:rPr>
                      <w:rFonts w:hint="eastAsia"/>
                      <w:kern w:val="0"/>
                      <w:szCs w:val="21"/>
                      <w:lang w:val="en-US" w:eastAsia="zh-CN" w:bidi="ar"/>
                    </w:rPr>
                    <w:t>039</w:t>
                  </w:r>
                  <w:r>
                    <w:rPr>
                      <w:kern w:val="0"/>
                      <w:szCs w:val="21"/>
                      <w:lang w:bidi="ar"/>
                    </w:rPr>
                    <w:t>-</w:t>
                  </w:r>
                  <w:r>
                    <w:rPr>
                      <w:rFonts w:hint="eastAsia"/>
                      <w:kern w:val="0"/>
                      <w:szCs w:val="21"/>
                      <w:lang w:val="en-US" w:eastAsia="zh-CN" w:bidi="ar"/>
                    </w:rPr>
                    <w:t>49</w:t>
                  </w:r>
                </w:p>
              </w:tc>
              <w:tc>
                <w:tcPr>
                  <w:tcW w:w="1160" w:type="dxa"/>
                  <w:noWrap w:val="0"/>
                  <w:tcMar>
                    <w:top w:w="12" w:type="dxa"/>
                    <w:left w:w="12" w:type="dxa"/>
                    <w:right w:w="12" w:type="dxa"/>
                  </w:tcMar>
                  <w:vAlign w:val="center"/>
                </w:tcPr>
                <w:p w14:paraId="3A5D0070">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有机物</w:t>
                  </w:r>
                </w:p>
              </w:tc>
              <w:tc>
                <w:tcPr>
                  <w:tcW w:w="960" w:type="dxa"/>
                  <w:noWrap w:val="0"/>
                  <w:tcMar>
                    <w:top w:w="12" w:type="dxa"/>
                    <w:left w:w="12" w:type="dxa"/>
                    <w:right w:w="12" w:type="dxa"/>
                  </w:tcMar>
                  <w:vAlign w:val="center"/>
                </w:tcPr>
                <w:p w14:paraId="38F26319">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固态</w:t>
                  </w:r>
                </w:p>
              </w:tc>
              <w:tc>
                <w:tcPr>
                  <w:tcW w:w="760" w:type="dxa"/>
                  <w:noWrap w:val="0"/>
                  <w:tcMar>
                    <w:top w:w="12" w:type="dxa"/>
                    <w:left w:w="12" w:type="dxa"/>
                    <w:right w:w="12" w:type="dxa"/>
                  </w:tcMar>
                  <w:vAlign w:val="center"/>
                </w:tcPr>
                <w:p w14:paraId="6B2C2950">
                  <w:pPr>
                    <w:widowControl/>
                    <w:jc w:val="center"/>
                    <w:textAlignment w:val="center"/>
                    <w:rPr>
                      <w:rFonts w:hint="eastAsia"/>
                      <w:kern w:val="0"/>
                      <w:szCs w:val="21"/>
                      <w:lang w:bidi="ar"/>
                    </w:rPr>
                  </w:pPr>
                  <w:r>
                    <w:rPr>
                      <w:rFonts w:hint="eastAsia"/>
                      <w:kern w:val="0"/>
                      <w:szCs w:val="21"/>
                      <w:lang w:bidi="ar"/>
                    </w:rPr>
                    <w:t>T</w:t>
                  </w:r>
                </w:p>
              </w:tc>
              <w:tc>
                <w:tcPr>
                  <w:tcW w:w="995" w:type="dxa"/>
                  <w:noWrap w:val="0"/>
                  <w:tcMar>
                    <w:top w:w="12" w:type="dxa"/>
                    <w:left w:w="12" w:type="dxa"/>
                    <w:right w:w="12" w:type="dxa"/>
                  </w:tcMar>
                  <w:vAlign w:val="center"/>
                </w:tcPr>
                <w:p w14:paraId="6F8F7153">
                  <w:pPr>
                    <w:widowControl/>
                    <w:jc w:val="center"/>
                    <w:textAlignment w:val="center"/>
                    <w:rPr>
                      <w:rFonts w:hint="eastAsia"/>
                      <w:kern w:val="0"/>
                      <w:szCs w:val="21"/>
                      <w:lang w:bidi="ar"/>
                    </w:rPr>
                  </w:pPr>
                  <w:r>
                    <w:rPr>
                      <w:rFonts w:hint="eastAsia"/>
                      <w:kern w:val="0"/>
                      <w:szCs w:val="21"/>
                      <w:lang w:bidi="ar"/>
                    </w:rPr>
                    <w:t>4.5</w:t>
                  </w:r>
                </w:p>
              </w:tc>
              <w:tc>
                <w:tcPr>
                  <w:tcW w:w="804" w:type="dxa"/>
                  <w:vMerge w:val="continue"/>
                  <w:noWrap w:val="0"/>
                  <w:tcMar>
                    <w:top w:w="12" w:type="dxa"/>
                    <w:left w:w="12" w:type="dxa"/>
                    <w:right w:w="12" w:type="dxa"/>
                  </w:tcMar>
                  <w:vAlign w:val="center"/>
                </w:tcPr>
                <w:p w14:paraId="035E4764">
                  <w:pPr>
                    <w:jc w:val="center"/>
                    <w:rPr>
                      <w:szCs w:val="21"/>
                    </w:rPr>
                  </w:pPr>
                </w:p>
              </w:tc>
              <w:tc>
                <w:tcPr>
                  <w:tcW w:w="1988" w:type="dxa"/>
                  <w:vMerge w:val="continue"/>
                  <w:noWrap w:val="0"/>
                  <w:tcMar>
                    <w:top w:w="12" w:type="dxa"/>
                    <w:left w:w="12" w:type="dxa"/>
                    <w:right w:w="12" w:type="dxa"/>
                  </w:tcMar>
                  <w:vAlign w:val="center"/>
                </w:tcPr>
                <w:p w14:paraId="5A3DD324">
                  <w:pPr>
                    <w:widowControl/>
                    <w:jc w:val="center"/>
                    <w:textAlignment w:val="center"/>
                    <w:rPr>
                      <w:szCs w:val="21"/>
                    </w:rPr>
                  </w:pPr>
                </w:p>
              </w:tc>
              <w:tc>
                <w:tcPr>
                  <w:tcW w:w="814" w:type="dxa"/>
                  <w:shd w:val="clear" w:color="auto" w:fill="auto"/>
                  <w:noWrap w:val="0"/>
                  <w:tcMar>
                    <w:top w:w="12" w:type="dxa"/>
                    <w:left w:w="12" w:type="dxa"/>
                    <w:right w:w="12" w:type="dxa"/>
                  </w:tcMar>
                  <w:vAlign w:val="center"/>
                </w:tcPr>
                <w:p w14:paraId="39D3F753">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bidi="ar"/>
                    </w:rPr>
                    <w:t>4.5</w:t>
                  </w:r>
                </w:p>
              </w:tc>
            </w:tr>
            <w:tr w14:paraId="6688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noWrap w:val="0"/>
                  <w:tcMar>
                    <w:top w:w="12" w:type="dxa"/>
                    <w:left w:w="12" w:type="dxa"/>
                    <w:right w:w="12" w:type="dxa"/>
                  </w:tcMar>
                  <w:vAlign w:val="center"/>
                </w:tcPr>
                <w:p w14:paraId="48026005">
                  <w:pPr>
                    <w:widowControl/>
                    <w:jc w:val="center"/>
                    <w:textAlignment w:val="center"/>
                    <w:rPr>
                      <w:szCs w:val="21"/>
                    </w:rPr>
                  </w:pPr>
                  <w:r>
                    <w:rPr>
                      <w:rFonts w:hint="eastAsia"/>
                      <w:szCs w:val="21"/>
                    </w:rPr>
                    <w:t>3</w:t>
                  </w:r>
                </w:p>
              </w:tc>
              <w:tc>
                <w:tcPr>
                  <w:tcW w:w="1160" w:type="dxa"/>
                  <w:noWrap w:val="0"/>
                  <w:tcMar>
                    <w:top w:w="12" w:type="dxa"/>
                    <w:left w:w="12" w:type="dxa"/>
                    <w:right w:w="12" w:type="dxa"/>
                  </w:tcMar>
                  <w:vAlign w:val="center"/>
                </w:tcPr>
                <w:p w14:paraId="0E4B2E07">
                  <w:pPr>
                    <w:widowControl/>
                    <w:jc w:val="center"/>
                    <w:textAlignment w:val="center"/>
                    <w:rPr>
                      <w:rFonts w:hint="eastAsia"/>
                      <w:szCs w:val="21"/>
                    </w:rPr>
                  </w:pPr>
                  <w:r>
                    <w:rPr>
                      <w:rFonts w:hint="eastAsia"/>
                      <w:szCs w:val="21"/>
                    </w:rPr>
                    <w:t>喷漆</w:t>
                  </w:r>
                </w:p>
              </w:tc>
              <w:tc>
                <w:tcPr>
                  <w:tcW w:w="1574" w:type="dxa"/>
                  <w:noWrap w:val="0"/>
                  <w:tcMar>
                    <w:top w:w="12" w:type="dxa"/>
                    <w:left w:w="12" w:type="dxa"/>
                    <w:right w:w="12" w:type="dxa"/>
                  </w:tcMar>
                  <w:vAlign w:val="center"/>
                </w:tcPr>
                <w:p w14:paraId="3DC3EFD0">
                  <w:pPr>
                    <w:widowControl/>
                    <w:jc w:val="center"/>
                    <w:textAlignment w:val="center"/>
                    <w:rPr>
                      <w:rFonts w:hint="eastAsia"/>
                      <w:szCs w:val="21"/>
                    </w:rPr>
                  </w:pPr>
                  <w:r>
                    <w:rPr>
                      <w:rFonts w:hint="eastAsia"/>
                      <w:szCs w:val="21"/>
                      <w:lang w:val="en-US" w:eastAsia="zh-CN"/>
                    </w:rPr>
                    <w:t>漆渣</w:t>
                  </w:r>
                </w:p>
              </w:tc>
              <w:tc>
                <w:tcPr>
                  <w:tcW w:w="1146" w:type="dxa"/>
                  <w:noWrap w:val="0"/>
                  <w:tcMar>
                    <w:top w:w="12" w:type="dxa"/>
                    <w:left w:w="12" w:type="dxa"/>
                    <w:right w:w="12" w:type="dxa"/>
                  </w:tcMar>
                  <w:vAlign w:val="center"/>
                </w:tcPr>
                <w:p w14:paraId="6556A7E1">
                  <w:pPr>
                    <w:widowControl/>
                    <w:jc w:val="center"/>
                    <w:textAlignment w:val="center"/>
                    <w:rPr>
                      <w:rFonts w:hint="eastAsia"/>
                      <w:szCs w:val="21"/>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3B659593">
                  <w:pPr>
                    <w:widowControl/>
                    <w:jc w:val="center"/>
                    <w:textAlignment w:val="center"/>
                    <w:rPr>
                      <w:kern w:val="0"/>
                      <w:szCs w:val="21"/>
                      <w:lang w:bidi="ar"/>
                    </w:rPr>
                  </w:pPr>
                  <w:r>
                    <w:rPr>
                      <w:rFonts w:hint="eastAsia"/>
                      <w:kern w:val="0"/>
                      <w:szCs w:val="21"/>
                      <w:lang w:bidi="ar"/>
                    </w:rPr>
                    <w:t>900-047-49</w:t>
                  </w:r>
                </w:p>
              </w:tc>
              <w:tc>
                <w:tcPr>
                  <w:tcW w:w="1160" w:type="dxa"/>
                  <w:shd w:val="clear" w:color="auto" w:fill="auto"/>
                  <w:noWrap w:val="0"/>
                  <w:tcMar>
                    <w:top w:w="12" w:type="dxa"/>
                    <w:left w:w="12" w:type="dxa"/>
                    <w:right w:w="12" w:type="dxa"/>
                  </w:tcMar>
                  <w:vAlign w:val="center"/>
                </w:tcPr>
                <w:p w14:paraId="2399109D">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Cs w:val="21"/>
                      <w:lang w:bidi="ar"/>
                    </w:rPr>
                    <w:t>有机物</w:t>
                  </w:r>
                </w:p>
              </w:tc>
              <w:tc>
                <w:tcPr>
                  <w:tcW w:w="960" w:type="dxa"/>
                  <w:shd w:val="clear" w:color="auto" w:fill="auto"/>
                  <w:noWrap w:val="0"/>
                  <w:tcMar>
                    <w:top w:w="12" w:type="dxa"/>
                    <w:left w:w="12" w:type="dxa"/>
                    <w:right w:w="12" w:type="dxa"/>
                  </w:tcMar>
                  <w:vAlign w:val="center"/>
                </w:tcPr>
                <w:p w14:paraId="585755C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Cs w:val="21"/>
                      <w:lang w:bidi="ar"/>
                    </w:rPr>
                    <w:t>固态</w:t>
                  </w:r>
                </w:p>
              </w:tc>
              <w:tc>
                <w:tcPr>
                  <w:tcW w:w="760" w:type="dxa"/>
                  <w:noWrap w:val="0"/>
                  <w:tcMar>
                    <w:top w:w="12" w:type="dxa"/>
                    <w:left w:w="12" w:type="dxa"/>
                    <w:right w:w="12" w:type="dxa"/>
                  </w:tcMar>
                  <w:vAlign w:val="center"/>
                </w:tcPr>
                <w:p w14:paraId="1A30EF63">
                  <w:pPr>
                    <w:widowControl/>
                    <w:jc w:val="center"/>
                    <w:textAlignment w:val="center"/>
                    <w:rPr>
                      <w:kern w:val="0"/>
                      <w:szCs w:val="21"/>
                      <w:lang w:bidi="ar"/>
                    </w:rPr>
                  </w:pPr>
                  <w:r>
                    <w:rPr>
                      <w:rFonts w:hint="eastAsia"/>
                      <w:kern w:val="0"/>
                      <w:szCs w:val="21"/>
                      <w:lang w:bidi="ar"/>
                    </w:rPr>
                    <w:t>T/C/I/R</w:t>
                  </w:r>
                </w:p>
              </w:tc>
              <w:tc>
                <w:tcPr>
                  <w:tcW w:w="995" w:type="dxa"/>
                  <w:noWrap w:val="0"/>
                  <w:tcMar>
                    <w:top w:w="12" w:type="dxa"/>
                    <w:left w:w="12" w:type="dxa"/>
                    <w:right w:w="12" w:type="dxa"/>
                  </w:tcMar>
                  <w:vAlign w:val="center"/>
                </w:tcPr>
                <w:p w14:paraId="699CDDB8">
                  <w:pPr>
                    <w:widowControl/>
                    <w:jc w:val="center"/>
                    <w:textAlignment w:val="center"/>
                    <w:rPr>
                      <w:rFonts w:hint="default" w:eastAsia="宋体"/>
                      <w:kern w:val="0"/>
                      <w:szCs w:val="21"/>
                      <w:lang w:val="en-US" w:eastAsia="zh-CN" w:bidi="ar"/>
                    </w:rPr>
                  </w:pPr>
                  <w:r>
                    <w:rPr>
                      <w:rFonts w:hint="eastAsia"/>
                      <w:kern w:val="0"/>
                      <w:szCs w:val="21"/>
                      <w:lang w:val="en-US" w:eastAsia="zh-CN" w:bidi="ar"/>
                    </w:rPr>
                    <w:t>0.189</w:t>
                  </w:r>
                </w:p>
              </w:tc>
              <w:tc>
                <w:tcPr>
                  <w:tcW w:w="804" w:type="dxa"/>
                  <w:vMerge w:val="continue"/>
                  <w:noWrap w:val="0"/>
                  <w:tcMar>
                    <w:top w:w="12" w:type="dxa"/>
                    <w:left w:w="12" w:type="dxa"/>
                    <w:right w:w="12" w:type="dxa"/>
                  </w:tcMar>
                  <w:vAlign w:val="center"/>
                </w:tcPr>
                <w:p w14:paraId="1B57CF28">
                  <w:pPr>
                    <w:jc w:val="center"/>
                    <w:rPr>
                      <w:szCs w:val="21"/>
                    </w:rPr>
                  </w:pPr>
                </w:p>
              </w:tc>
              <w:tc>
                <w:tcPr>
                  <w:tcW w:w="1988" w:type="dxa"/>
                  <w:vMerge w:val="continue"/>
                  <w:noWrap w:val="0"/>
                  <w:tcMar>
                    <w:top w:w="12" w:type="dxa"/>
                    <w:left w:w="12" w:type="dxa"/>
                    <w:right w:w="12" w:type="dxa"/>
                  </w:tcMar>
                  <w:vAlign w:val="center"/>
                </w:tcPr>
                <w:p w14:paraId="4471655B">
                  <w:pPr>
                    <w:widowControl/>
                    <w:jc w:val="center"/>
                    <w:textAlignment w:val="center"/>
                    <w:rPr>
                      <w:szCs w:val="21"/>
                    </w:rPr>
                  </w:pPr>
                </w:p>
              </w:tc>
              <w:tc>
                <w:tcPr>
                  <w:tcW w:w="814" w:type="dxa"/>
                  <w:shd w:val="clear" w:color="auto" w:fill="auto"/>
                  <w:noWrap w:val="0"/>
                  <w:tcMar>
                    <w:top w:w="12" w:type="dxa"/>
                    <w:left w:w="12" w:type="dxa"/>
                    <w:right w:w="12" w:type="dxa"/>
                  </w:tcMar>
                  <w:vAlign w:val="center"/>
                </w:tcPr>
                <w:p w14:paraId="4CE13E14">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0.189</w:t>
                  </w:r>
                </w:p>
              </w:tc>
            </w:tr>
            <w:tr w14:paraId="7456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noWrap w:val="0"/>
                  <w:tcMar>
                    <w:top w:w="12" w:type="dxa"/>
                    <w:left w:w="12" w:type="dxa"/>
                    <w:right w:w="12" w:type="dxa"/>
                  </w:tcMar>
                  <w:vAlign w:val="center"/>
                </w:tcPr>
                <w:p w14:paraId="1488B522">
                  <w:pPr>
                    <w:widowControl/>
                    <w:jc w:val="center"/>
                    <w:textAlignment w:val="center"/>
                    <w:rPr>
                      <w:szCs w:val="21"/>
                    </w:rPr>
                  </w:pPr>
                  <w:r>
                    <w:rPr>
                      <w:rFonts w:hint="eastAsia"/>
                      <w:szCs w:val="21"/>
                    </w:rPr>
                    <w:t>5</w:t>
                  </w:r>
                </w:p>
              </w:tc>
              <w:tc>
                <w:tcPr>
                  <w:tcW w:w="1160" w:type="dxa"/>
                  <w:noWrap w:val="0"/>
                  <w:tcMar>
                    <w:top w:w="12" w:type="dxa"/>
                    <w:left w:w="12" w:type="dxa"/>
                    <w:right w:w="12" w:type="dxa"/>
                  </w:tcMar>
                  <w:vAlign w:val="center"/>
                </w:tcPr>
                <w:p w14:paraId="774AC949">
                  <w:pPr>
                    <w:widowControl/>
                    <w:jc w:val="center"/>
                    <w:textAlignment w:val="center"/>
                    <w:rPr>
                      <w:rFonts w:hint="eastAsia"/>
                      <w:szCs w:val="21"/>
                    </w:rPr>
                  </w:pPr>
                  <w:r>
                    <w:rPr>
                      <w:rFonts w:hint="eastAsia"/>
                      <w:szCs w:val="21"/>
                    </w:rPr>
                    <w:t>设备维修</w:t>
                  </w:r>
                </w:p>
              </w:tc>
              <w:tc>
                <w:tcPr>
                  <w:tcW w:w="1574" w:type="dxa"/>
                  <w:noWrap w:val="0"/>
                  <w:tcMar>
                    <w:top w:w="12" w:type="dxa"/>
                    <w:left w:w="12" w:type="dxa"/>
                    <w:right w:w="12" w:type="dxa"/>
                  </w:tcMar>
                  <w:vAlign w:val="center"/>
                </w:tcPr>
                <w:p w14:paraId="10A4ECC5">
                  <w:pPr>
                    <w:widowControl/>
                    <w:jc w:val="center"/>
                    <w:textAlignment w:val="center"/>
                    <w:rPr>
                      <w:szCs w:val="21"/>
                    </w:rPr>
                  </w:pPr>
                  <w:r>
                    <w:rPr>
                      <w:rFonts w:hint="eastAsia" w:ascii="宋体" w:hAnsi="宋体" w:cs="宋体"/>
                      <w:kern w:val="0"/>
                      <w:szCs w:val="21"/>
                      <w:lang w:bidi="ar"/>
                    </w:rPr>
                    <w:t>废润滑油</w:t>
                  </w:r>
                </w:p>
              </w:tc>
              <w:tc>
                <w:tcPr>
                  <w:tcW w:w="1146" w:type="dxa"/>
                  <w:noWrap w:val="0"/>
                  <w:tcMar>
                    <w:top w:w="12" w:type="dxa"/>
                    <w:left w:w="12" w:type="dxa"/>
                    <w:right w:w="12" w:type="dxa"/>
                  </w:tcMar>
                  <w:vAlign w:val="center"/>
                </w:tcPr>
                <w:p w14:paraId="1A71F267">
                  <w:pPr>
                    <w:widowControl/>
                    <w:jc w:val="center"/>
                    <w:textAlignment w:val="center"/>
                    <w:rPr>
                      <w:szCs w:val="21"/>
                    </w:rPr>
                  </w:pPr>
                  <w:r>
                    <w:rPr>
                      <w:rFonts w:hint="eastAsia" w:ascii="宋体" w:hAnsi="宋体" w:cs="宋体"/>
                      <w:kern w:val="0"/>
                      <w:szCs w:val="21"/>
                      <w:lang w:bidi="ar"/>
                    </w:rPr>
                    <w:t>危险废物</w:t>
                  </w:r>
                </w:p>
              </w:tc>
              <w:tc>
                <w:tcPr>
                  <w:tcW w:w="1160" w:type="dxa"/>
                  <w:noWrap w:val="0"/>
                  <w:tcMar>
                    <w:top w:w="12" w:type="dxa"/>
                    <w:left w:w="12" w:type="dxa"/>
                    <w:right w:w="12" w:type="dxa"/>
                  </w:tcMar>
                  <w:vAlign w:val="center"/>
                </w:tcPr>
                <w:p w14:paraId="4E555AE6">
                  <w:pPr>
                    <w:widowControl/>
                    <w:jc w:val="center"/>
                    <w:textAlignment w:val="center"/>
                    <w:rPr>
                      <w:szCs w:val="21"/>
                    </w:rPr>
                  </w:pPr>
                  <w:r>
                    <w:rPr>
                      <w:kern w:val="0"/>
                      <w:szCs w:val="21"/>
                      <w:lang w:bidi="ar"/>
                    </w:rPr>
                    <w:t>900-</w:t>
                  </w:r>
                  <w:r>
                    <w:rPr>
                      <w:rFonts w:hint="eastAsia"/>
                      <w:kern w:val="0"/>
                      <w:szCs w:val="21"/>
                      <w:lang w:bidi="ar"/>
                    </w:rPr>
                    <w:t>217</w:t>
                  </w:r>
                  <w:r>
                    <w:rPr>
                      <w:kern w:val="0"/>
                      <w:szCs w:val="21"/>
                      <w:lang w:bidi="ar"/>
                    </w:rPr>
                    <w:t>-0</w:t>
                  </w:r>
                  <w:r>
                    <w:rPr>
                      <w:rFonts w:hint="eastAsia"/>
                      <w:kern w:val="0"/>
                      <w:szCs w:val="21"/>
                      <w:lang w:bidi="ar"/>
                    </w:rPr>
                    <w:t>8</w:t>
                  </w:r>
                </w:p>
              </w:tc>
              <w:tc>
                <w:tcPr>
                  <w:tcW w:w="1160" w:type="dxa"/>
                  <w:noWrap w:val="0"/>
                  <w:tcMar>
                    <w:top w:w="12" w:type="dxa"/>
                    <w:left w:w="12" w:type="dxa"/>
                    <w:right w:w="12" w:type="dxa"/>
                  </w:tcMar>
                  <w:vAlign w:val="center"/>
                </w:tcPr>
                <w:p w14:paraId="7EA676A0">
                  <w:pPr>
                    <w:widowControl/>
                    <w:jc w:val="center"/>
                    <w:textAlignment w:val="center"/>
                    <w:rPr>
                      <w:szCs w:val="21"/>
                    </w:rPr>
                  </w:pPr>
                  <w:r>
                    <w:rPr>
                      <w:rFonts w:hint="eastAsia" w:ascii="宋体" w:hAnsi="宋体" w:cs="宋体"/>
                      <w:kern w:val="0"/>
                      <w:szCs w:val="21"/>
                      <w:lang w:bidi="ar"/>
                    </w:rPr>
                    <w:t>矿物油</w:t>
                  </w:r>
                </w:p>
              </w:tc>
              <w:tc>
                <w:tcPr>
                  <w:tcW w:w="960" w:type="dxa"/>
                  <w:noWrap w:val="0"/>
                  <w:tcMar>
                    <w:top w:w="12" w:type="dxa"/>
                    <w:left w:w="12" w:type="dxa"/>
                    <w:right w:w="12" w:type="dxa"/>
                  </w:tcMar>
                  <w:vAlign w:val="center"/>
                </w:tcPr>
                <w:p w14:paraId="7085F845">
                  <w:pPr>
                    <w:widowControl/>
                    <w:jc w:val="center"/>
                    <w:textAlignment w:val="center"/>
                    <w:rPr>
                      <w:szCs w:val="21"/>
                    </w:rPr>
                  </w:pPr>
                  <w:r>
                    <w:rPr>
                      <w:rFonts w:hint="eastAsia" w:ascii="宋体" w:hAnsi="宋体" w:cs="宋体"/>
                      <w:kern w:val="0"/>
                      <w:szCs w:val="21"/>
                      <w:lang w:bidi="ar"/>
                    </w:rPr>
                    <w:t>液态</w:t>
                  </w:r>
                </w:p>
              </w:tc>
              <w:tc>
                <w:tcPr>
                  <w:tcW w:w="760" w:type="dxa"/>
                  <w:noWrap w:val="0"/>
                  <w:tcMar>
                    <w:top w:w="12" w:type="dxa"/>
                    <w:left w:w="12" w:type="dxa"/>
                    <w:right w:w="12" w:type="dxa"/>
                  </w:tcMar>
                  <w:vAlign w:val="center"/>
                </w:tcPr>
                <w:p w14:paraId="2BE38BC8">
                  <w:pPr>
                    <w:widowControl/>
                    <w:jc w:val="center"/>
                    <w:textAlignment w:val="center"/>
                    <w:rPr>
                      <w:szCs w:val="21"/>
                    </w:rPr>
                  </w:pPr>
                  <w:r>
                    <w:rPr>
                      <w:kern w:val="0"/>
                      <w:szCs w:val="21"/>
                      <w:lang w:bidi="ar"/>
                    </w:rPr>
                    <w:t>T</w:t>
                  </w:r>
                  <w:r>
                    <w:rPr>
                      <w:rFonts w:hint="eastAsia" w:ascii="宋体" w:hAnsi="宋体" w:cs="宋体"/>
                      <w:kern w:val="0"/>
                      <w:szCs w:val="21"/>
                      <w:lang w:bidi="ar"/>
                    </w:rPr>
                    <w:t>，</w:t>
                  </w:r>
                  <w:r>
                    <w:rPr>
                      <w:kern w:val="0"/>
                      <w:szCs w:val="21"/>
                      <w:lang w:bidi="ar"/>
                    </w:rPr>
                    <w:t>I</w:t>
                  </w:r>
                </w:p>
              </w:tc>
              <w:tc>
                <w:tcPr>
                  <w:tcW w:w="995" w:type="dxa"/>
                  <w:noWrap w:val="0"/>
                  <w:tcMar>
                    <w:top w:w="12" w:type="dxa"/>
                    <w:left w:w="12" w:type="dxa"/>
                    <w:right w:w="12" w:type="dxa"/>
                  </w:tcMar>
                  <w:vAlign w:val="center"/>
                </w:tcPr>
                <w:p w14:paraId="594928FE">
                  <w:pPr>
                    <w:widowControl/>
                    <w:jc w:val="center"/>
                    <w:textAlignment w:val="center"/>
                    <w:rPr>
                      <w:rFonts w:hint="eastAsia"/>
                      <w:szCs w:val="21"/>
                    </w:rPr>
                  </w:pPr>
                  <w:r>
                    <w:rPr>
                      <w:rFonts w:hint="eastAsia"/>
                      <w:kern w:val="0"/>
                      <w:szCs w:val="21"/>
                      <w:lang w:bidi="ar"/>
                    </w:rPr>
                    <w:t>0.21</w:t>
                  </w:r>
                </w:p>
              </w:tc>
              <w:tc>
                <w:tcPr>
                  <w:tcW w:w="804" w:type="dxa"/>
                  <w:vMerge w:val="continue"/>
                  <w:noWrap w:val="0"/>
                  <w:tcMar>
                    <w:top w:w="12" w:type="dxa"/>
                    <w:left w:w="12" w:type="dxa"/>
                    <w:right w:w="12" w:type="dxa"/>
                  </w:tcMar>
                  <w:vAlign w:val="center"/>
                </w:tcPr>
                <w:p w14:paraId="0DBB620D">
                  <w:pPr>
                    <w:jc w:val="center"/>
                    <w:rPr>
                      <w:szCs w:val="21"/>
                    </w:rPr>
                  </w:pPr>
                </w:p>
              </w:tc>
              <w:tc>
                <w:tcPr>
                  <w:tcW w:w="1988" w:type="dxa"/>
                  <w:vMerge w:val="continue"/>
                  <w:noWrap w:val="0"/>
                  <w:tcMar>
                    <w:top w:w="12" w:type="dxa"/>
                    <w:left w:w="12" w:type="dxa"/>
                    <w:right w:w="12" w:type="dxa"/>
                  </w:tcMar>
                  <w:vAlign w:val="center"/>
                </w:tcPr>
                <w:p w14:paraId="6F7740AC">
                  <w:pPr>
                    <w:widowControl/>
                    <w:jc w:val="center"/>
                    <w:textAlignment w:val="center"/>
                    <w:rPr>
                      <w:szCs w:val="21"/>
                    </w:rPr>
                  </w:pPr>
                </w:p>
              </w:tc>
              <w:tc>
                <w:tcPr>
                  <w:tcW w:w="814" w:type="dxa"/>
                  <w:shd w:val="clear" w:color="auto" w:fill="auto"/>
                  <w:noWrap w:val="0"/>
                  <w:tcMar>
                    <w:top w:w="12" w:type="dxa"/>
                    <w:left w:w="12" w:type="dxa"/>
                    <w:right w:w="12" w:type="dxa"/>
                  </w:tcMar>
                  <w:vAlign w:val="center"/>
                </w:tcPr>
                <w:p w14:paraId="66F5185F">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0.21</w:t>
                  </w:r>
                </w:p>
              </w:tc>
            </w:tr>
            <w:tr w14:paraId="32B3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653" w:type="dxa"/>
                  <w:gridSpan w:val="8"/>
                  <w:noWrap w:val="0"/>
                  <w:tcMar>
                    <w:top w:w="12" w:type="dxa"/>
                    <w:left w:w="12" w:type="dxa"/>
                    <w:right w:w="12" w:type="dxa"/>
                  </w:tcMar>
                  <w:vAlign w:val="center"/>
                </w:tcPr>
                <w:p w14:paraId="14CCE339">
                  <w:pPr>
                    <w:widowControl/>
                    <w:jc w:val="center"/>
                    <w:textAlignment w:val="center"/>
                    <w:rPr>
                      <w:rFonts w:hint="eastAsia" w:eastAsia="宋体"/>
                      <w:kern w:val="0"/>
                      <w:szCs w:val="21"/>
                      <w:lang w:val="en-US" w:eastAsia="zh-CN" w:bidi="ar"/>
                    </w:rPr>
                  </w:pPr>
                  <w:r>
                    <w:rPr>
                      <w:rFonts w:hint="eastAsia"/>
                      <w:kern w:val="0"/>
                      <w:szCs w:val="21"/>
                      <w:lang w:val="en-US" w:eastAsia="zh-CN" w:bidi="ar"/>
                    </w:rPr>
                    <w:t>危险废物合计</w:t>
                  </w:r>
                </w:p>
              </w:tc>
              <w:tc>
                <w:tcPr>
                  <w:tcW w:w="995" w:type="dxa"/>
                  <w:noWrap w:val="0"/>
                  <w:tcMar>
                    <w:top w:w="12" w:type="dxa"/>
                    <w:left w:w="12" w:type="dxa"/>
                    <w:right w:w="12" w:type="dxa"/>
                  </w:tcMar>
                  <w:vAlign w:val="center"/>
                </w:tcPr>
                <w:p w14:paraId="30121D6F">
                  <w:pPr>
                    <w:widowControl/>
                    <w:jc w:val="center"/>
                    <w:textAlignment w:val="center"/>
                    <w:rPr>
                      <w:rFonts w:hint="default" w:eastAsia="宋体"/>
                      <w:kern w:val="0"/>
                      <w:szCs w:val="21"/>
                      <w:lang w:val="en-US" w:eastAsia="zh-CN" w:bidi="ar"/>
                    </w:rPr>
                  </w:pPr>
                  <w:r>
                    <w:rPr>
                      <w:rFonts w:hint="eastAsia"/>
                      <w:kern w:val="0"/>
                      <w:szCs w:val="21"/>
                      <w:lang w:val="en-US" w:eastAsia="zh-CN" w:bidi="ar"/>
                    </w:rPr>
                    <w:t>6.09</w:t>
                  </w:r>
                </w:p>
              </w:tc>
              <w:tc>
                <w:tcPr>
                  <w:tcW w:w="804" w:type="dxa"/>
                  <w:vMerge w:val="continue"/>
                  <w:noWrap w:val="0"/>
                  <w:tcMar>
                    <w:top w:w="12" w:type="dxa"/>
                    <w:left w:w="12" w:type="dxa"/>
                    <w:right w:w="12" w:type="dxa"/>
                  </w:tcMar>
                  <w:vAlign w:val="center"/>
                </w:tcPr>
                <w:p w14:paraId="7B6AAE89">
                  <w:pPr>
                    <w:jc w:val="center"/>
                    <w:rPr>
                      <w:szCs w:val="21"/>
                    </w:rPr>
                  </w:pPr>
                </w:p>
              </w:tc>
              <w:tc>
                <w:tcPr>
                  <w:tcW w:w="1988" w:type="dxa"/>
                  <w:vMerge w:val="continue"/>
                  <w:noWrap w:val="0"/>
                  <w:tcMar>
                    <w:top w:w="12" w:type="dxa"/>
                    <w:left w:w="12" w:type="dxa"/>
                    <w:right w:w="12" w:type="dxa"/>
                  </w:tcMar>
                  <w:vAlign w:val="center"/>
                </w:tcPr>
                <w:p w14:paraId="697E0ABC">
                  <w:pPr>
                    <w:widowControl/>
                    <w:jc w:val="center"/>
                    <w:textAlignment w:val="center"/>
                    <w:rPr>
                      <w:szCs w:val="21"/>
                    </w:rPr>
                  </w:pPr>
                </w:p>
              </w:tc>
              <w:tc>
                <w:tcPr>
                  <w:tcW w:w="814" w:type="dxa"/>
                  <w:noWrap w:val="0"/>
                  <w:tcMar>
                    <w:top w:w="12" w:type="dxa"/>
                    <w:left w:w="12" w:type="dxa"/>
                    <w:right w:w="12" w:type="dxa"/>
                  </w:tcMar>
                  <w:vAlign w:val="center"/>
                </w:tcPr>
                <w:p w14:paraId="118D26E3">
                  <w:pPr>
                    <w:jc w:val="center"/>
                  </w:pPr>
                  <w:r>
                    <w:rPr>
                      <w:rFonts w:hint="eastAsia"/>
                      <w:kern w:val="0"/>
                      <w:szCs w:val="21"/>
                      <w:lang w:val="en-US" w:eastAsia="zh-CN" w:bidi="ar"/>
                    </w:rPr>
                    <w:t>6.09</w:t>
                  </w:r>
                </w:p>
              </w:tc>
            </w:tr>
            <w:tr w14:paraId="2FEA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shd w:val="clear" w:color="auto" w:fill="auto"/>
                  <w:noWrap w:val="0"/>
                  <w:tcMar>
                    <w:top w:w="12" w:type="dxa"/>
                    <w:left w:w="12" w:type="dxa"/>
                    <w:right w:w="12" w:type="dxa"/>
                  </w:tcMar>
                  <w:vAlign w:val="center"/>
                </w:tcPr>
                <w:p w14:paraId="311FC6EC">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bidi="ar"/>
                    </w:rPr>
                    <w:t>6</w:t>
                  </w:r>
                </w:p>
              </w:tc>
              <w:tc>
                <w:tcPr>
                  <w:tcW w:w="1160" w:type="dxa"/>
                  <w:noWrap w:val="0"/>
                  <w:tcMar>
                    <w:top w:w="12" w:type="dxa"/>
                    <w:left w:w="12" w:type="dxa"/>
                    <w:right w:w="12" w:type="dxa"/>
                  </w:tcMar>
                  <w:vAlign w:val="center"/>
                </w:tcPr>
                <w:p w14:paraId="01159D51">
                  <w:pPr>
                    <w:widowControl/>
                    <w:jc w:val="center"/>
                    <w:textAlignment w:val="center"/>
                    <w:rPr>
                      <w:rFonts w:hint="eastAsia"/>
                      <w:szCs w:val="21"/>
                    </w:rPr>
                  </w:pPr>
                  <w:r>
                    <w:rPr>
                      <w:rFonts w:hint="eastAsia" w:ascii="宋体" w:hAnsi="宋体" w:cs="宋体"/>
                      <w:kern w:val="0"/>
                      <w:szCs w:val="21"/>
                      <w:lang w:bidi="ar"/>
                    </w:rPr>
                    <w:t>办公生活</w:t>
                  </w:r>
                </w:p>
              </w:tc>
              <w:tc>
                <w:tcPr>
                  <w:tcW w:w="1574" w:type="dxa"/>
                  <w:noWrap w:val="0"/>
                  <w:tcMar>
                    <w:top w:w="12" w:type="dxa"/>
                    <w:left w:w="12" w:type="dxa"/>
                    <w:right w:w="12" w:type="dxa"/>
                  </w:tcMar>
                  <w:vAlign w:val="center"/>
                </w:tcPr>
                <w:p w14:paraId="52F27B0F">
                  <w:pPr>
                    <w:widowControl/>
                    <w:jc w:val="center"/>
                    <w:textAlignment w:val="center"/>
                    <w:rPr>
                      <w:szCs w:val="21"/>
                    </w:rPr>
                  </w:pPr>
                  <w:r>
                    <w:rPr>
                      <w:rFonts w:hint="eastAsia" w:ascii="宋体" w:hAnsi="宋体" w:cs="宋体"/>
                      <w:kern w:val="0"/>
                      <w:szCs w:val="21"/>
                      <w:lang w:bidi="ar"/>
                    </w:rPr>
                    <w:t>生活垃圾</w:t>
                  </w:r>
                </w:p>
              </w:tc>
              <w:tc>
                <w:tcPr>
                  <w:tcW w:w="1146" w:type="dxa"/>
                  <w:noWrap w:val="0"/>
                  <w:tcMar>
                    <w:top w:w="12" w:type="dxa"/>
                    <w:left w:w="12" w:type="dxa"/>
                    <w:right w:w="12" w:type="dxa"/>
                  </w:tcMar>
                  <w:vAlign w:val="center"/>
                </w:tcPr>
                <w:p w14:paraId="193E6E0A">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3061CB0F">
                  <w:pPr>
                    <w:widowControl/>
                    <w:jc w:val="center"/>
                    <w:textAlignment w:val="center"/>
                    <w:rPr>
                      <w:szCs w:val="21"/>
                    </w:rPr>
                  </w:pPr>
                  <w:r>
                    <w:rPr>
                      <w:kern w:val="0"/>
                      <w:szCs w:val="21"/>
                      <w:lang w:bidi="ar"/>
                    </w:rPr>
                    <w:t>/</w:t>
                  </w:r>
                </w:p>
              </w:tc>
              <w:tc>
                <w:tcPr>
                  <w:tcW w:w="1160" w:type="dxa"/>
                  <w:noWrap w:val="0"/>
                  <w:tcMar>
                    <w:top w:w="12" w:type="dxa"/>
                    <w:left w:w="12" w:type="dxa"/>
                    <w:right w:w="12" w:type="dxa"/>
                  </w:tcMar>
                  <w:vAlign w:val="center"/>
                </w:tcPr>
                <w:p w14:paraId="7E3B17AC">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426D3028">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val="0"/>
                  <w:tcMar>
                    <w:top w:w="12" w:type="dxa"/>
                    <w:left w:w="12" w:type="dxa"/>
                    <w:right w:w="12" w:type="dxa"/>
                  </w:tcMar>
                  <w:vAlign w:val="center"/>
                </w:tcPr>
                <w:p w14:paraId="2F633EE7">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16BD4F21">
                  <w:pPr>
                    <w:widowControl/>
                    <w:jc w:val="center"/>
                    <w:textAlignment w:val="center"/>
                    <w:rPr>
                      <w:rFonts w:hint="eastAsia"/>
                      <w:szCs w:val="21"/>
                    </w:rPr>
                  </w:pPr>
                  <w:r>
                    <w:rPr>
                      <w:rFonts w:hint="eastAsia"/>
                      <w:kern w:val="0"/>
                      <w:szCs w:val="21"/>
                      <w:lang w:bidi="ar"/>
                    </w:rPr>
                    <w:t>30</w:t>
                  </w:r>
                </w:p>
              </w:tc>
              <w:tc>
                <w:tcPr>
                  <w:tcW w:w="804" w:type="dxa"/>
                  <w:noWrap w:val="0"/>
                  <w:tcMar>
                    <w:top w:w="12" w:type="dxa"/>
                    <w:left w:w="12" w:type="dxa"/>
                    <w:right w:w="12" w:type="dxa"/>
                  </w:tcMar>
                  <w:vAlign w:val="center"/>
                </w:tcPr>
                <w:p w14:paraId="38BF1AE6">
                  <w:pPr>
                    <w:jc w:val="center"/>
                    <w:rPr>
                      <w:rFonts w:hint="default" w:eastAsia="宋体"/>
                      <w:szCs w:val="21"/>
                      <w:lang w:val="en-US" w:eastAsia="zh-CN"/>
                    </w:rPr>
                  </w:pPr>
                  <w:r>
                    <w:rPr>
                      <w:rFonts w:hint="eastAsia"/>
                      <w:szCs w:val="21"/>
                      <w:lang w:val="en-US" w:eastAsia="zh-CN"/>
                    </w:rPr>
                    <w:t>垃圾桶</w:t>
                  </w:r>
                </w:p>
              </w:tc>
              <w:tc>
                <w:tcPr>
                  <w:tcW w:w="1988" w:type="dxa"/>
                  <w:noWrap w:val="0"/>
                  <w:tcMar>
                    <w:top w:w="12" w:type="dxa"/>
                    <w:left w:w="12" w:type="dxa"/>
                    <w:right w:w="12" w:type="dxa"/>
                  </w:tcMar>
                  <w:vAlign w:val="center"/>
                </w:tcPr>
                <w:p w14:paraId="78C3E2D6">
                  <w:pPr>
                    <w:widowControl/>
                    <w:jc w:val="center"/>
                    <w:textAlignment w:val="center"/>
                    <w:rPr>
                      <w:szCs w:val="21"/>
                    </w:rPr>
                  </w:pPr>
                  <w:r>
                    <w:rPr>
                      <w:rFonts w:hint="eastAsia" w:ascii="宋体" w:hAnsi="宋体" w:cs="宋体"/>
                      <w:kern w:val="0"/>
                      <w:szCs w:val="21"/>
                      <w:lang w:bidi="ar"/>
                    </w:rPr>
                    <w:t>委托环卫部门处置</w:t>
                  </w:r>
                </w:p>
              </w:tc>
              <w:tc>
                <w:tcPr>
                  <w:tcW w:w="814" w:type="dxa"/>
                  <w:noWrap w:val="0"/>
                  <w:tcMar>
                    <w:top w:w="12" w:type="dxa"/>
                    <w:left w:w="12" w:type="dxa"/>
                    <w:right w:w="12" w:type="dxa"/>
                  </w:tcMar>
                  <w:vAlign w:val="center"/>
                </w:tcPr>
                <w:p w14:paraId="2688144A">
                  <w:pPr>
                    <w:jc w:val="center"/>
                    <w:rPr>
                      <w:rFonts w:hint="eastAsia"/>
                    </w:rPr>
                  </w:pPr>
                  <w:r>
                    <w:t>3</w:t>
                  </w:r>
                  <w:r>
                    <w:rPr>
                      <w:rFonts w:hint="eastAsia"/>
                    </w:rPr>
                    <w:t>0</w:t>
                  </w:r>
                </w:p>
              </w:tc>
            </w:tr>
            <w:tr w14:paraId="462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shd w:val="clear" w:color="auto" w:fill="auto"/>
                  <w:noWrap w:val="0"/>
                  <w:tcMar>
                    <w:top w:w="12" w:type="dxa"/>
                    <w:left w:w="12" w:type="dxa"/>
                    <w:right w:w="12" w:type="dxa"/>
                  </w:tcMar>
                  <w:vAlign w:val="center"/>
                </w:tcPr>
                <w:p w14:paraId="77D43C55">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Cs w:val="21"/>
                    </w:rPr>
                    <w:t>7</w:t>
                  </w:r>
                </w:p>
              </w:tc>
              <w:tc>
                <w:tcPr>
                  <w:tcW w:w="1160" w:type="dxa"/>
                  <w:noWrap w:val="0"/>
                  <w:tcMar>
                    <w:top w:w="12" w:type="dxa"/>
                    <w:left w:w="12" w:type="dxa"/>
                    <w:right w:w="12" w:type="dxa"/>
                  </w:tcMar>
                  <w:vAlign w:val="center"/>
                </w:tcPr>
                <w:p w14:paraId="401F78D7">
                  <w:pPr>
                    <w:widowControl/>
                    <w:jc w:val="center"/>
                    <w:textAlignment w:val="center"/>
                    <w:rPr>
                      <w:rFonts w:hint="eastAsia"/>
                      <w:szCs w:val="21"/>
                    </w:rPr>
                  </w:pPr>
                  <w:r>
                    <w:rPr>
                      <w:rFonts w:hint="eastAsia" w:ascii="宋体" w:hAnsi="宋体" w:cs="宋体"/>
                      <w:kern w:val="0"/>
                      <w:szCs w:val="21"/>
                      <w:lang w:bidi="ar"/>
                    </w:rPr>
                    <w:t>包装</w:t>
                  </w:r>
                </w:p>
              </w:tc>
              <w:tc>
                <w:tcPr>
                  <w:tcW w:w="1574" w:type="dxa"/>
                  <w:noWrap w:val="0"/>
                  <w:tcMar>
                    <w:top w:w="12" w:type="dxa"/>
                    <w:left w:w="12" w:type="dxa"/>
                    <w:right w:w="12" w:type="dxa"/>
                  </w:tcMar>
                  <w:vAlign w:val="center"/>
                </w:tcPr>
                <w:p w14:paraId="2FEE29F6">
                  <w:pPr>
                    <w:widowControl/>
                    <w:jc w:val="center"/>
                    <w:textAlignment w:val="center"/>
                    <w:rPr>
                      <w:rFonts w:hint="eastAsia"/>
                      <w:szCs w:val="21"/>
                    </w:rPr>
                  </w:pPr>
                  <w:r>
                    <w:rPr>
                      <w:rFonts w:hint="eastAsia" w:ascii="宋体" w:hAnsi="宋体" w:cs="宋体"/>
                      <w:kern w:val="0"/>
                      <w:szCs w:val="21"/>
                      <w:lang w:bidi="ar"/>
                    </w:rPr>
                    <w:t>废包装材料</w:t>
                  </w:r>
                </w:p>
              </w:tc>
              <w:tc>
                <w:tcPr>
                  <w:tcW w:w="1146" w:type="dxa"/>
                  <w:noWrap w:val="0"/>
                  <w:tcMar>
                    <w:top w:w="12" w:type="dxa"/>
                    <w:left w:w="12" w:type="dxa"/>
                    <w:right w:w="12" w:type="dxa"/>
                  </w:tcMar>
                  <w:vAlign w:val="center"/>
                </w:tcPr>
                <w:p w14:paraId="50CCD755">
                  <w:pPr>
                    <w:widowControl/>
                    <w:jc w:val="center"/>
                    <w:textAlignment w:val="center"/>
                    <w:rPr>
                      <w:rFonts w:hint="eastAsia"/>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09B5C578">
                  <w:pPr>
                    <w:widowControl/>
                    <w:jc w:val="center"/>
                    <w:textAlignment w:val="center"/>
                    <w:rPr>
                      <w:szCs w:val="21"/>
                    </w:rPr>
                  </w:pPr>
                  <w:r>
                    <w:rPr>
                      <w:szCs w:val="21"/>
                    </w:rPr>
                    <w:t>900-003-S17</w:t>
                  </w:r>
                </w:p>
              </w:tc>
              <w:tc>
                <w:tcPr>
                  <w:tcW w:w="1160" w:type="dxa"/>
                  <w:noWrap w:val="0"/>
                  <w:tcMar>
                    <w:top w:w="12" w:type="dxa"/>
                    <w:left w:w="12" w:type="dxa"/>
                    <w:right w:w="12" w:type="dxa"/>
                  </w:tcMar>
                  <w:vAlign w:val="center"/>
                </w:tcPr>
                <w:p w14:paraId="62F762A9">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0F4FCD80">
                  <w:pPr>
                    <w:widowControl/>
                    <w:jc w:val="center"/>
                    <w:textAlignment w:val="center"/>
                    <w:rPr>
                      <w:rFonts w:hint="eastAsia"/>
                      <w:szCs w:val="21"/>
                    </w:rPr>
                  </w:pPr>
                  <w:r>
                    <w:rPr>
                      <w:rFonts w:hint="eastAsia" w:ascii="宋体" w:hAnsi="宋体" w:cs="宋体"/>
                      <w:kern w:val="0"/>
                      <w:szCs w:val="21"/>
                      <w:lang w:bidi="ar"/>
                    </w:rPr>
                    <w:t>固态</w:t>
                  </w:r>
                  <w:r>
                    <w:rPr>
                      <w:kern w:val="0"/>
                      <w:szCs w:val="21"/>
                      <w:lang w:bidi="ar"/>
                    </w:rPr>
                    <w:t xml:space="preserve">  </w:t>
                  </w:r>
                </w:p>
              </w:tc>
              <w:tc>
                <w:tcPr>
                  <w:tcW w:w="760" w:type="dxa"/>
                  <w:noWrap w:val="0"/>
                  <w:tcMar>
                    <w:top w:w="12" w:type="dxa"/>
                    <w:left w:w="12" w:type="dxa"/>
                    <w:right w:w="12" w:type="dxa"/>
                  </w:tcMar>
                  <w:vAlign w:val="center"/>
                </w:tcPr>
                <w:p w14:paraId="1FA0AE95">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4F5FDF4A">
                  <w:pPr>
                    <w:widowControl/>
                    <w:jc w:val="center"/>
                    <w:textAlignment w:val="center"/>
                  </w:pPr>
                  <w:r>
                    <w:rPr>
                      <w:rFonts w:hint="eastAsia"/>
                    </w:rPr>
                    <w:t>0.7</w:t>
                  </w:r>
                </w:p>
              </w:tc>
              <w:tc>
                <w:tcPr>
                  <w:tcW w:w="804" w:type="dxa"/>
                  <w:vMerge w:val="restart"/>
                  <w:noWrap w:val="0"/>
                  <w:tcMar>
                    <w:top w:w="12" w:type="dxa"/>
                    <w:left w:w="12" w:type="dxa"/>
                    <w:right w:w="12" w:type="dxa"/>
                  </w:tcMar>
                  <w:vAlign w:val="center"/>
                </w:tcPr>
                <w:p w14:paraId="299B2839">
                  <w:pPr>
                    <w:widowControl/>
                    <w:jc w:val="center"/>
                    <w:textAlignment w:val="center"/>
                    <w:rPr>
                      <w:rFonts w:hint="eastAsia"/>
                      <w:szCs w:val="21"/>
                    </w:rPr>
                  </w:pPr>
                  <w:r>
                    <w:rPr>
                      <w:rFonts w:hint="eastAsia" w:ascii="宋体" w:hAnsi="宋体" w:cs="宋体"/>
                      <w:kern w:val="0"/>
                      <w:szCs w:val="21"/>
                      <w:lang w:bidi="ar"/>
                    </w:rPr>
                    <w:t>贮存在一般固废仓库</w:t>
                  </w:r>
                </w:p>
              </w:tc>
              <w:tc>
                <w:tcPr>
                  <w:tcW w:w="1988" w:type="dxa"/>
                  <w:vMerge w:val="restart"/>
                  <w:noWrap w:val="0"/>
                  <w:tcMar>
                    <w:top w:w="12" w:type="dxa"/>
                    <w:left w:w="12" w:type="dxa"/>
                    <w:right w:w="12" w:type="dxa"/>
                  </w:tcMar>
                  <w:vAlign w:val="center"/>
                </w:tcPr>
                <w:p w14:paraId="313CE32D">
                  <w:pPr>
                    <w:widowControl/>
                    <w:jc w:val="center"/>
                    <w:textAlignment w:val="center"/>
                    <w:rPr>
                      <w:szCs w:val="21"/>
                    </w:rPr>
                  </w:pPr>
                  <w:r>
                    <w:rPr>
                      <w:rFonts w:hint="eastAsia" w:ascii="宋体" w:hAnsi="宋体" w:cs="宋体"/>
                      <w:kern w:val="0"/>
                      <w:szCs w:val="21"/>
                      <w:lang w:bidi="ar"/>
                    </w:rPr>
                    <w:t>外售综合利用</w:t>
                  </w:r>
                </w:p>
              </w:tc>
              <w:tc>
                <w:tcPr>
                  <w:tcW w:w="814" w:type="dxa"/>
                  <w:noWrap w:val="0"/>
                  <w:tcMar>
                    <w:top w:w="12" w:type="dxa"/>
                    <w:left w:w="12" w:type="dxa"/>
                    <w:right w:w="12" w:type="dxa"/>
                  </w:tcMar>
                  <w:vAlign w:val="center"/>
                </w:tcPr>
                <w:p w14:paraId="5507A669">
                  <w:pPr>
                    <w:widowControl/>
                    <w:jc w:val="center"/>
                    <w:textAlignment w:val="center"/>
                  </w:pPr>
                  <w:r>
                    <w:rPr>
                      <w:rFonts w:hint="eastAsia"/>
                    </w:rPr>
                    <w:t>0.7</w:t>
                  </w:r>
                </w:p>
              </w:tc>
            </w:tr>
            <w:tr w14:paraId="5134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shd w:val="clear" w:color="auto" w:fill="auto"/>
                  <w:noWrap w:val="0"/>
                  <w:tcMar>
                    <w:top w:w="12" w:type="dxa"/>
                    <w:left w:w="12" w:type="dxa"/>
                    <w:right w:w="12" w:type="dxa"/>
                  </w:tcMar>
                  <w:vAlign w:val="center"/>
                </w:tcPr>
                <w:p w14:paraId="3A72B522">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Cs w:val="21"/>
                    </w:rPr>
                    <w:t>8</w:t>
                  </w:r>
                </w:p>
              </w:tc>
              <w:tc>
                <w:tcPr>
                  <w:tcW w:w="1160" w:type="dxa"/>
                  <w:noWrap w:val="0"/>
                  <w:tcMar>
                    <w:top w:w="12" w:type="dxa"/>
                    <w:left w:w="12" w:type="dxa"/>
                    <w:right w:w="12" w:type="dxa"/>
                  </w:tcMar>
                  <w:vAlign w:val="center"/>
                </w:tcPr>
                <w:p w14:paraId="27137284">
                  <w:pPr>
                    <w:widowControl/>
                    <w:jc w:val="center"/>
                    <w:textAlignment w:val="center"/>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喷漆</w:t>
                  </w:r>
                </w:p>
              </w:tc>
              <w:tc>
                <w:tcPr>
                  <w:tcW w:w="1574" w:type="dxa"/>
                  <w:shd w:val="clear" w:color="auto" w:fill="auto"/>
                  <w:noWrap w:val="0"/>
                  <w:tcMar>
                    <w:top w:w="12" w:type="dxa"/>
                    <w:left w:w="12" w:type="dxa"/>
                    <w:right w:w="12" w:type="dxa"/>
                  </w:tcMar>
                  <w:vAlign w:val="center"/>
                </w:tcPr>
                <w:p w14:paraId="7412E57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Cs w:val="21"/>
                    </w:rPr>
                    <w:t>废漆桶</w:t>
                  </w:r>
                </w:p>
              </w:tc>
              <w:tc>
                <w:tcPr>
                  <w:tcW w:w="1146" w:type="dxa"/>
                  <w:shd w:val="clear" w:color="auto" w:fill="auto"/>
                  <w:noWrap w:val="0"/>
                  <w:tcMar>
                    <w:top w:w="12" w:type="dxa"/>
                    <w:left w:w="12" w:type="dxa"/>
                    <w:right w:w="12" w:type="dxa"/>
                  </w:tcMar>
                  <w:vAlign w:val="center"/>
                </w:tcPr>
                <w:p w14:paraId="2B03B944">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Cs w:val="21"/>
                      <w:lang w:bidi="ar"/>
                    </w:rPr>
                    <w:t>一般固废</w:t>
                  </w:r>
                </w:p>
              </w:tc>
              <w:tc>
                <w:tcPr>
                  <w:tcW w:w="1160" w:type="dxa"/>
                  <w:shd w:val="clear" w:color="auto" w:fill="auto"/>
                  <w:noWrap w:val="0"/>
                  <w:tcMar>
                    <w:top w:w="12" w:type="dxa"/>
                    <w:left w:w="12" w:type="dxa"/>
                    <w:right w:w="12" w:type="dxa"/>
                  </w:tcMar>
                  <w:vAlign w:val="center"/>
                </w:tcPr>
                <w:p w14:paraId="2972255D">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900-002-S62</w:t>
                  </w:r>
                </w:p>
              </w:tc>
              <w:tc>
                <w:tcPr>
                  <w:tcW w:w="1160" w:type="dxa"/>
                  <w:shd w:val="clear" w:color="auto" w:fill="auto"/>
                  <w:noWrap w:val="0"/>
                  <w:tcMar>
                    <w:top w:w="12" w:type="dxa"/>
                    <w:left w:w="12" w:type="dxa"/>
                    <w:right w:w="12" w:type="dxa"/>
                  </w:tcMar>
                  <w:vAlign w:val="center"/>
                </w:tcPr>
                <w:p w14:paraId="741DEACB">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Cs w:val="21"/>
                      <w:lang w:bidi="ar"/>
                    </w:rPr>
                    <w:t>有机物</w:t>
                  </w:r>
                </w:p>
              </w:tc>
              <w:tc>
                <w:tcPr>
                  <w:tcW w:w="960" w:type="dxa"/>
                  <w:shd w:val="clear" w:color="auto" w:fill="auto"/>
                  <w:noWrap w:val="0"/>
                  <w:tcMar>
                    <w:top w:w="12" w:type="dxa"/>
                    <w:left w:w="12" w:type="dxa"/>
                    <w:right w:w="12" w:type="dxa"/>
                  </w:tcMar>
                  <w:vAlign w:val="center"/>
                </w:tcPr>
                <w:p w14:paraId="7B88D1B3">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Cs w:val="21"/>
                      <w:lang w:bidi="ar"/>
                    </w:rPr>
                    <w:t>固态</w:t>
                  </w:r>
                </w:p>
              </w:tc>
              <w:tc>
                <w:tcPr>
                  <w:tcW w:w="760" w:type="dxa"/>
                  <w:shd w:val="clear" w:color="auto" w:fill="auto"/>
                  <w:noWrap w:val="0"/>
                  <w:tcMar>
                    <w:top w:w="12" w:type="dxa"/>
                    <w:left w:w="12" w:type="dxa"/>
                    <w:right w:w="12" w:type="dxa"/>
                  </w:tcMar>
                  <w:vAlign w:val="center"/>
                </w:tcPr>
                <w:p w14:paraId="264093F8">
                  <w:pPr>
                    <w:widowControl/>
                    <w:jc w:val="center"/>
                    <w:textAlignment w:val="center"/>
                    <w:rPr>
                      <w:rFonts w:ascii="Times New Roman" w:hAnsi="Times New Roman" w:eastAsia="宋体" w:cs="Times New Roman"/>
                      <w:kern w:val="0"/>
                      <w:sz w:val="21"/>
                      <w:szCs w:val="21"/>
                      <w:lang w:val="en-US" w:eastAsia="zh-CN" w:bidi="ar"/>
                    </w:rPr>
                  </w:pPr>
                  <w:r>
                    <w:rPr>
                      <w:rFonts w:hint="eastAsia"/>
                      <w:kern w:val="0"/>
                      <w:szCs w:val="21"/>
                      <w:lang w:bidi="ar"/>
                    </w:rPr>
                    <w:t>T/In</w:t>
                  </w:r>
                </w:p>
              </w:tc>
              <w:tc>
                <w:tcPr>
                  <w:tcW w:w="995" w:type="dxa"/>
                  <w:shd w:val="clear" w:color="auto" w:fill="auto"/>
                  <w:noWrap w:val="0"/>
                  <w:tcMar>
                    <w:top w:w="12" w:type="dxa"/>
                    <w:left w:w="12" w:type="dxa"/>
                    <w:right w:w="12" w:type="dxa"/>
                  </w:tcMar>
                  <w:vAlign w:val="center"/>
                </w:tcPr>
                <w:p w14:paraId="6D74E461">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bidi="ar"/>
                    </w:rPr>
                    <w:t>0.35</w:t>
                  </w:r>
                </w:p>
              </w:tc>
              <w:tc>
                <w:tcPr>
                  <w:tcW w:w="804" w:type="dxa"/>
                  <w:vMerge w:val="continue"/>
                  <w:noWrap w:val="0"/>
                  <w:tcMar>
                    <w:top w:w="12" w:type="dxa"/>
                    <w:left w:w="12" w:type="dxa"/>
                    <w:right w:w="12" w:type="dxa"/>
                  </w:tcMar>
                  <w:vAlign w:val="center"/>
                </w:tcPr>
                <w:p w14:paraId="7B6BC030">
                  <w:pPr>
                    <w:widowControl/>
                    <w:jc w:val="center"/>
                    <w:textAlignment w:val="center"/>
                    <w:rPr>
                      <w:rFonts w:hint="eastAsia" w:ascii="宋体" w:hAnsi="宋体" w:cs="宋体"/>
                      <w:kern w:val="0"/>
                      <w:szCs w:val="21"/>
                      <w:lang w:bidi="ar"/>
                    </w:rPr>
                  </w:pPr>
                </w:p>
              </w:tc>
              <w:tc>
                <w:tcPr>
                  <w:tcW w:w="1988" w:type="dxa"/>
                  <w:vMerge w:val="continue"/>
                  <w:noWrap w:val="0"/>
                  <w:tcMar>
                    <w:top w:w="12" w:type="dxa"/>
                    <w:left w:w="12" w:type="dxa"/>
                    <w:right w:w="12" w:type="dxa"/>
                  </w:tcMar>
                  <w:vAlign w:val="center"/>
                </w:tcPr>
                <w:p w14:paraId="1E27FD5E">
                  <w:pPr>
                    <w:widowControl/>
                    <w:jc w:val="center"/>
                    <w:textAlignment w:val="center"/>
                    <w:rPr>
                      <w:rFonts w:hint="eastAsia" w:ascii="宋体" w:hAnsi="宋体" w:cs="宋体"/>
                      <w:kern w:val="0"/>
                      <w:szCs w:val="21"/>
                      <w:lang w:bidi="ar"/>
                    </w:rPr>
                  </w:pPr>
                </w:p>
              </w:tc>
              <w:tc>
                <w:tcPr>
                  <w:tcW w:w="814" w:type="dxa"/>
                  <w:noWrap w:val="0"/>
                  <w:tcMar>
                    <w:top w:w="12" w:type="dxa"/>
                    <w:left w:w="12" w:type="dxa"/>
                    <w:right w:w="12" w:type="dxa"/>
                  </w:tcMar>
                  <w:vAlign w:val="center"/>
                </w:tcPr>
                <w:p w14:paraId="0712BA36">
                  <w:pPr>
                    <w:widowControl/>
                    <w:jc w:val="center"/>
                    <w:textAlignment w:val="center"/>
                  </w:pPr>
                  <w:r>
                    <w:rPr>
                      <w:rFonts w:hint="eastAsia"/>
                      <w:kern w:val="0"/>
                      <w:szCs w:val="21"/>
                      <w:lang w:bidi="ar"/>
                    </w:rPr>
                    <w:t>0.35</w:t>
                  </w:r>
                </w:p>
              </w:tc>
            </w:tr>
            <w:tr w14:paraId="733A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restart"/>
                  <w:noWrap w:val="0"/>
                  <w:tcMar>
                    <w:top w:w="12" w:type="dxa"/>
                    <w:left w:w="12" w:type="dxa"/>
                    <w:right w:w="12" w:type="dxa"/>
                  </w:tcMar>
                  <w:vAlign w:val="center"/>
                </w:tcPr>
                <w:p w14:paraId="77CCC303">
                  <w:pPr>
                    <w:widowControl/>
                    <w:jc w:val="center"/>
                    <w:textAlignment w:val="center"/>
                    <w:rPr>
                      <w:rFonts w:hint="eastAsia"/>
                      <w:szCs w:val="21"/>
                    </w:rPr>
                  </w:pPr>
                  <w:r>
                    <w:rPr>
                      <w:rFonts w:hint="eastAsia"/>
                      <w:szCs w:val="21"/>
                    </w:rPr>
                    <w:t>9</w:t>
                  </w:r>
                </w:p>
              </w:tc>
              <w:tc>
                <w:tcPr>
                  <w:tcW w:w="1160" w:type="dxa"/>
                  <w:vMerge w:val="restart"/>
                  <w:noWrap w:val="0"/>
                  <w:tcMar>
                    <w:top w:w="12" w:type="dxa"/>
                    <w:left w:w="12" w:type="dxa"/>
                    <w:right w:w="12" w:type="dxa"/>
                  </w:tcMar>
                  <w:vAlign w:val="center"/>
                </w:tcPr>
                <w:p w14:paraId="202677F0">
                  <w:pPr>
                    <w:widowControl/>
                    <w:jc w:val="center"/>
                    <w:textAlignment w:val="center"/>
                    <w:rPr>
                      <w:rFonts w:hint="eastAsia"/>
                      <w:szCs w:val="21"/>
                    </w:rPr>
                  </w:pPr>
                  <w:r>
                    <w:rPr>
                      <w:rFonts w:hint="eastAsia"/>
                      <w:szCs w:val="21"/>
                    </w:rPr>
                    <w:t>精加工</w:t>
                  </w:r>
                </w:p>
              </w:tc>
              <w:tc>
                <w:tcPr>
                  <w:tcW w:w="1574" w:type="dxa"/>
                  <w:noWrap w:val="0"/>
                  <w:tcMar>
                    <w:top w:w="12" w:type="dxa"/>
                    <w:left w:w="12" w:type="dxa"/>
                    <w:right w:w="12" w:type="dxa"/>
                  </w:tcMar>
                  <w:vAlign w:val="center"/>
                </w:tcPr>
                <w:p w14:paraId="538C7E16">
                  <w:pPr>
                    <w:widowControl/>
                    <w:jc w:val="center"/>
                    <w:textAlignment w:val="center"/>
                    <w:rPr>
                      <w:rFonts w:hint="eastAsia"/>
                      <w:szCs w:val="21"/>
                    </w:rPr>
                  </w:pPr>
                  <w:r>
                    <w:rPr>
                      <w:rFonts w:hint="eastAsia"/>
                      <w:szCs w:val="21"/>
                    </w:rPr>
                    <w:t>废金属屑</w:t>
                  </w:r>
                </w:p>
              </w:tc>
              <w:tc>
                <w:tcPr>
                  <w:tcW w:w="1146" w:type="dxa"/>
                  <w:noWrap w:val="0"/>
                  <w:tcMar>
                    <w:top w:w="12" w:type="dxa"/>
                    <w:left w:w="12" w:type="dxa"/>
                    <w:right w:w="12" w:type="dxa"/>
                  </w:tcMar>
                  <w:vAlign w:val="center"/>
                </w:tcPr>
                <w:p w14:paraId="1FAC969B">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0005FF24">
                  <w:pPr>
                    <w:widowControl/>
                    <w:jc w:val="center"/>
                    <w:textAlignment w:val="center"/>
                    <w:rPr>
                      <w:szCs w:val="21"/>
                    </w:rPr>
                  </w:pPr>
                  <w:r>
                    <w:rPr>
                      <w:szCs w:val="21"/>
                    </w:rPr>
                    <w:t>336-001-S16</w:t>
                  </w:r>
                </w:p>
              </w:tc>
              <w:tc>
                <w:tcPr>
                  <w:tcW w:w="1160" w:type="dxa"/>
                  <w:noWrap w:val="0"/>
                  <w:tcMar>
                    <w:top w:w="12" w:type="dxa"/>
                    <w:left w:w="12" w:type="dxa"/>
                    <w:right w:w="12" w:type="dxa"/>
                  </w:tcMar>
                  <w:vAlign w:val="center"/>
                </w:tcPr>
                <w:p w14:paraId="3830F8F4">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3A6D3CA1">
                  <w:pPr>
                    <w:widowControl/>
                    <w:jc w:val="center"/>
                    <w:textAlignment w:val="center"/>
                    <w:rPr>
                      <w:szCs w:val="21"/>
                    </w:rPr>
                  </w:pPr>
                  <w:r>
                    <w:rPr>
                      <w:rFonts w:hint="eastAsia" w:ascii="宋体" w:hAnsi="宋体" w:cs="宋体"/>
                      <w:kern w:val="0"/>
                      <w:szCs w:val="21"/>
                      <w:lang w:bidi="ar"/>
                    </w:rPr>
                    <w:t>固态</w:t>
                  </w:r>
                </w:p>
              </w:tc>
              <w:tc>
                <w:tcPr>
                  <w:tcW w:w="760" w:type="dxa"/>
                  <w:noWrap w:val="0"/>
                  <w:tcMar>
                    <w:top w:w="12" w:type="dxa"/>
                    <w:left w:w="12" w:type="dxa"/>
                    <w:right w:w="12" w:type="dxa"/>
                  </w:tcMar>
                  <w:vAlign w:val="center"/>
                </w:tcPr>
                <w:p w14:paraId="42F30C28">
                  <w:pPr>
                    <w:widowControl/>
                    <w:jc w:val="center"/>
                    <w:textAlignment w:val="center"/>
                    <w:rPr>
                      <w:szCs w:val="21"/>
                    </w:rPr>
                  </w:pPr>
                </w:p>
              </w:tc>
              <w:tc>
                <w:tcPr>
                  <w:tcW w:w="995" w:type="dxa"/>
                  <w:noWrap w:val="0"/>
                  <w:tcMar>
                    <w:top w:w="12" w:type="dxa"/>
                    <w:left w:w="12" w:type="dxa"/>
                    <w:right w:w="12" w:type="dxa"/>
                  </w:tcMar>
                  <w:vAlign w:val="center"/>
                </w:tcPr>
                <w:p w14:paraId="4CDD042B">
                  <w:pPr>
                    <w:widowControl/>
                    <w:jc w:val="center"/>
                    <w:textAlignment w:val="center"/>
                    <w:rPr>
                      <w:rFonts w:hint="eastAsia"/>
                    </w:rPr>
                  </w:pPr>
                  <w:r>
                    <w:rPr>
                      <w:rFonts w:hint="eastAsia"/>
                    </w:rPr>
                    <w:t>4.2</w:t>
                  </w:r>
                </w:p>
              </w:tc>
              <w:tc>
                <w:tcPr>
                  <w:tcW w:w="804" w:type="dxa"/>
                  <w:vMerge w:val="continue"/>
                  <w:noWrap w:val="0"/>
                  <w:tcMar>
                    <w:top w:w="12" w:type="dxa"/>
                    <w:left w:w="12" w:type="dxa"/>
                    <w:right w:w="12" w:type="dxa"/>
                  </w:tcMar>
                  <w:vAlign w:val="center"/>
                </w:tcPr>
                <w:p w14:paraId="445868DD">
                  <w:pPr>
                    <w:widowControl/>
                    <w:jc w:val="center"/>
                    <w:textAlignment w:val="center"/>
                    <w:rPr>
                      <w:szCs w:val="21"/>
                    </w:rPr>
                  </w:pPr>
                </w:p>
              </w:tc>
              <w:tc>
                <w:tcPr>
                  <w:tcW w:w="1988" w:type="dxa"/>
                  <w:vMerge w:val="continue"/>
                  <w:noWrap w:val="0"/>
                  <w:tcMar>
                    <w:top w:w="12" w:type="dxa"/>
                    <w:left w:w="12" w:type="dxa"/>
                    <w:right w:w="12" w:type="dxa"/>
                  </w:tcMar>
                  <w:vAlign w:val="center"/>
                </w:tcPr>
                <w:p w14:paraId="7DB69371">
                  <w:pPr>
                    <w:widowControl/>
                    <w:jc w:val="center"/>
                    <w:textAlignment w:val="center"/>
                    <w:rPr>
                      <w:szCs w:val="21"/>
                    </w:rPr>
                  </w:pPr>
                </w:p>
              </w:tc>
              <w:tc>
                <w:tcPr>
                  <w:tcW w:w="814" w:type="dxa"/>
                  <w:noWrap w:val="0"/>
                  <w:tcMar>
                    <w:top w:w="12" w:type="dxa"/>
                    <w:left w:w="12" w:type="dxa"/>
                    <w:right w:w="12" w:type="dxa"/>
                  </w:tcMar>
                  <w:vAlign w:val="center"/>
                </w:tcPr>
                <w:p w14:paraId="020BE8E9">
                  <w:pPr>
                    <w:widowControl/>
                    <w:jc w:val="center"/>
                    <w:textAlignment w:val="center"/>
                  </w:pPr>
                  <w:r>
                    <w:rPr>
                      <w:rFonts w:hint="eastAsia"/>
                    </w:rPr>
                    <w:t>4.2</w:t>
                  </w:r>
                </w:p>
              </w:tc>
            </w:tr>
            <w:tr w14:paraId="5002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vMerge w:val="continue"/>
                  <w:shd w:val="clear" w:color="auto" w:fill="auto"/>
                  <w:noWrap w:val="0"/>
                  <w:tcMar>
                    <w:top w:w="12" w:type="dxa"/>
                    <w:left w:w="12" w:type="dxa"/>
                    <w:right w:w="12" w:type="dxa"/>
                  </w:tcMar>
                  <w:vAlign w:val="center"/>
                </w:tcPr>
                <w:p w14:paraId="17901CD0">
                  <w:pPr>
                    <w:widowControl/>
                    <w:jc w:val="center"/>
                    <w:textAlignment w:val="center"/>
                    <w:rPr>
                      <w:rFonts w:hint="eastAsia" w:ascii="Times New Roman" w:hAnsi="Times New Roman" w:eastAsia="宋体" w:cs="Times New Roman"/>
                      <w:kern w:val="2"/>
                      <w:sz w:val="21"/>
                      <w:szCs w:val="21"/>
                      <w:lang w:val="en-US" w:eastAsia="zh-CN" w:bidi="ar-SA"/>
                    </w:rPr>
                  </w:pPr>
                </w:p>
              </w:tc>
              <w:tc>
                <w:tcPr>
                  <w:tcW w:w="1160" w:type="dxa"/>
                  <w:vMerge w:val="continue"/>
                  <w:noWrap w:val="0"/>
                  <w:tcMar>
                    <w:top w:w="12" w:type="dxa"/>
                    <w:left w:w="12" w:type="dxa"/>
                    <w:right w:w="12" w:type="dxa"/>
                  </w:tcMar>
                  <w:vAlign w:val="center"/>
                </w:tcPr>
                <w:p w14:paraId="51F4539C">
                  <w:pPr>
                    <w:widowControl/>
                    <w:jc w:val="center"/>
                    <w:textAlignment w:val="center"/>
                    <w:rPr>
                      <w:rFonts w:hint="eastAsia"/>
                      <w:szCs w:val="21"/>
                    </w:rPr>
                  </w:pPr>
                </w:p>
              </w:tc>
              <w:tc>
                <w:tcPr>
                  <w:tcW w:w="1574" w:type="dxa"/>
                  <w:noWrap w:val="0"/>
                  <w:tcMar>
                    <w:top w:w="12" w:type="dxa"/>
                    <w:left w:w="12" w:type="dxa"/>
                    <w:right w:w="12" w:type="dxa"/>
                  </w:tcMar>
                  <w:vAlign w:val="center"/>
                </w:tcPr>
                <w:p w14:paraId="0F617F76">
                  <w:pPr>
                    <w:widowControl/>
                    <w:jc w:val="center"/>
                    <w:textAlignment w:val="center"/>
                    <w:rPr>
                      <w:rFonts w:hint="eastAsia"/>
                      <w:szCs w:val="21"/>
                    </w:rPr>
                  </w:pPr>
                  <w:r>
                    <w:rPr>
                      <w:rFonts w:hint="eastAsia" w:ascii="宋体" w:hAnsi="宋体" w:cs="宋体"/>
                      <w:kern w:val="0"/>
                      <w:szCs w:val="21"/>
                      <w:lang w:bidi="ar"/>
                    </w:rPr>
                    <w:t>废边角料</w:t>
                  </w:r>
                </w:p>
              </w:tc>
              <w:tc>
                <w:tcPr>
                  <w:tcW w:w="1146" w:type="dxa"/>
                  <w:noWrap w:val="0"/>
                  <w:tcMar>
                    <w:top w:w="12" w:type="dxa"/>
                    <w:left w:w="12" w:type="dxa"/>
                    <w:right w:w="12" w:type="dxa"/>
                  </w:tcMar>
                  <w:vAlign w:val="center"/>
                </w:tcPr>
                <w:p w14:paraId="08114A52">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55D0E6B7">
                  <w:pPr>
                    <w:widowControl/>
                    <w:jc w:val="center"/>
                    <w:textAlignment w:val="center"/>
                    <w:rPr>
                      <w:szCs w:val="21"/>
                    </w:rPr>
                  </w:pPr>
                  <w:r>
                    <w:rPr>
                      <w:szCs w:val="21"/>
                    </w:rPr>
                    <w:t>900-001-S17</w:t>
                  </w:r>
                </w:p>
              </w:tc>
              <w:tc>
                <w:tcPr>
                  <w:tcW w:w="1160" w:type="dxa"/>
                  <w:noWrap w:val="0"/>
                  <w:tcMar>
                    <w:top w:w="12" w:type="dxa"/>
                    <w:left w:w="12" w:type="dxa"/>
                    <w:right w:w="12" w:type="dxa"/>
                  </w:tcMar>
                  <w:vAlign w:val="center"/>
                </w:tcPr>
                <w:p w14:paraId="68541DF4">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0C1FAC5A">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val="0"/>
                  <w:tcMar>
                    <w:top w:w="12" w:type="dxa"/>
                    <w:left w:w="12" w:type="dxa"/>
                    <w:right w:w="12" w:type="dxa"/>
                  </w:tcMar>
                  <w:vAlign w:val="center"/>
                </w:tcPr>
                <w:p w14:paraId="68EE9597">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0F32A4AB">
                  <w:pPr>
                    <w:widowControl/>
                    <w:jc w:val="center"/>
                    <w:textAlignment w:val="center"/>
                    <w:rPr>
                      <w:rFonts w:hint="eastAsia"/>
                      <w:szCs w:val="21"/>
                    </w:rPr>
                  </w:pPr>
                  <w:r>
                    <w:rPr>
                      <w:rFonts w:hint="eastAsia"/>
                      <w:kern w:val="0"/>
                      <w:szCs w:val="21"/>
                      <w:lang w:bidi="ar"/>
                    </w:rPr>
                    <w:t>35</w:t>
                  </w:r>
                </w:p>
              </w:tc>
              <w:tc>
                <w:tcPr>
                  <w:tcW w:w="804" w:type="dxa"/>
                  <w:vMerge w:val="continue"/>
                  <w:noWrap w:val="0"/>
                  <w:tcMar>
                    <w:top w:w="12" w:type="dxa"/>
                    <w:left w:w="12" w:type="dxa"/>
                    <w:right w:w="12" w:type="dxa"/>
                  </w:tcMar>
                  <w:vAlign w:val="center"/>
                </w:tcPr>
                <w:p w14:paraId="6D085D43">
                  <w:pPr>
                    <w:jc w:val="center"/>
                    <w:rPr>
                      <w:szCs w:val="21"/>
                    </w:rPr>
                  </w:pPr>
                </w:p>
              </w:tc>
              <w:tc>
                <w:tcPr>
                  <w:tcW w:w="1988" w:type="dxa"/>
                  <w:vMerge w:val="continue"/>
                  <w:noWrap w:val="0"/>
                  <w:tcMar>
                    <w:top w:w="12" w:type="dxa"/>
                    <w:left w:w="12" w:type="dxa"/>
                    <w:right w:w="12" w:type="dxa"/>
                  </w:tcMar>
                  <w:vAlign w:val="center"/>
                </w:tcPr>
                <w:p w14:paraId="1755133C">
                  <w:pPr>
                    <w:widowControl/>
                    <w:jc w:val="center"/>
                    <w:textAlignment w:val="center"/>
                    <w:rPr>
                      <w:szCs w:val="21"/>
                    </w:rPr>
                  </w:pPr>
                </w:p>
              </w:tc>
              <w:tc>
                <w:tcPr>
                  <w:tcW w:w="814" w:type="dxa"/>
                  <w:noWrap w:val="0"/>
                  <w:tcMar>
                    <w:top w:w="12" w:type="dxa"/>
                    <w:left w:w="12" w:type="dxa"/>
                    <w:right w:w="12" w:type="dxa"/>
                  </w:tcMar>
                  <w:vAlign w:val="center"/>
                </w:tcPr>
                <w:p w14:paraId="0EC0AB3E">
                  <w:pPr>
                    <w:widowControl/>
                    <w:jc w:val="center"/>
                    <w:textAlignment w:val="center"/>
                  </w:pPr>
                  <w:r>
                    <w:rPr>
                      <w:rFonts w:hint="eastAsia"/>
                      <w:kern w:val="0"/>
                      <w:szCs w:val="21"/>
                      <w:lang w:bidi="ar"/>
                    </w:rPr>
                    <w:t>35</w:t>
                  </w:r>
                </w:p>
              </w:tc>
            </w:tr>
            <w:tr w14:paraId="6290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shd w:val="clear" w:color="auto" w:fill="auto"/>
                  <w:noWrap w:val="0"/>
                  <w:tcMar>
                    <w:top w:w="12" w:type="dxa"/>
                    <w:left w:w="12" w:type="dxa"/>
                    <w:right w:w="12" w:type="dxa"/>
                  </w:tcMar>
                  <w:vAlign w:val="center"/>
                </w:tcPr>
                <w:p w14:paraId="1FE876BF">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10</w:t>
                  </w:r>
                </w:p>
              </w:tc>
              <w:tc>
                <w:tcPr>
                  <w:tcW w:w="1160" w:type="dxa"/>
                  <w:noWrap w:val="0"/>
                  <w:tcMar>
                    <w:top w:w="12" w:type="dxa"/>
                    <w:left w:w="12" w:type="dxa"/>
                    <w:right w:w="12" w:type="dxa"/>
                  </w:tcMar>
                  <w:vAlign w:val="center"/>
                </w:tcPr>
                <w:p w14:paraId="30EED9B7">
                  <w:pPr>
                    <w:widowControl/>
                    <w:jc w:val="center"/>
                    <w:textAlignment w:val="center"/>
                    <w:rPr>
                      <w:rFonts w:hint="eastAsia"/>
                      <w:szCs w:val="21"/>
                    </w:rPr>
                  </w:pPr>
                  <w:r>
                    <w:rPr>
                      <w:rFonts w:hint="eastAsia"/>
                      <w:szCs w:val="21"/>
                    </w:rPr>
                    <w:t>抛丸</w:t>
                  </w:r>
                </w:p>
              </w:tc>
              <w:tc>
                <w:tcPr>
                  <w:tcW w:w="1574" w:type="dxa"/>
                  <w:noWrap w:val="0"/>
                  <w:tcMar>
                    <w:top w:w="12" w:type="dxa"/>
                    <w:left w:w="12" w:type="dxa"/>
                    <w:right w:w="12" w:type="dxa"/>
                  </w:tcMar>
                  <w:vAlign w:val="center"/>
                </w:tcPr>
                <w:p w14:paraId="7D8C3107">
                  <w:pPr>
                    <w:widowControl/>
                    <w:jc w:val="center"/>
                    <w:textAlignment w:val="center"/>
                    <w:rPr>
                      <w:rFonts w:hint="eastAsia"/>
                      <w:szCs w:val="21"/>
                    </w:rPr>
                  </w:pPr>
                  <w:r>
                    <w:rPr>
                      <w:rFonts w:hint="eastAsia"/>
                      <w:szCs w:val="21"/>
                    </w:rPr>
                    <w:t>废钢丸</w:t>
                  </w:r>
                </w:p>
              </w:tc>
              <w:tc>
                <w:tcPr>
                  <w:tcW w:w="1146" w:type="dxa"/>
                  <w:noWrap w:val="0"/>
                  <w:tcMar>
                    <w:top w:w="12" w:type="dxa"/>
                    <w:left w:w="12" w:type="dxa"/>
                    <w:right w:w="12" w:type="dxa"/>
                  </w:tcMar>
                  <w:vAlign w:val="center"/>
                </w:tcPr>
                <w:p w14:paraId="4E492DF1">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1267E54E">
                  <w:pPr>
                    <w:widowControl/>
                    <w:jc w:val="center"/>
                    <w:textAlignment w:val="center"/>
                    <w:rPr>
                      <w:szCs w:val="21"/>
                    </w:rPr>
                  </w:pPr>
                  <w:r>
                    <w:rPr>
                      <w:kern w:val="0"/>
                      <w:szCs w:val="21"/>
                      <w:lang w:bidi="ar"/>
                    </w:rPr>
                    <w:t>900-001-S17</w:t>
                  </w:r>
                </w:p>
              </w:tc>
              <w:tc>
                <w:tcPr>
                  <w:tcW w:w="1160" w:type="dxa"/>
                  <w:noWrap w:val="0"/>
                  <w:tcMar>
                    <w:top w:w="12" w:type="dxa"/>
                    <w:left w:w="12" w:type="dxa"/>
                    <w:right w:w="12" w:type="dxa"/>
                  </w:tcMar>
                  <w:vAlign w:val="center"/>
                </w:tcPr>
                <w:p w14:paraId="28A35D82">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6D52D6DC">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val="0"/>
                  <w:tcMar>
                    <w:top w:w="12" w:type="dxa"/>
                    <w:left w:w="12" w:type="dxa"/>
                    <w:right w:w="12" w:type="dxa"/>
                  </w:tcMar>
                  <w:vAlign w:val="center"/>
                </w:tcPr>
                <w:p w14:paraId="5DD647D1">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50C888C8">
                  <w:pPr>
                    <w:widowControl/>
                    <w:jc w:val="center"/>
                    <w:textAlignment w:val="center"/>
                    <w:rPr>
                      <w:rFonts w:hint="eastAsia"/>
                    </w:rPr>
                  </w:pPr>
                  <w:r>
                    <w:rPr>
                      <w:rFonts w:hint="eastAsia"/>
                    </w:rPr>
                    <w:t>0.14</w:t>
                  </w:r>
                </w:p>
              </w:tc>
              <w:tc>
                <w:tcPr>
                  <w:tcW w:w="804" w:type="dxa"/>
                  <w:vMerge w:val="continue"/>
                  <w:noWrap w:val="0"/>
                  <w:tcMar>
                    <w:top w:w="12" w:type="dxa"/>
                    <w:left w:w="12" w:type="dxa"/>
                    <w:right w:w="12" w:type="dxa"/>
                  </w:tcMar>
                  <w:vAlign w:val="center"/>
                </w:tcPr>
                <w:p w14:paraId="2D307D8C">
                  <w:pPr>
                    <w:widowControl/>
                    <w:jc w:val="center"/>
                    <w:textAlignment w:val="center"/>
                    <w:rPr>
                      <w:szCs w:val="21"/>
                    </w:rPr>
                  </w:pPr>
                </w:p>
              </w:tc>
              <w:tc>
                <w:tcPr>
                  <w:tcW w:w="1988" w:type="dxa"/>
                  <w:vMerge w:val="continue"/>
                  <w:noWrap w:val="0"/>
                  <w:tcMar>
                    <w:top w:w="12" w:type="dxa"/>
                    <w:left w:w="12" w:type="dxa"/>
                    <w:right w:w="12" w:type="dxa"/>
                  </w:tcMar>
                  <w:vAlign w:val="center"/>
                </w:tcPr>
                <w:p w14:paraId="36AE22C3">
                  <w:pPr>
                    <w:widowControl/>
                    <w:jc w:val="center"/>
                    <w:textAlignment w:val="center"/>
                    <w:rPr>
                      <w:szCs w:val="21"/>
                    </w:rPr>
                  </w:pPr>
                </w:p>
              </w:tc>
              <w:tc>
                <w:tcPr>
                  <w:tcW w:w="814" w:type="dxa"/>
                  <w:noWrap w:val="0"/>
                  <w:tcMar>
                    <w:top w:w="12" w:type="dxa"/>
                    <w:left w:w="12" w:type="dxa"/>
                    <w:right w:w="12" w:type="dxa"/>
                  </w:tcMar>
                  <w:vAlign w:val="center"/>
                </w:tcPr>
                <w:p w14:paraId="77C16149">
                  <w:pPr>
                    <w:widowControl/>
                    <w:jc w:val="center"/>
                    <w:textAlignment w:val="center"/>
                  </w:pPr>
                  <w:r>
                    <w:rPr>
                      <w:rFonts w:hint="eastAsia"/>
                    </w:rPr>
                    <w:t>0.14</w:t>
                  </w:r>
                </w:p>
              </w:tc>
            </w:tr>
            <w:tr w14:paraId="05A2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tcBorders>
                    <w:bottom w:val="single" w:color="auto" w:sz="4" w:space="0"/>
                  </w:tcBorders>
                  <w:noWrap w:val="0"/>
                  <w:tcMar>
                    <w:top w:w="12" w:type="dxa"/>
                    <w:left w:w="12" w:type="dxa"/>
                    <w:right w:w="12" w:type="dxa"/>
                  </w:tcMar>
                  <w:vAlign w:val="center"/>
                </w:tcPr>
                <w:p w14:paraId="557CDE80">
                  <w:pPr>
                    <w:widowControl/>
                    <w:jc w:val="center"/>
                    <w:textAlignment w:val="center"/>
                    <w:rPr>
                      <w:rFonts w:hint="default" w:eastAsia="宋体"/>
                      <w:szCs w:val="21"/>
                      <w:lang w:val="en-US" w:eastAsia="zh-CN"/>
                    </w:rPr>
                  </w:pPr>
                  <w:r>
                    <w:rPr>
                      <w:rFonts w:hint="eastAsia"/>
                      <w:szCs w:val="21"/>
                      <w:lang w:val="en-US" w:eastAsia="zh-CN"/>
                    </w:rPr>
                    <w:t>11</w:t>
                  </w:r>
                </w:p>
              </w:tc>
              <w:tc>
                <w:tcPr>
                  <w:tcW w:w="1160" w:type="dxa"/>
                  <w:noWrap w:val="0"/>
                  <w:tcMar>
                    <w:top w:w="12" w:type="dxa"/>
                    <w:left w:w="12" w:type="dxa"/>
                    <w:right w:w="12" w:type="dxa"/>
                  </w:tcMar>
                  <w:vAlign w:val="center"/>
                </w:tcPr>
                <w:p w14:paraId="70517CBA">
                  <w:pPr>
                    <w:widowControl/>
                    <w:jc w:val="center"/>
                    <w:textAlignment w:val="center"/>
                    <w:rPr>
                      <w:rFonts w:hint="eastAsia"/>
                      <w:szCs w:val="21"/>
                    </w:rPr>
                  </w:pPr>
                  <w:r>
                    <w:rPr>
                      <w:rFonts w:hint="eastAsia"/>
                      <w:szCs w:val="21"/>
                    </w:rPr>
                    <w:t>渗锌</w:t>
                  </w:r>
                </w:p>
              </w:tc>
              <w:tc>
                <w:tcPr>
                  <w:tcW w:w="1574" w:type="dxa"/>
                  <w:noWrap w:val="0"/>
                  <w:tcMar>
                    <w:top w:w="12" w:type="dxa"/>
                    <w:left w:w="12" w:type="dxa"/>
                    <w:right w:w="12" w:type="dxa"/>
                  </w:tcMar>
                  <w:vAlign w:val="center"/>
                </w:tcPr>
                <w:p w14:paraId="02A4E3C9">
                  <w:pPr>
                    <w:widowControl/>
                    <w:jc w:val="center"/>
                    <w:textAlignment w:val="center"/>
                    <w:rPr>
                      <w:rFonts w:hint="eastAsia"/>
                      <w:szCs w:val="21"/>
                    </w:rPr>
                  </w:pPr>
                  <w:r>
                    <w:rPr>
                      <w:rFonts w:hint="eastAsia"/>
                      <w:szCs w:val="21"/>
                    </w:rPr>
                    <w:t>废渗锌剂</w:t>
                  </w:r>
                </w:p>
              </w:tc>
              <w:tc>
                <w:tcPr>
                  <w:tcW w:w="1146" w:type="dxa"/>
                  <w:noWrap w:val="0"/>
                  <w:tcMar>
                    <w:top w:w="12" w:type="dxa"/>
                    <w:left w:w="12" w:type="dxa"/>
                    <w:right w:w="12" w:type="dxa"/>
                  </w:tcMar>
                  <w:vAlign w:val="center"/>
                </w:tcPr>
                <w:p w14:paraId="74260948">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52C7293B">
                  <w:pPr>
                    <w:widowControl/>
                    <w:jc w:val="center"/>
                    <w:textAlignment w:val="center"/>
                    <w:rPr>
                      <w:szCs w:val="21"/>
                    </w:rPr>
                  </w:pPr>
                  <w:r>
                    <w:rPr>
                      <w:kern w:val="0"/>
                      <w:szCs w:val="21"/>
                      <w:lang w:bidi="ar"/>
                    </w:rPr>
                    <w:t>336-001-S16</w:t>
                  </w:r>
                </w:p>
              </w:tc>
              <w:tc>
                <w:tcPr>
                  <w:tcW w:w="1160" w:type="dxa"/>
                  <w:noWrap w:val="0"/>
                  <w:tcMar>
                    <w:top w:w="12" w:type="dxa"/>
                    <w:left w:w="12" w:type="dxa"/>
                    <w:right w:w="12" w:type="dxa"/>
                  </w:tcMar>
                  <w:vAlign w:val="center"/>
                </w:tcPr>
                <w:p w14:paraId="5BE8EFDC">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18FCF960">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val="0"/>
                  <w:tcMar>
                    <w:top w:w="12" w:type="dxa"/>
                    <w:left w:w="12" w:type="dxa"/>
                    <w:right w:w="12" w:type="dxa"/>
                  </w:tcMar>
                  <w:vAlign w:val="center"/>
                </w:tcPr>
                <w:p w14:paraId="0A9E80B0">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4273F7A4">
                  <w:pPr>
                    <w:widowControl/>
                    <w:jc w:val="center"/>
                    <w:textAlignment w:val="center"/>
                    <w:rPr>
                      <w:rFonts w:hint="eastAsia"/>
                    </w:rPr>
                  </w:pPr>
                  <w:r>
                    <w:rPr>
                      <w:rFonts w:hint="eastAsia"/>
                      <w:lang w:val="en-US" w:eastAsia="zh-CN"/>
                    </w:rPr>
                    <w:t>0</w:t>
                  </w:r>
                  <w:r>
                    <w:rPr>
                      <w:rFonts w:hint="eastAsia"/>
                    </w:rPr>
                    <w:t>.5</w:t>
                  </w:r>
                </w:p>
              </w:tc>
              <w:tc>
                <w:tcPr>
                  <w:tcW w:w="804" w:type="dxa"/>
                  <w:vMerge w:val="continue"/>
                  <w:noWrap w:val="0"/>
                  <w:tcMar>
                    <w:top w:w="12" w:type="dxa"/>
                    <w:left w:w="12" w:type="dxa"/>
                    <w:right w:w="12" w:type="dxa"/>
                  </w:tcMar>
                  <w:vAlign w:val="center"/>
                </w:tcPr>
                <w:p w14:paraId="7CD8C7B4">
                  <w:pPr>
                    <w:widowControl/>
                    <w:jc w:val="center"/>
                    <w:textAlignment w:val="center"/>
                    <w:rPr>
                      <w:szCs w:val="21"/>
                    </w:rPr>
                  </w:pPr>
                </w:p>
              </w:tc>
              <w:tc>
                <w:tcPr>
                  <w:tcW w:w="1988" w:type="dxa"/>
                  <w:vMerge w:val="continue"/>
                  <w:noWrap w:val="0"/>
                  <w:tcMar>
                    <w:top w:w="12" w:type="dxa"/>
                    <w:left w:w="12" w:type="dxa"/>
                    <w:right w:w="12" w:type="dxa"/>
                  </w:tcMar>
                  <w:vAlign w:val="center"/>
                </w:tcPr>
                <w:p w14:paraId="288E0995">
                  <w:pPr>
                    <w:widowControl/>
                    <w:jc w:val="center"/>
                    <w:textAlignment w:val="center"/>
                    <w:rPr>
                      <w:szCs w:val="21"/>
                    </w:rPr>
                  </w:pPr>
                </w:p>
              </w:tc>
              <w:tc>
                <w:tcPr>
                  <w:tcW w:w="814" w:type="dxa"/>
                  <w:noWrap w:val="0"/>
                  <w:tcMar>
                    <w:top w:w="12" w:type="dxa"/>
                    <w:left w:w="12" w:type="dxa"/>
                    <w:right w:w="12" w:type="dxa"/>
                  </w:tcMar>
                  <w:vAlign w:val="center"/>
                </w:tcPr>
                <w:p w14:paraId="199CD094">
                  <w:pPr>
                    <w:widowControl/>
                    <w:jc w:val="center"/>
                    <w:textAlignment w:val="center"/>
                  </w:pPr>
                  <w:r>
                    <w:rPr>
                      <w:rFonts w:hint="eastAsia"/>
                      <w:lang w:val="en-US" w:eastAsia="zh-CN"/>
                    </w:rPr>
                    <w:t>0</w:t>
                  </w:r>
                  <w:r>
                    <w:rPr>
                      <w:rFonts w:hint="eastAsia"/>
                    </w:rPr>
                    <w:t>.5</w:t>
                  </w:r>
                </w:p>
              </w:tc>
            </w:tr>
            <w:tr w14:paraId="24F8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tcBorders>
                    <w:top w:val="single" w:color="auto" w:sz="4" w:space="0"/>
                  </w:tcBorders>
                  <w:noWrap w:val="0"/>
                  <w:tcMar>
                    <w:top w:w="12" w:type="dxa"/>
                    <w:left w:w="12" w:type="dxa"/>
                    <w:right w:w="12" w:type="dxa"/>
                  </w:tcMar>
                  <w:vAlign w:val="center"/>
                </w:tcPr>
                <w:p w14:paraId="1C13CA0E">
                  <w:pPr>
                    <w:widowControl/>
                    <w:jc w:val="center"/>
                    <w:textAlignment w:val="center"/>
                    <w:rPr>
                      <w:rFonts w:hint="eastAsia" w:eastAsia="宋体"/>
                      <w:szCs w:val="21"/>
                      <w:lang w:eastAsia="zh-CN"/>
                    </w:rPr>
                  </w:pPr>
                  <w:r>
                    <w:rPr>
                      <w:rFonts w:hint="eastAsia"/>
                      <w:szCs w:val="21"/>
                    </w:rPr>
                    <w:t>1</w:t>
                  </w:r>
                  <w:r>
                    <w:rPr>
                      <w:rFonts w:hint="eastAsia"/>
                      <w:szCs w:val="21"/>
                      <w:lang w:val="en-US" w:eastAsia="zh-CN"/>
                    </w:rPr>
                    <w:t>2</w:t>
                  </w:r>
                </w:p>
              </w:tc>
              <w:tc>
                <w:tcPr>
                  <w:tcW w:w="1160" w:type="dxa"/>
                  <w:tcBorders>
                    <w:top w:val="single" w:color="auto" w:sz="4" w:space="0"/>
                  </w:tcBorders>
                  <w:noWrap/>
                  <w:tcMar>
                    <w:top w:w="12" w:type="dxa"/>
                    <w:left w:w="12" w:type="dxa"/>
                    <w:right w:w="12" w:type="dxa"/>
                  </w:tcMar>
                  <w:vAlign w:val="center"/>
                </w:tcPr>
                <w:p w14:paraId="322C4469">
                  <w:pPr>
                    <w:widowControl/>
                    <w:jc w:val="center"/>
                    <w:textAlignment w:val="center"/>
                    <w:rPr>
                      <w:rFonts w:hint="eastAsia"/>
                      <w:szCs w:val="21"/>
                    </w:rPr>
                  </w:pPr>
                  <w:r>
                    <w:rPr>
                      <w:rFonts w:hint="eastAsia"/>
                      <w:szCs w:val="21"/>
                    </w:rPr>
                    <w:t>封闭</w:t>
                  </w:r>
                </w:p>
              </w:tc>
              <w:tc>
                <w:tcPr>
                  <w:tcW w:w="1574" w:type="dxa"/>
                  <w:tcBorders>
                    <w:top w:val="single" w:color="auto" w:sz="4" w:space="0"/>
                  </w:tcBorders>
                  <w:noWrap w:val="0"/>
                  <w:tcMar>
                    <w:top w:w="12" w:type="dxa"/>
                    <w:left w:w="12" w:type="dxa"/>
                    <w:right w:w="12" w:type="dxa"/>
                  </w:tcMar>
                  <w:vAlign w:val="center"/>
                </w:tcPr>
                <w:p w14:paraId="129BB19B">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清洗沉淀物</w:t>
                  </w:r>
                </w:p>
              </w:tc>
              <w:tc>
                <w:tcPr>
                  <w:tcW w:w="1146" w:type="dxa"/>
                  <w:tcBorders>
                    <w:top w:val="single" w:color="auto" w:sz="4" w:space="0"/>
                  </w:tcBorders>
                  <w:noWrap w:val="0"/>
                  <w:tcMar>
                    <w:top w:w="12" w:type="dxa"/>
                    <w:left w:w="12" w:type="dxa"/>
                    <w:right w:w="12" w:type="dxa"/>
                  </w:tcMar>
                  <w:vAlign w:val="center"/>
                </w:tcPr>
                <w:p w14:paraId="616C01CC">
                  <w:pPr>
                    <w:widowControl/>
                    <w:jc w:val="center"/>
                    <w:textAlignment w:val="center"/>
                    <w:rPr>
                      <w:rFonts w:hint="eastAsia"/>
                      <w:szCs w:val="21"/>
                    </w:rPr>
                  </w:pPr>
                  <w:r>
                    <w:rPr>
                      <w:rFonts w:hint="eastAsia" w:ascii="宋体" w:hAnsi="宋体" w:cs="宋体"/>
                      <w:kern w:val="0"/>
                      <w:szCs w:val="21"/>
                      <w:lang w:bidi="ar"/>
                    </w:rPr>
                    <w:t>一般固废</w:t>
                  </w:r>
                </w:p>
              </w:tc>
              <w:tc>
                <w:tcPr>
                  <w:tcW w:w="1160" w:type="dxa"/>
                  <w:tcBorders>
                    <w:top w:val="single" w:color="auto" w:sz="4" w:space="0"/>
                  </w:tcBorders>
                  <w:noWrap w:val="0"/>
                  <w:tcMar>
                    <w:top w:w="12" w:type="dxa"/>
                    <w:left w:w="12" w:type="dxa"/>
                    <w:right w:w="12" w:type="dxa"/>
                  </w:tcMar>
                  <w:vAlign w:val="center"/>
                </w:tcPr>
                <w:p w14:paraId="7450C2F0">
                  <w:pPr>
                    <w:widowControl/>
                    <w:jc w:val="center"/>
                    <w:textAlignment w:val="center"/>
                    <w:rPr>
                      <w:rFonts w:hint="eastAsia"/>
                      <w:szCs w:val="21"/>
                    </w:rPr>
                  </w:pPr>
                  <w:r>
                    <w:rPr>
                      <w:szCs w:val="21"/>
                    </w:rPr>
                    <w:t>311-003-S01</w:t>
                  </w:r>
                </w:p>
              </w:tc>
              <w:tc>
                <w:tcPr>
                  <w:tcW w:w="1160" w:type="dxa"/>
                  <w:tcBorders>
                    <w:top w:val="single" w:color="auto" w:sz="4" w:space="0"/>
                  </w:tcBorders>
                  <w:noWrap/>
                  <w:tcMar>
                    <w:top w:w="12" w:type="dxa"/>
                    <w:left w:w="12" w:type="dxa"/>
                    <w:right w:w="12" w:type="dxa"/>
                  </w:tcMar>
                  <w:vAlign w:val="center"/>
                </w:tcPr>
                <w:p w14:paraId="45C2424D">
                  <w:pPr>
                    <w:widowControl/>
                    <w:jc w:val="center"/>
                    <w:textAlignment w:val="center"/>
                    <w:rPr>
                      <w:szCs w:val="21"/>
                    </w:rPr>
                  </w:pPr>
                  <w:r>
                    <w:rPr>
                      <w:kern w:val="0"/>
                      <w:szCs w:val="21"/>
                      <w:lang w:bidi="ar"/>
                    </w:rPr>
                    <w:t>/</w:t>
                  </w:r>
                </w:p>
              </w:tc>
              <w:tc>
                <w:tcPr>
                  <w:tcW w:w="960" w:type="dxa"/>
                  <w:tcBorders>
                    <w:top w:val="single" w:color="auto" w:sz="4" w:space="0"/>
                  </w:tcBorders>
                  <w:noWrap w:val="0"/>
                  <w:tcMar>
                    <w:top w:w="12" w:type="dxa"/>
                    <w:left w:w="12" w:type="dxa"/>
                    <w:right w:w="12" w:type="dxa"/>
                  </w:tcMar>
                  <w:vAlign w:val="center"/>
                </w:tcPr>
                <w:p w14:paraId="4509E776">
                  <w:pPr>
                    <w:widowControl/>
                    <w:jc w:val="center"/>
                    <w:textAlignment w:val="center"/>
                    <w:rPr>
                      <w:rFonts w:hint="eastAsia"/>
                      <w:szCs w:val="21"/>
                    </w:rPr>
                  </w:pPr>
                  <w:r>
                    <w:rPr>
                      <w:rFonts w:hint="eastAsia" w:ascii="宋体" w:hAnsi="宋体" w:cs="宋体"/>
                      <w:kern w:val="0"/>
                      <w:szCs w:val="21"/>
                      <w:lang w:bidi="ar"/>
                    </w:rPr>
                    <w:t>固态</w:t>
                  </w:r>
                  <w:r>
                    <w:rPr>
                      <w:kern w:val="0"/>
                      <w:szCs w:val="21"/>
                      <w:lang w:bidi="ar"/>
                    </w:rPr>
                    <w:t xml:space="preserve"> </w:t>
                  </w:r>
                </w:p>
              </w:tc>
              <w:tc>
                <w:tcPr>
                  <w:tcW w:w="760" w:type="dxa"/>
                  <w:tcBorders>
                    <w:top w:val="single" w:color="auto" w:sz="4" w:space="0"/>
                  </w:tcBorders>
                  <w:noWrap/>
                  <w:tcMar>
                    <w:top w:w="12" w:type="dxa"/>
                    <w:left w:w="12" w:type="dxa"/>
                    <w:right w:w="12" w:type="dxa"/>
                  </w:tcMar>
                  <w:vAlign w:val="center"/>
                </w:tcPr>
                <w:p w14:paraId="5E15CF15">
                  <w:pPr>
                    <w:widowControl/>
                    <w:jc w:val="center"/>
                    <w:textAlignment w:val="center"/>
                    <w:rPr>
                      <w:szCs w:val="21"/>
                    </w:rPr>
                  </w:pPr>
                  <w:r>
                    <w:rPr>
                      <w:kern w:val="0"/>
                      <w:szCs w:val="21"/>
                      <w:lang w:bidi="ar"/>
                    </w:rPr>
                    <w:t>/</w:t>
                  </w:r>
                </w:p>
              </w:tc>
              <w:tc>
                <w:tcPr>
                  <w:tcW w:w="995" w:type="dxa"/>
                  <w:tcBorders>
                    <w:top w:val="single" w:color="auto" w:sz="4" w:space="0"/>
                  </w:tcBorders>
                  <w:noWrap w:val="0"/>
                  <w:tcMar>
                    <w:top w:w="12" w:type="dxa"/>
                    <w:left w:w="12" w:type="dxa"/>
                    <w:right w:w="12" w:type="dxa"/>
                  </w:tcMar>
                  <w:vAlign w:val="center"/>
                </w:tcPr>
                <w:p w14:paraId="7E178B27">
                  <w:pPr>
                    <w:widowControl/>
                    <w:jc w:val="center"/>
                    <w:textAlignment w:val="center"/>
                    <w:rPr>
                      <w:rFonts w:hint="eastAsia"/>
                    </w:rPr>
                  </w:pPr>
                  <w:r>
                    <w:rPr>
                      <w:rFonts w:hint="eastAsia"/>
                    </w:rPr>
                    <w:t>0.</w:t>
                  </w:r>
                  <w:r>
                    <w:rPr>
                      <w:rFonts w:hint="eastAsia"/>
                      <w:lang w:val="en-US" w:eastAsia="zh-CN"/>
                    </w:rPr>
                    <w:t>8</w:t>
                  </w:r>
                  <w:r>
                    <w:rPr>
                      <w:rFonts w:hint="eastAsia"/>
                    </w:rPr>
                    <w:t>5</w:t>
                  </w:r>
                </w:p>
              </w:tc>
              <w:tc>
                <w:tcPr>
                  <w:tcW w:w="804" w:type="dxa"/>
                  <w:vMerge w:val="continue"/>
                  <w:noWrap w:val="0"/>
                  <w:tcMar>
                    <w:top w:w="12" w:type="dxa"/>
                    <w:left w:w="12" w:type="dxa"/>
                    <w:right w:w="12" w:type="dxa"/>
                  </w:tcMar>
                  <w:vAlign w:val="center"/>
                </w:tcPr>
                <w:p w14:paraId="7742751B">
                  <w:pPr>
                    <w:jc w:val="center"/>
                    <w:rPr>
                      <w:szCs w:val="21"/>
                    </w:rPr>
                  </w:pPr>
                </w:p>
              </w:tc>
              <w:tc>
                <w:tcPr>
                  <w:tcW w:w="1988" w:type="dxa"/>
                  <w:vMerge w:val="continue"/>
                  <w:noWrap w:val="0"/>
                  <w:tcMar>
                    <w:top w:w="12" w:type="dxa"/>
                    <w:left w:w="12" w:type="dxa"/>
                    <w:right w:w="12" w:type="dxa"/>
                  </w:tcMar>
                  <w:vAlign w:val="center"/>
                </w:tcPr>
                <w:p w14:paraId="5E4D6F06">
                  <w:pPr>
                    <w:widowControl/>
                    <w:jc w:val="center"/>
                    <w:textAlignment w:val="center"/>
                    <w:rPr>
                      <w:szCs w:val="21"/>
                    </w:rPr>
                  </w:pPr>
                </w:p>
              </w:tc>
              <w:tc>
                <w:tcPr>
                  <w:tcW w:w="814" w:type="dxa"/>
                  <w:tcBorders>
                    <w:top w:val="single" w:color="auto" w:sz="4" w:space="0"/>
                  </w:tcBorders>
                  <w:noWrap w:val="0"/>
                  <w:tcMar>
                    <w:top w:w="12" w:type="dxa"/>
                    <w:left w:w="12" w:type="dxa"/>
                    <w:right w:w="12" w:type="dxa"/>
                  </w:tcMar>
                  <w:vAlign w:val="center"/>
                </w:tcPr>
                <w:p w14:paraId="6AC4CECD">
                  <w:pPr>
                    <w:widowControl/>
                    <w:jc w:val="center"/>
                    <w:textAlignment w:val="center"/>
                  </w:pPr>
                  <w:r>
                    <w:rPr>
                      <w:rFonts w:hint="eastAsia"/>
                    </w:rPr>
                    <w:t>0.</w:t>
                  </w:r>
                  <w:r>
                    <w:rPr>
                      <w:rFonts w:hint="eastAsia"/>
                      <w:lang w:val="en-US" w:eastAsia="zh-CN"/>
                    </w:rPr>
                    <w:t>8</w:t>
                  </w:r>
                  <w:r>
                    <w:rPr>
                      <w:rFonts w:hint="eastAsia"/>
                    </w:rPr>
                    <w:t>5</w:t>
                  </w:r>
                </w:p>
              </w:tc>
            </w:tr>
            <w:tr w14:paraId="07B1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noWrap w:val="0"/>
                  <w:tcMar>
                    <w:top w:w="12" w:type="dxa"/>
                    <w:left w:w="12" w:type="dxa"/>
                    <w:right w:w="12" w:type="dxa"/>
                  </w:tcMar>
                  <w:vAlign w:val="center"/>
                </w:tcPr>
                <w:p w14:paraId="37A7F03C">
                  <w:pPr>
                    <w:widowControl/>
                    <w:jc w:val="center"/>
                    <w:textAlignment w:val="center"/>
                    <w:rPr>
                      <w:rFonts w:hint="eastAsia" w:eastAsia="宋体"/>
                      <w:szCs w:val="21"/>
                      <w:lang w:eastAsia="zh-CN"/>
                    </w:rPr>
                  </w:pPr>
                  <w:r>
                    <w:rPr>
                      <w:rFonts w:hint="eastAsia"/>
                      <w:szCs w:val="21"/>
                    </w:rPr>
                    <w:t>1</w:t>
                  </w:r>
                  <w:r>
                    <w:rPr>
                      <w:rFonts w:hint="eastAsia"/>
                      <w:szCs w:val="21"/>
                      <w:lang w:val="en-US" w:eastAsia="zh-CN"/>
                    </w:rPr>
                    <w:t>3</w:t>
                  </w:r>
                </w:p>
              </w:tc>
              <w:tc>
                <w:tcPr>
                  <w:tcW w:w="1160" w:type="dxa"/>
                  <w:noWrap/>
                  <w:tcMar>
                    <w:top w:w="12" w:type="dxa"/>
                    <w:left w:w="12" w:type="dxa"/>
                    <w:right w:w="12" w:type="dxa"/>
                  </w:tcMar>
                  <w:vAlign w:val="center"/>
                </w:tcPr>
                <w:p w14:paraId="468553E1">
                  <w:pPr>
                    <w:widowControl/>
                    <w:jc w:val="center"/>
                    <w:textAlignment w:val="center"/>
                    <w:rPr>
                      <w:rFonts w:hint="eastAsia"/>
                      <w:szCs w:val="21"/>
                    </w:rPr>
                  </w:pPr>
                  <w:r>
                    <w:rPr>
                      <w:rFonts w:hint="eastAsia"/>
                      <w:szCs w:val="21"/>
                    </w:rPr>
                    <w:t>检测</w:t>
                  </w:r>
                </w:p>
              </w:tc>
              <w:tc>
                <w:tcPr>
                  <w:tcW w:w="1574" w:type="dxa"/>
                  <w:noWrap w:val="0"/>
                  <w:tcMar>
                    <w:top w:w="12" w:type="dxa"/>
                    <w:left w:w="12" w:type="dxa"/>
                    <w:right w:w="12" w:type="dxa"/>
                  </w:tcMar>
                  <w:vAlign w:val="center"/>
                </w:tcPr>
                <w:p w14:paraId="6E668144">
                  <w:pPr>
                    <w:widowControl/>
                    <w:jc w:val="center"/>
                    <w:textAlignment w:val="center"/>
                    <w:rPr>
                      <w:szCs w:val="21"/>
                    </w:rPr>
                  </w:pPr>
                  <w:r>
                    <w:rPr>
                      <w:rFonts w:hint="eastAsia" w:ascii="宋体" w:hAnsi="宋体" w:cs="宋体"/>
                      <w:kern w:val="0"/>
                      <w:szCs w:val="21"/>
                      <w:lang w:bidi="ar"/>
                    </w:rPr>
                    <w:t>不合格品</w:t>
                  </w:r>
                </w:p>
              </w:tc>
              <w:tc>
                <w:tcPr>
                  <w:tcW w:w="1146" w:type="dxa"/>
                  <w:noWrap w:val="0"/>
                  <w:tcMar>
                    <w:top w:w="12" w:type="dxa"/>
                    <w:left w:w="12" w:type="dxa"/>
                    <w:right w:w="12" w:type="dxa"/>
                  </w:tcMar>
                  <w:vAlign w:val="center"/>
                </w:tcPr>
                <w:p w14:paraId="135C7EE9">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486BEB72">
                  <w:pPr>
                    <w:widowControl/>
                    <w:jc w:val="center"/>
                    <w:textAlignment w:val="center"/>
                    <w:rPr>
                      <w:szCs w:val="21"/>
                    </w:rPr>
                  </w:pPr>
                  <w:r>
                    <w:rPr>
                      <w:rFonts w:hint="eastAsia"/>
                      <w:kern w:val="0"/>
                      <w:szCs w:val="21"/>
                      <w:lang w:bidi="ar"/>
                    </w:rPr>
                    <w:t>367-999-09-（0001）</w:t>
                  </w:r>
                </w:p>
              </w:tc>
              <w:tc>
                <w:tcPr>
                  <w:tcW w:w="1160" w:type="dxa"/>
                  <w:noWrap/>
                  <w:tcMar>
                    <w:top w:w="12" w:type="dxa"/>
                    <w:left w:w="12" w:type="dxa"/>
                    <w:right w:w="12" w:type="dxa"/>
                  </w:tcMar>
                  <w:vAlign w:val="center"/>
                </w:tcPr>
                <w:p w14:paraId="47EBCD9C">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6CC1C449">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tcMar>
                    <w:top w:w="12" w:type="dxa"/>
                    <w:left w:w="12" w:type="dxa"/>
                    <w:right w:w="12" w:type="dxa"/>
                  </w:tcMar>
                  <w:vAlign w:val="center"/>
                </w:tcPr>
                <w:p w14:paraId="5FF0983B">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705F0662">
                  <w:pPr>
                    <w:widowControl/>
                    <w:jc w:val="center"/>
                    <w:textAlignment w:val="center"/>
                    <w:rPr>
                      <w:rFonts w:hint="default" w:eastAsia="宋体"/>
                      <w:szCs w:val="21"/>
                      <w:lang w:val="en-US" w:eastAsia="zh-CN"/>
                    </w:rPr>
                  </w:pPr>
                  <w:r>
                    <w:rPr>
                      <w:rFonts w:hint="eastAsia"/>
                      <w:kern w:val="0"/>
                      <w:szCs w:val="21"/>
                      <w:lang w:val="en-US" w:eastAsia="zh-CN" w:bidi="ar"/>
                    </w:rPr>
                    <w:t>3.5</w:t>
                  </w:r>
                </w:p>
              </w:tc>
              <w:tc>
                <w:tcPr>
                  <w:tcW w:w="804" w:type="dxa"/>
                  <w:vMerge w:val="continue"/>
                  <w:noWrap w:val="0"/>
                  <w:tcMar>
                    <w:top w:w="12" w:type="dxa"/>
                    <w:left w:w="12" w:type="dxa"/>
                    <w:right w:w="12" w:type="dxa"/>
                  </w:tcMar>
                  <w:vAlign w:val="center"/>
                </w:tcPr>
                <w:p w14:paraId="4D0A4306">
                  <w:pPr>
                    <w:jc w:val="center"/>
                    <w:rPr>
                      <w:szCs w:val="21"/>
                    </w:rPr>
                  </w:pPr>
                </w:p>
              </w:tc>
              <w:tc>
                <w:tcPr>
                  <w:tcW w:w="1988" w:type="dxa"/>
                  <w:vMerge w:val="continue"/>
                  <w:noWrap w:val="0"/>
                  <w:tcMar>
                    <w:top w:w="12" w:type="dxa"/>
                    <w:left w:w="12" w:type="dxa"/>
                    <w:right w:w="12" w:type="dxa"/>
                  </w:tcMar>
                  <w:vAlign w:val="center"/>
                </w:tcPr>
                <w:p w14:paraId="3D8BC604">
                  <w:pPr>
                    <w:widowControl/>
                    <w:jc w:val="center"/>
                    <w:textAlignment w:val="center"/>
                    <w:rPr>
                      <w:szCs w:val="21"/>
                    </w:rPr>
                  </w:pPr>
                </w:p>
              </w:tc>
              <w:tc>
                <w:tcPr>
                  <w:tcW w:w="814" w:type="dxa"/>
                  <w:noWrap w:val="0"/>
                  <w:tcMar>
                    <w:top w:w="12" w:type="dxa"/>
                    <w:left w:w="12" w:type="dxa"/>
                    <w:right w:w="12" w:type="dxa"/>
                  </w:tcMar>
                  <w:vAlign w:val="center"/>
                </w:tcPr>
                <w:p w14:paraId="61902DD0">
                  <w:pPr>
                    <w:widowControl/>
                    <w:jc w:val="center"/>
                    <w:textAlignment w:val="center"/>
                  </w:pPr>
                  <w:r>
                    <w:rPr>
                      <w:rFonts w:hint="eastAsia"/>
                      <w:kern w:val="0"/>
                      <w:szCs w:val="21"/>
                      <w:lang w:val="en-US" w:eastAsia="zh-CN" w:bidi="ar"/>
                    </w:rPr>
                    <w:t>3.5</w:t>
                  </w:r>
                </w:p>
              </w:tc>
            </w:tr>
            <w:tr w14:paraId="18B1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3" w:type="dxa"/>
                  <w:noWrap w:val="0"/>
                  <w:tcMar>
                    <w:top w:w="12" w:type="dxa"/>
                    <w:left w:w="12" w:type="dxa"/>
                    <w:right w:w="12" w:type="dxa"/>
                  </w:tcMar>
                  <w:vAlign w:val="center"/>
                </w:tcPr>
                <w:p w14:paraId="630F373D">
                  <w:pPr>
                    <w:widowControl/>
                    <w:jc w:val="center"/>
                    <w:textAlignment w:val="center"/>
                    <w:rPr>
                      <w:rFonts w:hint="eastAsia" w:eastAsia="宋体"/>
                      <w:szCs w:val="21"/>
                      <w:lang w:eastAsia="zh-CN"/>
                    </w:rPr>
                  </w:pPr>
                  <w:r>
                    <w:rPr>
                      <w:rFonts w:hint="eastAsia"/>
                      <w:szCs w:val="21"/>
                    </w:rPr>
                    <w:t>1</w:t>
                  </w:r>
                  <w:r>
                    <w:rPr>
                      <w:rFonts w:hint="eastAsia"/>
                      <w:szCs w:val="21"/>
                      <w:lang w:val="en-US" w:eastAsia="zh-CN"/>
                    </w:rPr>
                    <w:t>4</w:t>
                  </w:r>
                </w:p>
              </w:tc>
              <w:tc>
                <w:tcPr>
                  <w:tcW w:w="1160" w:type="dxa"/>
                  <w:noWrap/>
                  <w:tcMar>
                    <w:top w:w="12" w:type="dxa"/>
                    <w:left w:w="12" w:type="dxa"/>
                    <w:right w:w="12" w:type="dxa"/>
                  </w:tcMar>
                  <w:vAlign w:val="center"/>
                </w:tcPr>
                <w:p w14:paraId="1D70BBF8">
                  <w:pPr>
                    <w:widowControl/>
                    <w:jc w:val="center"/>
                    <w:textAlignment w:val="center"/>
                    <w:rPr>
                      <w:szCs w:val="21"/>
                    </w:rPr>
                  </w:pPr>
                  <w:r>
                    <w:rPr>
                      <w:rFonts w:hint="eastAsia" w:ascii="宋体" w:hAnsi="宋体" w:cs="宋体"/>
                      <w:kern w:val="0"/>
                      <w:szCs w:val="21"/>
                      <w:lang w:bidi="ar"/>
                    </w:rPr>
                    <w:t>废气处理</w:t>
                  </w:r>
                </w:p>
              </w:tc>
              <w:tc>
                <w:tcPr>
                  <w:tcW w:w="1574" w:type="dxa"/>
                  <w:noWrap w:val="0"/>
                  <w:tcMar>
                    <w:top w:w="12" w:type="dxa"/>
                    <w:left w:w="12" w:type="dxa"/>
                    <w:right w:w="12" w:type="dxa"/>
                  </w:tcMar>
                  <w:vAlign w:val="center"/>
                </w:tcPr>
                <w:p w14:paraId="5116E5DE">
                  <w:pPr>
                    <w:widowControl/>
                    <w:jc w:val="center"/>
                    <w:textAlignment w:val="center"/>
                    <w:rPr>
                      <w:szCs w:val="21"/>
                    </w:rPr>
                  </w:pPr>
                  <w:r>
                    <w:rPr>
                      <w:rFonts w:hint="eastAsia" w:ascii="宋体" w:hAnsi="宋体" w:cs="宋体"/>
                      <w:kern w:val="0"/>
                      <w:szCs w:val="21"/>
                      <w:lang w:bidi="ar"/>
                    </w:rPr>
                    <w:t>抛丸机布袋除尘器收集粉尘</w:t>
                  </w:r>
                </w:p>
              </w:tc>
              <w:tc>
                <w:tcPr>
                  <w:tcW w:w="1146" w:type="dxa"/>
                  <w:noWrap w:val="0"/>
                  <w:tcMar>
                    <w:top w:w="12" w:type="dxa"/>
                    <w:left w:w="12" w:type="dxa"/>
                    <w:right w:w="12" w:type="dxa"/>
                  </w:tcMar>
                  <w:vAlign w:val="center"/>
                </w:tcPr>
                <w:p w14:paraId="4EFAFEB6">
                  <w:pPr>
                    <w:widowControl/>
                    <w:jc w:val="center"/>
                    <w:textAlignment w:val="center"/>
                    <w:rPr>
                      <w:szCs w:val="21"/>
                    </w:rPr>
                  </w:pPr>
                  <w:r>
                    <w:rPr>
                      <w:rFonts w:hint="eastAsia" w:ascii="宋体" w:hAnsi="宋体" w:cs="宋体"/>
                      <w:kern w:val="0"/>
                      <w:szCs w:val="21"/>
                      <w:lang w:bidi="ar"/>
                    </w:rPr>
                    <w:t>一般固废</w:t>
                  </w:r>
                </w:p>
              </w:tc>
              <w:tc>
                <w:tcPr>
                  <w:tcW w:w="1160" w:type="dxa"/>
                  <w:noWrap w:val="0"/>
                  <w:tcMar>
                    <w:top w:w="12" w:type="dxa"/>
                    <w:left w:w="12" w:type="dxa"/>
                    <w:right w:w="12" w:type="dxa"/>
                  </w:tcMar>
                  <w:vAlign w:val="center"/>
                </w:tcPr>
                <w:p w14:paraId="1E723B56">
                  <w:pPr>
                    <w:widowControl/>
                    <w:jc w:val="center"/>
                    <w:textAlignment w:val="center"/>
                    <w:rPr>
                      <w:szCs w:val="21"/>
                    </w:rPr>
                  </w:pPr>
                  <w:r>
                    <w:rPr>
                      <w:szCs w:val="21"/>
                    </w:rPr>
                    <w:t>311-001-S01</w:t>
                  </w:r>
                </w:p>
              </w:tc>
              <w:tc>
                <w:tcPr>
                  <w:tcW w:w="1160" w:type="dxa"/>
                  <w:noWrap/>
                  <w:tcMar>
                    <w:top w:w="12" w:type="dxa"/>
                    <w:left w:w="12" w:type="dxa"/>
                    <w:right w:w="12" w:type="dxa"/>
                  </w:tcMar>
                  <w:vAlign w:val="center"/>
                </w:tcPr>
                <w:p w14:paraId="6E797BFA">
                  <w:pPr>
                    <w:widowControl/>
                    <w:jc w:val="center"/>
                    <w:textAlignment w:val="center"/>
                    <w:rPr>
                      <w:szCs w:val="21"/>
                    </w:rPr>
                  </w:pPr>
                  <w:r>
                    <w:rPr>
                      <w:kern w:val="0"/>
                      <w:szCs w:val="21"/>
                      <w:lang w:bidi="ar"/>
                    </w:rPr>
                    <w:t>/</w:t>
                  </w:r>
                </w:p>
              </w:tc>
              <w:tc>
                <w:tcPr>
                  <w:tcW w:w="960" w:type="dxa"/>
                  <w:noWrap w:val="0"/>
                  <w:tcMar>
                    <w:top w:w="12" w:type="dxa"/>
                    <w:left w:w="12" w:type="dxa"/>
                    <w:right w:w="12" w:type="dxa"/>
                  </w:tcMar>
                  <w:vAlign w:val="center"/>
                </w:tcPr>
                <w:p w14:paraId="6C1B3FF5">
                  <w:pPr>
                    <w:widowControl/>
                    <w:jc w:val="center"/>
                    <w:textAlignment w:val="center"/>
                    <w:rPr>
                      <w:szCs w:val="21"/>
                    </w:rPr>
                  </w:pPr>
                  <w:r>
                    <w:rPr>
                      <w:rFonts w:hint="eastAsia" w:ascii="宋体" w:hAnsi="宋体" w:cs="宋体"/>
                      <w:kern w:val="0"/>
                      <w:szCs w:val="21"/>
                      <w:lang w:bidi="ar"/>
                    </w:rPr>
                    <w:t>固态</w:t>
                  </w:r>
                  <w:r>
                    <w:rPr>
                      <w:kern w:val="0"/>
                      <w:szCs w:val="21"/>
                      <w:lang w:bidi="ar"/>
                    </w:rPr>
                    <w:t xml:space="preserve">  </w:t>
                  </w:r>
                </w:p>
              </w:tc>
              <w:tc>
                <w:tcPr>
                  <w:tcW w:w="760" w:type="dxa"/>
                  <w:noWrap/>
                  <w:tcMar>
                    <w:top w:w="12" w:type="dxa"/>
                    <w:left w:w="12" w:type="dxa"/>
                    <w:right w:w="12" w:type="dxa"/>
                  </w:tcMar>
                  <w:vAlign w:val="center"/>
                </w:tcPr>
                <w:p w14:paraId="479102B1">
                  <w:pPr>
                    <w:widowControl/>
                    <w:jc w:val="center"/>
                    <w:textAlignment w:val="center"/>
                    <w:rPr>
                      <w:szCs w:val="21"/>
                    </w:rPr>
                  </w:pPr>
                  <w:r>
                    <w:rPr>
                      <w:kern w:val="0"/>
                      <w:szCs w:val="21"/>
                      <w:lang w:bidi="ar"/>
                    </w:rPr>
                    <w:t>/</w:t>
                  </w:r>
                </w:p>
              </w:tc>
              <w:tc>
                <w:tcPr>
                  <w:tcW w:w="995" w:type="dxa"/>
                  <w:noWrap w:val="0"/>
                  <w:tcMar>
                    <w:top w:w="12" w:type="dxa"/>
                    <w:left w:w="12" w:type="dxa"/>
                    <w:right w:w="12" w:type="dxa"/>
                  </w:tcMar>
                  <w:vAlign w:val="center"/>
                </w:tcPr>
                <w:p w14:paraId="6B85F77B">
                  <w:pPr>
                    <w:jc w:val="center"/>
                    <w:rPr>
                      <w:rFonts w:hint="default" w:eastAsia="宋体"/>
                      <w:lang w:val="en-US" w:eastAsia="zh-CN"/>
                    </w:rPr>
                  </w:pPr>
                  <w:r>
                    <w:rPr>
                      <w:rFonts w:hint="eastAsia"/>
                      <w:lang w:val="en-US" w:eastAsia="zh-CN"/>
                    </w:rPr>
                    <w:t>15.023</w:t>
                  </w:r>
                </w:p>
              </w:tc>
              <w:tc>
                <w:tcPr>
                  <w:tcW w:w="804" w:type="dxa"/>
                  <w:vMerge w:val="continue"/>
                  <w:noWrap w:val="0"/>
                  <w:tcMar>
                    <w:top w:w="12" w:type="dxa"/>
                    <w:left w:w="12" w:type="dxa"/>
                    <w:right w:w="12" w:type="dxa"/>
                  </w:tcMar>
                  <w:vAlign w:val="center"/>
                </w:tcPr>
                <w:p w14:paraId="230A83DB">
                  <w:pPr>
                    <w:jc w:val="center"/>
                    <w:rPr>
                      <w:szCs w:val="21"/>
                    </w:rPr>
                  </w:pPr>
                </w:p>
              </w:tc>
              <w:tc>
                <w:tcPr>
                  <w:tcW w:w="1988" w:type="dxa"/>
                  <w:vMerge w:val="continue"/>
                  <w:noWrap w:val="0"/>
                  <w:tcMar>
                    <w:top w:w="12" w:type="dxa"/>
                    <w:left w:w="12" w:type="dxa"/>
                    <w:right w:w="12" w:type="dxa"/>
                  </w:tcMar>
                  <w:vAlign w:val="center"/>
                </w:tcPr>
                <w:p w14:paraId="1BB7E2F2">
                  <w:pPr>
                    <w:widowControl/>
                    <w:jc w:val="center"/>
                    <w:textAlignment w:val="center"/>
                    <w:rPr>
                      <w:szCs w:val="21"/>
                    </w:rPr>
                  </w:pPr>
                </w:p>
              </w:tc>
              <w:tc>
                <w:tcPr>
                  <w:tcW w:w="814" w:type="dxa"/>
                  <w:noWrap w:val="0"/>
                  <w:tcMar>
                    <w:top w:w="12" w:type="dxa"/>
                    <w:left w:w="12" w:type="dxa"/>
                    <w:right w:w="12" w:type="dxa"/>
                  </w:tcMar>
                  <w:vAlign w:val="center"/>
                </w:tcPr>
                <w:p w14:paraId="64F2BBBA">
                  <w:pPr>
                    <w:jc w:val="center"/>
                    <w:rPr>
                      <w:kern w:val="0"/>
                      <w:sz w:val="22"/>
                      <w:szCs w:val="22"/>
                    </w:rPr>
                  </w:pPr>
                  <w:r>
                    <w:rPr>
                      <w:rFonts w:hint="eastAsia"/>
                      <w:lang w:val="en-US" w:eastAsia="zh-CN"/>
                    </w:rPr>
                    <w:t>15.023</w:t>
                  </w:r>
                </w:p>
              </w:tc>
            </w:tr>
            <w:tr w14:paraId="0E21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653" w:type="dxa"/>
                  <w:gridSpan w:val="8"/>
                  <w:noWrap w:val="0"/>
                  <w:tcMar>
                    <w:top w:w="12" w:type="dxa"/>
                    <w:left w:w="12" w:type="dxa"/>
                    <w:right w:w="12" w:type="dxa"/>
                  </w:tcMar>
                  <w:vAlign w:val="center"/>
                </w:tcPr>
                <w:p w14:paraId="5DBF41C4">
                  <w:pPr>
                    <w:widowControl/>
                    <w:jc w:val="center"/>
                    <w:textAlignment w:val="center"/>
                    <w:rPr>
                      <w:rFonts w:hint="eastAsia" w:eastAsia="宋体"/>
                      <w:kern w:val="0"/>
                      <w:szCs w:val="21"/>
                      <w:lang w:val="en-US" w:eastAsia="zh-CN" w:bidi="ar"/>
                    </w:rPr>
                  </w:pPr>
                  <w:r>
                    <w:rPr>
                      <w:rFonts w:hint="eastAsia"/>
                      <w:kern w:val="0"/>
                      <w:szCs w:val="21"/>
                      <w:lang w:val="en-US" w:eastAsia="zh-CN" w:bidi="ar"/>
                    </w:rPr>
                    <w:t>一般工业固废合计</w:t>
                  </w:r>
                </w:p>
              </w:tc>
              <w:tc>
                <w:tcPr>
                  <w:tcW w:w="995" w:type="dxa"/>
                  <w:noWrap w:val="0"/>
                  <w:tcMar>
                    <w:top w:w="12" w:type="dxa"/>
                    <w:left w:w="12" w:type="dxa"/>
                    <w:right w:w="12" w:type="dxa"/>
                  </w:tcMar>
                  <w:vAlign w:val="center"/>
                </w:tcPr>
                <w:p w14:paraId="0DDB2909">
                  <w:pPr>
                    <w:jc w:val="center"/>
                    <w:rPr>
                      <w:rFonts w:hint="default"/>
                      <w:lang w:val="en-US" w:eastAsia="zh-CN"/>
                    </w:rPr>
                  </w:pPr>
                  <w:r>
                    <w:rPr>
                      <w:rFonts w:hint="eastAsia"/>
                      <w:lang w:val="en-US" w:eastAsia="zh-CN"/>
                    </w:rPr>
                    <w:t>60.26</w:t>
                  </w:r>
                </w:p>
              </w:tc>
              <w:tc>
                <w:tcPr>
                  <w:tcW w:w="804" w:type="dxa"/>
                  <w:vMerge w:val="continue"/>
                  <w:noWrap w:val="0"/>
                  <w:tcMar>
                    <w:top w:w="12" w:type="dxa"/>
                    <w:left w:w="12" w:type="dxa"/>
                    <w:right w:w="12" w:type="dxa"/>
                  </w:tcMar>
                  <w:vAlign w:val="center"/>
                </w:tcPr>
                <w:p w14:paraId="0573A66E">
                  <w:pPr>
                    <w:jc w:val="center"/>
                    <w:rPr>
                      <w:szCs w:val="21"/>
                    </w:rPr>
                  </w:pPr>
                </w:p>
              </w:tc>
              <w:tc>
                <w:tcPr>
                  <w:tcW w:w="1988" w:type="dxa"/>
                  <w:vMerge w:val="continue"/>
                  <w:noWrap w:val="0"/>
                  <w:tcMar>
                    <w:top w:w="12" w:type="dxa"/>
                    <w:left w:w="12" w:type="dxa"/>
                    <w:right w:w="12" w:type="dxa"/>
                  </w:tcMar>
                  <w:vAlign w:val="center"/>
                </w:tcPr>
                <w:p w14:paraId="7D7F5F6A">
                  <w:pPr>
                    <w:widowControl/>
                    <w:jc w:val="center"/>
                    <w:textAlignment w:val="center"/>
                    <w:rPr>
                      <w:szCs w:val="21"/>
                    </w:rPr>
                  </w:pPr>
                </w:p>
              </w:tc>
              <w:tc>
                <w:tcPr>
                  <w:tcW w:w="814" w:type="dxa"/>
                  <w:noWrap w:val="0"/>
                  <w:tcMar>
                    <w:top w:w="12" w:type="dxa"/>
                    <w:left w:w="12" w:type="dxa"/>
                    <w:right w:w="12" w:type="dxa"/>
                  </w:tcMar>
                  <w:vAlign w:val="center"/>
                </w:tcPr>
                <w:p w14:paraId="7B04690A">
                  <w:pPr>
                    <w:jc w:val="center"/>
                    <w:rPr>
                      <w:rFonts w:hint="eastAsia"/>
                      <w:sz w:val="22"/>
                      <w:szCs w:val="22"/>
                    </w:rPr>
                  </w:pPr>
                  <w:r>
                    <w:rPr>
                      <w:rFonts w:hint="eastAsia"/>
                      <w:lang w:val="en-US" w:eastAsia="zh-CN"/>
                    </w:rPr>
                    <w:t>60.26</w:t>
                  </w:r>
                </w:p>
              </w:tc>
            </w:tr>
            <w:bookmarkEnd w:id="11"/>
          </w:tbl>
          <w:p w14:paraId="522D4339">
            <w:pPr>
              <w:tabs>
                <w:tab w:val="left" w:pos="1380"/>
              </w:tabs>
              <w:rPr>
                <w:rFonts w:hint="eastAsia" w:eastAsia="宋体"/>
                <w:lang w:eastAsia="zh-CN"/>
              </w:rPr>
            </w:pPr>
          </w:p>
        </w:tc>
      </w:tr>
    </w:tbl>
    <w:p w14:paraId="01AF6797">
      <w:pPr>
        <w:tabs>
          <w:tab w:val="left" w:pos="1380"/>
        </w:tabs>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p w14:paraId="085B409F">
      <w:pPr>
        <w:tabs>
          <w:tab w:val="left" w:pos="1380"/>
        </w:tabs>
        <w:rPr>
          <w:rFonts w:hint="eastAsia"/>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7999"/>
      </w:tblGrid>
      <w:tr w14:paraId="2AF7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noWrap w:val="0"/>
            <w:vAlign w:val="center"/>
          </w:tcPr>
          <w:p w14:paraId="035B3380">
            <w:pPr>
              <w:adjustRightInd w:val="0"/>
              <w:snapToGrid w:val="0"/>
              <w:jc w:val="center"/>
              <w:rPr>
                <w:rFonts w:hint="eastAsia" w:ascii="宋体" w:hAnsi="宋体" w:cs="宋体"/>
                <w:b/>
                <w:bCs/>
                <w:szCs w:val="21"/>
              </w:rPr>
            </w:pPr>
            <w:r>
              <w:rPr>
                <w:rFonts w:hint="eastAsia" w:ascii="宋体" w:hAnsi="宋体" w:cs="宋体"/>
                <w:b/>
                <w:bCs/>
                <w:szCs w:val="21"/>
              </w:rPr>
              <w:t>运营</w:t>
            </w:r>
          </w:p>
          <w:p w14:paraId="15CC2DE4">
            <w:pPr>
              <w:adjustRightInd w:val="0"/>
              <w:snapToGrid w:val="0"/>
              <w:jc w:val="center"/>
              <w:rPr>
                <w:rFonts w:hint="eastAsia" w:ascii="宋体" w:hAnsi="宋体" w:cs="宋体"/>
                <w:b/>
                <w:bCs/>
                <w:szCs w:val="21"/>
              </w:rPr>
            </w:pPr>
            <w:r>
              <w:rPr>
                <w:rFonts w:hint="eastAsia" w:ascii="宋体" w:hAnsi="宋体" w:cs="宋体"/>
                <w:b/>
                <w:bCs/>
                <w:szCs w:val="21"/>
              </w:rPr>
              <w:t>期环</w:t>
            </w:r>
          </w:p>
          <w:p w14:paraId="03D3787A">
            <w:pPr>
              <w:adjustRightInd w:val="0"/>
              <w:snapToGrid w:val="0"/>
              <w:jc w:val="center"/>
              <w:rPr>
                <w:rFonts w:hint="eastAsia" w:ascii="宋体" w:hAnsi="宋体" w:cs="宋体"/>
                <w:b/>
                <w:bCs/>
                <w:szCs w:val="21"/>
              </w:rPr>
            </w:pPr>
            <w:r>
              <w:rPr>
                <w:rFonts w:hint="eastAsia" w:ascii="宋体" w:hAnsi="宋体" w:cs="宋体"/>
                <w:b/>
                <w:bCs/>
                <w:szCs w:val="21"/>
              </w:rPr>
              <w:t>境影</w:t>
            </w:r>
          </w:p>
          <w:p w14:paraId="1FE99BC9">
            <w:pPr>
              <w:adjustRightInd w:val="0"/>
              <w:snapToGrid w:val="0"/>
              <w:jc w:val="center"/>
              <w:rPr>
                <w:rFonts w:hint="eastAsia" w:ascii="宋体" w:hAnsi="宋体" w:cs="宋体"/>
                <w:b/>
                <w:bCs/>
                <w:szCs w:val="21"/>
              </w:rPr>
            </w:pPr>
            <w:r>
              <w:rPr>
                <w:rFonts w:hint="eastAsia" w:ascii="宋体" w:hAnsi="宋体" w:cs="宋体"/>
                <w:b/>
                <w:bCs/>
                <w:szCs w:val="21"/>
              </w:rPr>
              <w:t>响和</w:t>
            </w:r>
          </w:p>
          <w:p w14:paraId="49D70652">
            <w:pPr>
              <w:adjustRightInd w:val="0"/>
              <w:snapToGrid w:val="0"/>
              <w:jc w:val="center"/>
              <w:rPr>
                <w:rFonts w:hint="eastAsia" w:ascii="宋体" w:hAnsi="宋体" w:cs="宋体"/>
                <w:b/>
                <w:bCs/>
                <w:szCs w:val="21"/>
              </w:rPr>
            </w:pPr>
            <w:r>
              <w:rPr>
                <w:rFonts w:hint="eastAsia" w:ascii="宋体" w:hAnsi="宋体" w:cs="宋体"/>
                <w:b/>
                <w:bCs/>
                <w:szCs w:val="21"/>
              </w:rPr>
              <w:t>保护</w:t>
            </w:r>
          </w:p>
          <w:p w14:paraId="686CB11A">
            <w:pPr>
              <w:adjustRightInd w:val="0"/>
              <w:snapToGrid w:val="0"/>
              <w:jc w:val="center"/>
              <w:rPr>
                <w:rFonts w:hint="eastAsia"/>
                <w:szCs w:val="21"/>
              </w:rPr>
            </w:pPr>
            <w:r>
              <w:rPr>
                <w:rFonts w:hint="eastAsia" w:ascii="宋体" w:hAnsi="宋体" w:cs="宋体"/>
                <w:b/>
                <w:bCs/>
                <w:szCs w:val="21"/>
              </w:rPr>
              <w:t>措施</w:t>
            </w:r>
          </w:p>
        </w:tc>
        <w:tc>
          <w:tcPr>
            <w:tcW w:w="7999" w:type="dxa"/>
            <w:noWrap w:val="0"/>
            <w:vAlign w:val="top"/>
          </w:tcPr>
          <w:p w14:paraId="738196FE">
            <w:pPr>
              <w:pStyle w:val="14"/>
              <w:spacing w:line="360" w:lineRule="auto"/>
              <w:ind w:left="0" w:leftChars="0" w:firstLine="482"/>
              <w:rPr>
                <w:rFonts w:hint="eastAsia"/>
                <w:b/>
                <w:bCs/>
                <w:sz w:val="24"/>
              </w:rPr>
            </w:pPr>
            <w:r>
              <w:rPr>
                <w:rFonts w:hint="eastAsia"/>
                <w:b/>
                <w:bCs/>
                <w:sz w:val="24"/>
              </w:rPr>
              <w:t>固体废物环境管理要求：</w:t>
            </w:r>
          </w:p>
          <w:p w14:paraId="1B994FF6">
            <w:pPr>
              <w:widowControl/>
              <w:adjustRightInd w:val="0"/>
              <w:snapToGrid w:val="0"/>
              <w:spacing w:line="360" w:lineRule="auto"/>
              <w:ind w:firstLine="480" w:firstLineChars="200"/>
              <w:rPr>
                <w:rFonts w:hint="eastAsia"/>
                <w:sz w:val="24"/>
              </w:rPr>
            </w:pPr>
            <w:r>
              <w:rPr>
                <w:rFonts w:hint="eastAsia"/>
                <w:sz w:val="24"/>
              </w:rPr>
              <w:t>1、本项目新建1座</w:t>
            </w:r>
            <w:r>
              <w:rPr>
                <w:sz w:val="24"/>
              </w:rPr>
              <w:t>占地</w:t>
            </w:r>
            <w:r>
              <w:rPr>
                <w:rFonts w:hint="eastAsia"/>
                <w:sz w:val="24"/>
              </w:rPr>
              <w:t>28m</w:t>
            </w:r>
            <w:r>
              <w:rPr>
                <w:rFonts w:hint="eastAsia"/>
                <w:sz w:val="24"/>
                <w:vertAlign w:val="superscript"/>
              </w:rPr>
              <w:t>2</w:t>
            </w:r>
            <w:r>
              <w:rPr>
                <w:sz w:val="24"/>
              </w:rPr>
              <w:t>的一般固废暂存间，贮存能力约</w:t>
            </w:r>
            <w:r>
              <w:rPr>
                <w:rFonts w:hint="eastAsia"/>
                <w:sz w:val="24"/>
              </w:rPr>
              <w:t>28</w:t>
            </w:r>
            <w:r>
              <w:rPr>
                <w:sz w:val="24"/>
              </w:rPr>
              <w:t>吨</w:t>
            </w:r>
            <w:r>
              <w:rPr>
                <w:rFonts w:hint="eastAsia"/>
                <w:sz w:val="24"/>
              </w:rPr>
              <w:t>，每季度</w:t>
            </w:r>
            <w:r>
              <w:rPr>
                <w:sz w:val="24"/>
              </w:rPr>
              <w:t>清理一次，可满足项目一般固废暂存需求</w:t>
            </w:r>
            <w:r>
              <w:rPr>
                <w:rFonts w:hint="eastAsia"/>
                <w:sz w:val="24"/>
              </w:rPr>
              <w:t>。环评要求</w:t>
            </w:r>
            <w:r>
              <w:rPr>
                <w:sz w:val="24"/>
              </w:rPr>
              <w:t>企业</w:t>
            </w:r>
            <w:r>
              <w:rPr>
                <w:rFonts w:hint="eastAsia"/>
                <w:sz w:val="24"/>
              </w:rPr>
              <w:t>对</w:t>
            </w:r>
            <w:r>
              <w:rPr>
                <w:sz w:val="24"/>
              </w:rPr>
              <w:t>一般固废分类存储，</w:t>
            </w:r>
            <w:r>
              <w:rPr>
                <w:rFonts w:hint="eastAsia"/>
                <w:sz w:val="24"/>
              </w:rPr>
              <w:t>粉状</w:t>
            </w:r>
            <w:r>
              <w:rPr>
                <w:sz w:val="24"/>
              </w:rPr>
              <w:t>固废应袋装存储，减少储存过程粉尘污染，同时应</w:t>
            </w:r>
            <w:r>
              <w:rPr>
                <w:rFonts w:hint="eastAsia"/>
                <w:sz w:val="24"/>
              </w:rPr>
              <w:t>完善档案</w:t>
            </w:r>
            <w:r>
              <w:rPr>
                <w:sz w:val="24"/>
              </w:rPr>
              <w:t>管理制度，</w:t>
            </w:r>
            <w:r>
              <w:rPr>
                <w:rFonts w:hint="eastAsia"/>
                <w:sz w:val="24"/>
              </w:rPr>
              <w:t>记录</w:t>
            </w:r>
            <w:r>
              <w:rPr>
                <w:sz w:val="24"/>
              </w:rPr>
              <w:t>废物来源、种类、数量、处置方式等信息</w:t>
            </w:r>
            <w:r>
              <w:rPr>
                <w:rFonts w:hint="eastAsia"/>
                <w:sz w:val="24"/>
              </w:rPr>
              <w:t>。</w:t>
            </w:r>
          </w:p>
          <w:p w14:paraId="1DB49C50">
            <w:pPr>
              <w:widowControl/>
              <w:adjustRightInd w:val="0"/>
              <w:snapToGrid w:val="0"/>
              <w:spacing w:line="360" w:lineRule="auto"/>
              <w:ind w:firstLine="480" w:firstLineChars="200"/>
              <w:rPr>
                <w:sz w:val="24"/>
              </w:rPr>
            </w:pPr>
            <w:r>
              <w:rPr>
                <w:rFonts w:hint="eastAsia"/>
                <w:sz w:val="24"/>
              </w:rPr>
              <w:t>2、</w:t>
            </w:r>
            <w:r>
              <w:rPr>
                <w:sz w:val="24"/>
              </w:rPr>
              <w:t>本项目</w:t>
            </w:r>
            <w:r>
              <w:rPr>
                <w:rFonts w:hint="eastAsia"/>
                <w:sz w:val="24"/>
              </w:rPr>
              <w:t>新建</w:t>
            </w:r>
            <w:r>
              <w:rPr>
                <w:sz w:val="24"/>
              </w:rPr>
              <w:t>危废暂存间一座，面积约</w:t>
            </w:r>
            <w:r>
              <w:rPr>
                <w:rFonts w:hint="eastAsia"/>
                <w:sz w:val="24"/>
              </w:rPr>
              <w:t>28</w:t>
            </w:r>
            <w:r>
              <w:rPr>
                <w:sz w:val="24"/>
              </w:rPr>
              <w:t>m</w:t>
            </w:r>
            <w:r>
              <w:rPr>
                <w:sz w:val="24"/>
                <w:vertAlign w:val="superscript"/>
              </w:rPr>
              <w:t>2</w:t>
            </w:r>
            <w:r>
              <w:rPr>
                <w:sz w:val="24"/>
              </w:rPr>
              <w:t>，贮存能力约</w:t>
            </w:r>
            <w:r>
              <w:rPr>
                <w:rFonts w:hint="eastAsia"/>
                <w:sz w:val="24"/>
              </w:rPr>
              <w:t>28</w:t>
            </w:r>
            <w:r>
              <w:rPr>
                <w:sz w:val="24"/>
              </w:rPr>
              <w:t>吨，贮存周期</w:t>
            </w:r>
            <w:r>
              <w:rPr>
                <w:rFonts w:hint="eastAsia"/>
                <w:sz w:val="24"/>
              </w:rPr>
              <w:t>六</w:t>
            </w:r>
            <w:r>
              <w:rPr>
                <w:sz w:val="24"/>
              </w:rPr>
              <w:t>个月，</w:t>
            </w:r>
            <w:r>
              <w:rPr>
                <w:rFonts w:hint="eastAsia"/>
                <w:sz w:val="24"/>
              </w:rPr>
              <w:t>本项目危废产生量共</w:t>
            </w:r>
            <w:r>
              <w:rPr>
                <w:rFonts w:hint="eastAsia"/>
                <w:sz w:val="24"/>
                <w:lang w:val="en-US" w:eastAsia="zh-CN"/>
              </w:rPr>
              <w:t>6.09</w:t>
            </w:r>
            <w:r>
              <w:rPr>
                <w:rFonts w:hint="eastAsia"/>
                <w:sz w:val="24"/>
              </w:rPr>
              <w:t>t/a</w:t>
            </w:r>
            <w:r>
              <w:rPr>
                <w:sz w:val="24"/>
              </w:rPr>
              <w:t>，危废暂存间的建设和临时贮存满足《危险废物贮存污染控制标准》（GB 18597—2023）中内容要求。</w:t>
            </w:r>
          </w:p>
          <w:p w14:paraId="0114721E">
            <w:pPr>
              <w:widowControl/>
              <w:adjustRightInd w:val="0"/>
              <w:snapToGrid w:val="0"/>
              <w:spacing w:line="360" w:lineRule="auto"/>
              <w:ind w:firstLine="480" w:firstLineChars="200"/>
              <w:rPr>
                <w:sz w:val="24"/>
              </w:rPr>
            </w:pPr>
            <w:r>
              <w:rPr>
                <w:sz w:val="24"/>
              </w:rPr>
              <w:t>本项目临时储存危险废物应做到以下防范措施：①不相容的危险废物不能堆放在一起，必须将危险废物装入容器内，且容器必须完好无损，禁止将不相容（相互反应）的危险废物在同一容器内混装；②必须有泄露液体收集装置。</w:t>
            </w:r>
          </w:p>
          <w:p w14:paraId="5613E1FD">
            <w:pPr>
              <w:widowControl/>
              <w:adjustRightInd w:val="0"/>
              <w:snapToGrid w:val="0"/>
              <w:spacing w:line="360" w:lineRule="auto"/>
              <w:ind w:firstLine="480" w:firstLineChars="200"/>
              <w:rPr>
                <w:sz w:val="24"/>
              </w:rPr>
            </w:pPr>
            <w:r>
              <w:rPr>
                <w:sz w:val="24"/>
              </w:rPr>
              <w:t>根据中华人民共和国国务院令第344号《危险化学品安全管理条例》的有关规定，在危险废弃物外运至处置单位时必须严格遵守以下要求：</w:t>
            </w:r>
          </w:p>
          <w:p w14:paraId="42CE55EA">
            <w:pPr>
              <w:widowControl/>
              <w:adjustRightInd w:val="0"/>
              <w:snapToGrid w:val="0"/>
              <w:spacing w:line="360" w:lineRule="auto"/>
              <w:ind w:firstLine="480" w:firstLineChars="200"/>
              <w:rPr>
                <w:sz w:val="24"/>
              </w:rPr>
            </w:pPr>
            <w:r>
              <w:rPr>
                <w:sz w:val="24"/>
              </w:rPr>
              <w:t>①做好每次外运处置废弃物的运输登记，按照危险废物转移规定开展网上申报。</w:t>
            </w:r>
          </w:p>
          <w:p w14:paraId="1D21AAA7">
            <w:pPr>
              <w:widowControl/>
              <w:adjustRightInd w:val="0"/>
              <w:snapToGrid w:val="0"/>
              <w:spacing w:line="360" w:lineRule="auto"/>
              <w:ind w:firstLine="480" w:firstLineChars="200"/>
              <w:rPr>
                <w:sz w:val="24"/>
              </w:rPr>
            </w:pPr>
            <w:r>
              <w:rPr>
                <w:sz w:val="24"/>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0584337F">
            <w:pPr>
              <w:widowControl/>
              <w:adjustRightInd w:val="0"/>
              <w:snapToGrid w:val="0"/>
              <w:spacing w:line="360" w:lineRule="auto"/>
              <w:ind w:firstLine="480" w:firstLineChars="200"/>
              <w:rPr>
                <w:sz w:val="24"/>
              </w:rPr>
            </w:pPr>
            <w:r>
              <w:rPr>
                <w:sz w:val="24"/>
              </w:rPr>
              <w:t>③处置单位在运输危险废弃物时必须配备押运人员，并随时处于押运人员的监管之下，不得超装、超载，严格按照所在城市规定的行车时间和行车路线行驶，不得进入危险化学品运输车辆禁止通行的区域。</w:t>
            </w:r>
          </w:p>
          <w:p w14:paraId="5D2AAAAD">
            <w:pPr>
              <w:widowControl/>
              <w:adjustRightInd w:val="0"/>
              <w:snapToGrid w:val="0"/>
              <w:spacing w:line="360" w:lineRule="auto"/>
              <w:ind w:firstLine="480" w:firstLineChars="200"/>
              <w:rPr>
                <w:sz w:val="24"/>
              </w:rPr>
            </w:pPr>
            <w:r>
              <w:rPr>
                <w:sz w:val="24"/>
              </w:rPr>
              <w:t>④危险废弃物在运输途中若发生被盗、丢失、流散、泄漏等情况时，公司及押运人员必须立即向当地公安部门报告，并采取一切可能的警示措施。</w:t>
            </w:r>
          </w:p>
          <w:p w14:paraId="62BD5B32">
            <w:pPr>
              <w:spacing w:line="360" w:lineRule="auto"/>
              <w:ind w:firstLine="480" w:firstLineChars="200"/>
              <w:rPr>
                <w:rFonts w:hint="eastAsia"/>
                <w:b/>
                <w:bCs/>
                <w:sz w:val="24"/>
              </w:rPr>
            </w:pPr>
            <w:r>
              <w:rPr>
                <w:sz w:val="24"/>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7DC1D982">
            <w:pPr>
              <w:spacing w:line="360" w:lineRule="auto"/>
              <w:ind w:firstLine="482" w:firstLineChars="200"/>
              <w:rPr>
                <w:rFonts w:hint="eastAsia"/>
                <w:b/>
                <w:bCs/>
                <w:sz w:val="24"/>
              </w:rPr>
            </w:pPr>
            <w:r>
              <w:rPr>
                <w:rFonts w:hint="eastAsia"/>
                <w:b/>
                <w:bCs/>
                <w:sz w:val="24"/>
              </w:rPr>
              <w:t>4.5地下水、土壤</w:t>
            </w:r>
          </w:p>
          <w:p w14:paraId="11EA4641">
            <w:pPr>
              <w:pStyle w:val="59"/>
              <w:ind w:firstLine="480" w:firstLineChars="200"/>
              <w:rPr>
                <w:rFonts w:hint="eastAsia" w:eastAsia="宋体"/>
                <w:b w:val="0"/>
                <w:bCs w:val="0"/>
                <w:szCs w:val="24"/>
              </w:rPr>
            </w:pPr>
            <w:r>
              <w:rPr>
                <w:rFonts w:hint="eastAsia" w:eastAsia="宋体"/>
                <w:b w:val="0"/>
                <w:bCs w:val="0"/>
                <w:szCs w:val="24"/>
              </w:rPr>
              <w:t>本项目危险废物暂存库、喷漆房、封闭区、一般固废暂存库等均按分区进行防渗处理，采取上述措施后基本不影响地下水和土壤。</w:t>
            </w:r>
          </w:p>
          <w:p w14:paraId="5123D2E7">
            <w:pPr>
              <w:widowControl/>
              <w:numPr>
                <w:ilvl w:val="0"/>
                <w:numId w:val="2"/>
              </w:numPr>
              <w:jc w:val="center"/>
              <w:rPr>
                <w:b/>
                <w:bCs/>
                <w:szCs w:val="21"/>
              </w:rPr>
            </w:pPr>
            <w:bookmarkStart w:id="12" w:name="_Hlk185113605"/>
            <w:r>
              <w:rPr>
                <w:b/>
                <w:bCs/>
                <w:szCs w:val="21"/>
              </w:rPr>
              <w:t>本项目分区防渗一览表</w:t>
            </w:r>
          </w:p>
          <w:tbl>
            <w:tblPr>
              <w:tblStyle w:val="24"/>
              <w:tblW w:w="761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21"/>
              <w:gridCol w:w="1200"/>
              <w:gridCol w:w="5191"/>
            </w:tblGrid>
            <w:tr w14:paraId="4AC827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1221" w:type="dxa"/>
                  <w:noWrap w:val="0"/>
                  <w:vAlign w:val="center"/>
                </w:tcPr>
                <w:p w14:paraId="7B764654">
                  <w:pPr>
                    <w:widowControl/>
                    <w:autoSpaceDN w:val="0"/>
                    <w:adjustRightInd w:val="0"/>
                    <w:snapToGrid w:val="0"/>
                    <w:jc w:val="center"/>
                  </w:pPr>
                  <w:r>
                    <w:t>装置、单元</w:t>
                  </w:r>
                </w:p>
                <w:p w14:paraId="607CB2DC">
                  <w:pPr>
                    <w:widowControl/>
                    <w:autoSpaceDN w:val="0"/>
                    <w:adjustRightInd w:val="0"/>
                    <w:snapToGrid w:val="0"/>
                    <w:jc w:val="center"/>
                  </w:pPr>
                  <w:r>
                    <w:t>名称</w:t>
                  </w:r>
                </w:p>
              </w:tc>
              <w:tc>
                <w:tcPr>
                  <w:tcW w:w="1200" w:type="dxa"/>
                  <w:noWrap w:val="0"/>
                  <w:vAlign w:val="center"/>
                </w:tcPr>
                <w:p w14:paraId="7511E7CD">
                  <w:pPr>
                    <w:widowControl/>
                    <w:autoSpaceDN w:val="0"/>
                    <w:adjustRightInd w:val="0"/>
                    <w:snapToGrid w:val="0"/>
                    <w:jc w:val="center"/>
                  </w:pPr>
                  <w:r>
                    <w:t>污染防治区类别</w:t>
                  </w:r>
                </w:p>
              </w:tc>
              <w:tc>
                <w:tcPr>
                  <w:tcW w:w="5191" w:type="dxa"/>
                  <w:noWrap w:val="0"/>
                  <w:vAlign w:val="center"/>
                </w:tcPr>
                <w:p w14:paraId="13A6142F">
                  <w:pPr>
                    <w:widowControl/>
                    <w:autoSpaceDN w:val="0"/>
                    <w:adjustRightInd w:val="0"/>
                    <w:snapToGrid w:val="0"/>
                    <w:jc w:val="center"/>
                  </w:pPr>
                  <w:r>
                    <w:t>防渗设计要求</w:t>
                  </w:r>
                </w:p>
              </w:tc>
            </w:tr>
            <w:tr w14:paraId="3F80D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1221" w:type="dxa"/>
                  <w:noWrap w:val="0"/>
                  <w:vAlign w:val="center"/>
                </w:tcPr>
                <w:p w14:paraId="518B2403">
                  <w:pPr>
                    <w:widowControl/>
                    <w:autoSpaceDN w:val="0"/>
                    <w:adjustRightInd w:val="0"/>
                    <w:snapToGrid w:val="0"/>
                    <w:jc w:val="center"/>
                    <w:rPr>
                      <w:rFonts w:hint="eastAsia"/>
                    </w:rPr>
                  </w:pPr>
                  <w:r>
                    <w:t>危险废物暂存库</w:t>
                  </w:r>
                </w:p>
              </w:tc>
              <w:tc>
                <w:tcPr>
                  <w:tcW w:w="1200" w:type="dxa"/>
                  <w:vMerge w:val="restart"/>
                  <w:noWrap w:val="0"/>
                  <w:vAlign w:val="center"/>
                </w:tcPr>
                <w:p w14:paraId="1A0CACD2">
                  <w:pPr>
                    <w:widowControl/>
                    <w:autoSpaceDN w:val="0"/>
                    <w:adjustRightInd w:val="0"/>
                    <w:snapToGrid w:val="0"/>
                    <w:jc w:val="center"/>
                  </w:pPr>
                  <w:r>
                    <w:t>重点防渗区</w:t>
                  </w:r>
                </w:p>
              </w:tc>
              <w:tc>
                <w:tcPr>
                  <w:tcW w:w="5191" w:type="dxa"/>
                  <w:noWrap w:val="0"/>
                  <w:vAlign w:val="center"/>
                </w:tcPr>
                <w:p w14:paraId="347CEE61">
                  <w:pPr>
                    <w:widowControl/>
                    <w:adjustRightInd w:val="0"/>
                    <w:snapToGrid w:val="0"/>
                    <w:jc w:val="center"/>
                    <w:rPr>
                      <w:rFonts w:hint="eastAsia"/>
                    </w:rPr>
                  </w:pPr>
                  <w:r>
                    <w:t>严格按照《危险废物贮存污染物控制标准》（GB 18597—2023）的相关要求建设危。基础防渗层为至少1 米厚粘土层（渗透系数≤10</w:t>
                  </w:r>
                  <w:r>
                    <w:rPr>
                      <w:vertAlign w:val="superscript"/>
                    </w:rPr>
                    <w:t>-</w:t>
                  </w:r>
                  <w:r>
                    <w:rPr>
                      <w:rFonts w:hint="eastAsia"/>
                      <w:vertAlign w:val="superscript"/>
                    </w:rPr>
                    <w:t>10</w:t>
                  </w:r>
                  <w:r>
                    <w:t>cm/s），或2mm厚高密度聚乙烯，或至少2 mm厚的其它人工材料（渗透系数≤10</w:t>
                  </w:r>
                  <w:r>
                    <w:rPr>
                      <w:vertAlign w:val="superscript"/>
                    </w:rPr>
                    <w:t>-1</w:t>
                  </w:r>
                  <w:r>
                    <w:rPr>
                      <w:rFonts w:hint="eastAsia"/>
                      <w:vertAlign w:val="superscript"/>
                      <w:lang w:val="en-US" w:eastAsia="zh-CN"/>
                    </w:rPr>
                    <w:t>0</w:t>
                  </w:r>
                  <w:r>
                    <w:t>cm/s）</w:t>
                  </w:r>
                </w:p>
              </w:tc>
            </w:tr>
            <w:tr w14:paraId="68834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1221" w:type="dxa"/>
                  <w:noWrap w:val="0"/>
                  <w:vAlign w:val="center"/>
                </w:tcPr>
                <w:p w14:paraId="199296F9">
                  <w:pPr>
                    <w:widowControl/>
                    <w:adjustRightInd w:val="0"/>
                    <w:snapToGrid w:val="0"/>
                    <w:jc w:val="center"/>
                    <w:rPr>
                      <w:rFonts w:hint="default" w:eastAsia="宋体"/>
                      <w:lang w:val="en-US" w:eastAsia="zh-CN"/>
                    </w:rPr>
                  </w:pPr>
                  <w:r>
                    <w:rPr>
                      <w:rFonts w:hint="eastAsia"/>
                    </w:rPr>
                    <w:t>喷漆房</w:t>
                  </w:r>
                  <w:r>
                    <w:rPr>
                      <w:rFonts w:hint="eastAsia"/>
                      <w:lang w:eastAsia="zh-CN"/>
                    </w:rPr>
                    <w:t>、</w:t>
                  </w:r>
                  <w:r>
                    <w:rPr>
                      <w:rFonts w:hint="eastAsia"/>
                      <w:lang w:val="en-US" w:eastAsia="zh-CN"/>
                    </w:rPr>
                    <w:t>封闭区</w:t>
                  </w:r>
                </w:p>
              </w:tc>
              <w:tc>
                <w:tcPr>
                  <w:tcW w:w="1200" w:type="dxa"/>
                  <w:vMerge w:val="continue"/>
                  <w:noWrap w:val="0"/>
                  <w:vAlign w:val="center"/>
                </w:tcPr>
                <w:p w14:paraId="443A4221">
                  <w:pPr>
                    <w:widowControl/>
                    <w:adjustRightInd w:val="0"/>
                    <w:snapToGrid w:val="0"/>
                    <w:jc w:val="center"/>
                  </w:pPr>
                </w:p>
              </w:tc>
              <w:tc>
                <w:tcPr>
                  <w:tcW w:w="5191" w:type="dxa"/>
                  <w:noWrap w:val="0"/>
                  <w:vAlign w:val="center"/>
                </w:tcPr>
                <w:p w14:paraId="47235DC7">
                  <w:pPr>
                    <w:widowControl/>
                    <w:adjustRightInd w:val="0"/>
                    <w:snapToGrid w:val="0"/>
                    <w:jc w:val="center"/>
                  </w:pPr>
                  <w:r>
                    <w:rPr>
                      <w:rFonts w:hint="eastAsia"/>
                      <w:color w:val="auto"/>
                      <w:kern w:val="0"/>
                      <w:szCs w:val="21"/>
                    </w:rPr>
                    <w:t>等效黏土防渗层Mb≥6.0m，渗透系数</w:t>
                  </w:r>
                  <w:r>
                    <w:rPr>
                      <w:rFonts w:hint="eastAsia"/>
                      <w:color w:val="auto"/>
                    </w:rPr>
                    <w:t>≤10</w:t>
                  </w:r>
                  <w:r>
                    <w:rPr>
                      <w:rFonts w:hint="eastAsia"/>
                      <w:color w:val="auto"/>
                      <w:vertAlign w:val="superscript"/>
                    </w:rPr>
                    <w:t>-</w:t>
                  </w:r>
                  <w:r>
                    <w:rPr>
                      <w:rFonts w:hint="eastAsia"/>
                      <w:color w:val="auto"/>
                      <w:vertAlign w:val="superscript"/>
                      <w:lang w:val="en-US" w:eastAsia="zh-CN"/>
                    </w:rPr>
                    <w:t>7</w:t>
                  </w:r>
                  <w:r>
                    <w:rPr>
                      <w:rFonts w:hint="eastAsia"/>
                      <w:color w:val="auto"/>
                    </w:rPr>
                    <w:t>cm/s；或参照GB18598执行</w:t>
                  </w:r>
                </w:p>
              </w:tc>
            </w:tr>
            <w:tr w14:paraId="2753F3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1221" w:type="dxa"/>
                  <w:noWrap w:val="0"/>
                  <w:vAlign w:val="center"/>
                </w:tcPr>
                <w:p w14:paraId="11416760">
                  <w:pPr>
                    <w:widowControl/>
                    <w:autoSpaceDN w:val="0"/>
                    <w:adjustRightInd w:val="0"/>
                    <w:snapToGrid w:val="0"/>
                    <w:jc w:val="center"/>
                    <w:rPr>
                      <w:lang w:val="zh-CN"/>
                    </w:rPr>
                  </w:pPr>
                  <w:r>
                    <w:rPr>
                      <w:lang w:val="zh-CN"/>
                    </w:rPr>
                    <w:t>车间厂房、一般固废暂存库</w:t>
                  </w:r>
                </w:p>
              </w:tc>
              <w:tc>
                <w:tcPr>
                  <w:tcW w:w="1200" w:type="dxa"/>
                  <w:noWrap w:val="0"/>
                  <w:vAlign w:val="center"/>
                </w:tcPr>
                <w:p w14:paraId="35A33237">
                  <w:pPr>
                    <w:widowControl/>
                    <w:autoSpaceDN w:val="0"/>
                    <w:adjustRightInd w:val="0"/>
                    <w:snapToGrid w:val="0"/>
                    <w:jc w:val="center"/>
                  </w:pPr>
                  <w:r>
                    <w:t>一般防渗区</w:t>
                  </w:r>
                </w:p>
              </w:tc>
              <w:tc>
                <w:tcPr>
                  <w:tcW w:w="5191" w:type="dxa"/>
                  <w:noWrap w:val="0"/>
                  <w:vAlign w:val="center"/>
                </w:tcPr>
                <w:p w14:paraId="056F7A68">
                  <w:pPr>
                    <w:widowControl/>
                    <w:autoSpaceDN w:val="0"/>
                    <w:adjustRightInd w:val="0"/>
                    <w:snapToGrid w:val="0"/>
                    <w:jc w:val="center"/>
                  </w:pPr>
                  <w:r>
                    <w:t>防渗层的防渗性能不应低于1.5m厚渗透系数为1.0</w:t>
                  </w:r>
                  <w:r>
                    <w:rPr>
                      <w:rFonts w:hint="eastAsia"/>
                    </w:rPr>
                    <w:t>*</w:t>
                  </w:r>
                  <w:r>
                    <w:t>10</w:t>
                  </w:r>
                  <w:r>
                    <w:rPr>
                      <w:vertAlign w:val="superscript"/>
                    </w:rPr>
                    <w:t>-7</w:t>
                  </w:r>
                  <w:r>
                    <w:t>cm/s的黏土层的防渗性能。</w:t>
                  </w:r>
                </w:p>
              </w:tc>
            </w:tr>
            <w:bookmarkEnd w:id="12"/>
          </w:tbl>
          <w:p w14:paraId="187BD686">
            <w:pPr>
              <w:spacing w:line="360" w:lineRule="auto"/>
              <w:ind w:firstLine="482" w:firstLineChars="200"/>
              <w:rPr>
                <w:rFonts w:hint="eastAsia"/>
                <w:b/>
                <w:bCs/>
                <w:sz w:val="24"/>
              </w:rPr>
            </w:pPr>
            <w:r>
              <w:rPr>
                <w:rFonts w:hint="eastAsia"/>
                <w:b/>
                <w:bCs/>
                <w:sz w:val="24"/>
              </w:rPr>
              <w:t>4.6环境风险</w:t>
            </w:r>
          </w:p>
          <w:p w14:paraId="531DEB2D">
            <w:pPr>
              <w:spacing w:line="360" w:lineRule="auto"/>
              <w:ind w:firstLine="480" w:firstLineChars="200"/>
              <w:rPr>
                <w:bCs/>
                <w:sz w:val="24"/>
              </w:rPr>
            </w:pPr>
            <w:r>
              <w:rPr>
                <w:bCs/>
                <w:sz w:val="24"/>
              </w:rPr>
              <w:t>按照《建设项目环境风险评价技术导则》（HJ/T169-2018）中附录B对</w:t>
            </w:r>
            <w:r>
              <w:rPr>
                <w:rFonts w:hint="eastAsia"/>
                <w:bCs/>
                <w:sz w:val="24"/>
              </w:rPr>
              <w:t>本</w:t>
            </w:r>
            <w:r>
              <w:rPr>
                <w:bCs/>
                <w:sz w:val="24"/>
              </w:rPr>
              <w:t>项目所用原辅材料进行识别，本</w:t>
            </w:r>
            <w:r>
              <w:rPr>
                <w:rFonts w:hint="eastAsia"/>
                <w:bCs/>
                <w:sz w:val="24"/>
              </w:rPr>
              <w:t>项目</w:t>
            </w:r>
            <w:r>
              <w:rPr>
                <w:bCs/>
                <w:sz w:val="24"/>
              </w:rPr>
              <w:t>涉及的危险物质主要为</w:t>
            </w:r>
            <w:r>
              <w:rPr>
                <w:rFonts w:hint="eastAsia"/>
                <w:bCs/>
                <w:sz w:val="24"/>
              </w:rPr>
              <w:t>原料库存放的矿物油和及危废间暂存的废矿物油及危废</w:t>
            </w:r>
            <w:r>
              <w:rPr>
                <w:bCs/>
                <w:sz w:val="24"/>
              </w:rPr>
              <w:t>等。</w:t>
            </w:r>
          </w:p>
          <w:p w14:paraId="0837A68D">
            <w:pPr>
              <w:spacing w:line="360" w:lineRule="auto"/>
              <w:ind w:firstLine="480" w:firstLineChars="200"/>
              <w:rPr>
                <w:bCs/>
                <w:sz w:val="24"/>
              </w:rPr>
            </w:pPr>
            <w:r>
              <w:rPr>
                <w:bCs/>
                <w:sz w:val="24"/>
              </w:rPr>
              <w:t>根据辨识结果，计算项目涉及的危险物质在厂界内的最大存储量与其对应的临界量的比值Q。本项目按下列公示计算物质总量与其临界量比值：</w:t>
            </w:r>
          </w:p>
          <w:p w14:paraId="55591107">
            <w:pPr>
              <w:ind w:firstLine="31" w:firstLineChars="13"/>
              <w:jc w:val="center"/>
              <w:rPr>
                <w:bCs/>
                <w:sz w:val="24"/>
              </w:rPr>
            </w:pPr>
            <w:r>
              <w:rPr>
                <w:sz w:val="24"/>
              </w:rPr>
              <w:drawing>
                <wp:inline distT="0" distB="0" distL="114300" distR="114300">
                  <wp:extent cx="1438275" cy="514350"/>
                  <wp:effectExtent l="0" t="0" r="9525" b="0"/>
                  <wp:docPr id="11" name="图片 10" descr="C:\Users\GAOSHA~1\AppData\Local\Temp\企业微信截图_15667923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GAOSHA~1\AppData\Local\Temp\企业微信截图_156679238122.png"/>
                          <pic:cNvPicPr>
                            <a:picLocks noChangeAspect="1"/>
                          </pic:cNvPicPr>
                        </pic:nvPicPr>
                        <pic:blipFill>
                          <a:blip r:embed="rId18"/>
                          <a:stretch>
                            <a:fillRect/>
                          </a:stretch>
                        </pic:blipFill>
                        <pic:spPr>
                          <a:xfrm>
                            <a:off x="0" y="0"/>
                            <a:ext cx="1438275" cy="514350"/>
                          </a:xfrm>
                          <a:prstGeom prst="rect">
                            <a:avLst/>
                          </a:prstGeom>
                          <a:noFill/>
                          <a:ln>
                            <a:noFill/>
                          </a:ln>
                        </pic:spPr>
                      </pic:pic>
                    </a:graphicData>
                  </a:graphic>
                </wp:inline>
              </w:drawing>
            </w:r>
          </w:p>
          <w:p w14:paraId="2711AF84">
            <w:pPr>
              <w:spacing w:line="360" w:lineRule="auto"/>
              <w:ind w:firstLine="480" w:firstLineChars="200"/>
              <w:rPr>
                <w:bCs/>
                <w:sz w:val="24"/>
              </w:rPr>
            </w:pPr>
            <w:r>
              <w:rPr>
                <w:bCs/>
                <w:sz w:val="24"/>
              </w:rPr>
              <w:t>式中：</w:t>
            </w:r>
          </w:p>
          <w:p w14:paraId="7C82861D">
            <w:pPr>
              <w:spacing w:line="360" w:lineRule="auto"/>
              <w:ind w:firstLine="480" w:firstLineChars="200"/>
              <w:rPr>
                <w:bCs/>
                <w:sz w:val="24"/>
              </w:rPr>
            </w:pPr>
            <w:r>
              <w:rPr>
                <w:bCs/>
                <w:sz w:val="24"/>
              </w:rPr>
              <w:t>q</w:t>
            </w:r>
            <w:r>
              <w:rPr>
                <w:bCs/>
                <w:sz w:val="24"/>
                <w:vertAlign w:val="subscript"/>
              </w:rPr>
              <w:t>1</w:t>
            </w:r>
            <w:r>
              <w:rPr>
                <w:bCs/>
                <w:sz w:val="24"/>
              </w:rPr>
              <w:t>，q</w:t>
            </w:r>
            <w:r>
              <w:rPr>
                <w:bCs/>
                <w:sz w:val="24"/>
                <w:vertAlign w:val="subscript"/>
              </w:rPr>
              <w:t>2</w:t>
            </w:r>
            <w:r>
              <w:rPr>
                <w:bCs/>
                <w:sz w:val="24"/>
              </w:rPr>
              <w:t>……q</w:t>
            </w:r>
            <w:r>
              <w:rPr>
                <w:bCs/>
                <w:sz w:val="24"/>
                <w:vertAlign w:val="subscript"/>
              </w:rPr>
              <w:t>n</w:t>
            </w:r>
            <w:r>
              <w:rPr>
                <w:bCs/>
                <w:sz w:val="24"/>
              </w:rPr>
              <w:t>每种危险物质的最大存在总量t</w:t>
            </w:r>
          </w:p>
          <w:p w14:paraId="4A31D6AD">
            <w:pPr>
              <w:spacing w:line="360" w:lineRule="auto"/>
              <w:ind w:firstLine="480" w:firstLineChars="200"/>
              <w:rPr>
                <w:bCs/>
                <w:sz w:val="24"/>
              </w:rPr>
            </w:pPr>
            <w:r>
              <w:rPr>
                <w:bCs/>
                <w:sz w:val="24"/>
              </w:rPr>
              <w:t>Q</w:t>
            </w:r>
            <w:r>
              <w:rPr>
                <w:bCs/>
                <w:sz w:val="24"/>
                <w:vertAlign w:val="subscript"/>
              </w:rPr>
              <w:t>1</w:t>
            </w:r>
            <w:r>
              <w:rPr>
                <w:bCs/>
                <w:sz w:val="24"/>
              </w:rPr>
              <w:t>，Q</w:t>
            </w:r>
            <w:r>
              <w:rPr>
                <w:bCs/>
                <w:sz w:val="24"/>
                <w:vertAlign w:val="subscript"/>
              </w:rPr>
              <w:t>2</w:t>
            </w:r>
            <w:r>
              <w:rPr>
                <w:bCs/>
                <w:sz w:val="24"/>
              </w:rPr>
              <w:t>……Q</w:t>
            </w:r>
            <w:r>
              <w:rPr>
                <w:bCs/>
                <w:sz w:val="24"/>
                <w:vertAlign w:val="subscript"/>
              </w:rPr>
              <w:t>n</w:t>
            </w:r>
            <w:r>
              <w:rPr>
                <w:bCs/>
                <w:sz w:val="24"/>
              </w:rPr>
              <w:t>每种危险物质的临界量t。</w:t>
            </w:r>
          </w:p>
          <w:p w14:paraId="5281E625">
            <w:pPr>
              <w:spacing w:line="360" w:lineRule="auto"/>
              <w:ind w:firstLine="480" w:firstLineChars="200"/>
              <w:rPr>
                <w:bCs/>
                <w:sz w:val="24"/>
              </w:rPr>
            </w:pPr>
            <w:r>
              <w:rPr>
                <w:bCs/>
                <w:sz w:val="24"/>
              </w:rPr>
              <w:t>当Q＜1时，该项目环境风险潜势为I。</w:t>
            </w:r>
          </w:p>
          <w:p w14:paraId="08AA9AFE">
            <w:pPr>
              <w:spacing w:line="360" w:lineRule="auto"/>
              <w:ind w:firstLine="480" w:firstLineChars="200"/>
              <w:rPr>
                <w:bCs/>
                <w:szCs w:val="21"/>
              </w:rPr>
            </w:pPr>
            <w:r>
              <w:rPr>
                <w:bCs/>
                <w:sz w:val="24"/>
              </w:rPr>
              <w:t>通过查询《建设项目环境风险评价技术导则》（HJ/T169-2018）中附录B的表B1和表B2计算危险物质的Q值。计算结果如下表所示：</w:t>
            </w:r>
          </w:p>
          <w:p w14:paraId="5F4F6343">
            <w:pPr>
              <w:widowControl/>
              <w:numPr>
                <w:ilvl w:val="0"/>
                <w:numId w:val="2"/>
              </w:numPr>
              <w:jc w:val="center"/>
              <w:rPr>
                <w:b/>
                <w:bCs/>
                <w:szCs w:val="21"/>
              </w:rPr>
            </w:pPr>
            <w:bookmarkStart w:id="13" w:name="_Hlk185113741"/>
            <w:r>
              <w:rPr>
                <w:rFonts w:hint="eastAsia"/>
                <w:b/>
                <w:bCs/>
                <w:szCs w:val="21"/>
              </w:rPr>
              <w:t>本</w:t>
            </w:r>
            <w:r>
              <w:rPr>
                <w:b/>
                <w:bCs/>
                <w:szCs w:val="21"/>
              </w:rPr>
              <w:t>项目Q值确定表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622"/>
              <w:gridCol w:w="1091"/>
              <w:gridCol w:w="1153"/>
              <w:gridCol w:w="1155"/>
              <w:gridCol w:w="799"/>
              <w:gridCol w:w="1088"/>
            </w:tblGrid>
            <w:tr w14:paraId="61C2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55" w:type="pct"/>
                  <w:noWrap w:val="0"/>
                  <w:vAlign w:val="center"/>
                </w:tcPr>
                <w:p w14:paraId="3273B6C2">
                  <w:pPr>
                    <w:jc w:val="center"/>
                    <w:rPr>
                      <w:b/>
                      <w:szCs w:val="21"/>
                    </w:rPr>
                  </w:pPr>
                  <w:r>
                    <w:rPr>
                      <w:b/>
                      <w:szCs w:val="21"/>
                    </w:rPr>
                    <w:t>序号</w:t>
                  </w:r>
                </w:p>
              </w:tc>
              <w:tc>
                <w:tcPr>
                  <w:tcW w:w="1044" w:type="pct"/>
                  <w:noWrap w:val="0"/>
                  <w:vAlign w:val="center"/>
                </w:tcPr>
                <w:p w14:paraId="3B2CBBF0">
                  <w:pPr>
                    <w:jc w:val="center"/>
                    <w:rPr>
                      <w:b/>
                      <w:szCs w:val="21"/>
                    </w:rPr>
                  </w:pPr>
                  <w:r>
                    <w:rPr>
                      <w:b/>
                      <w:szCs w:val="21"/>
                    </w:rPr>
                    <w:t>物质名称</w:t>
                  </w:r>
                </w:p>
              </w:tc>
              <w:tc>
                <w:tcPr>
                  <w:tcW w:w="702" w:type="pct"/>
                  <w:noWrap w:val="0"/>
                  <w:vAlign w:val="center"/>
                </w:tcPr>
                <w:p w14:paraId="6E51E1CF">
                  <w:pPr>
                    <w:jc w:val="center"/>
                    <w:rPr>
                      <w:b/>
                      <w:szCs w:val="21"/>
                    </w:rPr>
                  </w:pPr>
                  <w:r>
                    <w:rPr>
                      <w:b/>
                      <w:szCs w:val="21"/>
                    </w:rPr>
                    <w:t>CAS号</w:t>
                  </w:r>
                </w:p>
              </w:tc>
              <w:tc>
                <w:tcPr>
                  <w:tcW w:w="742" w:type="pct"/>
                  <w:noWrap w:val="0"/>
                  <w:vAlign w:val="center"/>
                </w:tcPr>
                <w:p w14:paraId="0DD70370">
                  <w:pPr>
                    <w:jc w:val="center"/>
                    <w:rPr>
                      <w:b/>
                      <w:szCs w:val="21"/>
                    </w:rPr>
                  </w:pPr>
                  <w:r>
                    <w:rPr>
                      <w:rFonts w:hint="eastAsia"/>
                      <w:b/>
                      <w:szCs w:val="21"/>
                    </w:rPr>
                    <w:t>储存位置</w:t>
                  </w:r>
                </w:p>
              </w:tc>
              <w:tc>
                <w:tcPr>
                  <w:tcW w:w="743" w:type="pct"/>
                  <w:noWrap w:val="0"/>
                  <w:vAlign w:val="center"/>
                </w:tcPr>
                <w:p w14:paraId="75080767">
                  <w:pPr>
                    <w:jc w:val="center"/>
                    <w:rPr>
                      <w:b/>
                      <w:szCs w:val="21"/>
                    </w:rPr>
                  </w:pPr>
                  <w:r>
                    <w:rPr>
                      <w:b/>
                      <w:szCs w:val="21"/>
                    </w:rPr>
                    <w:t>全厂最大储存量/t</w:t>
                  </w:r>
                </w:p>
              </w:tc>
              <w:tc>
                <w:tcPr>
                  <w:tcW w:w="514" w:type="pct"/>
                  <w:noWrap w:val="0"/>
                  <w:vAlign w:val="center"/>
                </w:tcPr>
                <w:p w14:paraId="474CC5A4">
                  <w:pPr>
                    <w:jc w:val="center"/>
                    <w:rPr>
                      <w:b/>
                      <w:szCs w:val="21"/>
                    </w:rPr>
                  </w:pPr>
                  <w:r>
                    <w:rPr>
                      <w:b/>
                      <w:szCs w:val="21"/>
                    </w:rPr>
                    <w:t>临界量/t</w:t>
                  </w:r>
                </w:p>
              </w:tc>
              <w:tc>
                <w:tcPr>
                  <w:tcW w:w="700" w:type="pct"/>
                  <w:noWrap w:val="0"/>
                  <w:vAlign w:val="center"/>
                </w:tcPr>
                <w:p w14:paraId="31BA6471">
                  <w:pPr>
                    <w:jc w:val="center"/>
                    <w:rPr>
                      <w:b/>
                      <w:szCs w:val="21"/>
                    </w:rPr>
                  </w:pPr>
                  <w:r>
                    <w:rPr>
                      <w:b/>
                      <w:szCs w:val="21"/>
                    </w:rPr>
                    <w:t>该种危险</w:t>
                  </w:r>
                </w:p>
                <w:p w14:paraId="7C22A8D7">
                  <w:pPr>
                    <w:jc w:val="center"/>
                    <w:rPr>
                      <w:b/>
                      <w:szCs w:val="21"/>
                    </w:rPr>
                  </w:pPr>
                  <w:r>
                    <w:rPr>
                      <w:b/>
                      <w:szCs w:val="21"/>
                    </w:rPr>
                    <w:t>物质Q值</w:t>
                  </w:r>
                </w:p>
              </w:tc>
            </w:tr>
            <w:tr w14:paraId="5390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noWrap w:val="0"/>
                  <w:vAlign w:val="center"/>
                </w:tcPr>
                <w:p w14:paraId="09E2267B">
                  <w:pPr>
                    <w:jc w:val="center"/>
                    <w:rPr>
                      <w:bCs/>
                      <w:szCs w:val="21"/>
                    </w:rPr>
                  </w:pPr>
                  <w:r>
                    <w:rPr>
                      <w:bCs/>
                      <w:szCs w:val="21"/>
                    </w:rPr>
                    <w:t>1</w:t>
                  </w:r>
                </w:p>
              </w:tc>
              <w:tc>
                <w:tcPr>
                  <w:tcW w:w="1044" w:type="pct"/>
                  <w:noWrap w:val="0"/>
                  <w:vAlign w:val="center"/>
                </w:tcPr>
                <w:p w14:paraId="376CB627">
                  <w:pPr>
                    <w:widowControl/>
                    <w:adjustRightInd w:val="0"/>
                    <w:snapToGrid w:val="0"/>
                    <w:jc w:val="center"/>
                    <w:textAlignment w:val="center"/>
                    <w:rPr>
                      <w:rFonts w:hint="eastAsia"/>
                      <w:bCs/>
                      <w:szCs w:val="21"/>
                    </w:rPr>
                  </w:pPr>
                  <w:r>
                    <w:rPr>
                      <w:rFonts w:hint="eastAsia"/>
                      <w:szCs w:val="21"/>
                    </w:rPr>
                    <w:t>矿物油</w:t>
                  </w:r>
                </w:p>
              </w:tc>
              <w:tc>
                <w:tcPr>
                  <w:tcW w:w="702" w:type="pct"/>
                  <w:noWrap w:val="0"/>
                  <w:vAlign w:val="center"/>
                </w:tcPr>
                <w:p w14:paraId="48A0B280">
                  <w:pPr>
                    <w:snapToGrid w:val="0"/>
                    <w:jc w:val="center"/>
                  </w:pPr>
                  <w:r>
                    <w:t>8042-47-5</w:t>
                  </w:r>
                </w:p>
              </w:tc>
              <w:tc>
                <w:tcPr>
                  <w:tcW w:w="742" w:type="pct"/>
                  <w:noWrap w:val="0"/>
                  <w:vAlign w:val="center"/>
                </w:tcPr>
                <w:p w14:paraId="109D3399">
                  <w:pPr>
                    <w:jc w:val="center"/>
                    <w:rPr>
                      <w:rFonts w:hint="eastAsia"/>
                      <w:bCs/>
                      <w:szCs w:val="21"/>
                    </w:rPr>
                  </w:pPr>
                  <w:r>
                    <w:rPr>
                      <w:rFonts w:hint="eastAsia"/>
                      <w:bCs/>
                      <w:szCs w:val="21"/>
                    </w:rPr>
                    <w:t>原料库</w:t>
                  </w:r>
                </w:p>
              </w:tc>
              <w:tc>
                <w:tcPr>
                  <w:tcW w:w="743" w:type="pct"/>
                  <w:noWrap w:val="0"/>
                  <w:vAlign w:val="center"/>
                </w:tcPr>
                <w:p w14:paraId="68EBB42C">
                  <w:pPr>
                    <w:jc w:val="center"/>
                    <w:rPr>
                      <w:rFonts w:hint="eastAsia"/>
                      <w:bCs/>
                      <w:szCs w:val="21"/>
                    </w:rPr>
                  </w:pPr>
                  <w:r>
                    <w:rPr>
                      <w:rFonts w:hint="eastAsia"/>
                      <w:bCs/>
                      <w:szCs w:val="21"/>
                    </w:rPr>
                    <w:t>1.925</w:t>
                  </w:r>
                </w:p>
              </w:tc>
              <w:tc>
                <w:tcPr>
                  <w:tcW w:w="514" w:type="pct"/>
                  <w:noWrap w:val="0"/>
                  <w:vAlign w:val="center"/>
                </w:tcPr>
                <w:p w14:paraId="5B596AC8">
                  <w:pPr>
                    <w:jc w:val="center"/>
                    <w:rPr>
                      <w:bCs/>
                      <w:szCs w:val="21"/>
                    </w:rPr>
                  </w:pPr>
                  <w:r>
                    <w:rPr>
                      <w:rFonts w:hint="eastAsia"/>
                      <w:bCs/>
                      <w:szCs w:val="21"/>
                    </w:rPr>
                    <w:t>2500</w:t>
                  </w:r>
                </w:p>
              </w:tc>
              <w:tc>
                <w:tcPr>
                  <w:tcW w:w="1088" w:type="dxa"/>
                  <w:noWrap w:val="0"/>
                  <w:vAlign w:val="center"/>
                </w:tcPr>
                <w:p w14:paraId="6F070F56">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0.00077</w:t>
                  </w:r>
                </w:p>
              </w:tc>
            </w:tr>
            <w:tr w14:paraId="3E15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noWrap w:val="0"/>
                  <w:vAlign w:val="center"/>
                </w:tcPr>
                <w:p w14:paraId="76CCBA0A">
                  <w:pPr>
                    <w:jc w:val="center"/>
                    <w:rPr>
                      <w:rFonts w:hint="eastAsia" w:eastAsia="宋体"/>
                      <w:bCs/>
                      <w:szCs w:val="21"/>
                      <w:lang w:val="en-US" w:eastAsia="zh-CN"/>
                    </w:rPr>
                  </w:pPr>
                  <w:r>
                    <w:rPr>
                      <w:rFonts w:hint="eastAsia"/>
                      <w:bCs/>
                      <w:szCs w:val="21"/>
                      <w:lang w:val="en-US" w:eastAsia="zh-CN"/>
                    </w:rPr>
                    <w:t>2</w:t>
                  </w:r>
                </w:p>
              </w:tc>
              <w:tc>
                <w:tcPr>
                  <w:tcW w:w="1044" w:type="pct"/>
                  <w:noWrap w:val="0"/>
                  <w:vAlign w:val="center"/>
                </w:tcPr>
                <w:p w14:paraId="28CF9A82">
                  <w:pPr>
                    <w:widowControl/>
                    <w:adjustRightInd w:val="0"/>
                    <w:snapToGrid w:val="0"/>
                    <w:jc w:val="center"/>
                    <w:textAlignment w:val="center"/>
                    <w:rPr>
                      <w:rFonts w:hint="default" w:eastAsia="宋体"/>
                      <w:szCs w:val="21"/>
                      <w:lang w:val="en-US" w:eastAsia="zh-CN"/>
                    </w:rPr>
                  </w:pPr>
                  <w:r>
                    <w:rPr>
                      <w:rFonts w:hint="eastAsia"/>
                      <w:szCs w:val="21"/>
                      <w:lang w:val="en-US" w:eastAsia="zh-CN"/>
                    </w:rPr>
                    <w:t>液态危废</w:t>
                  </w:r>
                </w:p>
              </w:tc>
              <w:tc>
                <w:tcPr>
                  <w:tcW w:w="702" w:type="pct"/>
                  <w:noWrap w:val="0"/>
                  <w:vAlign w:val="center"/>
                </w:tcPr>
                <w:p w14:paraId="69A9EF7B">
                  <w:pPr>
                    <w:snapToGrid w:val="0"/>
                    <w:jc w:val="center"/>
                    <w:rPr>
                      <w:rFonts w:hint="eastAsia" w:eastAsia="宋体"/>
                      <w:lang w:eastAsia="zh-CN"/>
                    </w:rPr>
                  </w:pPr>
                  <w:r>
                    <w:rPr>
                      <w:rFonts w:hint="eastAsia"/>
                      <w:lang w:val="en-US" w:eastAsia="zh-CN"/>
                    </w:rPr>
                    <w:t>/</w:t>
                  </w:r>
                </w:p>
              </w:tc>
              <w:tc>
                <w:tcPr>
                  <w:tcW w:w="742" w:type="pct"/>
                  <w:noWrap w:val="0"/>
                  <w:vAlign w:val="center"/>
                </w:tcPr>
                <w:p w14:paraId="79A6D30F">
                  <w:pPr>
                    <w:jc w:val="center"/>
                    <w:rPr>
                      <w:rFonts w:hint="eastAsia"/>
                      <w:bCs/>
                      <w:szCs w:val="21"/>
                    </w:rPr>
                  </w:pPr>
                  <w:r>
                    <w:rPr>
                      <w:rFonts w:hint="eastAsia"/>
                      <w:bCs/>
                      <w:szCs w:val="21"/>
                    </w:rPr>
                    <w:t>危废间</w:t>
                  </w:r>
                </w:p>
              </w:tc>
              <w:tc>
                <w:tcPr>
                  <w:tcW w:w="743" w:type="pct"/>
                  <w:noWrap w:val="0"/>
                  <w:vAlign w:val="center"/>
                </w:tcPr>
                <w:p w14:paraId="452566DD">
                  <w:pPr>
                    <w:jc w:val="center"/>
                    <w:rPr>
                      <w:rFonts w:hint="default" w:eastAsia="宋体"/>
                      <w:bCs/>
                      <w:szCs w:val="21"/>
                      <w:lang w:val="en-US" w:eastAsia="zh-CN"/>
                    </w:rPr>
                  </w:pPr>
                  <w:r>
                    <w:rPr>
                      <w:rFonts w:hint="eastAsia"/>
                      <w:bCs/>
                      <w:szCs w:val="21"/>
                      <w:lang w:val="en-US" w:eastAsia="zh-CN"/>
                    </w:rPr>
                    <w:t>0.56</w:t>
                  </w:r>
                </w:p>
              </w:tc>
              <w:tc>
                <w:tcPr>
                  <w:tcW w:w="514" w:type="pct"/>
                  <w:noWrap w:val="0"/>
                  <w:vAlign w:val="center"/>
                </w:tcPr>
                <w:p w14:paraId="1BBC1C85">
                  <w:pPr>
                    <w:jc w:val="center"/>
                    <w:rPr>
                      <w:rFonts w:hint="default" w:eastAsia="宋体"/>
                      <w:bCs/>
                      <w:szCs w:val="21"/>
                      <w:lang w:val="en-US" w:eastAsia="zh-CN"/>
                    </w:rPr>
                  </w:pPr>
                  <w:r>
                    <w:rPr>
                      <w:rFonts w:hint="eastAsia"/>
                      <w:bCs/>
                      <w:szCs w:val="21"/>
                      <w:lang w:val="en-US" w:eastAsia="zh-CN"/>
                    </w:rPr>
                    <w:t>50</w:t>
                  </w:r>
                </w:p>
              </w:tc>
              <w:tc>
                <w:tcPr>
                  <w:tcW w:w="1088" w:type="dxa"/>
                  <w:noWrap w:val="0"/>
                  <w:vAlign w:val="center"/>
                </w:tcPr>
                <w:p w14:paraId="66EE9303">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0.0112</w:t>
                  </w:r>
                </w:p>
              </w:tc>
            </w:tr>
            <w:tr w14:paraId="551E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noWrap w:val="0"/>
                  <w:vAlign w:val="center"/>
                </w:tcPr>
                <w:p w14:paraId="25413D4E">
                  <w:pPr>
                    <w:jc w:val="center"/>
                    <w:rPr>
                      <w:rFonts w:hint="eastAsia" w:eastAsia="宋体"/>
                      <w:bCs/>
                      <w:szCs w:val="21"/>
                      <w:lang w:eastAsia="zh-CN"/>
                    </w:rPr>
                  </w:pPr>
                  <w:r>
                    <w:rPr>
                      <w:rFonts w:hint="eastAsia"/>
                      <w:bCs/>
                      <w:szCs w:val="21"/>
                      <w:lang w:val="en-US" w:eastAsia="zh-CN"/>
                    </w:rPr>
                    <w:t>3</w:t>
                  </w:r>
                </w:p>
              </w:tc>
              <w:tc>
                <w:tcPr>
                  <w:tcW w:w="1044" w:type="pct"/>
                  <w:noWrap w:val="0"/>
                  <w:vAlign w:val="center"/>
                </w:tcPr>
                <w:p w14:paraId="1ED64D90">
                  <w:pPr>
                    <w:widowControl/>
                    <w:adjustRightInd w:val="0"/>
                    <w:snapToGrid w:val="0"/>
                    <w:jc w:val="center"/>
                    <w:textAlignment w:val="center"/>
                    <w:rPr>
                      <w:rFonts w:hint="eastAsia"/>
                      <w:szCs w:val="21"/>
                    </w:rPr>
                  </w:pPr>
                  <w:r>
                    <w:rPr>
                      <w:rFonts w:hint="eastAsia"/>
                      <w:szCs w:val="21"/>
                    </w:rPr>
                    <w:t>天然气</w:t>
                  </w:r>
                </w:p>
              </w:tc>
              <w:tc>
                <w:tcPr>
                  <w:tcW w:w="702" w:type="pct"/>
                  <w:noWrap w:val="0"/>
                  <w:vAlign w:val="center"/>
                </w:tcPr>
                <w:p w14:paraId="79BFD04A">
                  <w:pPr>
                    <w:snapToGrid w:val="0"/>
                    <w:jc w:val="center"/>
                  </w:pPr>
                  <w:r>
                    <w:t>74-82-8</w:t>
                  </w:r>
                </w:p>
              </w:tc>
              <w:tc>
                <w:tcPr>
                  <w:tcW w:w="742" w:type="pct"/>
                  <w:noWrap w:val="0"/>
                  <w:vAlign w:val="center"/>
                </w:tcPr>
                <w:p w14:paraId="479ADEAE">
                  <w:pPr>
                    <w:jc w:val="center"/>
                    <w:rPr>
                      <w:rFonts w:hint="eastAsia"/>
                      <w:bCs/>
                      <w:szCs w:val="21"/>
                    </w:rPr>
                  </w:pPr>
                  <w:r>
                    <w:rPr>
                      <w:rFonts w:hint="eastAsia"/>
                      <w:bCs/>
                      <w:szCs w:val="21"/>
                    </w:rPr>
                    <w:t>管道天然气</w:t>
                  </w:r>
                </w:p>
              </w:tc>
              <w:tc>
                <w:tcPr>
                  <w:tcW w:w="743" w:type="pct"/>
                  <w:noWrap w:val="0"/>
                  <w:vAlign w:val="center"/>
                </w:tcPr>
                <w:p w14:paraId="45BE9F73">
                  <w:pPr>
                    <w:jc w:val="center"/>
                    <w:rPr>
                      <w:rFonts w:hint="default" w:eastAsia="宋体"/>
                      <w:bCs/>
                      <w:szCs w:val="21"/>
                      <w:lang w:val="en-US" w:eastAsia="zh-CN"/>
                    </w:rPr>
                  </w:pPr>
                  <w:r>
                    <w:rPr>
                      <w:rFonts w:hint="eastAsia"/>
                      <w:bCs/>
                      <w:szCs w:val="21"/>
                      <w:lang w:val="en-US" w:eastAsia="zh-CN"/>
                    </w:rPr>
                    <w:t>1.004</w:t>
                  </w:r>
                </w:p>
              </w:tc>
              <w:tc>
                <w:tcPr>
                  <w:tcW w:w="514" w:type="pct"/>
                  <w:noWrap w:val="0"/>
                  <w:vAlign w:val="center"/>
                </w:tcPr>
                <w:p w14:paraId="04529CE2">
                  <w:pPr>
                    <w:jc w:val="center"/>
                    <w:rPr>
                      <w:rFonts w:hint="eastAsia"/>
                      <w:bCs/>
                      <w:szCs w:val="21"/>
                    </w:rPr>
                  </w:pPr>
                  <w:r>
                    <w:rPr>
                      <w:rFonts w:hint="eastAsia"/>
                      <w:bCs/>
                      <w:szCs w:val="21"/>
                    </w:rPr>
                    <w:t>10</w:t>
                  </w:r>
                </w:p>
              </w:tc>
              <w:tc>
                <w:tcPr>
                  <w:tcW w:w="1088" w:type="dxa"/>
                  <w:noWrap w:val="0"/>
                  <w:vAlign w:val="center"/>
                </w:tcPr>
                <w:p w14:paraId="0A19C7B9">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0.1004</w:t>
                  </w:r>
                </w:p>
              </w:tc>
            </w:tr>
            <w:tr w14:paraId="5B50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noWrap w:val="0"/>
                  <w:vAlign w:val="center"/>
                </w:tcPr>
                <w:p w14:paraId="1A50332D">
                  <w:pPr>
                    <w:jc w:val="center"/>
                    <w:rPr>
                      <w:bCs/>
                      <w:szCs w:val="21"/>
                    </w:rPr>
                  </w:pPr>
                  <w:r>
                    <w:rPr>
                      <w:bCs/>
                      <w:szCs w:val="21"/>
                    </w:rPr>
                    <w:t>合计</w:t>
                  </w:r>
                </w:p>
              </w:tc>
              <w:tc>
                <w:tcPr>
                  <w:tcW w:w="1044" w:type="pct"/>
                  <w:noWrap w:val="0"/>
                  <w:vAlign w:val="center"/>
                </w:tcPr>
                <w:p w14:paraId="5AE9D791">
                  <w:pPr>
                    <w:jc w:val="center"/>
                    <w:rPr>
                      <w:bCs/>
                      <w:szCs w:val="21"/>
                    </w:rPr>
                  </w:pPr>
                  <w:r>
                    <w:rPr>
                      <w:bCs/>
                      <w:szCs w:val="21"/>
                    </w:rPr>
                    <w:t>/</w:t>
                  </w:r>
                </w:p>
              </w:tc>
              <w:tc>
                <w:tcPr>
                  <w:tcW w:w="702" w:type="pct"/>
                  <w:noWrap w:val="0"/>
                  <w:vAlign w:val="center"/>
                </w:tcPr>
                <w:p w14:paraId="5C3C8263">
                  <w:pPr>
                    <w:jc w:val="center"/>
                    <w:rPr>
                      <w:bCs/>
                      <w:szCs w:val="21"/>
                    </w:rPr>
                  </w:pPr>
                  <w:r>
                    <w:rPr>
                      <w:bCs/>
                      <w:szCs w:val="21"/>
                    </w:rPr>
                    <w:t>/</w:t>
                  </w:r>
                </w:p>
              </w:tc>
              <w:tc>
                <w:tcPr>
                  <w:tcW w:w="742" w:type="pct"/>
                  <w:noWrap w:val="0"/>
                  <w:vAlign w:val="center"/>
                </w:tcPr>
                <w:p w14:paraId="43FEF6F1">
                  <w:pPr>
                    <w:jc w:val="center"/>
                    <w:rPr>
                      <w:bCs/>
                      <w:szCs w:val="21"/>
                    </w:rPr>
                  </w:pPr>
                </w:p>
              </w:tc>
              <w:tc>
                <w:tcPr>
                  <w:tcW w:w="743" w:type="pct"/>
                  <w:noWrap w:val="0"/>
                  <w:vAlign w:val="center"/>
                </w:tcPr>
                <w:p w14:paraId="5B047750">
                  <w:pPr>
                    <w:jc w:val="center"/>
                    <w:rPr>
                      <w:bCs/>
                      <w:szCs w:val="21"/>
                    </w:rPr>
                  </w:pPr>
                  <w:r>
                    <w:rPr>
                      <w:bCs/>
                      <w:szCs w:val="21"/>
                    </w:rPr>
                    <w:t>/</w:t>
                  </w:r>
                </w:p>
              </w:tc>
              <w:tc>
                <w:tcPr>
                  <w:tcW w:w="514" w:type="pct"/>
                  <w:noWrap w:val="0"/>
                  <w:vAlign w:val="center"/>
                </w:tcPr>
                <w:p w14:paraId="3823B064">
                  <w:pPr>
                    <w:jc w:val="center"/>
                    <w:rPr>
                      <w:bCs/>
                      <w:szCs w:val="21"/>
                    </w:rPr>
                  </w:pPr>
                  <w:r>
                    <w:rPr>
                      <w:bCs/>
                      <w:szCs w:val="21"/>
                    </w:rPr>
                    <w:t>/</w:t>
                  </w:r>
                </w:p>
              </w:tc>
              <w:tc>
                <w:tcPr>
                  <w:tcW w:w="1088" w:type="dxa"/>
                  <w:noWrap w:val="0"/>
                  <w:vAlign w:val="center"/>
                </w:tcPr>
                <w:p w14:paraId="0747713A">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iCs w:val="0"/>
                      <w:color w:val="000000"/>
                      <w:kern w:val="0"/>
                      <w:sz w:val="21"/>
                      <w:szCs w:val="21"/>
                      <w:u w:val="none"/>
                      <w:lang w:val="en-US" w:eastAsia="zh-CN" w:bidi="ar"/>
                    </w:rPr>
                    <w:t>0.11237</w:t>
                  </w:r>
                </w:p>
              </w:tc>
            </w:tr>
          </w:tbl>
          <w:p w14:paraId="1FBF7DC6">
            <w:pPr>
              <w:widowControl/>
              <w:numPr>
                <w:ilvl w:val="0"/>
                <w:numId w:val="2"/>
              </w:numPr>
              <w:jc w:val="center"/>
              <w:rPr>
                <w:b/>
                <w:bCs/>
                <w:szCs w:val="21"/>
              </w:rPr>
            </w:pPr>
            <w:r>
              <w:rPr>
                <w:b/>
                <w:bCs/>
                <w:szCs w:val="21"/>
              </w:rPr>
              <w:t>危险物质特性一览表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283"/>
              <w:gridCol w:w="1113"/>
              <w:gridCol w:w="1898"/>
            </w:tblGrid>
            <w:tr w14:paraId="1FCF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863637C">
                  <w:pPr>
                    <w:tabs>
                      <w:tab w:val="left" w:pos="825"/>
                    </w:tabs>
                    <w:jc w:val="center"/>
                    <w:rPr>
                      <w:b/>
                      <w:szCs w:val="21"/>
                    </w:rPr>
                  </w:pPr>
                  <w:r>
                    <w:rPr>
                      <w:b/>
                      <w:szCs w:val="21"/>
                    </w:rPr>
                    <w:t>名称</w:t>
                  </w:r>
                </w:p>
              </w:tc>
              <w:tc>
                <w:tcPr>
                  <w:tcW w:w="4283" w:type="dxa"/>
                  <w:noWrap w:val="0"/>
                  <w:vAlign w:val="center"/>
                </w:tcPr>
                <w:p w14:paraId="65152C28">
                  <w:pPr>
                    <w:tabs>
                      <w:tab w:val="left" w:pos="825"/>
                    </w:tabs>
                    <w:jc w:val="center"/>
                    <w:rPr>
                      <w:b/>
                      <w:szCs w:val="21"/>
                    </w:rPr>
                  </w:pPr>
                  <w:r>
                    <w:rPr>
                      <w:b/>
                      <w:szCs w:val="21"/>
                    </w:rPr>
                    <w:t>理化特性</w:t>
                  </w:r>
                </w:p>
              </w:tc>
              <w:tc>
                <w:tcPr>
                  <w:tcW w:w="1113" w:type="dxa"/>
                  <w:noWrap w:val="0"/>
                  <w:vAlign w:val="center"/>
                </w:tcPr>
                <w:p w14:paraId="2E2C36A7">
                  <w:pPr>
                    <w:tabs>
                      <w:tab w:val="left" w:pos="825"/>
                    </w:tabs>
                    <w:jc w:val="center"/>
                    <w:rPr>
                      <w:b/>
                      <w:szCs w:val="21"/>
                    </w:rPr>
                  </w:pPr>
                  <w:r>
                    <w:rPr>
                      <w:rFonts w:hint="eastAsia"/>
                      <w:b/>
                      <w:szCs w:val="21"/>
                    </w:rPr>
                    <w:t>危险</w:t>
                  </w:r>
                  <w:r>
                    <w:rPr>
                      <w:b/>
                      <w:szCs w:val="21"/>
                    </w:rPr>
                    <w:t>特性</w:t>
                  </w:r>
                </w:p>
              </w:tc>
              <w:tc>
                <w:tcPr>
                  <w:tcW w:w="0" w:type="auto"/>
                  <w:noWrap w:val="0"/>
                  <w:vAlign w:val="center"/>
                </w:tcPr>
                <w:p w14:paraId="5EFBABD7">
                  <w:pPr>
                    <w:tabs>
                      <w:tab w:val="left" w:pos="825"/>
                    </w:tabs>
                    <w:jc w:val="center"/>
                    <w:rPr>
                      <w:b/>
                      <w:szCs w:val="21"/>
                    </w:rPr>
                  </w:pPr>
                  <w:r>
                    <w:rPr>
                      <w:b/>
                      <w:szCs w:val="21"/>
                    </w:rPr>
                    <w:t>毒理特性</w:t>
                  </w:r>
                </w:p>
              </w:tc>
            </w:tr>
            <w:tr w14:paraId="09FF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0" w:type="auto"/>
                  <w:noWrap w:val="0"/>
                  <w:vAlign w:val="center"/>
                </w:tcPr>
                <w:p w14:paraId="0EE647DB">
                  <w:pPr>
                    <w:tabs>
                      <w:tab w:val="left" w:pos="825"/>
                    </w:tabs>
                    <w:jc w:val="center"/>
                    <w:rPr>
                      <w:rFonts w:hint="eastAsia"/>
                      <w:szCs w:val="21"/>
                      <w:shd w:val="clear" w:color="auto" w:fill="FFFFFF"/>
                    </w:rPr>
                  </w:pPr>
                  <w:r>
                    <w:rPr>
                      <w:rFonts w:hint="eastAsia"/>
                      <w:szCs w:val="21"/>
                      <w:shd w:val="clear" w:color="auto" w:fill="FFFFFF"/>
                    </w:rPr>
                    <w:t>矿物油</w:t>
                  </w:r>
                </w:p>
              </w:tc>
              <w:tc>
                <w:tcPr>
                  <w:tcW w:w="4283" w:type="dxa"/>
                  <w:noWrap w:val="0"/>
                  <w:vAlign w:val="center"/>
                </w:tcPr>
                <w:p w14:paraId="028568C2">
                  <w:pPr>
                    <w:tabs>
                      <w:tab w:val="left" w:pos="825"/>
                    </w:tabs>
                    <w:jc w:val="center"/>
                    <w:rPr>
                      <w:rFonts w:hint="eastAsia"/>
                      <w:szCs w:val="21"/>
                      <w:shd w:val="clear" w:color="auto" w:fill="FFFFFF"/>
                    </w:rPr>
                  </w:pPr>
                  <w:r>
                    <w:rPr>
                      <w:rFonts w:hint="eastAsia"/>
                      <w:szCs w:val="21"/>
                      <w:shd w:val="clear" w:color="auto" w:fill="FFFFFF"/>
                    </w:rPr>
                    <w:t>无色透明油状黏性液体，室温下无嗅无味，对酸、热、光都很稳定。密度（g/mL 25ºC）：0.831～0.883，闪点（ºC，）： 164～223，不溶于水、甘油、冷乙醇。溶于热乙醇、二硫化碳、乙醚、酯、氯仿、苯、石油醚。</w:t>
                  </w:r>
                </w:p>
              </w:tc>
              <w:tc>
                <w:tcPr>
                  <w:tcW w:w="1113" w:type="dxa"/>
                  <w:noWrap w:val="0"/>
                  <w:vAlign w:val="center"/>
                </w:tcPr>
                <w:p w14:paraId="7EF37824">
                  <w:pPr>
                    <w:tabs>
                      <w:tab w:val="left" w:pos="825"/>
                    </w:tabs>
                    <w:jc w:val="center"/>
                    <w:rPr>
                      <w:rFonts w:hint="eastAsia"/>
                      <w:szCs w:val="21"/>
                    </w:rPr>
                  </w:pPr>
                  <w:r>
                    <w:rPr>
                      <w:rFonts w:hint="eastAsia"/>
                      <w:szCs w:val="21"/>
                    </w:rPr>
                    <w:t>可燃</w:t>
                  </w:r>
                </w:p>
              </w:tc>
              <w:tc>
                <w:tcPr>
                  <w:tcW w:w="0" w:type="auto"/>
                  <w:noWrap w:val="0"/>
                  <w:vAlign w:val="center"/>
                </w:tcPr>
                <w:p w14:paraId="63BB84CF">
                  <w:pPr>
                    <w:widowControl/>
                    <w:jc w:val="center"/>
                    <w:textAlignment w:val="center"/>
                    <w:rPr>
                      <w:rFonts w:hint="eastAsia"/>
                      <w:kern w:val="0"/>
                      <w:szCs w:val="21"/>
                      <w:lang w:bidi="ar"/>
                    </w:rPr>
                  </w:pPr>
                  <w:r>
                    <w:rPr>
                      <w:rFonts w:hint="eastAsia"/>
                      <w:kern w:val="0"/>
                      <w:szCs w:val="21"/>
                      <w:lang w:bidi="ar"/>
                    </w:rPr>
                    <w:t>LD50：4000mg/kg（大鼠经口）；4720mg/kg（兔经皮）</w:t>
                  </w:r>
                </w:p>
                <w:p w14:paraId="750BFA86">
                  <w:pPr>
                    <w:widowControl/>
                    <w:jc w:val="center"/>
                    <w:textAlignment w:val="center"/>
                    <w:rPr>
                      <w:rFonts w:hint="eastAsia"/>
                      <w:kern w:val="0"/>
                      <w:szCs w:val="21"/>
                      <w:lang w:bidi="ar"/>
                    </w:rPr>
                  </w:pPr>
                  <w:r>
                    <w:rPr>
                      <w:rFonts w:hint="eastAsia"/>
                      <w:kern w:val="0"/>
                      <w:szCs w:val="21"/>
                      <w:lang w:bidi="ar"/>
                    </w:rPr>
                    <w:t>LC50：9400mg/m</w:t>
                  </w:r>
                  <w:r>
                    <w:rPr>
                      <w:rFonts w:hint="eastAsia"/>
                      <w:kern w:val="0"/>
                      <w:szCs w:val="21"/>
                      <w:vertAlign w:val="superscript"/>
                      <w:lang w:bidi="ar"/>
                    </w:rPr>
                    <w:t>3</w:t>
                  </w:r>
                  <w:r>
                    <w:rPr>
                      <w:rFonts w:hint="eastAsia"/>
                      <w:kern w:val="0"/>
                      <w:szCs w:val="21"/>
                      <w:lang w:bidi="ar"/>
                    </w:rPr>
                    <w:t>，2小时（小鼠吸入）</w:t>
                  </w:r>
                </w:p>
              </w:tc>
            </w:tr>
            <w:tr w14:paraId="2DE0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0" w:type="auto"/>
                  <w:noWrap w:val="0"/>
                  <w:vAlign w:val="center"/>
                </w:tcPr>
                <w:p w14:paraId="29F60626">
                  <w:pPr>
                    <w:tabs>
                      <w:tab w:val="left" w:pos="825"/>
                    </w:tabs>
                    <w:jc w:val="center"/>
                    <w:rPr>
                      <w:rFonts w:hint="eastAsia"/>
                      <w:szCs w:val="21"/>
                      <w:shd w:val="clear" w:color="auto" w:fill="FFFFFF"/>
                    </w:rPr>
                  </w:pPr>
                  <w:r>
                    <w:rPr>
                      <w:rFonts w:hint="eastAsia"/>
                      <w:szCs w:val="21"/>
                      <w:shd w:val="clear" w:color="auto" w:fill="FFFFFF"/>
                    </w:rPr>
                    <w:t>天然气</w:t>
                  </w:r>
                </w:p>
              </w:tc>
              <w:tc>
                <w:tcPr>
                  <w:tcW w:w="4283" w:type="dxa"/>
                  <w:noWrap w:val="0"/>
                  <w:vAlign w:val="center"/>
                </w:tcPr>
                <w:p w14:paraId="2B3CBC41">
                  <w:pPr>
                    <w:tabs>
                      <w:tab w:val="left" w:pos="825"/>
                    </w:tabs>
                    <w:jc w:val="center"/>
                    <w:rPr>
                      <w:rFonts w:hint="eastAsia"/>
                      <w:szCs w:val="21"/>
                      <w:shd w:val="clear" w:color="auto" w:fill="FFFFFF"/>
                    </w:rPr>
                  </w:pPr>
                  <w:r>
                    <w:rPr>
                      <w:rFonts w:hint="eastAsia"/>
                      <w:szCs w:val="21"/>
                      <w:shd w:val="clear" w:color="auto" w:fill="FFFFFF"/>
                    </w:rPr>
                    <w:t>无色无味气体，易燃，与空气混合能形成爆炸性的混合物，遇热源和明火有燃烧、爆炸的危险。与五氧化溴、氯气、次氯酸、三氟化氮、液氧、二氟化氧，及其他强氧化剂接触发生剧烈反应。密度（g/mL）：0.42(-164℃)，闪点（ºC，）：</w:t>
                  </w:r>
                  <w:r>
                    <w:rPr>
                      <w:szCs w:val="21"/>
                      <w:shd w:val="clear" w:color="auto" w:fill="FFFFFF"/>
                    </w:rPr>
                    <w:t>-218</w:t>
                  </w:r>
                  <w:r>
                    <w:rPr>
                      <w:rFonts w:hint="eastAsia"/>
                      <w:szCs w:val="21"/>
                      <w:shd w:val="clear" w:color="auto" w:fill="FFFFFF"/>
                    </w:rPr>
                    <w:t>。微溶于水，溶于乙醇、</w:t>
                  </w:r>
                </w:p>
                <w:p w14:paraId="57F9A1D9">
                  <w:pPr>
                    <w:tabs>
                      <w:tab w:val="left" w:pos="825"/>
                    </w:tabs>
                    <w:jc w:val="center"/>
                    <w:rPr>
                      <w:rFonts w:hint="eastAsia"/>
                      <w:szCs w:val="21"/>
                      <w:shd w:val="clear" w:color="auto" w:fill="FFFFFF"/>
                    </w:rPr>
                  </w:pPr>
                  <w:r>
                    <w:rPr>
                      <w:rFonts w:hint="eastAsia"/>
                      <w:szCs w:val="21"/>
                      <w:shd w:val="clear" w:color="auto" w:fill="FFFFFF"/>
                    </w:rPr>
                    <w:t>乙醚、苯、甲苯等。</w:t>
                  </w:r>
                </w:p>
              </w:tc>
              <w:tc>
                <w:tcPr>
                  <w:tcW w:w="1113" w:type="dxa"/>
                  <w:noWrap w:val="0"/>
                  <w:vAlign w:val="center"/>
                </w:tcPr>
                <w:p w14:paraId="61993785">
                  <w:pPr>
                    <w:tabs>
                      <w:tab w:val="left" w:pos="825"/>
                    </w:tabs>
                    <w:jc w:val="center"/>
                    <w:rPr>
                      <w:rFonts w:hint="eastAsia"/>
                      <w:szCs w:val="21"/>
                    </w:rPr>
                  </w:pPr>
                  <w:r>
                    <w:rPr>
                      <w:rFonts w:hint="eastAsia"/>
                      <w:szCs w:val="21"/>
                    </w:rPr>
                    <w:t>可燃</w:t>
                  </w:r>
                </w:p>
              </w:tc>
              <w:tc>
                <w:tcPr>
                  <w:tcW w:w="0" w:type="auto"/>
                  <w:noWrap w:val="0"/>
                  <w:vAlign w:val="center"/>
                </w:tcPr>
                <w:p w14:paraId="6019226C">
                  <w:pPr>
                    <w:widowControl/>
                    <w:jc w:val="center"/>
                    <w:textAlignment w:val="center"/>
                    <w:rPr>
                      <w:rFonts w:hint="eastAsia"/>
                      <w:kern w:val="0"/>
                      <w:szCs w:val="21"/>
                      <w:lang w:bidi="ar"/>
                    </w:rPr>
                  </w:pPr>
                  <w:r>
                    <w:rPr>
                      <w:rFonts w:hint="eastAsia"/>
                      <w:kern w:val="0"/>
                      <w:szCs w:val="21"/>
                      <w:lang w:bidi="ar"/>
                    </w:rPr>
                    <w:t>急性毒性：LD50：无资料，LC50：50%(小鼠吸入，2h)</w:t>
                  </w:r>
                </w:p>
              </w:tc>
            </w:tr>
          </w:tbl>
          <w:p w14:paraId="603A41F6">
            <w:pPr>
              <w:spacing w:line="360" w:lineRule="auto"/>
              <w:ind w:firstLine="480" w:firstLineChars="200"/>
              <w:rPr>
                <w:sz w:val="24"/>
              </w:rPr>
            </w:pPr>
            <w:r>
              <w:rPr>
                <w:bCs/>
                <w:sz w:val="24"/>
              </w:rPr>
              <w:t>由上表可知，</w:t>
            </w:r>
            <w:r>
              <w:rPr>
                <w:rFonts w:hint="eastAsia"/>
                <w:bCs/>
                <w:sz w:val="24"/>
              </w:rPr>
              <w:t>本项目</w:t>
            </w:r>
            <w:r>
              <w:rPr>
                <w:bCs/>
                <w:sz w:val="24"/>
              </w:rPr>
              <w:t>厂界内最大存在总量中各危险物质实际量与临界量比值之和为0.</w:t>
            </w:r>
            <w:r>
              <w:rPr>
                <w:rFonts w:hint="eastAsia"/>
                <w:bCs/>
                <w:sz w:val="24"/>
                <w:lang w:val="en-US" w:eastAsia="zh-CN"/>
              </w:rPr>
              <w:t>11237</w:t>
            </w:r>
            <w:r>
              <w:rPr>
                <w:bCs/>
                <w:sz w:val="24"/>
              </w:rPr>
              <w:t>&lt;1</w:t>
            </w:r>
            <w:r>
              <w:rPr>
                <w:sz w:val="24"/>
              </w:rPr>
              <w:t>。</w:t>
            </w:r>
            <w:bookmarkEnd w:id="13"/>
          </w:p>
          <w:p w14:paraId="5CC0B6CE">
            <w:pPr>
              <w:spacing w:line="360" w:lineRule="auto"/>
              <w:ind w:firstLine="480" w:firstLineChars="200"/>
              <w:rPr>
                <w:bCs/>
                <w:sz w:val="24"/>
              </w:rPr>
            </w:pPr>
            <w:r>
              <w:rPr>
                <w:bCs/>
                <w:sz w:val="24"/>
              </w:rPr>
              <w:t>根据项目工程分析及危险物质的储存、转运情况，识别各危险单元可能发生的环境风险类型、危险物质影响环境途径如下：</w:t>
            </w:r>
          </w:p>
          <w:p w14:paraId="12E61A2B">
            <w:pPr>
              <w:spacing w:line="360" w:lineRule="auto"/>
              <w:ind w:firstLine="480" w:firstLineChars="200"/>
              <w:rPr>
                <w:bCs/>
                <w:sz w:val="24"/>
              </w:rPr>
            </w:pPr>
            <w:r>
              <w:rPr>
                <w:bCs/>
                <w:sz w:val="24"/>
              </w:rPr>
              <w:t>①火灾风险</w:t>
            </w:r>
          </w:p>
          <w:p w14:paraId="49DB0710">
            <w:pPr>
              <w:spacing w:line="360" w:lineRule="auto"/>
              <w:ind w:firstLine="480" w:firstLineChars="200"/>
              <w:rPr>
                <w:bCs/>
                <w:sz w:val="24"/>
              </w:rPr>
            </w:pPr>
            <w:r>
              <w:rPr>
                <w:rFonts w:hint="eastAsia"/>
                <w:bCs/>
                <w:sz w:val="24"/>
              </w:rPr>
              <w:t>本项目</w:t>
            </w:r>
            <w:r>
              <w:rPr>
                <w:bCs/>
                <w:sz w:val="24"/>
              </w:rPr>
              <w:t>储存的原辅料中</w:t>
            </w:r>
            <w:r>
              <w:rPr>
                <w:rFonts w:hint="eastAsia"/>
                <w:bCs/>
                <w:sz w:val="24"/>
              </w:rPr>
              <w:t>矿物油</w:t>
            </w:r>
            <w:r>
              <w:rPr>
                <w:bCs/>
                <w:sz w:val="24"/>
              </w:rPr>
              <w:t>属于可燃物质，在储存过程中发生泄漏时遇静电、明火等火源可能会发生火灾事故</w:t>
            </w:r>
            <w:r>
              <w:rPr>
                <w:rFonts w:hint="eastAsia"/>
                <w:bCs/>
                <w:sz w:val="24"/>
              </w:rPr>
              <w:t>，由于矿物油在厂区内存储量较小，若发生火灾采用灭火器和消防沙灭火即可</w:t>
            </w:r>
            <w:r>
              <w:rPr>
                <w:bCs/>
                <w:sz w:val="24"/>
              </w:rPr>
              <w:t>。火灾燃烧产生的次生污染物</w:t>
            </w:r>
            <w:r>
              <w:rPr>
                <w:rFonts w:hint="eastAsia"/>
                <w:bCs/>
                <w:sz w:val="24"/>
              </w:rPr>
              <w:t>可能</w:t>
            </w:r>
            <w:r>
              <w:rPr>
                <w:bCs/>
                <w:sz w:val="24"/>
              </w:rPr>
              <w:t>引起大气污染。</w:t>
            </w:r>
          </w:p>
          <w:p w14:paraId="09376E16">
            <w:pPr>
              <w:spacing w:line="360" w:lineRule="auto"/>
              <w:ind w:firstLine="480" w:firstLineChars="200"/>
              <w:rPr>
                <w:bCs/>
                <w:sz w:val="24"/>
              </w:rPr>
            </w:pPr>
            <w:r>
              <w:rPr>
                <w:bCs/>
                <w:sz w:val="24"/>
              </w:rPr>
              <w:t>②泄漏风险</w:t>
            </w:r>
          </w:p>
          <w:p w14:paraId="1DDAF852">
            <w:pPr>
              <w:spacing w:line="360" w:lineRule="auto"/>
              <w:ind w:firstLine="480" w:firstLineChars="200"/>
              <w:jc w:val="left"/>
              <w:rPr>
                <w:rFonts w:hint="eastAsia"/>
                <w:sz w:val="24"/>
              </w:rPr>
            </w:pPr>
            <w:r>
              <w:rPr>
                <w:rFonts w:hint="eastAsia"/>
                <w:bCs/>
                <w:sz w:val="24"/>
              </w:rPr>
              <w:t>矿物油</w:t>
            </w:r>
            <w:r>
              <w:rPr>
                <w:bCs/>
                <w:sz w:val="24"/>
              </w:rPr>
              <w:t>在使用、处理过程中若发生物料泄露，地面破损进入到土壤中，将会污染土壤和地下水环境</w:t>
            </w:r>
            <w:r>
              <w:rPr>
                <w:sz w:val="24"/>
                <w:lang w:val="zh-CN"/>
              </w:rPr>
              <w:t>。</w:t>
            </w:r>
          </w:p>
          <w:p w14:paraId="3E8D9048">
            <w:pPr>
              <w:spacing w:line="360" w:lineRule="auto"/>
              <w:ind w:firstLine="480" w:firstLineChars="200"/>
              <w:rPr>
                <w:rFonts w:hint="eastAsia"/>
                <w:bCs/>
                <w:sz w:val="24"/>
              </w:rPr>
            </w:pPr>
            <w:r>
              <w:rPr>
                <w:rFonts w:hint="eastAsia"/>
                <w:bCs/>
                <w:sz w:val="24"/>
              </w:rPr>
              <w:t>根据本项目的风险识别及风险分析结果，提出风险防范措施如下：</w:t>
            </w:r>
          </w:p>
          <w:p w14:paraId="75140F4E">
            <w:pPr>
              <w:spacing w:line="360" w:lineRule="auto"/>
              <w:ind w:firstLine="480" w:firstLineChars="200"/>
              <w:rPr>
                <w:rFonts w:hint="eastAsia"/>
                <w:bCs/>
                <w:sz w:val="24"/>
              </w:rPr>
            </w:pPr>
            <w:r>
              <w:rPr>
                <w:bCs/>
                <w:sz w:val="24"/>
              </w:rPr>
              <w:t>①</w:t>
            </w:r>
            <w:r>
              <w:rPr>
                <w:rFonts w:hint="eastAsia"/>
                <w:bCs/>
                <w:sz w:val="24"/>
              </w:rPr>
              <w:t>公司应编制突发环境风险应急预案并报环保局进行备案，成立突发环境风险应急小组，设置总指挥、消防灭火组、通信联络组、现场救护组、应急物资供应组等，明确分工，发生突发环境事件时能及时采取相应措施；</w:t>
            </w:r>
          </w:p>
          <w:p w14:paraId="370D5575">
            <w:pPr>
              <w:spacing w:line="360" w:lineRule="auto"/>
              <w:ind w:firstLine="480" w:firstLineChars="200"/>
              <w:rPr>
                <w:bCs/>
                <w:sz w:val="24"/>
              </w:rPr>
            </w:pPr>
            <w:r>
              <w:rPr>
                <w:bCs/>
                <w:sz w:val="24"/>
              </w:rPr>
              <w:t>②建立健全危废仓库及生产车间的火灾防范制度，配备灭火设施</w:t>
            </w:r>
            <w:r>
              <w:rPr>
                <w:rFonts w:hint="eastAsia"/>
                <w:bCs/>
                <w:sz w:val="24"/>
              </w:rPr>
              <w:t>；</w:t>
            </w:r>
          </w:p>
          <w:p w14:paraId="134285A0">
            <w:pPr>
              <w:spacing w:line="360" w:lineRule="auto"/>
              <w:ind w:firstLine="480" w:firstLineChars="200"/>
              <w:rPr>
                <w:rFonts w:hint="eastAsia"/>
                <w:bCs/>
                <w:sz w:val="24"/>
              </w:rPr>
            </w:pPr>
            <w:r>
              <w:rPr>
                <w:rFonts w:eastAsia="微软雅黑"/>
                <w:bCs/>
                <w:sz w:val="24"/>
              </w:rPr>
              <w:t>③</w:t>
            </w:r>
            <w:r>
              <w:rPr>
                <w:bCs/>
                <w:sz w:val="24"/>
              </w:rPr>
              <w:t>建立</w:t>
            </w:r>
            <w:r>
              <w:rPr>
                <w:rFonts w:hint="eastAsia"/>
                <w:bCs/>
                <w:sz w:val="24"/>
              </w:rPr>
              <w:t>矿物油的</w:t>
            </w:r>
            <w:r>
              <w:rPr>
                <w:bCs/>
                <w:sz w:val="24"/>
              </w:rPr>
              <w:t>采购、存储、厂内运输、领用、使用、废弃等全路径管理制度</w:t>
            </w:r>
            <w:r>
              <w:rPr>
                <w:rFonts w:hint="eastAsia"/>
                <w:bCs/>
                <w:sz w:val="24"/>
              </w:rPr>
              <w:t>，防止</w:t>
            </w:r>
            <w:r>
              <w:rPr>
                <w:bCs/>
                <w:sz w:val="24"/>
              </w:rPr>
              <w:t>发生物料</w:t>
            </w:r>
            <w:r>
              <w:rPr>
                <w:rFonts w:hint="eastAsia"/>
                <w:bCs/>
                <w:sz w:val="24"/>
              </w:rPr>
              <w:t>泄漏；</w:t>
            </w:r>
          </w:p>
          <w:p w14:paraId="11F1598E">
            <w:pPr>
              <w:spacing w:line="360" w:lineRule="auto"/>
              <w:ind w:firstLine="480" w:firstLineChars="200"/>
              <w:rPr>
                <w:bCs/>
                <w:sz w:val="24"/>
              </w:rPr>
            </w:pPr>
            <w:r>
              <w:rPr>
                <w:sz w:val="24"/>
              </w:rPr>
              <w:t>④</w:t>
            </w:r>
            <w:r>
              <w:rPr>
                <w:bCs/>
                <w:sz w:val="24"/>
              </w:rPr>
              <w:t>加强对废气设施的运行管理、维护保养当废气处理措施发生故障，造成废气事故性排放，项目应立即停产，排除事故故障，待确保废气治理措施正常运转后再恢复生产；</w:t>
            </w:r>
          </w:p>
          <w:p w14:paraId="12AF7376">
            <w:pPr>
              <w:pStyle w:val="14"/>
              <w:spacing w:line="360" w:lineRule="auto"/>
              <w:ind w:left="0" w:leftChars="0" w:firstLine="480"/>
              <w:rPr>
                <w:rFonts w:hint="eastAsia"/>
                <w:szCs w:val="21"/>
              </w:rPr>
            </w:pPr>
            <w:r>
              <w:rPr>
                <w:rFonts w:hint="eastAsia"/>
                <w:sz w:val="24"/>
              </w:rPr>
              <w:fldChar w:fldCharType="begin"/>
            </w:r>
            <w:r>
              <w:rPr>
                <w:rFonts w:hint="eastAsia"/>
                <w:sz w:val="24"/>
              </w:rPr>
              <w:instrText xml:space="preserve"> = 5 \* GB3 \* MERGEFORMAT </w:instrText>
            </w:r>
            <w:r>
              <w:rPr>
                <w:rFonts w:hint="eastAsia"/>
                <w:sz w:val="24"/>
              </w:rPr>
              <w:fldChar w:fldCharType="separate"/>
            </w:r>
            <w:r>
              <w:rPr>
                <w:sz w:val="24"/>
                <w:szCs w:val="32"/>
              </w:rPr>
              <w:t>⑤</w:t>
            </w:r>
            <w:r>
              <w:rPr>
                <w:rFonts w:hint="eastAsia"/>
                <w:sz w:val="24"/>
              </w:rPr>
              <w:fldChar w:fldCharType="end"/>
            </w:r>
            <w:r>
              <w:rPr>
                <w:rFonts w:hint="eastAsia"/>
                <w:sz w:val="24"/>
              </w:rPr>
              <w:t>应</w:t>
            </w:r>
            <w:r>
              <w:rPr>
                <w:bCs/>
                <w:sz w:val="24"/>
              </w:rPr>
              <w:t>配置消防沙、应急照明、急救药品、灭火器</w:t>
            </w:r>
            <w:r>
              <w:rPr>
                <w:rFonts w:hint="eastAsia"/>
                <w:bCs/>
                <w:sz w:val="24"/>
              </w:rPr>
              <w:t>、防护服</w:t>
            </w:r>
            <w:r>
              <w:rPr>
                <w:bCs/>
                <w:sz w:val="24"/>
              </w:rPr>
              <w:t>等应急物资。</w:t>
            </w:r>
          </w:p>
        </w:tc>
      </w:tr>
    </w:tbl>
    <w:p w14:paraId="5252BFC3">
      <w:pPr>
        <w:adjustRightInd w:val="0"/>
        <w:snapToGrid w:val="0"/>
        <w:spacing w:line="360" w:lineRule="auto"/>
        <w:rPr>
          <w:rFonts w:hint="eastAsia" w:ascii="宋体" w:cs="宋体"/>
          <w:b/>
          <w:kern w:val="0"/>
          <w:sz w:val="28"/>
          <w:szCs w:val="28"/>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4DAA56DD">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4" w:name="_Hlk54167917"/>
      <w:r>
        <w:rPr>
          <w:rFonts w:hint="eastAsia" w:ascii="黑体" w:hAnsi="黑体" w:eastAsia="黑体"/>
          <w:snapToGrid w:val="0"/>
          <w:sz w:val="30"/>
          <w:szCs w:val="30"/>
        </w:rPr>
        <w:t>环境保护措施监督检查清单</w:t>
      </w:r>
      <w:bookmarkEnd w:id="14"/>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500"/>
        <w:gridCol w:w="1680"/>
        <w:gridCol w:w="2365"/>
        <w:gridCol w:w="1757"/>
      </w:tblGrid>
      <w:tr w14:paraId="3619F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tcBorders>
              <w:tl2br w:val="single" w:color="auto" w:sz="4" w:space="0"/>
            </w:tcBorders>
            <w:noWrap w:val="0"/>
            <w:vAlign w:val="top"/>
          </w:tcPr>
          <w:p w14:paraId="5B5E2E7F">
            <w:pPr>
              <w:adjustRightInd w:val="0"/>
              <w:snapToGrid w:val="0"/>
              <w:ind w:firstLine="840"/>
              <w:rPr>
                <w:szCs w:val="21"/>
              </w:rPr>
            </w:pPr>
            <w:bookmarkStart w:id="15" w:name="_Hlk185114004"/>
            <w:r>
              <w:rPr>
                <w:szCs w:val="21"/>
              </w:rPr>
              <w:t>内容</w:t>
            </w:r>
          </w:p>
          <w:p w14:paraId="7BE78104">
            <w:pPr>
              <w:adjustRightInd w:val="0"/>
              <w:snapToGrid w:val="0"/>
              <w:rPr>
                <w:szCs w:val="21"/>
              </w:rPr>
            </w:pPr>
            <w:r>
              <w:rPr>
                <w:szCs w:val="21"/>
              </w:rPr>
              <w:t>要素</w:t>
            </w:r>
          </w:p>
        </w:tc>
        <w:tc>
          <w:tcPr>
            <w:tcW w:w="1500" w:type="dxa"/>
            <w:noWrap w:val="0"/>
            <w:vAlign w:val="center"/>
          </w:tcPr>
          <w:p w14:paraId="387C6B6D">
            <w:pPr>
              <w:adjustRightInd w:val="0"/>
              <w:snapToGrid w:val="0"/>
              <w:jc w:val="center"/>
              <w:rPr>
                <w:szCs w:val="21"/>
              </w:rPr>
            </w:pPr>
            <w:r>
              <w:rPr>
                <w:szCs w:val="21"/>
              </w:rPr>
              <w:t>排放口(编号、</w:t>
            </w:r>
          </w:p>
          <w:p w14:paraId="171DF6D5">
            <w:pPr>
              <w:adjustRightInd w:val="0"/>
              <w:snapToGrid w:val="0"/>
              <w:jc w:val="center"/>
              <w:rPr>
                <w:szCs w:val="21"/>
              </w:rPr>
            </w:pPr>
            <w:r>
              <w:rPr>
                <w:szCs w:val="21"/>
              </w:rPr>
              <w:t>名称)/污染源</w:t>
            </w:r>
          </w:p>
        </w:tc>
        <w:tc>
          <w:tcPr>
            <w:tcW w:w="1680" w:type="dxa"/>
            <w:noWrap w:val="0"/>
            <w:vAlign w:val="center"/>
          </w:tcPr>
          <w:p w14:paraId="228AE64C">
            <w:pPr>
              <w:adjustRightInd w:val="0"/>
              <w:snapToGrid w:val="0"/>
              <w:jc w:val="center"/>
              <w:rPr>
                <w:szCs w:val="21"/>
              </w:rPr>
            </w:pPr>
            <w:r>
              <w:rPr>
                <w:szCs w:val="21"/>
              </w:rPr>
              <w:t>污染物项目</w:t>
            </w:r>
          </w:p>
        </w:tc>
        <w:tc>
          <w:tcPr>
            <w:tcW w:w="2365" w:type="dxa"/>
            <w:noWrap w:val="0"/>
            <w:vAlign w:val="center"/>
          </w:tcPr>
          <w:p w14:paraId="3A8AEC6A">
            <w:pPr>
              <w:adjustRightInd w:val="0"/>
              <w:snapToGrid w:val="0"/>
              <w:jc w:val="center"/>
              <w:rPr>
                <w:szCs w:val="21"/>
              </w:rPr>
            </w:pPr>
            <w:r>
              <w:rPr>
                <w:szCs w:val="21"/>
              </w:rPr>
              <w:t>环境保护措施</w:t>
            </w:r>
          </w:p>
        </w:tc>
        <w:tc>
          <w:tcPr>
            <w:tcW w:w="1757" w:type="dxa"/>
            <w:noWrap w:val="0"/>
            <w:vAlign w:val="center"/>
          </w:tcPr>
          <w:p w14:paraId="04324C52">
            <w:pPr>
              <w:adjustRightInd w:val="0"/>
              <w:snapToGrid w:val="0"/>
              <w:jc w:val="center"/>
              <w:rPr>
                <w:szCs w:val="21"/>
              </w:rPr>
            </w:pPr>
            <w:r>
              <w:rPr>
                <w:szCs w:val="21"/>
              </w:rPr>
              <w:t>执行标准</w:t>
            </w:r>
          </w:p>
        </w:tc>
      </w:tr>
      <w:tr w14:paraId="442C5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restart"/>
            <w:noWrap w:val="0"/>
            <w:vAlign w:val="center"/>
          </w:tcPr>
          <w:p w14:paraId="0CCD9D3B">
            <w:pPr>
              <w:adjustRightInd w:val="0"/>
              <w:snapToGrid w:val="0"/>
              <w:spacing w:line="240" w:lineRule="auto"/>
              <w:jc w:val="center"/>
              <w:rPr>
                <w:sz w:val="21"/>
                <w:szCs w:val="21"/>
              </w:rPr>
            </w:pPr>
            <w:r>
              <w:rPr>
                <w:sz w:val="21"/>
                <w:szCs w:val="21"/>
              </w:rPr>
              <w:t>大气环境</w:t>
            </w:r>
          </w:p>
        </w:tc>
        <w:tc>
          <w:tcPr>
            <w:tcW w:w="1500" w:type="dxa"/>
            <w:noWrap w:val="0"/>
            <w:vAlign w:val="center"/>
          </w:tcPr>
          <w:p w14:paraId="081507A7">
            <w:pPr>
              <w:adjustRightInd w:val="0"/>
              <w:snapToGrid w:val="0"/>
              <w:spacing w:line="240" w:lineRule="auto"/>
              <w:jc w:val="center"/>
              <w:rPr>
                <w:sz w:val="21"/>
                <w:szCs w:val="21"/>
              </w:rPr>
            </w:pPr>
            <w:r>
              <w:rPr>
                <w:sz w:val="21"/>
                <w:szCs w:val="21"/>
              </w:rPr>
              <w:t>DA001</w:t>
            </w:r>
          </w:p>
        </w:tc>
        <w:tc>
          <w:tcPr>
            <w:tcW w:w="1680" w:type="dxa"/>
            <w:noWrap w:val="0"/>
            <w:vAlign w:val="center"/>
          </w:tcPr>
          <w:p w14:paraId="765E2227">
            <w:pPr>
              <w:adjustRightInd w:val="0"/>
              <w:snapToGrid w:val="0"/>
              <w:spacing w:line="240" w:lineRule="auto"/>
              <w:jc w:val="center"/>
              <w:rPr>
                <w:rFonts w:hint="eastAsia"/>
                <w:sz w:val="21"/>
                <w:szCs w:val="21"/>
              </w:rPr>
            </w:pPr>
            <w:r>
              <w:rPr>
                <w:rFonts w:hint="eastAsia"/>
                <w:sz w:val="21"/>
                <w:szCs w:val="21"/>
              </w:rPr>
              <w:t>颗粒物、非甲烷总烃</w:t>
            </w:r>
            <w:r>
              <w:rPr>
                <w:rFonts w:hint="eastAsia"/>
                <w:sz w:val="21"/>
                <w:szCs w:val="21"/>
                <w:lang w:eastAsia="zh-CN"/>
              </w:rPr>
              <w:t>、</w:t>
            </w:r>
            <w:r>
              <w:rPr>
                <w:rFonts w:hint="eastAsia"/>
                <w:sz w:val="21"/>
                <w:szCs w:val="21"/>
              </w:rPr>
              <w:t>SO</w:t>
            </w:r>
            <w:r>
              <w:rPr>
                <w:rFonts w:hint="eastAsia"/>
                <w:sz w:val="21"/>
                <w:szCs w:val="21"/>
                <w:vertAlign w:val="subscript"/>
              </w:rPr>
              <w:t>2</w:t>
            </w:r>
            <w:r>
              <w:rPr>
                <w:rFonts w:hint="eastAsia"/>
                <w:sz w:val="21"/>
                <w:szCs w:val="21"/>
              </w:rPr>
              <w:t>、NO</w:t>
            </w:r>
            <w:r>
              <w:rPr>
                <w:rFonts w:hint="eastAsia"/>
                <w:sz w:val="21"/>
                <w:szCs w:val="21"/>
                <w:vertAlign w:val="subscript"/>
              </w:rPr>
              <w:t>x</w:t>
            </w:r>
          </w:p>
        </w:tc>
        <w:tc>
          <w:tcPr>
            <w:tcW w:w="2365" w:type="dxa"/>
            <w:noWrap w:val="0"/>
            <w:vAlign w:val="center"/>
          </w:tcPr>
          <w:p w14:paraId="23866FAD">
            <w:pPr>
              <w:spacing w:line="240" w:lineRule="auto"/>
              <w:rPr>
                <w:bCs/>
                <w:sz w:val="21"/>
                <w:szCs w:val="21"/>
              </w:rPr>
            </w:pPr>
            <w:r>
              <w:rPr>
                <w:rFonts w:hint="eastAsia"/>
                <w:color w:val="auto"/>
                <w:sz w:val="21"/>
                <w:szCs w:val="21"/>
                <w:lang w:val="en-US" w:eastAsia="zh-CN"/>
              </w:rPr>
              <w:t>喷漆废气在干式喷漆室经全封闭微负压收集后，封闭废气经配套低氮燃烧器，通过引风管负压收集后，与喷漆废气共用一套“过滤棉+两级活性炭吸附”设施处理，处理完成由一根17m高排气筒（DA001）排放；渗锌废气配套低氮燃烧器，在密闭设备中通过引风管收集，处理完成后由一根17m高排气筒（DA001）排放</w:t>
            </w:r>
            <w:r>
              <w:rPr>
                <w:rFonts w:hint="eastAsia"/>
                <w:color w:val="auto"/>
                <w:sz w:val="21"/>
                <w:szCs w:val="21"/>
              </w:rPr>
              <w:t>。</w:t>
            </w:r>
          </w:p>
        </w:tc>
        <w:tc>
          <w:tcPr>
            <w:tcW w:w="1757" w:type="dxa"/>
            <w:vMerge w:val="restart"/>
            <w:noWrap w:val="0"/>
            <w:vAlign w:val="center"/>
          </w:tcPr>
          <w:p w14:paraId="297DBC3F">
            <w:pPr>
              <w:spacing w:line="240" w:lineRule="auto"/>
              <w:rPr>
                <w:sz w:val="21"/>
                <w:szCs w:val="21"/>
              </w:rPr>
            </w:pPr>
            <w:r>
              <w:rPr>
                <w:rFonts w:hint="eastAsia"/>
                <w:sz w:val="21"/>
                <w:szCs w:val="21"/>
              </w:rPr>
              <w:t>《固定源挥发性有机物综合排放标准 第6部分 其他行业》（DB34/4812.6-2024）、《大气污染物综合排放标准》（GB16297</w:t>
            </w:r>
            <w:r>
              <w:rPr>
                <w:rFonts w:hint="eastAsia"/>
                <w:sz w:val="21"/>
                <w:szCs w:val="21"/>
                <w:lang w:val="en-US" w:eastAsia="zh-CN"/>
              </w:rPr>
              <w:t xml:space="preserve"> </w:t>
            </w:r>
            <w:r>
              <w:rPr>
                <w:rFonts w:hint="eastAsia"/>
                <w:sz w:val="21"/>
                <w:szCs w:val="21"/>
              </w:rPr>
              <w:t>-1996）</w:t>
            </w:r>
            <w:r>
              <w:rPr>
                <w:rFonts w:hint="eastAsia"/>
                <w:sz w:val="21"/>
                <w:szCs w:val="21"/>
                <w:lang w:eastAsia="zh-CN"/>
              </w:rPr>
              <w:t>、</w:t>
            </w:r>
            <w:r>
              <w:rPr>
                <w:rFonts w:hint="eastAsia"/>
                <w:sz w:val="21"/>
                <w:szCs w:val="21"/>
              </w:rPr>
              <w:t>《工业炉窑大气污染综合治理方案》（环大气[2019]56号）</w:t>
            </w:r>
          </w:p>
        </w:tc>
      </w:tr>
      <w:tr w14:paraId="0A0E3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continue"/>
            <w:noWrap w:val="0"/>
            <w:vAlign w:val="center"/>
          </w:tcPr>
          <w:p w14:paraId="21B80795">
            <w:pPr>
              <w:adjustRightInd w:val="0"/>
              <w:snapToGrid w:val="0"/>
              <w:spacing w:line="240" w:lineRule="auto"/>
              <w:jc w:val="center"/>
              <w:rPr>
                <w:sz w:val="21"/>
                <w:szCs w:val="21"/>
              </w:rPr>
            </w:pPr>
          </w:p>
        </w:tc>
        <w:tc>
          <w:tcPr>
            <w:tcW w:w="1500" w:type="dxa"/>
            <w:noWrap w:val="0"/>
            <w:vAlign w:val="center"/>
          </w:tcPr>
          <w:p w14:paraId="6DB4329A">
            <w:pPr>
              <w:adjustRightInd w:val="0"/>
              <w:snapToGrid w:val="0"/>
              <w:spacing w:line="240" w:lineRule="auto"/>
              <w:jc w:val="center"/>
              <w:rPr>
                <w:rFonts w:hint="eastAsia"/>
                <w:sz w:val="21"/>
                <w:szCs w:val="21"/>
              </w:rPr>
            </w:pPr>
            <w:r>
              <w:rPr>
                <w:sz w:val="21"/>
                <w:szCs w:val="21"/>
              </w:rPr>
              <w:t>DA00</w:t>
            </w:r>
            <w:r>
              <w:rPr>
                <w:rFonts w:hint="eastAsia"/>
                <w:sz w:val="21"/>
                <w:szCs w:val="21"/>
              </w:rPr>
              <w:t>2</w:t>
            </w:r>
          </w:p>
        </w:tc>
        <w:tc>
          <w:tcPr>
            <w:tcW w:w="1680" w:type="dxa"/>
            <w:noWrap w:val="0"/>
            <w:vAlign w:val="center"/>
          </w:tcPr>
          <w:p w14:paraId="42E2AC52">
            <w:pPr>
              <w:adjustRightInd w:val="0"/>
              <w:snapToGrid w:val="0"/>
              <w:spacing w:line="240" w:lineRule="auto"/>
              <w:jc w:val="center"/>
              <w:rPr>
                <w:rFonts w:hint="eastAsia"/>
                <w:sz w:val="21"/>
                <w:szCs w:val="21"/>
              </w:rPr>
            </w:pPr>
            <w:r>
              <w:rPr>
                <w:rFonts w:hint="eastAsia"/>
                <w:sz w:val="21"/>
                <w:szCs w:val="21"/>
              </w:rPr>
              <w:t>颗粒物</w:t>
            </w:r>
          </w:p>
        </w:tc>
        <w:tc>
          <w:tcPr>
            <w:tcW w:w="2365" w:type="dxa"/>
            <w:noWrap w:val="0"/>
            <w:vAlign w:val="center"/>
          </w:tcPr>
          <w:p w14:paraId="6BB8A720">
            <w:pPr>
              <w:spacing w:line="240" w:lineRule="auto"/>
              <w:rPr>
                <w:rFonts w:hint="eastAsia"/>
                <w:sz w:val="21"/>
                <w:szCs w:val="21"/>
              </w:rPr>
            </w:pPr>
            <w:r>
              <w:rPr>
                <w:rFonts w:hint="eastAsia"/>
                <w:sz w:val="21"/>
                <w:szCs w:val="21"/>
              </w:rPr>
              <w:t>抛丸产生的抛丸粉尘经密闭管道收集，收集后经抛丸机自带振打式布袋除尘器处理，处理完成后由一根17m高排气筒（DA002）排放；</w:t>
            </w:r>
          </w:p>
        </w:tc>
        <w:tc>
          <w:tcPr>
            <w:tcW w:w="1757" w:type="dxa"/>
            <w:vMerge w:val="continue"/>
            <w:noWrap w:val="0"/>
            <w:vAlign w:val="center"/>
          </w:tcPr>
          <w:p w14:paraId="5EE5E7FB">
            <w:pPr>
              <w:adjustRightInd w:val="0"/>
              <w:snapToGrid w:val="0"/>
              <w:spacing w:line="240" w:lineRule="auto"/>
              <w:jc w:val="center"/>
              <w:rPr>
                <w:sz w:val="21"/>
                <w:szCs w:val="21"/>
              </w:rPr>
            </w:pPr>
          </w:p>
        </w:tc>
      </w:tr>
      <w:tr w14:paraId="6460A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continue"/>
            <w:noWrap w:val="0"/>
            <w:vAlign w:val="center"/>
          </w:tcPr>
          <w:p w14:paraId="096903BC">
            <w:pPr>
              <w:adjustRightInd w:val="0"/>
              <w:snapToGrid w:val="0"/>
              <w:spacing w:line="240" w:lineRule="auto"/>
              <w:jc w:val="center"/>
              <w:rPr>
                <w:sz w:val="21"/>
                <w:szCs w:val="21"/>
              </w:rPr>
            </w:pPr>
          </w:p>
        </w:tc>
        <w:tc>
          <w:tcPr>
            <w:tcW w:w="1500" w:type="dxa"/>
            <w:noWrap w:val="0"/>
            <w:vAlign w:val="center"/>
          </w:tcPr>
          <w:p w14:paraId="0A59365F">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无组织废气排放</w:t>
            </w:r>
          </w:p>
        </w:tc>
        <w:tc>
          <w:tcPr>
            <w:tcW w:w="1680" w:type="dxa"/>
            <w:noWrap w:val="0"/>
            <w:vAlign w:val="center"/>
          </w:tcPr>
          <w:p w14:paraId="40C19078">
            <w:pPr>
              <w:adjustRightInd w:val="0"/>
              <w:snapToGrid w:val="0"/>
              <w:spacing w:line="240" w:lineRule="auto"/>
              <w:jc w:val="center"/>
              <w:rPr>
                <w:rFonts w:hint="eastAsia"/>
                <w:sz w:val="21"/>
                <w:szCs w:val="21"/>
              </w:rPr>
            </w:pPr>
            <w:r>
              <w:rPr>
                <w:rFonts w:hint="eastAsia"/>
                <w:sz w:val="21"/>
                <w:szCs w:val="21"/>
              </w:rPr>
              <w:t>颗粒物</w:t>
            </w:r>
          </w:p>
        </w:tc>
        <w:tc>
          <w:tcPr>
            <w:tcW w:w="2365" w:type="dxa"/>
            <w:noWrap w:val="0"/>
            <w:vAlign w:val="center"/>
          </w:tcPr>
          <w:p w14:paraId="2CFAC781">
            <w:pPr>
              <w:spacing w:line="240" w:lineRule="auto"/>
              <w:rPr>
                <w:rFonts w:hint="eastAsia"/>
                <w:sz w:val="21"/>
                <w:szCs w:val="21"/>
              </w:rPr>
            </w:pPr>
            <w:r>
              <w:rPr>
                <w:rFonts w:hint="eastAsia"/>
                <w:sz w:val="21"/>
                <w:szCs w:val="21"/>
              </w:rPr>
              <w:t>焊接工位产生的焊接烟尘通过移动式焊烟净化器处理后进行无组织排放；切割下料产生的切割粉尘通过设备自带的除尘器处理后车间内无组织排放</w:t>
            </w:r>
          </w:p>
        </w:tc>
        <w:tc>
          <w:tcPr>
            <w:tcW w:w="1757" w:type="dxa"/>
            <w:vMerge w:val="continue"/>
            <w:noWrap w:val="0"/>
            <w:vAlign w:val="center"/>
          </w:tcPr>
          <w:p w14:paraId="5E409D90">
            <w:pPr>
              <w:adjustRightInd w:val="0"/>
              <w:snapToGrid w:val="0"/>
              <w:spacing w:line="240" w:lineRule="auto"/>
              <w:jc w:val="center"/>
              <w:rPr>
                <w:sz w:val="21"/>
                <w:szCs w:val="21"/>
              </w:rPr>
            </w:pPr>
          </w:p>
        </w:tc>
      </w:tr>
      <w:tr w14:paraId="0434C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498" w:type="dxa"/>
            <w:noWrap w:val="0"/>
            <w:vAlign w:val="center"/>
          </w:tcPr>
          <w:p w14:paraId="5F5318D7">
            <w:pPr>
              <w:adjustRightInd w:val="0"/>
              <w:snapToGrid w:val="0"/>
              <w:spacing w:line="240" w:lineRule="auto"/>
              <w:jc w:val="center"/>
              <w:rPr>
                <w:sz w:val="21"/>
                <w:szCs w:val="21"/>
              </w:rPr>
            </w:pPr>
            <w:r>
              <w:rPr>
                <w:sz w:val="21"/>
                <w:szCs w:val="21"/>
              </w:rPr>
              <w:t>地表水环境</w:t>
            </w:r>
          </w:p>
        </w:tc>
        <w:tc>
          <w:tcPr>
            <w:tcW w:w="1500" w:type="dxa"/>
            <w:noWrap w:val="0"/>
            <w:vAlign w:val="center"/>
          </w:tcPr>
          <w:p w14:paraId="6509D2EB">
            <w:pPr>
              <w:adjustRightInd w:val="0"/>
              <w:snapToGrid w:val="0"/>
              <w:spacing w:line="240" w:lineRule="auto"/>
              <w:jc w:val="center"/>
              <w:rPr>
                <w:sz w:val="21"/>
                <w:szCs w:val="21"/>
              </w:rPr>
            </w:pPr>
            <w:r>
              <w:rPr>
                <w:sz w:val="21"/>
                <w:szCs w:val="21"/>
              </w:rPr>
              <w:t>DW001</w:t>
            </w:r>
            <w:r>
              <w:rPr>
                <w:rFonts w:hint="eastAsia"/>
                <w:sz w:val="21"/>
                <w:szCs w:val="21"/>
              </w:rPr>
              <w:t>（依托厂区）</w:t>
            </w:r>
          </w:p>
        </w:tc>
        <w:tc>
          <w:tcPr>
            <w:tcW w:w="1680" w:type="dxa"/>
            <w:noWrap w:val="0"/>
            <w:vAlign w:val="center"/>
          </w:tcPr>
          <w:p w14:paraId="55188CB7">
            <w:pPr>
              <w:adjustRightInd w:val="0"/>
              <w:snapToGrid w:val="0"/>
              <w:spacing w:line="240" w:lineRule="auto"/>
              <w:jc w:val="center"/>
              <w:rPr>
                <w:sz w:val="21"/>
                <w:szCs w:val="21"/>
              </w:rPr>
            </w:pPr>
            <w:r>
              <w:rPr>
                <w:sz w:val="21"/>
                <w:szCs w:val="21"/>
              </w:rPr>
              <w:t>pH、COD、BOD</w:t>
            </w:r>
            <w:r>
              <w:rPr>
                <w:rFonts w:hint="eastAsia"/>
                <w:sz w:val="21"/>
                <w:szCs w:val="21"/>
                <w:vertAlign w:val="subscript"/>
              </w:rPr>
              <w:t>5</w:t>
            </w:r>
            <w:r>
              <w:rPr>
                <w:sz w:val="21"/>
                <w:szCs w:val="21"/>
              </w:rPr>
              <w:t>、SS、氨氮</w:t>
            </w:r>
          </w:p>
        </w:tc>
        <w:tc>
          <w:tcPr>
            <w:tcW w:w="2365" w:type="dxa"/>
            <w:noWrap w:val="0"/>
            <w:vAlign w:val="center"/>
          </w:tcPr>
          <w:p w14:paraId="6D4D59D4">
            <w:pPr>
              <w:spacing w:line="240" w:lineRule="auto"/>
              <w:rPr>
                <w:sz w:val="21"/>
                <w:szCs w:val="21"/>
              </w:rPr>
            </w:pPr>
            <w:r>
              <w:rPr>
                <w:rFonts w:hint="eastAsia"/>
                <w:bCs/>
                <w:sz w:val="21"/>
                <w:szCs w:val="21"/>
              </w:rPr>
              <w:t>依托厂区化粪池处理</w:t>
            </w:r>
          </w:p>
        </w:tc>
        <w:tc>
          <w:tcPr>
            <w:tcW w:w="1757" w:type="dxa"/>
            <w:noWrap w:val="0"/>
            <w:vAlign w:val="center"/>
          </w:tcPr>
          <w:p w14:paraId="190DA793">
            <w:pPr>
              <w:spacing w:line="240" w:lineRule="auto"/>
              <w:rPr>
                <w:rFonts w:hint="default"/>
                <w:sz w:val="21"/>
                <w:szCs w:val="21"/>
                <w:lang w:val="en-US"/>
              </w:rPr>
            </w:pPr>
            <w:r>
              <w:rPr>
                <w:rFonts w:hint="eastAsia"/>
                <w:bCs/>
                <w:sz w:val="21"/>
                <w:szCs w:val="21"/>
              </w:rPr>
              <w:t>淮北龙湖污水处理厂</w:t>
            </w:r>
            <w:r>
              <w:rPr>
                <w:bCs/>
                <w:sz w:val="21"/>
                <w:szCs w:val="21"/>
              </w:rPr>
              <w:t>接管</w:t>
            </w:r>
            <w:r>
              <w:rPr>
                <w:rFonts w:hint="eastAsia"/>
                <w:bCs/>
                <w:sz w:val="21"/>
                <w:szCs w:val="21"/>
                <w:lang w:val="en-US" w:eastAsia="zh-CN"/>
              </w:rPr>
              <w:t>限值要求</w:t>
            </w:r>
          </w:p>
        </w:tc>
      </w:tr>
      <w:tr w14:paraId="2854B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2E710D4D">
            <w:pPr>
              <w:adjustRightInd w:val="0"/>
              <w:snapToGrid w:val="0"/>
              <w:spacing w:line="240" w:lineRule="auto"/>
              <w:jc w:val="center"/>
              <w:rPr>
                <w:sz w:val="21"/>
                <w:szCs w:val="21"/>
              </w:rPr>
            </w:pPr>
            <w:r>
              <w:rPr>
                <w:sz w:val="21"/>
                <w:szCs w:val="21"/>
              </w:rPr>
              <w:t>声环境</w:t>
            </w:r>
          </w:p>
        </w:tc>
        <w:tc>
          <w:tcPr>
            <w:tcW w:w="1500" w:type="dxa"/>
            <w:noWrap w:val="0"/>
            <w:vAlign w:val="center"/>
          </w:tcPr>
          <w:p w14:paraId="30A34939">
            <w:pPr>
              <w:adjustRightInd w:val="0"/>
              <w:snapToGrid w:val="0"/>
              <w:spacing w:line="240" w:lineRule="auto"/>
              <w:jc w:val="center"/>
              <w:rPr>
                <w:sz w:val="21"/>
                <w:szCs w:val="21"/>
              </w:rPr>
            </w:pPr>
            <w:r>
              <w:rPr>
                <w:sz w:val="21"/>
                <w:szCs w:val="21"/>
              </w:rPr>
              <w:t>厂界噪声</w:t>
            </w:r>
          </w:p>
        </w:tc>
        <w:tc>
          <w:tcPr>
            <w:tcW w:w="1680" w:type="dxa"/>
            <w:noWrap w:val="0"/>
            <w:vAlign w:val="center"/>
          </w:tcPr>
          <w:p w14:paraId="0703B187">
            <w:pPr>
              <w:adjustRightInd w:val="0"/>
              <w:snapToGrid w:val="0"/>
              <w:spacing w:line="240" w:lineRule="auto"/>
              <w:jc w:val="center"/>
              <w:rPr>
                <w:sz w:val="21"/>
                <w:szCs w:val="21"/>
              </w:rPr>
            </w:pPr>
            <w:r>
              <w:rPr>
                <w:sz w:val="21"/>
                <w:szCs w:val="21"/>
              </w:rPr>
              <w:t>连续等效A声级L</w:t>
            </w:r>
            <w:r>
              <w:rPr>
                <w:sz w:val="21"/>
                <w:szCs w:val="21"/>
                <w:vertAlign w:val="subscript"/>
              </w:rPr>
              <w:t>eq</w:t>
            </w:r>
          </w:p>
        </w:tc>
        <w:tc>
          <w:tcPr>
            <w:tcW w:w="2365" w:type="dxa"/>
            <w:noWrap w:val="0"/>
            <w:vAlign w:val="center"/>
          </w:tcPr>
          <w:p w14:paraId="74A70B0E">
            <w:pPr>
              <w:spacing w:line="240" w:lineRule="auto"/>
              <w:rPr>
                <w:sz w:val="21"/>
                <w:szCs w:val="21"/>
              </w:rPr>
            </w:pPr>
            <w:r>
              <w:rPr>
                <w:bCs/>
                <w:sz w:val="21"/>
                <w:szCs w:val="21"/>
              </w:rPr>
              <w:t>通过选用低噪设备、安装减振基座，经厂区建筑物的隔声、距离的衰减的降噪措施</w:t>
            </w:r>
          </w:p>
        </w:tc>
        <w:tc>
          <w:tcPr>
            <w:tcW w:w="1757" w:type="dxa"/>
            <w:noWrap w:val="0"/>
            <w:vAlign w:val="center"/>
          </w:tcPr>
          <w:p w14:paraId="3474160E">
            <w:pPr>
              <w:spacing w:line="240" w:lineRule="auto"/>
              <w:rPr>
                <w:bCs/>
                <w:sz w:val="21"/>
                <w:szCs w:val="21"/>
              </w:rPr>
            </w:pPr>
            <w:r>
              <w:rPr>
                <w:bCs/>
                <w:sz w:val="21"/>
                <w:szCs w:val="21"/>
              </w:rPr>
              <w:t>《工业企业厂界环境噪声排放标准》（GB12348-2008）中</w:t>
            </w:r>
            <w:r>
              <w:rPr>
                <w:rFonts w:hint="eastAsia"/>
                <w:bCs/>
                <w:sz w:val="21"/>
                <w:szCs w:val="21"/>
              </w:rPr>
              <w:t>2</w:t>
            </w:r>
            <w:r>
              <w:rPr>
                <w:bCs/>
                <w:sz w:val="21"/>
                <w:szCs w:val="21"/>
              </w:rPr>
              <w:t>类区标准</w:t>
            </w:r>
          </w:p>
        </w:tc>
      </w:tr>
      <w:tr w14:paraId="45630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78B8BC25">
            <w:pPr>
              <w:adjustRightInd w:val="0"/>
              <w:snapToGrid w:val="0"/>
              <w:spacing w:line="240" w:lineRule="auto"/>
              <w:jc w:val="center"/>
              <w:rPr>
                <w:sz w:val="21"/>
                <w:szCs w:val="21"/>
              </w:rPr>
            </w:pPr>
            <w:r>
              <w:rPr>
                <w:sz w:val="21"/>
                <w:szCs w:val="21"/>
              </w:rPr>
              <w:t>电磁辐射</w:t>
            </w:r>
          </w:p>
        </w:tc>
        <w:tc>
          <w:tcPr>
            <w:tcW w:w="7302" w:type="dxa"/>
            <w:gridSpan w:val="4"/>
            <w:noWrap w:val="0"/>
            <w:vAlign w:val="center"/>
          </w:tcPr>
          <w:p w14:paraId="60F00140">
            <w:pPr>
              <w:adjustRightInd w:val="0"/>
              <w:snapToGrid w:val="0"/>
              <w:spacing w:line="240" w:lineRule="auto"/>
              <w:jc w:val="center"/>
              <w:rPr>
                <w:rFonts w:hint="eastAsia"/>
                <w:sz w:val="21"/>
                <w:szCs w:val="21"/>
              </w:rPr>
            </w:pPr>
            <w:r>
              <w:rPr>
                <w:rFonts w:hint="eastAsia"/>
                <w:sz w:val="21"/>
                <w:szCs w:val="21"/>
              </w:rPr>
              <w:t>无</w:t>
            </w:r>
          </w:p>
        </w:tc>
      </w:tr>
      <w:tr w14:paraId="0BBD8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4C5CA53B">
            <w:pPr>
              <w:adjustRightInd w:val="0"/>
              <w:snapToGrid w:val="0"/>
              <w:spacing w:line="240" w:lineRule="auto"/>
              <w:jc w:val="center"/>
              <w:rPr>
                <w:sz w:val="21"/>
                <w:szCs w:val="21"/>
              </w:rPr>
            </w:pPr>
            <w:r>
              <w:rPr>
                <w:sz w:val="21"/>
                <w:szCs w:val="21"/>
              </w:rPr>
              <w:t>固体废物</w:t>
            </w:r>
          </w:p>
        </w:tc>
        <w:tc>
          <w:tcPr>
            <w:tcW w:w="7302" w:type="dxa"/>
            <w:gridSpan w:val="4"/>
            <w:noWrap w:val="0"/>
            <w:vAlign w:val="center"/>
          </w:tcPr>
          <w:p w14:paraId="22D1552C">
            <w:pPr>
              <w:spacing w:line="240" w:lineRule="auto"/>
              <w:rPr>
                <w:sz w:val="21"/>
                <w:szCs w:val="21"/>
              </w:rPr>
            </w:pPr>
            <w:r>
              <w:rPr>
                <w:bCs/>
                <w:sz w:val="21"/>
                <w:szCs w:val="21"/>
              </w:rPr>
              <w:t>废</w:t>
            </w:r>
            <w:r>
              <w:rPr>
                <w:rFonts w:hint="eastAsia"/>
                <w:bCs/>
                <w:sz w:val="21"/>
                <w:szCs w:val="21"/>
              </w:rPr>
              <w:t>润滑油、废液压油、废乳化切削液、废油桶、废漆桶、废过滤棉、废活性炭</w:t>
            </w:r>
            <w:r>
              <w:rPr>
                <w:bCs/>
                <w:sz w:val="21"/>
                <w:szCs w:val="21"/>
              </w:rPr>
              <w:t>等危险废物在厂区危废暂存</w:t>
            </w:r>
            <w:r>
              <w:rPr>
                <w:rFonts w:hint="eastAsia"/>
                <w:bCs/>
                <w:sz w:val="21"/>
                <w:szCs w:val="21"/>
              </w:rPr>
              <w:t>间</w:t>
            </w:r>
            <w:r>
              <w:rPr>
                <w:bCs/>
                <w:sz w:val="21"/>
                <w:szCs w:val="21"/>
              </w:rPr>
              <w:t>暂存后交由有资质单位处置；废边角料、</w:t>
            </w:r>
            <w:r>
              <w:rPr>
                <w:rFonts w:hint="eastAsia"/>
                <w:bCs/>
                <w:sz w:val="21"/>
                <w:szCs w:val="21"/>
              </w:rPr>
              <w:t>废金属屑、废渗锌剂、废钢丸、不合格品</w:t>
            </w:r>
            <w:r>
              <w:rPr>
                <w:bCs/>
                <w:sz w:val="21"/>
                <w:szCs w:val="21"/>
              </w:rPr>
              <w:t>、</w:t>
            </w:r>
            <w:r>
              <w:rPr>
                <w:rFonts w:hint="eastAsia"/>
                <w:bCs/>
                <w:sz w:val="21"/>
                <w:szCs w:val="21"/>
              </w:rPr>
              <w:t>抛丸机布袋除尘器收集粉尘、除尘器收集粉尘、</w:t>
            </w:r>
            <w:r>
              <w:rPr>
                <w:bCs/>
                <w:sz w:val="21"/>
                <w:szCs w:val="21"/>
              </w:rPr>
              <w:t>废包装材料等一般固废</w:t>
            </w:r>
            <w:r>
              <w:rPr>
                <w:rFonts w:hint="eastAsia"/>
                <w:bCs/>
                <w:sz w:val="21"/>
                <w:szCs w:val="21"/>
              </w:rPr>
              <w:t>外售综合利用，分离室布袋收集粉尘回用于生产</w:t>
            </w:r>
            <w:r>
              <w:rPr>
                <w:bCs/>
                <w:sz w:val="21"/>
                <w:szCs w:val="21"/>
              </w:rPr>
              <w:t>；生活垃圾</w:t>
            </w:r>
            <w:r>
              <w:rPr>
                <w:rFonts w:hint="eastAsia"/>
                <w:bCs/>
                <w:sz w:val="21"/>
                <w:szCs w:val="21"/>
              </w:rPr>
              <w:t>和混入生活垃圾中的含油抹布及手套</w:t>
            </w:r>
            <w:r>
              <w:rPr>
                <w:bCs/>
                <w:sz w:val="21"/>
                <w:szCs w:val="21"/>
              </w:rPr>
              <w:t>由环卫部门统一清运</w:t>
            </w:r>
          </w:p>
        </w:tc>
      </w:tr>
      <w:tr w14:paraId="4E9DC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3C0EDB78">
            <w:pPr>
              <w:adjustRightInd w:val="0"/>
              <w:snapToGrid w:val="0"/>
              <w:spacing w:line="240" w:lineRule="auto"/>
              <w:jc w:val="center"/>
              <w:rPr>
                <w:sz w:val="21"/>
                <w:szCs w:val="21"/>
              </w:rPr>
            </w:pPr>
            <w:r>
              <w:rPr>
                <w:sz w:val="21"/>
                <w:szCs w:val="21"/>
              </w:rPr>
              <w:t>土壤及地下水</w:t>
            </w:r>
          </w:p>
          <w:p w14:paraId="7CDB94AE">
            <w:pPr>
              <w:adjustRightInd w:val="0"/>
              <w:snapToGrid w:val="0"/>
              <w:spacing w:line="240" w:lineRule="auto"/>
              <w:jc w:val="center"/>
              <w:rPr>
                <w:sz w:val="21"/>
                <w:szCs w:val="21"/>
              </w:rPr>
            </w:pPr>
            <w:r>
              <w:rPr>
                <w:sz w:val="21"/>
                <w:szCs w:val="21"/>
              </w:rPr>
              <w:t>污染防治措施</w:t>
            </w:r>
          </w:p>
        </w:tc>
        <w:tc>
          <w:tcPr>
            <w:tcW w:w="7302" w:type="dxa"/>
            <w:gridSpan w:val="4"/>
            <w:noWrap w:val="0"/>
            <w:vAlign w:val="center"/>
          </w:tcPr>
          <w:p w14:paraId="65ECF553">
            <w:pPr>
              <w:spacing w:line="240" w:lineRule="auto"/>
              <w:rPr>
                <w:rFonts w:hint="eastAsia" w:eastAsia="宋体"/>
                <w:sz w:val="21"/>
                <w:szCs w:val="21"/>
                <w:lang w:val="en-US" w:eastAsia="zh-CN"/>
              </w:rPr>
            </w:pPr>
            <w:r>
              <w:rPr>
                <w:rFonts w:hint="eastAsia"/>
                <w:bCs/>
                <w:sz w:val="21"/>
                <w:szCs w:val="21"/>
              </w:rPr>
              <w:t>危废暂存间、喷漆房、封闭区</w:t>
            </w:r>
            <w:r>
              <w:rPr>
                <w:bCs/>
                <w:sz w:val="21"/>
                <w:szCs w:val="21"/>
              </w:rPr>
              <w:t>采取重点防渗措施，</w:t>
            </w:r>
            <w:r>
              <w:rPr>
                <w:rFonts w:hint="eastAsia"/>
                <w:bCs/>
                <w:sz w:val="21"/>
                <w:szCs w:val="21"/>
              </w:rPr>
              <w:t>危废暂存间严格按照《危险废物贮存污染物控制标准》（GB 18597—2023）的相关要求建设</w:t>
            </w:r>
            <w:r>
              <w:rPr>
                <w:rFonts w:hint="eastAsia"/>
                <w:bCs/>
                <w:sz w:val="21"/>
                <w:szCs w:val="21"/>
                <w:lang w:val="en-US" w:eastAsia="zh-CN"/>
              </w:rPr>
              <w:t>要求</w:t>
            </w:r>
            <w:r>
              <w:rPr>
                <w:rFonts w:hint="eastAsia"/>
                <w:bCs/>
                <w:sz w:val="21"/>
                <w:szCs w:val="21"/>
              </w:rPr>
              <w:t>基础防渗层为至少1 米厚粘土层（渗透系数≤10</w:t>
            </w:r>
            <w:r>
              <w:rPr>
                <w:rFonts w:hint="eastAsia"/>
                <w:bCs/>
                <w:sz w:val="21"/>
                <w:szCs w:val="21"/>
                <w:vertAlign w:val="superscript"/>
              </w:rPr>
              <w:t>-10</w:t>
            </w:r>
            <w:r>
              <w:rPr>
                <w:rFonts w:hint="eastAsia"/>
                <w:bCs/>
                <w:sz w:val="21"/>
                <w:szCs w:val="21"/>
              </w:rPr>
              <w:t>cm/s），或2mm厚高密度聚乙烯，或至少2 mm厚的其它人工材料（渗透系数≤10</w:t>
            </w:r>
            <w:r>
              <w:rPr>
                <w:rFonts w:hint="eastAsia"/>
                <w:bCs/>
                <w:sz w:val="21"/>
                <w:szCs w:val="21"/>
                <w:vertAlign w:val="superscript"/>
              </w:rPr>
              <w:t>-1</w:t>
            </w:r>
            <w:r>
              <w:rPr>
                <w:rFonts w:hint="eastAsia"/>
                <w:bCs/>
                <w:sz w:val="21"/>
                <w:szCs w:val="21"/>
                <w:vertAlign w:val="superscript"/>
                <w:lang w:val="en-US" w:eastAsia="zh-CN"/>
              </w:rPr>
              <w:t>0</w:t>
            </w:r>
            <w:r>
              <w:rPr>
                <w:rFonts w:hint="eastAsia"/>
                <w:bCs/>
                <w:sz w:val="21"/>
                <w:szCs w:val="21"/>
              </w:rPr>
              <w:t>cm/s）</w:t>
            </w:r>
            <w:r>
              <w:rPr>
                <w:rFonts w:hint="eastAsia"/>
                <w:bCs/>
                <w:sz w:val="21"/>
                <w:szCs w:val="21"/>
                <w:lang w:eastAsia="zh-CN"/>
              </w:rPr>
              <w:t>；</w:t>
            </w:r>
            <w:r>
              <w:rPr>
                <w:rFonts w:hint="eastAsia"/>
                <w:bCs/>
                <w:sz w:val="21"/>
                <w:szCs w:val="21"/>
              </w:rPr>
              <w:t>喷漆房、封闭区</w:t>
            </w:r>
            <w:r>
              <w:rPr>
                <w:rFonts w:hint="eastAsia"/>
                <w:bCs/>
                <w:sz w:val="21"/>
                <w:szCs w:val="21"/>
                <w:lang w:val="en-US" w:eastAsia="zh-CN"/>
              </w:rPr>
              <w:t>要求</w:t>
            </w:r>
            <w:r>
              <w:rPr>
                <w:rFonts w:hint="eastAsia"/>
                <w:color w:val="auto"/>
                <w:kern w:val="0"/>
                <w:szCs w:val="21"/>
              </w:rPr>
              <w:t>等效黏土防渗层Mb≥6.0m，渗透系数</w:t>
            </w:r>
            <w:r>
              <w:rPr>
                <w:rFonts w:hint="eastAsia"/>
                <w:color w:val="auto"/>
              </w:rPr>
              <w:t>≤10</w:t>
            </w:r>
            <w:r>
              <w:rPr>
                <w:rFonts w:hint="eastAsia"/>
                <w:color w:val="auto"/>
                <w:vertAlign w:val="superscript"/>
              </w:rPr>
              <w:t>-</w:t>
            </w:r>
            <w:r>
              <w:rPr>
                <w:rFonts w:hint="eastAsia"/>
                <w:color w:val="auto"/>
                <w:vertAlign w:val="superscript"/>
                <w:lang w:val="en-US" w:eastAsia="zh-CN"/>
              </w:rPr>
              <w:t>7</w:t>
            </w:r>
            <w:r>
              <w:rPr>
                <w:rFonts w:hint="eastAsia"/>
                <w:color w:val="auto"/>
              </w:rPr>
              <w:t>cm/s；或参照GB18598执行</w:t>
            </w:r>
            <w:r>
              <w:rPr>
                <w:rFonts w:hint="eastAsia"/>
                <w:color w:val="auto"/>
                <w:lang w:eastAsia="zh-CN"/>
              </w:rPr>
              <w:t>。</w:t>
            </w:r>
          </w:p>
        </w:tc>
      </w:tr>
      <w:tr w14:paraId="7B282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002B2D6B">
            <w:pPr>
              <w:adjustRightInd w:val="0"/>
              <w:snapToGrid w:val="0"/>
              <w:spacing w:line="240" w:lineRule="auto"/>
              <w:jc w:val="center"/>
              <w:rPr>
                <w:sz w:val="21"/>
                <w:szCs w:val="21"/>
              </w:rPr>
            </w:pPr>
            <w:r>
              <w:rPr>
                <w:sz w:val="21"/>
                <w:szCs w:val="21"/>
              </w:rPr>
              <w:t>生态保护措施</w:t>
            </w:r>
          </w:p>
        </w:tc>
        <w:tc>
          <w:tcPr>
            <w:tcW w:w="7302" w:type="dxa"/>
            <w:gridSpan w:val="4"/>
            <w:noWrap w:val="0"/>
            <w:vAlign w:val="center"/>
          </w:tcPr>
          <w:p w14:paraId="1B925036">
            <w:pPr>
              <w:adjustRightInd w:val="0"/>
              <w:snapToGrid w:val="0"/>
              <w:spacing w:line="240" w:lineRule="auto"/>
              <w:jc w:val="center"/>
              <w:rPr>
                <w:rFonts w:hint="eastAsia"/>
                <w:sz w:val="21"/>
                <w:szCs w:val="21"/>
              </w:rPr>
            </w:pPr>
            <w:r>
              <w:rPr>
                <w:rFonts w:hint="eastAsia"/>
                <w:sz w:val="21"/>
                <w:szCs w:val="21"/>
              </w:rPr>
              <w:t>无</w:t>
            </w:r>
          </w:p>
        </w:tc>
      </w:tr>
      <w:tr w14:paraId="0C4A9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5E9D1301">
            <w:pPr>
              <w:adjustRightInd w:val="0"/>
              <w:snapToGrid w:val="0"/>
              <w:spacing w:line="240" w:lineRule="auto"/>
              <w:jc w:val="center"/>
              <w:rPr>
                <w:spacing w:val="-8"/>
                <w:sz w:val="21"/>
                <w:szCs w:val="21"/>
              </w:rPr>
            </w:pPr>
            <w:r>
              <w:rPr>
                <w:spacing w:val="-8"/>
                <w:sz w:val="21"/>
                <w:szCs w:val="21"/>
              </w:rPr>
              <w:t>环境风险</w:t>
            </w:r>
          </w:p>
          <w:p w14:paraId="54CECCC3">
            <w:pPr>
              <w:adjustRightInd w:val="0"/>
              <w:snapToGrid w:val="0"/>
              <w:spacing w:line="240" w:lineRule="auto"/>
              <w:jc w:val="center"/>
              <w:rPr>
                <w:spacing w:val="-8"/>
                <w:sz w:val="21"/>
                <w:szCs w:val="21"/>
              </w:rPr>
            </w:pPr>
            <w:r>
              <w:rPr>
                <w:spacing w:val="-8"/>
                <w:sz w:val="21"/>
                <w:szCs w:val="21"/>
              </w:rPr>
              <w:t>防范措施</w:t>
            </w:r>
          </w:p>
        </w:tc>
        <w:tc>
          <w:tcPr>
            <w:tcW w:w="7302" w:type="dxa"/>
            <w:gridSpan w:val="4"/>
            <w:noWrap w:val="0"/>
            <w:vAlign w:val="center"/>
          </w:tcPr>
          <w:p w14:paraId="105A3A98">
            <w:pPr>
              <w:spacing w:line="240" w:lineRule="auto"/>
              <w:rPr>
                <w:rFonts w:hint="eastAsia"/>
                <w:bCs/>
                <w:sz w:val="21"/>
                <w:szCs w:val="21"/>
              </w:rPr>
            </w:pPr>
            <w:r>
              <w:rPr>
                <w:rFonts w:hint="eastAsia"/>
                <w:bCs/>
                <w:sz w:val="21"/>
                <w:szCs w:val="21"/>
              </w:rPr>
              <w:t>①公司应编制突发环境风险应急预案，成立突发环境风险应急小组，设置总指挥、消防灭火组、通信联络组、现场救护组、应急物资供应组等，明确分工，发生突发环境事件时能及时采取相应措施；</w:t>
            </w:r>
          </w:p>
          <w:p w14:paraId="4AD95B8E">
            <w:pPr>
              <w:spacing w:line="240" w:lineRule="auto"/>
              <w:rPr>
                <w:rFonts w:hint="eastAsia"/>
                <w:bCs/>
                <w:sz w:val="21"/>
                <w:szCs w:val="21"/>
              </w:rPr>
            </w:pPr>
            <w:r>
              <w:rPr>
                <w:rFonts w:hint="eastAsia"/>
                <w:bCs/>
                <w:sz w:val="21"/>
                <w:szCs w:val="21"/>
              </w:rPr>
              <w:t>②建立健全危废仓库及生产车间的火灾防范制度，配备灭火设施；</w:t>
            </w:r>
          </w:p>
          <w:p w14:paraId="5EAD6993">
            <w:pPr>
              <w:spacing w:line="240" w:lineRule="auto"/>
              <w:rPr>
                <w:rFonts w:hint="eastAsia"/>
                <w:bCs/>
                <w:sz w:val="21"/>
                <w:szCs w:val="21"/>
              </w:rPr>
            </w:pPr>
            <w:r>
              <w:rPr>
                <w:rFonts w:hint="eastAsia"/>
                <w:bCs/>
                <w:sz w:val="21"/>
                <w:szCs w:val="21"/>
              </w:rPr>
              <w:t>③建立矿物油采购、存储、厂内运输、领用、使用、废弃等全路径管理制度，防止发生物料泄漏；</w:t>
            </w:r>
          </w:p>
          <w:p w14:paraId="4612EF90">
            <w:pPr>
              <w:spacing w:line="240" w:lineRule="auto"/>
              <w:rPr>
                <w:rFonts w:hint="eastAsia"/>
                <w:bCs/>
                <w:sz w:val="21"/>
                <w:szCs w:val="21"/>
              </w:rPr>
            </w:pPr>
            <w:r>
              <w:rPr>
                <w:rFonts w:hint="eastAsia"/>
                <w:bCs/>
                <w:sz w:val="21"/>
                <w:szCs w:val="21"/>
              </w:rPr>
              <w:t>④加强对废气设施的运行管理、维护保养当废气处理措施发生故障，造成废气事故性排放，项目应立即停产，排除事故故障，待确保废气治理措施正常运转后再恢复生产；</w:t>
            </w:r>
          </w:p>
          <w:p w14:paraId="0D494546">
            <w:pPr>
              <w:spacing w:line="240" w:lineRule="auto"/>
              <w:rPr>
                <w:sz w:val="21"/>
                <w:szCs w:val="21"/>
              </w:rPr>
            </w:pPr>
            <w:r>
              <w:rPr>
                <w:rFonts w:hint="eastAsia"/>
                <w:bCs/>
                <w:sz w:val="21"/>
                <w:szCs w:val="21"/>
              </w:rPr>
              <w:t>⑤应配置消防沙、应急照明、急救药品、灭火器、防护服等应急物资。</w:t>
            </w:r>
          </w:p>
        </w:tc>
      </w:tr>
      <w:tr w14:paraId="13636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14:paraId="54AB3CD0">
            <w:pPr>
              <w:adjustRightInd w:val="0"/>
              <w:snapToGrid w:val="0"/>
              <w:spacing w:line="240" w:lineRule="auto"/>
              <w:jc w:val="center"/>
              <w:rPr>
                <w:spacing w:val="-8"/>
                <w:sz w:val="21"/>
                <w:szCs w:val="21"/>
              </w:rPr>
            </w:pPr>
            <w:r>
              <w:rPr>
                <w:spacing w:val="-8"/>
                <w:sz w:val="21"/>
                <w:szCs w:val="21"/>
              </w:rPr>
              <w:t>其他环境</w:t>
            </w:r>
          </w:p>
          <w:p w14:paraId="359610E0">
            <w:pPr>
              <w:adjustRightInd w:val="0"/>
              <w:snapToGrid w:val="0"/>
              <w:spacing w:line="240" w:lineRule="auto"/>
              <w:jc w:val="center"/>
              <w:rPr>
                <w:spacing w:val="-8"/>
                <w:sz w:val="21"/>
                <w:szCs w:val="21"/>
              </w:rPr>
            </w:pPr>
            <w:r>
              <w:rPr>
                <w:spacing w:val="-8"/>
                <w:sz w:val="21"/>
                <w:szCs w:val="21"/>
              </w:rPr>
              <w:t>管理要求</w:t>
            </w:r>
          </w:p>
        </w:tc>
        <w:tc>
          <w:tcPr>
            <w:tcW w:w="7302" w:type="dxa"/>
            <w:gridSpan w:val="4"/>
            <w:noWrap w:val="0"/>
            <w:vAlign w:val="center"/>
          </w:tcPr>
          <w:p w14:paraId="163F9AC0">
            <w:pPr>
              <w:spacing w:line="240" w:lineRule="auto"/>
              <w:rPr>
                <w:rFonts w:hint="eastAsia"/>
                <w:sz w:val="21"/>
                <w:szCs w:val="21"/>
              </w:rPr>
            </w:pPr>
            <w:r>
              <w:rPr>
                <w:rFonts w:hint="eastAsia"/>
                <w:bCs/>
                <w:sz w:val="21"/>
                <w:szCs w:val="21"/>
              </w:rPr>
              <w:t>设置专门的环保机构及专职人员负责环保管理工作，每日检查环保工作情况，污染治理设施运转情况，保证废水与废气达标排放；建立污染源监测数据档案，定期对污染源进行监测并记录，出现超标情况及时整改；排污口规范化管理并设置标志牌；及时更新排污许可证信息等</w:t>
            </w:r>
          </w:p>
        </w:tc>
      </w:tr>
      <w:bookmarkEnd w:id="15"/>
    </w:tbl>
    <w:p w14:paraId="6D2EFFED">
      <w:pPr>
        <w:pStyle w:val="21"/>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EB9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F03E50F">
            <w:pPr>
              <w:spacing w:line="360" w:lineRule="auto"/>
              <w:ind w:firstLine="480" w:firstLineChars="200"/>
              <w:rPr>
                <w:sz w:val="24"/>
              </w:rPr>
            </w:pPr>
            <w:r>
              <w:rPr>
                <w:rFonts w:hint="eastAsia"/>
                <w:sz w:val="24"/>
              </w:rPr>
              <w:t>淮北飞航科技有限公司铁路混凝土箱型梁预埋件加工及其PCA防腐技术项目</w:t>
            </w:r>
            <w:r>
              <w:rPr>
                <w:sz w:val="24"/>
              </w:rPr>
              <w:t>符合国家</w:t>
            </w:r>
            <w:r>
              <w:rPr>
                <w:rFonts w:hint="eastAsia"/>
                <w:sz w:val="24"/>
              </w:rPr>
              <w:t>和地方</w:t>
            </w:r>
            <w:r>
              <w:rPr>
                <w:sz w:val="24"/>
              </w:rPr>
              <w:t>产业政策，只要严格落实本环境影响报告表提出的环保措施，确保本项目产生的污染物达标排放，从环境影响角度分析，本项目的建设可行。</w:t>
            </w:r>
          </w:p>
        </w:tc>
      </w:tr>
    </w:tbl>
    <w:p w14:paraId="5ACCFDA4">
      <w:pPr>
        <w:rPr>
          <w:rFonts w:hint="eastAsia" w:ascii="宋体"/>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084F3F30">
      <w:pPr>
        <w:pStyle w:val="21"/>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4E48A12E">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4"/>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347"/>
        <w:gridCol w:w="1611"/>
        <w:gridCol w:w="1208"/>
        <w:gridCol w:w="1611"/>
        <w:gridCol w:w="1477"/>
        <w:gridCol w:w="1668"/>
        <w:gridCol w:w="1587"/>
        <w:gridCol w:w="1051"/>
      </w:tblGrid>
      <w:tr w14:paraId="79ABE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5" w:type="pct"/>
            <w:tcBorders>
              <w:tl2br w:val="single" w:color="auto" w:sz="4" w:space="0"/>
            </w:tcBorders>
            <w:noWrap w:val="0"/>
            <w:tcMar>
              <w:left w:w="28" w:type="dxa"/>
              <w:right w:w="28" w:type="dxa"/>
            </w:tcMar>
            <w:vAlign w:val="center"/>
          </w:tcPr>
          <w:p w14:paraId="7BE9575A">
            <w:pPr>
              <w:pStyle w:val="46"/>
              <w:spacing w:beforeLines="0" w:afterLines="0" w:line="240" w:lineRule="auto"/>
              <w:jc w:val="right"/>
              <w:rPr>
                <w:rFonts w:ascii="Times New Roman"/>
                <w:b/>
                <w:bCs/>
                <w:snapToGrid w:val="0"/>
                <w:spacing w:val="-6"/>
                <w:kern w:val="21"/>
                <w:szCs w:val="21"/>
              </w:rPr>
            </w:pPr>
            <w:r>
              <w:rPr>
                <w:rFonts w:ascii="Times New Roman"/>
                <w:b/>
                <w:bCs/>
                <w:snapToGrid w:val="0"/>
                <w:spacing w:val="-6"/>
                <w:kern w:val="21"/>
                <w:szCs w:val="21"/>
              </w:rPr>
              <w:t>项目</w:t>
            </w:r>
          </w:p>
          <w:p w14:paraId="4D7FA94E">
            <w:pPr>
              <w:pStyle w:val="46"/>
              <w:spacing w:beforeLines="0" w:afterLines="0" w:line="240" w:lineRule="auto"/>
              <w:jc w:val="left"/>
              <w:rPr>
                <w:rFonts w:ascii="Times New Roman"/>
                <w:b/>
                <w:bCs/>
                <w:snapToGrid w:val="0"/>
                <w:spacing w:val="-6"/>
                <w:kern w:val="21"/>
                <w:szCs w:val="21"/>
              </w:rPr>
            </w:pPr>
            <w:r>
              <w:rPr>
                <w:rFonts w:ascii="Times New Roman"/>
                <w:b/>
                <w:bCs/>
                <w:snapToGrid w:val="0"/>
                <w:spacing w:val="-6"/>
                <w:kern w:val="21"/>
                <w:szCs w:val="21"/>
              </w:rPr>
              <w:t>分类</w:t>
            </w:r>
          </w:p>
        </w:tc>
        <w:tc>
          <w:tcPr>
            <w:tcW w:w="514" w:type="pct"/>
            <w:noWrap w:val="0"/>
            <w:tcMar>
              <w:left w:w="28" w:type="dxa"/>
              <w:right w:w="28" w:type="dxa"/>
            </w:tcMar>
            <w:vAlign w:val="center"/>
          </w:tcPr>
          <w:p w14:paraId="5813C0E7">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污染物名称</w:t>
            </w:r>
          </w:p>
        </w:tc>
        <w:tc>
          <w:tcPr>
            <w:tcW w:w="616" w:type="pct"/>
            <w:noWrap w:val="0"/>
            <w:tcMar>
              <w:left w:w="28" w:type="dxa"/>
              <w:right w:w="28" w:type="dxa"/>
            </w:tcMar>
            <w:vAlign w:val="center"/>
          </w:tcPr>
          <w:p w14:paraId="46D32352">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现有工程</w:t>
            </w:r>
          </w:p>
          <w:p w14:paraId="59881040">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1 \* GB3 \* MERGEFORMAT </w:instrText>
            </w:r>
            <w:r>
              <w:rPr>
                <w:rFonts w:ascii="Times New Roman"/>
                <w:b/>
                <w:bCs/>
                <w:snapToGrid w:val="0"/>
                <w:spacing w:val="-6"/>
                <w:kern w:val="21"/>
                <w:szCs w:val="21"/>
              </w:rPr>
              <w:fldChar w:fldCharType="separate"/>
            </w:r>
            <w:r>
              <w:rPr>
                <w:rFonts w:hint="eastAsia" w:hAnsi="宋体" w:cs="宋体"/>
                <w:b/>
                <w:bCs/>
                <w:kern w:val="2"/>
                <w:szCs w:val="21"/>
              </w:rPr>
              <w:t>①</w:t>
            </w:r>
            <w:r>
              <w:rPr>
                <w:rFonts w:ascii="Times New Roman"/>
                <w:b/>
                <w:bCs/>
                <w:snapToGrid w:val="0"/>
                <w:spacing w:val="-6"/>
                <w:kern w:val="21"/>
                <w:szCs w:val="21"/>
              </w:rPr>
              <w:fldChar w:fldCharType="end"/>
            </w:r>
          </w:p>
        </w:tc>
        <w:tc>
          <w:tcPr>
            <w:tcW w:w="462" w:type="pct"/>
            <w:noWrap w:val="0"/>
            <w:tcMar>
              <w:left w:w="28" w:type="dxa"/>
              <w:right w:w="28" w:type="dxa"/>
            </w:tcMar>
            <w:vAlign w:val="center"/>
          </w:tcPr>
          <w:p w14:paraId="71377E81">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现有工程</w:t>
            </w:r>
          </w:p>
          <w:p w14:paraId="2FCACA44">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许可排放量</w:t>
            </w:r>
          </w:p>
          <w:p w14:paraId="2723CD3E">
            <w:pPr>
              <w:pStyle w:val="46"/>
              <w:spacing w:beforeLines="0" w:afterLines="0"/>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2 \* GB3 \* MERGEFORMAT </w:instrText>
            </w:r>
            <w:r>
              <w:rPr>
                <w:rFonts w:ascii="Times New Roman"/>
                <w:b/>
                <w:bCs/>
                <w:snapToGrid w:val="0"/>
                <w:spacing w:val="-6"/>
                <w:kern w:val="21"/>
                <w:szCs w:val="21"/>
              </w:rPr>
              <w:fldChar w:fldCharType="separate"/>
            </w:r>
            <w:r>
              <w:rPr>
                <w:rFonts w:hint="eastAsia" w:hAnsi="宋体" w:cs="宋体"/>
                <w:b/>
                <w:bCs/>
                <w:snapToGrid w:val="0"/>
                <w:spacing w:val="-6"/>
                <w:kern w:val="21"/>
                <w:szCs w:val="21"/>
              </w:rPr>
              <w:t>②</w:t>
            </w:r>
            <w:r>
              <w:rPr>
                <w:rFonts w:ascii="Times New Roman"/>
                <w:b/>
                <w:bCs/>
                <w:snapToGrid w:val="0"/>
                <w:spacing w:val="-6"/>
                <w:kern w:val="21"/>
                <w:szCs w:val="21"/>
              </w:rPr>
              <w:fldChar w:fldCharType="end"/>
            </w:r>
          </w:p>
        </w:tc>
        <w:tc>
          <w:tcPr>
            <w:tcW w:w="616" w:type="pct"/>
            <w:noWrap w:val="0"/>
            <w:tcMar>
              <w:left w:w="28" w:type="dxa"/>
              <w:right w:w="28" w:type="dxa"/>
            </w:tcMar>
            <w:vAlign w:val="center"/>
          </w:tcPr>
          <w:p w14:paraId="5B3F74E1">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在建工程</w:t>
            </w:r>
          </w:p>
          <w:p w14:paraId="338446E1">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3 \* GB3 \* MERGEFORMAT </w:instrText>
            </w:r>
            <w:r>
              <w:rPr>
                <w:rFonts w:ascii="Times New Roman"/>
                <w:b/>
                <w:bCs/>
                <w:snapToGrid w:val="0"/>
                <w:spacing w:val="-6"/>
                <w:kern w:val="21"/>
                <w:szCs w:val="21"/>
              </w:rPr>
              <w:fldChar w:fldCharType="separate"/>
            </w:r>
            <w:r>
              <w:rPr>
                <w:rFonts w:hint="eastAsia" w:hAnsi="宋体" w:cs="宋体"/>
                <w:b/>
                <w:bCs/>
                <w:kern w:val="2"/>
                <w:szCs w:val="21"/>
              </w:rPr>
              <w:t>③</w:t>
            </w:r>
            <w:r>
              <w:rPr>
                <w:rFonts w:ascii="Times New Roman"/>
                <w:b/>
                <w:bCs/>
                <w:snapToGrid w:val="0"/>
                <w:spacing w:val="-6"/>
                <w:kern w:val="21"/>
                <w:szCs w:val="21"/>
              </w:rPr>
              <w:fldChar w:fldCharType="end"/>
            </w:r>
          </w:p>
        </w:tc>
        <w:tc>
          <w:tcPr>
            <w:tcW w:w="565" w:type="pct"/>
            <w:noWrap w:val="0"/>
            <w:tcMar>
              <w:left w:w="28" w:type="dxa"/>
              <w:right w:w="28" w:type="dxa"/>
            </w:tcMar>
            <w:vAlign w:val="center"/>
          </w:tcPr>
          <w:p w14:paraId="41E58F08">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本项目</w:t>
            </w:r>
          </w:p>
          <w:p w14:paraId="0FE8FB66">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4 \* GB3 \* MERGEFORMAT </w:instrText>
            </w:r>
            <w:r>
              <w:rPr>
                <w:rFonts w:ascii="Times New Roman"/>
                <w:b/>
                <w:bCs/>
                <w:snapToGrid w:val="0"/>
                <w:spacing w:val="-6"/>
                <w:kern w:val="21"/>
                <w:szCs w:val="21"/>
              </w:rPr>
              <w:fldChar w:fldCharType="separate"/>
            </w:r>
            <w:r>
              <w:rPr>
                <w:rFonts w:hint="eastAsia" w:hAnsi="宋体" w:cs="宋体"/>
                <w:b/>
                <w:bCs/>
                <w:kern w:val="2"/>
                <w:szCs w:val="21"/>
              </w:rPr>
              <w:t>④</w:t>
            </w:r>
            <w:r>
              <w:rPr>
                <w:rFonts w:ascii="Times New Roman"/>
                <w:b/>
                <w:bCs/>
                <w:snapToGrid w:val="0"/>
                <w:spacing w:val="-6"/>
                <w:kern w:val="21"/>
                <w:szCs w:val="21"/>
              </w:rPr>
              <w:fldChar w:fldCharType="end"/>
            </w:r>
          </w:p>
        </w:tc>
        <w:tc>
          <w:tcPr>
            <w:tcW w:w="638" w:type="pct"/>
            <w:noWrap w:val="0"/>
            <w:tcMar>
              <w:left w:w="28" w:type="dxa"/>
              <w:right w:w="28" w:type="dxa"/>
            </w:tcMar>
            <w:vAlign w:val="center"/>
          </w:tcPr>
          <w:p w14:paraId="48CD2404">
            <w:pPr>
              <w:pStyle w:val="46"/>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以新带老削减量</w:t>
            </w:r>
          </w:p>
          <w:p w14:paraId="7AFA565F">
            <w:pPr>
              <w:pStyle w:val="46"/>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（新建项目不填）</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5 \* GB3 \* MERGEFORMAT </w:instrText>
            </w:r>
            <w:r>
              <w:rPr>
                <w:rFonts w:ascii="Times New Roman"/>
                <w:b/>
                <w:bCs/>
                <w:snapToGrid w:val="0"/>
                <w:spacing w:val="-16"/>
                <w:kern w:val="21"/>
                <w:szCs w:val="21"/>
              </w:rPr>
              <w:fldChar w:fldCharType="separate"/>
            </w:r>
            <w:r>
              <w:rPr>
                <w:rFonts w:hint="eastAsia" w:hAnsi="宋体" w:cs="宋体"/>
                <w:b/>
                <w:bCs/>
                <w:kern w:val="2"/>
                <w:szCs w:val="21"/>
              </w:rPr>
              <w:t>⑤</w:t>
            </w:r>
            <w:r>
              <w:rPr>
                <w:rFonts w:ascii="Times New Roman"/>
                <w:b/>
                <w:bCs/>
                <w:snapToGrid w:val="0"/>
                <w:spacing w:val="-16"/>
                <w:kern w:val="21"/>
                <w:szCs w:val="21"/>
              </w:rPr>
              <w:fldChar w:fldCharType="end"/>
            </w:r>
          </w:p>
        </w:tc>
        <w:tc>
          <w:tcPr>
            <w:tcW w:w="607" w:type="pct"/>
            <w:noWrap w:val="0"/>
            <w:tcMar>
              <w:left w:w="28" w:type="dxa"/>
              <w:right w:w="28" w:type="dxa"/>
            </w:tcMar>
            <w:vAlign w:val="center"/>
          </w:tcPr>
          <w:p w14:paraId="3AD01A98">
            <w:pPr>
              <w:pStyle w:val="46"/>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本项目建成后</w:t>
            </w:r>
          </w:p>
          <w:p w14:paraId="59D037F2">
            <w:pPr>
              <w:pStyle w:val="46"/>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全厂排放量（固体废物产生量）</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6 \* GB3 \* MERGEFORMAT </w:instrText>
            </w:r>
            <w:r>
              <w:rPr>
                <w:rFonts w:ascii="Times New Roman"/>
                <w:b/>
                <w:bCs/>
                <w:snapToGrid w:val="0"/>
                <w:spacing w:val="-16"/>
                <w:kern w:val="21"/>
                <w:szCs w:val="21"/>
              </w:rPr>
              <w:fldChar w:fldCharType="separate"/>
            </w:r>
            <w:r>
              <w:rPr>
                <w:rFonts w:hint="eastAsia" w:hAnsi="宋体" w:cs="宋体"/>
                <w:b/>
                <w:bCs/>
                <w:kern w:val="2"/>
                <w:szCs w:val="21"/>
              </w:rPr>
              <w:t>⑥</w:t>
            </w:r>
            <w:r>
              <w:rPr>
                <w:rFonts w:ascii="Times New Roman"/>
                <w:b/>
                <w:bCs/>
                <w:snapToGrid w:val="0"/>
                <w:spacing w:val="-16"/>
                <w:kern w:val="21"/>
                <w:szCs w:val="21"/>
              </w:rPr>
              <w:fldChar w:fldCharType="end"/>
            </w:r>
          </w:p>
        </w:tc>
        <w:tc>
          <w:tcPr>
            <w:tcW w:w="402" w:type="pct"/>
            <w:noWrap w:val="0"/>
            <w:tcMar>
              <w:left w:w="28" w:type="dxa"/>
              <w:right w:w="28" w:type="dxa"/>
            </w:tcMar>
            <w:vAlign w:val="center"/>
          </w:tcPr>
          <w:p w14:paraId="78C935F7">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变化量</w:t>
            </w:r>
          </w:p>
          <w:p w14:paraId="56B134C5">
            <w:pPr>
              <w:pStyle w:val="46"/>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7 \* GB3 \* MERGEFORMAT </w:instrText>
            </w:r>
            <w:r>
              <w:rPr>
                <w:rFonts w:ascii="Times New Roman"/>
                <w:b/>
                <w:bCs/>
                <w:snapToGrid w:val="0"/>
                <w:spacing w:val="-6"/>
                <w:kern w:val="21"/>
                <w:szCs w:val="21"/>
              </w:rPr>
              <w:fldChar w:fldCharType="separate"/>
            </w:r>
            <w:r>
              <w:rPr>
                <w:rFonts w:hint="eastAsia" w:hAnsi="宋体" w:cs="宋体"/>
                <w:b/>
                <w:bCs/>
                <w:kern w:val="2"/>
                <w:szCs w:val="21"/>
              </w:rPr>
              <w:t>⑦</w:t>
            </w:r>
            <w:r>
              <w:rPr>
                <w:rFonts w:ascii="Times New Roman"/>
                <w:b/>
                <w:bCs/>
                <w:snapToGrid w:val="0"/>
                <w:spacing w:val="-6"/>
                <w:kern w:val="21"/>
                <w:szCs w:val="21"/>
              </w:rPr>
              <w:fldChar w:fldCharType="end"/>
            </w:r>
          </w:p>
        </w:tc>
      </w:tr>
      <w:tr w14:paraId="400E5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restart"/>
            <w:noWrap w:val="0"/>
            <w:vAlign w:val="center"/>
          </w:tcPr>
          <w:p w14:paraId="568E89C1">
            <w:pPr>
              <w:pStyle w:val="46"/>
              <w:spacing w:before="24" w:after="24" w:line="240" w:lineRule="auto"/>
              <w:rPr>
                <w:rFonts w:ascii="Times New Roman"/>
                <w:snapToGrid w:val="0"/>
                <w:kern w:val="21"/>
                <w:szCs w:val="21"/>
              </w:rPr>
            </w:pPr>
            <w:r>
              <w:rPr>
                <w:rFonts w:ascii="Times New Roman"/>
                <w:snapToGrid w:val="0"/>
                <w:kern w:val="21"/>
                <w:szCs w:val="21"/>
              </w:rPr>
              <w:t>废气</w:t>
            </w:r>
          </w:p>
        </w:tc>
        <w:tc>
          <w:tcPr>
            <w:tcW w:w="514" w:type="pct"/>
            <w:noWrap w:val="0"/>
            <w:vAlign w:val="center"/>
          </w:tcPr>
          <w:p w14:paraId="19C8F874">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ascii="Times New Roman"/>
                <w:snapToGrid w:val="0"/>
                <w:kern w:val="21"/>
                <w:sz w:val="21"/>
                <w:szCs w:val="21"/>
              </w:rPr>
            </w:pPr>
            <w:r>
              <w:rPr>
                <w:bCs/>
                <w:color w:val="auto"/>
                <w:sz w:val="21"/>
                <w:szCs w:val="21"/>
              </w:rPr>
              <w:t>颗粒物</w:t>
            </w:r>
          </w:p>
        </w:tc>
        <w:tc>
          <w:tcPr>
            <w:tcW w:w="616" w:type="pct"/>
            <w:noWrap w:val="0"/>
            <w:vAlign w:val="center"/>
          </w:tcPr>
          <w:p w14:paraId="36152607">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eastAsia="宋体"/>
                <w:snapToGrid w:val="0"/>
                <w:kern w:val="21"/>
                <w:sz w:val="21"/>
                <w:szCs w:val="21"/>
                <w:lang w:val="en-US" w:eastAsia="zh-CN"/>
              </w:rPr>
            </w:pPr>
            <w:r>
              <w:rPr>
                <w:rFonts w:hint="eastAsia"/>
                <w:snapToGrid w:val="0"/>
                <w:kern w:val="21"/>
                <w:sz w:val="21"/>
                <w:szCs w:val="21"/>
                <w:lang w:val="en-US" w:eastAsia="zh-CN"/>
              </w:rPr>
              <w:t>/</w:t>
            </w:r>
          </w:p>
        </w:tc>
        <w:tc>
          <w:tcPr>
            <w:tcW w:w="462" w:type="pct"/>
            <w:noWrap w:val="0"/>
            <w:vAlign w:val="center"/>
          </w:tcPr>
          <w:p w14:paraId="00761936">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4845420F">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477" w:type="dxa"/>
            <w:shd w:val="clear" w:color="auto" w:fill="auto"/>
            <w:noWrap w:val="0"/>
            <w:vAlign w:val="center"/>
          </w:tcPr>
          <w:p w14:paraId="24E122F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napToGrid w:val="0"/>
                <w:kern w:val="21"/>
                <w:sz w:val="21"/>
                <w:szCs w:val="21"/>
                <w:lang w:val="en-US" w:eastAsia="zh-CN" w:bidi="ar-SA"/>
              </w:rPr>
            </w:pPr>
            <w:r>
              <w:rPr>
                <w:rFonts w:hint="eastAsia" w:ascii="Times New Roman" w:hAnsi="Times New Roman" w:eastAsia="宋体" w:cs="Times New Roman"/>
                <w:color w:val="auto"/>
                <w:sz w:val="21"/>
                <w:szCs w:val="21"/>
                <w:lang w:val="en-US" w:eastAsia="zh-CN"/>
              </w:rPr>
              <w:t>0.5</w:t>
            </w:r>
            <w:r>
              <w:rPr>
                <w:rFonts w:hint="eastAsia" w:cs="Times New Roman"/>
                <w:color w:val="auto"/>
                <w:sz w:val="21"/>
                <w:szCs w:val="21"/>
                <w:lang w:val="en-US" w:eastAsia="zh-CN"/>
              </w:rPr>
              <w:t>326</w:t>
            </w:r>
          </w:p>
        </w:tc>
        <w:tc>
          <w:tcPr>
            <w:tcW w:w="638" w:type="pct"/>
            <w:noWrap w:val="0"/>
            <w:vAlign w:val="center"/>
          </w:tcPr>
          <w:p w14:paraId="3BADB2BA">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8" w:type="dxa"/>
            <w:noWrap w:val="0"/>
            <w:vAlign w:val="center"/>
          </w:tcPr>
          <w:p w14:paraId="111DEE33">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snapToGrid w:val="0"/>
                <w:kern w:val="21"/>
                <w:sz w:val="21"/>
                <w:szCs w:val="21"/>
              </w:rPr>
            </w:pPr>
            <w:r>
              <w:rPr>
                <w:rFonts w:hint="eastAsia" w:ascii="Times New Roman" w:hAnsi="Times New Roman" w:eastAsia="宋体" w:cs="Times New Roman"/>
                <w:color w:val="auto"/>
                <w:sz w:val="21"/>
                <w:szCs w:val="21"/>
                <w:lang w:val="en-US" w:eastAsia="zh-CN"/>
              </w:rPr>
              <w:t>0.5</w:t>
            </w:r>
            <w:r>
              <w:rPr>
                <w:rFonts w:hint="eastAsia" w:cs="Times New Roman"/>
                <w:color w:val="auto"/>
                <w:sz w:val="21"/>
                <w:szCs w:val="21"/>
                <w:lang w:val="en-US" w:eastAsia="zh-CN"/>
              </w:rPr>
              <w:t>326</w:t>
            </w:r>
          </w:p>
        </w:tc>
        <w:tc>
          <w:tcPr>
            <w:tcW w:w="1051" w:type="dxa"/>
            <w:noWrap w:val="0"/>
            <w:vAlign w:val="center"/>
          </w:tcPr>
          <w:p w14:paraId="7D8AAB46">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snapToGrid w:val="0"/>
                <w:kern w:val="21"/>
                <w:sz w:val="21"/>
                <w:szCs w:val="21"/>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r>
              <w:rPr>
                <w:rFonts w:hint="eastAsia" w:cs="Times New Roman"/>
                <w:color w:val="auto"/>
                <w:sz w:val="21"/>
                <w:szCs w:val="21"/>
                <w:lang w:val="en-US" w:eastAsia="zh-CN"/>
              </w:rPr>
              <w:t>326</w:t>
            </w:r>
          </w:p>
        </w:tc>
      </w:tr>
      <w:tr w14:paraId="4E7BE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37EA9D27">
            <w:pPr>
              <w:pStyle w:val="46"/>
              <w:spacing w:before="24" w:after="24" w:line="240" w:lineRule="auto"/>
              <w:rPr>
                <w:rFonts w:ascii="Times New Roman"/>
                <w:snapToGrid w:val="0"/>
                <w:kern w:val="21"/>
                <w:szCs w:val="21"/>
              </w:rPr>
            </w:pPr>
          </w:p>
        </w:tc>
        <w:tc>
          <w:tcPr>
            <w:tcW w:w="514" w:type="pct"/>
            <w:noWrap w:val="0"/>
            <w:vAlign w:val="center"/>
          </w:tcPr>
          <w:p w14:paraId="11778A69">
            <w:pPr>
              <w:keepNext w:val="0"/>
              <w:keepLines w:val="0"/>
              <w:pageBreakBefore w:val="0"/>
              <w:kinsoku/>
              <w:wordWrap/>
              <w:overflowPunct/>
              <w:topLinePunct w:val="0"/>
              <w:autoSpaceDE/>
              <w:autoSpaceDN/>
              <w:bidi w:val="0"/>
              <w:adjustRightInd/>
              <w:snapToGrid/>
              <w:spacing w:line="240" w:lineRule="atLeast"/>
              <w:jc w:val="center"/>
              <w:textAlignment w:val="auto"/>
              <w:rPr>
                <w:rFonts w:ascii="Times New Roman"/>
                <w:snapToGrid w:val="0"/>
                <w:kern w:val="21"/>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616" w:type="pct"/>
            <w:noWrap w:val="0"/>
            <w:vAlign w:val="center"/>
          </w:tcPr>
          <w:p w14:paraId="68D888D5">
            <w:pPr>
              <w:keepNext w:val="0"/>
              <w:keepLines w:val="0"/>
              <w:pageBreakBefore w:val="0"/>
              <w:widowControl/>
              <w:suppressLineNumbers w:val="0"/>
              <w:kinsoku/>
              <w:wordWrap/>
              <w:overflowPunct/>
              <w:topLinePunct w:val="0"/>
              <w:autoSpaceDE/>
              <w:autoSpaceDN/>
              <w:bidi w:val="0"/>
              <w:adjustRightInd/>
              <w:snapToGrid/>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52CC589F">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532513ED">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477" w:type="dxa"/>
            <w:shd w:val="clear" w:color="auto" w:fill="auto"/>
            <w:noWrap w:val="0"/>
            <w:vAlign w:val="center"/>
          </w:tcPr>
          <w:p w14:paraId="6D037B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kern w:val="21"/>
                <w:sz w:val="21"/>
                <w:szCs w:val="21"/>
                <w:lang w:val="en-US" w:eastAsia="zh-CN" w:bidi="ar-SA"/>
              </w:rPr>
            </w:pPr>
            <w:r>
              <w:rPr>
                <w:rFonts w:hint="eastAsia" w:cs="Times New Roman"/>
                <w:i w:val="0"/>
                <w:iCs w:val="0"/>
                <w:color w:val="000000"/>
                <w:kern w:val="0"/>
                <w:sz w:val="21"/>
                <w:szCs w:val="21"/>
                <w:u w:val="none"/>
                <w:lang w:val="en-US" w:eastAsia="zh-CN" w:bidi="ar"/>
              </w:rPr>
              <w:t>0.1658</w:t>
            </w:r>
          </w:p>
        </w:tc>
        <w:tc>
          <w:tcPr>
            <w:tcW w:w="638" w:type="pct"/>
            <w:noWrap w:val="0"/>
            <w:vAlign w:val="center"/>
          </w:tcPr>
          <w:p w14:paraId="151B57B6">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8" w:type="dxa"/>
            <w:noWrap w:val="0"/>
            <w:vAlign w:val="center"/>
          </w:tcPr>
          <w:p w14:paraId="553A69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eastAsia" w:cs="Times New Roman"/>
                <w:i w:val="0"/>
                <w:iCs w:val="0"/>
                <w:color w:val="000000"/>
                <w:kern w:val="0"/>
                <w:sz w:val="21"/>
                <w:szCs w:val="21"/>
                <w:u w:val="none"/>
                <w:lang w:val="en-US" w:eastAsia="zh-CN" w:bidi="ar"/>
              </w:rPr>
              <w:t>0.1658</w:t>
            </w:r>
          </w:p>
        </w:tc>
        <w:tc>
          <w:tcPr>
            <w:tcW w:w="1051" w:type="dxa"/>
            <w:noWrap w:val="0"/>
            <w:vAlign w:val="center"/>
          </w:tcPr>
          <w:p w14:paraId="4BCE38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eastAsia" w:cs="Times New Roman"/>
                <w:i w:val="0"/>
                <w:iCs w:val="0"/>
                <w:color w:val="000000"/>
                <w:kern w:val="0"/>
                <w:sz w:val="21"/>
                <w:szCs w:val="21"/>
                <w:u w:val="none"/>
                <w:lang w:val="en-US" w:eastAsia="zh-CN" w:bidi="ar"/>
              </w:rPr>
              <w:t>+0.1658</w:t>
            </w:r>
          </w:p>
        </w:tc>
      </w:tr>
      <w:tr w14:paraId="21541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13EC998E">
            <w:pPr>
              <w:pStyle w:val="46"/>
              <w:spacing w:beforeLines="0" w:afterLines="0" w:line="240" w:lineRule="auto"/>
              <w:rPr>
                <w:rFonts w:ascii="Times New Roman"/>
                <w:snapToGrid w:val="0"/>
                <w:kern w:val="21"/>
                <w:szCs w:val="21"/>
              </w:rPr>
            </w:pPr>
          </w:p>
        </w:tc>
        <w:tc>
          <w:tcPr>
            <w:tcW w:w="514" w:type="pct"/>
            <w:noWrap w:val="0"/>
            <w:vAlign w:val="center"/>
          </w:tcPr>
          <w:p w14:paraId="0673EAF9">
            <w:pPr>
              <w:keepNext w:val="0"/>
              <w:keepLines w:val="0"/>
              <w:pageBreakBefore w:val="0"/>
              <w:kinsoku/>
              <w:wordWrap/>
              <w:overflowPunct/>
              <w:topLinePunct w:val="0"/>
              <w:autoSpaceDE/>
              <w:autoSpaceDN/>
              <w:bidi w:val="0"/>
              <w:adjustRightInd/>
              <w:snapToGrid/>
              <w:spacing w:line="240" w:lineRule="atLeast"/>
              <w:jc w:val="center"/>
              <w:textAlignment w:val="auto"/>
              <w:rPr>
                <w:rFonts w:ascii="Times New Roman"/>
                <w:snapToGrid w:val="0"/>
                <w:kern w:val="21"/>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616" w:type="pct"/>
            <w:noWrap w:val="0"/>
            <w:vAlign w:val="center"/>
          </w:tcPr>
          <w:p w14:paraId="166BE43C">
            <w:pPr>
              <w:keepNext w:val="0"/>
              <w:keepLines w:val="0"/>
              <w:pageBreakBefore w:val="0"/>
              <w:widowControl/>
              <w:suppressLineNumbers w:val="0"/>
              <w:kinsoku/>
              <w:wordWrap/>
              <w:overflowPunct/>
              <w:topLinePunct w:val="0"/>
              <w:autoSpaceDE/>
              <w:autoSpaceDN/>
              <w:bidi w:val="0"/>
              <w:adjustRightInd/>
              <w:snapToGrid/>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21D753E4">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49FFE055">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477" w:type="dxa"/>
            <w:shd w:val="clear" w:color="auto" w:fill="auto"/>
            <w:noWrap w:val="0"/>
            <w:vAlign w:val="center"/>
          </w:tcPr>
          <w:p w14:paraId="678C7C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0.3865</w:t>
            </w:r>
          </w:p>
        </w:tc>
        <w:tc>
          <w:tcPr>
            <w:tcW w:w="638" w:type="pct"/>
            <w:noWrap w:val="0"/>
            <w:vAlign w:val="center"/>
          </w:tcPr>
          <w:p w14:paraId="2AC78D1C">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8" w:type="dxa"/>
            <w:noWrap w:val="0"/>
            <w:vAlign w:val="center"/>
          </w:tcPr>
          <w:p w14:paraId="154917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0.3865</w:t>
            </w:r>
          </w:p>
        </w:tc>
        <w:tc>
          <w:tcPr>
            <w:tcW w:w="1051" w:type="dxa"/>
            <w:noWrap w:val="0"/>
            <w:vAlign w:val="center"/>
          </w:tcPr>
          <w:p w14:paraId="05645D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0.3865</w:t>
            </w:r>
          </w:p>
        </w:tc>
      </w:tr>
      <w:tr w14:paraId="39662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047304A3">
            <w:pPr>
              <w:pStyle w:val="46"/>
              <w:spacing w:beforeLines="0" w:afterLines="0" w:line="240" w:lineRule="auto"/>
              <w:rPr>
                <w:rFonts w:ascii="Times New Roman"/>
                <w:snapToGrid w:val="0"/>
                <w:kern w:val="21"/>
                <w:szCs w:val="21"/>
              </w:rPr>
            </w:pPr>
          </w:p>
        </w:tc>
        <w:tc>
          <w:tcPr>
            <w:tcW w:w="514" w:type="pct"/>
            <w:noWrap w:val="0"/>
            <w:vAlign w:val="center"/>
          </w:tcPr>
          <w:p w14:paraId="2107E393">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ascii="Times New Roman"/>
                <w:snapToGrid w:val="0"/>
                <w:kern w:val="21"/>
                <w:sz w:val="21"/>
                <w:szCs w:val="21"/>
              </w:rPr>
            </w:pPr>
            <w:r>
              <w:rPr>
                <w:bCs/>
                <w:color w:val="auto"/>
                <w:sz w:val="21"/>
                <w:szCs w:val="21"/>
              </w:rPr>
              <w:t>非甲烷总烃</w:t>
            </w:r>
          </w:p>
        </w:tc>
        <w:tc>
          <w:tcPr>
            <w:tcW w:w="616" w:type="pct"/>
            <w:noWrap w:val="0"/>
            <w:vAlign w:val="center"/>
          </w:tcPr>
          <w:p w14:paraId="505B926D">
            <w:pPr>
              <w:keepNext w:val="0"/>
              <w:keepLines w:val="0"/>
              <w:pageBreakBefore w:val="0"/>
              <w:widowControl/>
              <w:suppressLineNumbers w:val="0"/>
              <w:kinsoku/>
              <w:wordWrap/>
              <w:overflowPunct/>
              <w:topLinePunct w:val="0"/>
              <w:autoSpaceDE/>
              <w:autoSpaceDN/>
              <w:bidi w:val="0"/>
              <w:adjustRightInd/>
              <w:snapToGrid/>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323BC838">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0333689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477" w:type="dxa"/>
            <w:shd w:val="clear" w:color="auto" w:fill="auto"/>
            <w:noWrap w:val="0"/>
            <w:vAlign w:val="center"/>
          </w:tcPr>
          <w:p w14:paraId="090A36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kern w:val="21"/>
                <w:sz w:val="21"/>
                <w:szCs w:val="21"/>
                <w:lang w:val="en-US" w:eastAsia="zh-CN" w:bidi="ar-SA"/>
              </w:rPr>
            </w:pPr>
            <w:bookmarkStart w:id="16" w:name="_GoBack"/>
            <w:r>
              <w:rPr>
                <w:rFonts w:hint="default" w:ascii="Times New Roman" w:hAnsi="Times New Roman" w:eastAsia="宋体" w:cs="Times New Roman"/>
                <w:i w:val="0"/>
                <w:iCs w:val="0"/>
                <w:color w:val="000000"/>
                <w:kern w:val="0"/>
                <w:sz w:val="21"/>
                <w:szCs w:val="21"/>
                <w:u w:val="none"/>
                <w:lang w:val="en-US" w:eastAsia="zh-CN" w:bidi="ar"/>
              </w:rPr>
              <w:t>0.0545</w:t>
            </w:r>
            <w:bookmarkEnd w:id="16"/>
          </w:p>
        </w:tc>
        <w:tc>
          <w:tcPr>
            <w:tcW w:w="638" w:type="pct"/>
            <w:noWrap w:val="0"/>
            <w:vAlign w:val="center"/>
          </w:tcPr>
          <w:p w14:paraId="34DBEDAC">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8" w:type="dxa"/>
            <w:noWrap w:val="0"/>
            <w:vAlign w:val="center"/>
          </w:tcPr>
          <w:p w14:paraId="30B548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0.0545</w:t>
            </w:r>
          </w:p>
        </w:tc>
        <w:tc>
          <w:tcPr>
            <w:tcW w:w="1051" w:type="dxa"/>
            <w:noWrap w:val="0"/>
            <w:vAlign w:val="center"/>
          </w:tcPr>
          <w:p w14:paraId="684E5C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0.0545</w:t>
            </w:r>
          </w:p>
        </w:tc>
      </w:tr>
      <w:tr w14:paraId="212F5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restart"/>
            <w:noWrap w:val="0"/>
            <w:vAlign w:val="center"/>
          </w:tcPr>
          <w:p w14:paraId="11EB6274">
            <w:pPr>
              <w:pStyle w:val="46"/>
              <w:spacing w:beforeLines="0" w:afterLines="0" w:line="240" w:lineRule="auto"/>
              <w:rPr>
                <w:rFonts w:ascii="Times New Roman"/>
                <w:snapToGrid w:val="0"/>
                <w:kern w:val="21"/>
                <w:szCs w:val="21"/>
              </w:rPr>
            </w:pPr>
            <w:r>
              <w:rPr>
                <w:rFonts w:ascii="Times New Roman"/>
                <w:snapToGrid w:val="0"/>
                <w:kern w:val="21"/>
                <w:szCs w:val="21"/>
              </w:rPr>
              <w:t>废水</w:t>
            </w:r>
          </w:p>
        </w:tc>
        <w:tc>
          <w:tcPr>
            <w:tcW w:w="514" w:type="pct"/>
            <w:noWrap w:val="0"/>
            <w:vAlign w:val="center"/>
          </w:tcPr>
          <w:p w14:paraId="25CC42D4">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水量</w:t>
            </w:r>
          </w:p>
        </w:tc>
        <w:tc>
          <w:tcPr>
            <w:tcW w:w="616" w:type="pct"/>
            <w:noWrap w:val="0"/>
            <w:vAlign w:val="center"/>
          </w:tcPr>
          <w:p w14:paraId="7E427ABF">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082163CF">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237AD80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394B041A">
            <w:pPr>
              <w:keepNext w:val="0"/>
              <w:keepLines w:val="0"/>
              <w:pageBreakBefore w:val="0"/>
              <w:widowControl/>
              <w:kinsoku/>
              <w:wordWrap/>
              <w:overflowPunct/>
              <w:topLinePunct w:val="0"/>
              <w:autoSpaceDE/>
              <w:autoSpaceDN/>
              <w:bidi w:val="0"/>
              <w:adjustRightInd/>
              <w:snapToGrid/>
              <w:jc w:val="center"/>
              <w:textAlignment w:val="auto"/>
              <w:rPr>
                <w:rFonts w:hint="eastAsia"/>
                <w:kern w:val="0"/>
                <w:sz w:val="21"/>
                <w:szCs w:val="21"/>
                <w:lang w:bidi="ar"/>
              </w:rPr>
            </w:pPr>
            <w:r>
              <w:rPr>
                <w:rFonts w:hint="eastAsia"/>
                <w:kern w:val="0"/>
                <w:sz w:val="21"/>
                <w:szCs w:val="21"/>
                <w:lang w:bidi="ar"/>
              </w:rPr>
              <w:t>1440</w:t>
            </w:r>
          </w:p>
        </w:tc>
        <w:tc>
          <w:tcPr>
            <w:tcW w:w="638" w:type="pct"/>
            <w:noWrap w:val="0"/>
            <w:vAlign w:val="center"/>
          </w:tcPr>
          <w:p w14:paraId="4069191C">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4D4D6958">
            <w:pPr>
              <w:keepNext w:val="0"/>
              <w:keepLines w:val="0"/>
              <w:pageBreakBefore w:val="0"/>
              <w:widowControl/>
              <w:kinsoku/>
              <w:wordWrap/>
              <w:overflowPunct/>
              <w:topLinePunct w:val="0"/>
              <w:autoSpaceDE/>
              <w:autoSpaceDN/>
              <w:bidi w:val="0"/>
              <w:adjustRightInd/>
              <w:snapToGrid/>
              <w:jc w:val="center"/>
              <w:textAlignment w:val="auto"/>
              <w:rPr>
                <w:rFonts w:hint="eastAsia"/>
                <w:kern w:val="0"/>
                <w:sz w:val="21"/>
                <w:szCs w:val="21"/>
                <w:lang w:bidi="ar"/>
              </w:rPr>
            </w:pPr>
            <w:r>
              <w:rPr>
                <w:rFonts w:hint="eastAsia"/>
                <w:kern w:val="0"/>
                <w:sz w:val="21"/>
                <w:szCs w:val="21"/>
                <w:lang w:bidi="ar"/>
              </w:rPr>
              <w:t>1440</w:t>
            </w:r>
          </w:p>
        </w:tc>
        <w:tc>
          <w:tcPr>
            <w:tcW w:w="1051" w:type="dxa"/>
            <w:noWrap w:val="0"/>
            <w:vAlign w:val="center"/>
          </w:tcPr>
          <w:p w14:paraId="6F587572">
            <w:pPr>
              <w:keepNext w:val="0"/>
              <w:keepLines w:val="0"/>
              <w:pageBreakBefore w:val="0"/>
              <w:widowControl/>
              <w:kinsoku/>
              <w:wordWrap/>
              <w:overflowPunct/>
              <w:topLinePunct w:val="0"/>
              <w:autoSpaceDE/>
              <w:autoSpaceDN/>
              <w:bidi w:val="0"/>
              <w:adjustRightInd/>
              <w:snapToGrid/>
              <w:jc w:val="center"/>
              <w:textAlignment w:val="auto"/>
              <w:rPr>
                <w:rFonts w:hint="eastAsia"/>
                <w:kern w:val="0"/>
                <w:sz w:val="21"/>
                <w:szCs w:val="21"/>
                <w:lang w:bidi="ar"/>
              </w:rPr>
            </w:pPr>
            <w:r>
              <w:rPr>
                <w:rFonts w:hint="eastAsia"/>
                <w:kern w:val="0"/>
                <w:sz w:val="21"/>
                <w:szCs w:val="21"/>
                <w:lang w:bidi="ar"/>
              </w:rPr>
              <w:t>+1440</w:t>
            </w:r>
          </w:p>
        </w:tc>
      </w:tr>
      <w:tr w14:paraId="2F5CD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7F4461BC">
            <w:pPr>
              <w:pStyle w:val="46"/>
              <w:spacing w:beforeLines="0" w:afterLines="0" w:line="240" w:lineRule="auto"/>
              <w:rPr>
                <w:rFonts w:ascii="Times New Roman"/>
                <w:snapToGrid w:val="0"/>
                <w:kern w:val="21"/>
                <w:szCs w:val="21"/>
              </w:rPr>
            </w:pPr>
          </w:p>
        </w:tc>
        <w:tc>
          <w:tcPr>
            <w:tcW w:w="514" w:type="pct"/>
            <w:noWrap w:val="0"/>
            <w:vAlign w:val="center"/>
          </w:tcPr>
          <w:p w14:paraId="242788E6">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化学需氧量</w:t>
            </w:r>
          </w:p>
        </w:tc>
        <w:tc>
          <w:tcPr>
            <w:tcW w:w="616" w:type="pct"/>
            <w:noWrap w:val="0"/>
            <w:vAlign w:val="center"/>
          </w:tcPr>
          <w:p w14:paraId="644C4A82">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0D650444">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4E6D4C58">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502BE88A">
            <w:pPr>
              <w:keepNext w:val="0"/>
              <w:keepLines w:val="0"/>
              <w:pageBreakBefore w:val="0"/>
              <w:widowControl/>
              <w:kinsoku/>
              <w:wordWrap/>
              <w:overflowPunct/>
              <w:topLinePunct w:val="0"/>
              <w:autoSpaceDE/>
              <w:autoSpaceDN/>
              <w:bidi w:val="0"/>
              <w:adjustRightInd/>
              <w:snapToGrid/>
              <w:jc w:val="center"/>
              <w:textAlignment w:val="auto"/>
              <w:rPr>
                <w:rFonts w:hint="default" w:eastAsia="宋体"/>
                <w:kern w:val="0"/>
                <w:sz w:val="21"/>
                <w:szCs w:val="21"/>
                <w:lang w:val="en-US" w:eastAsia="zh-CN"/>
              </w:rPr>
            </w:pPr>
            <w:r>
              <w:rPr>
                <w:rFonts w:hint="eastAsia"/>
                <w:sz w:val="21"/>
                <w:szCs w:val="21"/>
              </w:rPr>
              <w:t>0.</w:t>
            </w:r>
            <w:r>
              <w:rPr>
                <w:rFonts w:hint="eastAsia"/>
                <w:sz w:val="21"/>
                <w:szCs w:val="21"/>
                <w:lang w:val="en-US" w:eastAsia="zh-CN"/>
              </w:rPr>
              <w:t>072</w:t>
            </w:r>
          </w:p>
        </w:tc>
        <w:tc>
          <w:tcPr>
            <w:tcW w:w="638" w:type="pct"/>
            <w:noWrap w:val="0"/>
            <w:vAlign w:val="center"/>
          </w:tcPr>
          <w:p w14:paraId="33EB996B">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30319FB0">
            <w:pPr>
              <w:keepNext w:val="0"/>
              <w:keepLines w:val="0"/>
              <w:pageBreakBefore w:val="0"/>
              <w:widowControl/>
              <w:kinsoku/>
              <w:wordWrap/>
              <w:overflowPunct/>
              <w:topLinePunct w:val="0"/>
              <w:autoSpaceDE/>
              <w:autoSpaceDN/>
              <w:bidi w:val="0"/>
              <w:adjustRightInd/>
              <w:snapToGrid/>
              <w:jc w:val="center"/>
              <w:textAlignment w:val="auto"/>
              <w:rPr>
                <w:kern w:val="0"/>
                <w:sz w:val="21"/>
                <w:szCs w:val="21"/>
              </w:rPr>
            </w:pPr>
            <w:r>
              <w:rPr>
                <w:rFonts w:hint="eastAsia"/>
                <w:sz w:val="21"/>
                <w:szCs w:val="21"/>
              </w:rPr>
              <w:t>0.</w:t>
            </w:r>
            <w:r>
              <w:rPr>
                <w:rFonts w:hint="eastAsia"/>
                <w:sz w:val="21"/>
                <w:szCs w:val="21"/>
                <w:lang w:val="en-US" w:eastAsia="zh-CN"/>
              </w:rPr>
              <w:t>072</w:t>
            </w:r>
          </w:p>
        </w:tc>
        <w:tc>
          <w:tcPr>
            <w:tcW w:w="1051" w:type="dxa"/>
            <w:noWrap w:val="0"/>
            <w:vAlign w:val="center"/>
          </w:tcPr>
          <w:p w14:paraId="7AD9161D">
            <w:pPr>
              <w:keepNext w:val="0"/>
              <w:keepLines w:val="0"/>
              <w:pageBreakBefore w:val="0"/>
              <w:widowControl/>
              <w:kinsoku/>
              <w:wordWrap/>
              <w:overflowPunct/>
              <w:topLinePunct w:val="0"/>
              <w:autoSpaceDE/>
              <w:autoSpaceDN/>
              <w:bidi w:val="0"/>
              <w:adjustRightInd/>
              <w:snapToGrid/>
              <w:jc w:val="center"/>
              <w:textAlignment w:val="auto"/>
              <w:rPr>
                <w:kern w:val="0"/>
                <w:sz w:val="21"/>
                <w:szCs w:val="21"/>
              </w:rPr>
            </w:pPr>
            <w:r>
              <w:rPr>
                <w:rFonts w:hint="eastAsia"/>
                <w:kern w:val="0"/>
                <w:sz w:val="21"/>
                <w:szCs w:val="21"/>
                <w:lang w:bidi="ar"/>
              </w:rPr>
              <w:t>+</w:t>
            </w:r>
            <w:r>
              <w:rPr>
                <w:rFonts w:hint="eastAsia"/>
                <w:sz w:val="21"/>
                <w:szCs w:val="21"/>
              </w:rPr>
              <w:t>0.</w:t>
            </w:r>
            <w:r>
              <w:rPr>
                <w:rFonts w:hint="eastAsia"/>
                <w:sz w:val="21"/>
                <w:szCs w:val="21"/>
                <w:lang w:val="en-US" w:eastAsia="zh-CN"/>
              </w:rPr>
              <w:t>072</w:t>
            </w:r>
          </w:p>
        </w:tc>
      </w:tr>
      <w:tr w14:paraId="451E3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noWrap w:val="0"/>
            <w:vAlign w:val="center"/>
          </w:tcPr>
          <w:p w14:paraId="10D3E6EC">
            <w:pPr>
              <w:pStyle w:val="46"/>
              <w:spacing w:beforeLines="0" w:afterLines="0" w:line="240" w:lineRule="auto"/>
              <w:rPr>
                <w:rFonts w:ascii="Times New Roman"/>
                <w:snapToGrid w:val="0"/>
                <w:kern w:val="21"/>
                <w:szCs w:val="21"/>
              </w:rPr>
            </w:pPr>
          </w:p>
        </w:tc>
        <w:tc>
          <w:tcPr>
            <w:tcW w:w="514" w:type="pct"/>
            <w:noWrap w:val="0"/>
            <w:vAlign w:val="center"/>
          </w:tcPr>
          <w:p w14:paraId="646DE75B">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五日生化需氧量</w:t>
            </w:r>
          </w:p>
        </w:tc>
        <w:tc>
          <w:tcPr>
            <w:tcW w:w="616" w:type="pct"/>
            <w:noWrap w:val="0"/>
            <w:vAlign w:val="center"/>
          </w:tcPr>
          <w:p w14:paraId="4F9843C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7A1A4DF2">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28541AEA">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5DB5541D">
            <w:pPr>
              <w:keepNext w:val="0"/>
              <w:keepLines w:val="0"/>
              <w:pageBreakBefore w:val="0"/>
              <w:kinsoku/>
              <w:wordWrap/>
              <w:overflowPunct/>
              <w:topLinePunct w:val="0"/>
              <w:autoSpaceDE/>
              <w:autoSpaceDN/>
              <w:bidi w:val="0"/>
              <w:adjustRightInd/>
              <w:snapToGrid/>
              <w:jc w:val="center"/>
              <w:textAlignment w:val="auto"/>
              <w:rPr>
                <w:rFonts w:hint="default" w:eastAsia="宋体"/>
                <w:sz w:val="21"/>
                <w:szCs w:val="21"/>
                <w:lang w:val="en-US" w:eastAsia="zh-CN"/>
              </w:rPr>
            </w:pPr>
            <w:r>
              <w:rPr>
                <w:rFonts w:hint="eastAsia"/>
                <w:sz w:val="21"/>
                <w:szCs w:val="21"/>
              </w:rPr>
              <w:t>0.</w:t>
            </w:r>
            <w:r>
              <w:rPr>
                <w:rFonts w:hint="eastAsia"/>
                <w:sz w:val="21"/>
                <w:szCs w:val="21"/>
                <w:lang w:val="en-US" w:eastAsia="zh-CN"/>
              </w:rPr>
              <w:t>0144</w:t>
            </w:r>
          </w:p>
        </w:tc>
        <w:tc>
          <w:tcPr>
            <w:tcW w:w="638" w:type="pct"/>
            <w:noWrap w:val="0"/>
            <w:vAlign w:val="center"/>
          </w:tcPr>
          <w:p w14:paraId="451379C8">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3D3E0A4D">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w:t>
            </w:r>
            <w:r>
              <w:rPr>
                <w:rFonts w:hint="eastAsia"/>
                <w:sz w:val="21"/>
                <w:szCs w:val="21"/>
                <w:lang w:val="en-US" w:eastAsia="zh-CN"/>
              </w:rPr>
              <w:t>0144</w:t>
            </w:r>
          </w:p>
        </w:tc>
        <w:tc>
          <w:tcPr>
            <w:tcW w:w="1051" w:type="dxa"/>
            <w:noWrap w:val="0"/>
            <w:vAlign w:val="center"/>
          </w:tcPr>
          <w:p w14:paraId="4D82CFA4">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kern w:val="0"/>
                <w:sz w:val="21"/>
                <w:szCs w:val="21"/>
                <w:lang w:bidi="ar"/>
              </w:rPr>
              <w:t>+</w:t>
            </w:r>
            <w:r>
              <w:rPr>
                <w:rFonts w:hint="eastAsia"/>
                <w:sz w:val="21"/>
                <w:szCs w:val="21"/>
              </w:rPr>
              <w:t>0.</w:t>
            </w:r>
            <w:r>
              <w:rPr>
                <w:rFonts w:hint="eastAsia"/>
                <w:sz w:val="21"/>
                <w:szCs w:val="21"/>
                <w:lang w:val="en-US" w:eastAsia="zh-CN"/>
              </w:rPr>
              <w:t>0144</w:t>
            </w:r>
          </w:p>
        </w:tc>
      </w:tr>
      <w:tr w14:paraId="191A5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24139C89">
            <w:pPr>
              <w:pStyle w:val="46"/>
              <w:spacing w:beforeLines="0" w:afterLines="0" w:line="240" w:lineRule="auto"/>
              <w:rPr>
                <w:rFonts w:ascii="Times New Roman"/>
                <w:snapToGrid w:val="0"/>
                <w:kern w:val="21"/>
                <w:szCs w:val="21"/>
              </w:rPr>
            </w:pPr>
          </w:p>
        </w:tc>
        <w:tc>
          <w:tcPr>
            <w:tcW w:w="514" w:type="pct"/>
            <w:noWrap w:val="0"/>
            <w:vAlign w:val="center"/>
          </w:tcPr>
          <w:p w14:paraId="7B8ECE23">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悬浮物</w:t>
            </w:r>
          </w:p>
        </w:tc>
        <w:tc>
          <w:tcPr>
            <w:tcW w:w="616" w:type="pct"/>
            <w:noWrap w:val="0"/>
            <w:vAlign w:val="center"/>
          </w:tcPr>
          <w:p w14:paraId="5787B9E7">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2F47BAD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48EF7A03">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36A123CC">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w:t>
            </w:r>
            <w:r>
              <w:rPr>
                <w:rFonts w:hint="eastAsia"/>
                <w:sz w:val="21"/>
                <w:szCs w:val="21"/>
                <w:lang w:val="en-US" w:eastAsia="zh-CN"/>
              </w:rPr>
              <w:t>0144</w:t>
            </w:r>
          </w:p>
        </w:tc>
        <w:tc>
          <w:tcPr>
            <w:tcW w:w="638" w:type="pct"/>
            <w:noWrap w:val="0"/>
            <w:vAlign w:val="center"/>
          </w:tcPr>
          <w:p w14:paraId="705EE5E1">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7E532B1F">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w:t>
            </w:r>
            <w:r>
              <w:rPr>
                <w:rFonts w:hint="eastAsia"/>
                <w:sz w:val="21"/>
                <w:szCs w:val="21"/>
                <w:lang w:val="en-US" w:eastAsia="zh-CN"/>
              </w:rPr>
              <w:t>0144</w:t>
            </w:r>
          </w:p>
        </w:tc>
        <w:tc>
          <w:tcPr>
            <w:tcW w:w="1051" w:type="dxa"/>
            <w:noWrap w:val="0"/>
            <w:vAlign w:val="center"/>
          </w:tcPr>
          <w:p w14:paraId="0A050B5C">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kern w:val="0"/>
                <w:sz w:val="21"/>
                <w:szCs w:val="21"/>
                <w:lang w:bidi="ar"/>
              </w:rPr>
              <w:t>+</w:t>
            </w:r>
            <w:r>
              <w:rPr>
                <w:rFonts w:hint="eastAsia"/>
                <w:sz w:val="21"/>
                <w:szCs w:val="21"/>
              </w:rPr>
              <w:t>0.</w:t>
            </w:r>
            <w:r>
              <w:rPr>
                <w:rFonts w:hint="eastAsia"/>
                <w:sz w:val="21"/>
                <w:szCs w:val="21"/>
                <w:lang w:val="en-US" w:eastAsia="zh-CN"/>
              </w:rPr>
              <w:t>0144</w:t>
            </w:r>
          </w:p>
        </w:tc>
      </w:tr>
      <w:tr w14:paraId="4C180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5" w:type="pct"/>
            <w:vMerge w:val="continue"/>
            <w:noWrap w:val="0"/>
            <w:vAlign w:val="center"/>
          </w:tcPr>
          <w:p w14:paraId="3F9C1403">
            <w:pPr>
              <w:pStyle w:val="46"/>
              <w:spacing w:beforeLines="0" w:afterLines="0" w:line="240" w:lineRule="auto"/>
              <w:rPr>
                <w:rFonts w:ascii="Times New Roman"/>
                <w:snapToGrid w:val="0"/>
                <w:kern w:val="21"/>
                <w:szCs w:val="21"/>
              </w:rPr>
            </w:pPr>
          </w:p>
        </w:tc>
        <w:tc>
          <w:tcPr>
            <w:tcW w:w="514" w:type="pct"/>
            <w:noWrap w:val="0"/>
            <w:vAlign w:val="center"/>
          </w:tcPr>
          <w:p w14:paraId="660B2A94">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Style w:val="62"/>
                <w:rFonts w:hint="default" w:ascii="Times New Roman" w:hAnsi="Times New Roman" w:cs="Times New Roman"/>
                <w:color w:val="auto"/>
                <w:sz w:val="21"/>
                <w:szCs w:val="21"/>
                <w:lang w:bidi="ar"/>
              </w:rPr>
              <w:t>氨氮（</w:t>
            </w:r>
            <w:r>
              <w:rPr>
                <w:rFonts w:ascii="Times New Roman"/>
                <w:sz w:val="21"/>
                <w:szCs w:val="21"/>
                <w:lang w:bidi="ar"/>
              </w:rPr>
              <w:t>NH</w:t>
            </w:r>
            <w:r>
              <w:rPr>
                <w:rFonts w:ascii="Times New Roman"/>
                <w:sz w:val="21"/>
                <w:szCs w:val="21"/>
                <w:vertAlign w:val="subscript"/>
                <w:lang w:bidi="ar"/>
              </w:rPr>
              <w:t>3</w:t>
            </w:r>
            <w:r>
              <w:rPr>
                <w:rFonts w:ascii="Times New Roman"/>
                <w:sz w:val="21"/>
                <w:szCs w:val="21"/>
                <w:lang w:bidi="ar"/>
              </w:rPr>
              <w:t>-N</w:t>
            </w:r>
            <w:r>
              <w:rPr>
                <w:rStyle w:val="62"/>
                <w:rFonts w:hint="default" w:ascii="Times New Roman" w:hAnsi="Times New Roman" w:cs="Times New Roman"/>
                <w:color w:val="auto"/>
                <w:sz w:val="21"/>
                <w:szCs w:val="21"/>
                <w:lang w:bidi="ar"/>
              </w:rPr>
              <w:t>）</w:t>
            </w:r>
          </w:p>
        </w:tc>
        <w:tc>
          <w:tcPr>
            <w:tcW w:w="616" w:type="pct"/>
            <w:noWrap w:val="0"/>
            <w:vAlign w:val="center"/>
          </w:tcPr>
          <w:p w14:paraId="2E50986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52DEBF5B">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48415B37">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672ED077">
            <w:pPr>
              <w:keepNext w:val="0"/>
              <w:keepLines w:val="0"/>
              <w:pageBreakBefore w:val="0"/>
              <w:kinsoku/>
              <w:wordWrap/>
              <w:overflowPunct/>
              <w:topLinePunct w:val="0"/>
              <w:autoSpaceDE/>
              <w:autoSpaceDN/>
              <w:bidi w:val="0"/>
              <w:adjustRightInd/>
              <w:snapToGrid/>
              <w:jc w:val="center"/>
              <w:textAlignment w:val="auto"/>
              <w:rPr>
                <w:rFonts w:hint="default" w:eastAsia="宋体"/>
                <w:sz w:val="21"/>
                <w:szCs w:val="21"/>
                <w:lang w:val="en-US" w:eastAsia="zh-CN"/>
              </w:rPr>
            </w:pPr>
            <w:r>
              <w:rPr>
                <w:rFonts w:hint="eastAsia"/>
                <w:sz w:val="21"/>
                <w:szCs w:val="21"/>
              </w:rPr>
              <w:t>0.0</w:t>
            </w:r>
            <w:r>
              <w:rPr>
                <w:rFonts w:hint="eastAsia"/>
                <w:sz w:val="21"/>
                <w:szCs w:val="21"/>
                <w:lang w:val="en-US" w:eastAsia="zh-CN"/>
              </w:rPr>
              <w:t>072</w:t>
            </w:r>
          </w:p>
        </w:tc>
        <w:tc>
          <w:tcPr>
            <w:tcW w:w="638" w:type="pct"/>
            <w:noWrap w:val="0"/>
            <w:vAlign w:val="center"/>
          </w:tcPr>
          <w:p w14:paraId="0A65EA5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277687F4">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0.0</w:t>
            </w:r>
            <w:r>
              <w:rPr>
                <w:rFonts w:hint="eastAsia"/>
                <w:sz w:val="21"/>
                <w:szCs w:val="21"/>
                <w:lang w:val="en-US" w:eastAsia="zh-CN"/>
              </w:rPr>
              <w:t>072</w:t>
            </w:r>
          </w:p>
        </w:tc>
        <w:tc>
          <w:tcPr>
            <w:tcW w:w="1051" w:type="dxa"/>
            <w:noWrap w:val="0"/>
            <w:vAlign w:val="center"/>
          </w:tcPr>
          <w:p w14:paraId="0C12E836">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kern w:val="0"/>
                <w:sz w:val="21"/>
                <w:szCs w:val="21"/>
                <w:lang w:bidi="ar"/>
              </w:rPr>
              <w:t>+</w:t>
            </w:r>
            <w:r>
              <w:rPr>
                <w:rFonts w:hint="eastAsia"/>
                <w:sz w:val="21"/>
                <w:szCs w:val="21"/>
              </w:rPr>
              <w:t>0.0</w:t>
            </w:r>
            <w:r>
              <w:rPr>
                <w:rFonts w:hint="eastAsia"/>
                <w:sz w:val="21"/>
                <w:szCs w:val="21"/>
                <w:lang w:val="en-US" w:eastAsia="zh-CN"/>
              </w:rPr>
              <w:t>072</w:t>
            </w:r>
          </w:p>
        </w:tc>
      </w:tr>
      <w:tr w14:paraId="29C07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696471E0">
            <w:pPr>
              <w:pStyle w:val="46"/>
              <w:spacing w:beforeLines="0" w:afterLines="0" w:line="240" w:lineRule="auto"/>
              <w:rPr>
                <w:rFonts w:ascii="Times New Roman"/>
                <w:snapToGrid w:val="0"/>
                <w:kern w:val="21"/>
                <w:szCs w:val="21"/>
              </w:rPr>
            </w:pPr>
          </w:p>
        </w:tc>
        <w:tc>
          <w:tcPr>
            <w:tcW w:w="514" w:type="pct"/>
            <w:noWrap w:val="0"/>
            <w:vAlign w:val="center"/>
          </w:tcPr>
          <w:p w14:paraId="20366A53">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总磷</w:t>
            </w:r>
          </w:p>
        </w:tc>
        <w:tc>
          <w:tcPr>
            <w:tcW w:w="616" w:type="pct"/>
            <w:noWrap w:val="0"/>
            <w:vAlign w:val="center"/>
          </w:tcPr>
          <w:p w14:paraId="38BA5F13">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4C71F3D2">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6C79DC1F">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210E3793">
            <w:pPr>
              <w:keepNext w:val="0"/>
              <w:keepLines w:val="0"/>
              <w:pageBreakBefore w:val="0"/>
              <w:kinsoku/>
              <w:wordWrap/>
              <w:overflowPunct/>
              <w:topLinePunct w:val="0"/>
              <w:autoSpaceDE/>
              <w:autoSpaceDN/>
              <w:bidi w:val="0"/>
              <w:adjustRightInd/>
              <w:snapToGrid/>
              <w:jc w:val="center"/>
              <w:textAlignment w:val="auto"/>
              <w:rPr>
                <w:rFonts w:hint="default" w:eastAsia="宋体"/>
                <w:sz w:val="21"/>
                <w:szCs w:val="21"/>
                <w:lang w:val="en-US" w:eastAsia="zh-CN"/>
              </w:rPr>
            </w:pPr>
            <w:r>
              <w:rPr>
                <w:rFonts w:hint="eastAsia"/>
                <w:sz w:val="21"/>
                <w:szCs w:val="21"/>
              </w:rPr>
              <w:t>0.00</w:t>
            </w:r>
            <w:r>
              <w:rPr>
                <w:rFonts w:hint="eastAsia"/>
                <w:sz w:val="21"/>
                <w:szCs w:val="21"/>
                <w:lang w:val="en-US" w:eastAsia="zh-CN"/>
              </w:rPr>
              <w:t>072</w:t>
            </w:r>
          </w:p>
        </w:tc>
        <w:tc>
          <w:tcPr>
            <w:tcW w:w="638" w:type="pct"/>
            <w:noWrap w:val="0"/>
            <w:vAlign w:val="center"/>
          </w:tcPr>
          <w:p w14:paraId="3D6095E6">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625023CF">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0.00</w:t>
            </w:r>
            <w:r>
              <w:rPr>
                <w:rFonts w:hint="eastAsia"/>
                <w:sz w:val="21"/>
                <w:szCs w:val="21"/>
                <w:lang w:val="en-US" w:eastAsia="zh-CN"/>
              </w:rPr>
              <w:t>072</w:t>
            </w:r>
          </w:p>
        </w:tc>
        <w:tc>
          <w:tcPr>
            <w:tcW w:w="1051" w:type="dxa"/>
            <w:noWrap w:val="0"/>
            <w:vAlign w:val="center"/>
          </w:tcPr>
          <w:p w14:paraId="529DED72">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kern w:val="0"/>
                <w:sz w:val="21"/>
                <w:szCs w:val="21"/>
                <w:lang w:bidi="ar"/>
              </w:rPr>
              <w:t>+</w:t>
            </w:r>
            <w:r>
              <w:rPr>
                <w:rFonts w:hint="eastAsia"/>
                <w:sz w:val="21"/>
                <w:szCs w:val="21"/>
              </w:rPr>
              <w:t>0.00</w:t>
            </w:r>
            <w:r>
              <w:rPr>
                <w:rFonts w:hint="eastAsia"/>
                <w:sz w:val="21"/>
                <w:szCs w:val="21"/>
                <w:lang w:val="en-US" w:eastAsia="zh-CN"/>
              </w:rPr>
              <w:t>072</w:t>
            </w:r>
          </w:p>
        </w:tc>
      </w:tr>
      <w:tr w14:paraId="42AD6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5" w:type="pct"/>
            <w:vMerge w:val="continue"/>
            <w:noWrap w:val="0"/>
            <w:vAlign w:val="center"/>
          </w:tcPr>
          <w:p w14:paraId="6CE55933">
            <w:pPr>
              <w:pStyle w:val="46"/>
              <w:spacing w:beforeLines="0" w:afterLines="0" w:line="240" w:lineRule="auto"/>
              <w:rPr>
                <w:rFonts w:ascii="Times New Roman"/>
                <w:snapToGrid w:val="0"/>
                <w:kern w:val="21"/>
                <w:szCs w:val="21"/>
              </w:rPr>
            </w:pPr>
          </w:p>
        </w:tc>
        <w:tc>
          <w:tcPr>
            <w:tcW w:w="514" w:type="pct"/>
            <w:noWrap w:val="0"/>
            <w:vAlign w:val="center"/>
          </w:tcPr>
          <w:p w14:paraId="5943D0A9">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z w:val="21"/>
                <w:szCs w:val="21"/>
              </w:rPr>
              <w:t>总氮</w:t>
            </w:r>
          </w:p>
        </w:tc>
        <w:tc>
          <w:tcPr>
            <w:tcW w:w="616" w:type="pct"/>
            <w:noWrap w:val="0"/>
            <w:vAlign w:val="center"/>
          </w:tcPr>
          <w:p w14:paraId="72A1D9D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462" w:type="pct"/>
            <w:noWrap w:val="0"/>
            <w:vAlign w:val="center"/>
          </w:tcPr>
          <w:p w14:paraId="781FB07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0A0EF6A9">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1C87B03D">
            <w:pPr>
              <w:keepNext w:val="0"/>
              <w:keepLines w:val="0"/>
              <w:pageBreakBefore w:val="0"/>
              <w:kinsoku/>
              <w:wordWrap/>
              <w:overflowPunct/>
              <w:topLinePunct w:val="0"/>
              <w:autoSpaceDE/>
              <w:autoSpaceDN/>
              <w:bidi w:val="0"/>
              <w:adjustRightInd/>
              <w:snapToGrid/>
              <w:jc w:val="center"/>
              <w:textAlignment w:val="auto"/>
              <w:rPr>
                <w:rFonts w:hint="default" w:eastAsia="宋体"/>
                <w:sz w:val="21"/>
                <w:szCs w:val="21"/>
                <w:lang w:val="en-US" w:eastAsia="zh-CN"/>
              </w:rPr>
            </w:pPr>
            <w:r>
              <w:rPr>
                <w:rFonts w:hint="eastAsia"/>
                <w:sz w:val="21"/>
                <w:szCs w:val="21"/>
              </w:rPr>
              <w:t>0.0</w:t>
            </w:r>
            <w:r>
              <w:rPr>
                <w:rFonts w:hint="eastAsia"/>
                <w:sz w:val="21"/>
                <w:szCs w:val="21"/>
                <w:lang w:val="en-US" w:eastAsia="zh-CN"/>
              </w:rPr>
              <w:t>216</w:t>
            </w:r>
          </w:p>
        </w:tc>
        <w:tc>
          <w:tcPr>
            <w:tcW w:w="638" w:type="pct"/>
            <w:noWrap w:val="0"/>
            <w:vAlign w:val="center"/>
          </w:tcPr>
          <w:p w14:paraId="543B78C4">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587" w:type="dxa"/>
            <w:noWrap w:val="0"/>
            <w:vAlign w:val="center"/>
          </w:tcPr>
          <w:p w14:paraId="2A7B4F56">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0.0</w:t>
            </w:r>
            <w:r>
              <w:rPr>
                <w:rFonts w:hint="eastAsia"/>
                <w:sz w:val="21"/>
                <w:szCs w:val="21"/>
                <w:lang w:val="en-US" w:eastAsia="zh-CN"/>
              </w:rPr>
              <w:t>216</w:t>
            </w:r>
          </w:p>
        </w:tc>
        <w:tc>
          <w:tcPr>
            <w:tcW w:w="1051" w:type="dxa"/>
            <w:noWrap w:val="0"/>
            <w:vAlign w:val="center"/>
          </w:tcPr>
          <w:p w14:paraId="43C8EC1B">
            <w:pPr>
              <w:keepNext w:val="0"/>
              <w:keepLines w:val="0"/>
              <w:pageBreakBefore w:val="0"/>
              <w:kinsoku/>
              <w:wordWrap/>
              <w:overflowPunct/>
              <w:topLinePunct w:val="0"/>
              <w:autoSpaceDE/>
              <w:autoSpaceDN/>
              <w:bidi w:val="0"/>
              <w:adjustRightInd/>
              <w:snapToGrid/>
              <w:jc w:val="center"/>
              <w:textAlignment w:val="auto"/>
              <w:rPr>
                <w:rFonts w:hint="eastAsia"/>
                <w:sz w:val="21"/>
                <w:szCs w:val="21"/>
              </w:rPr>
            </w:pPr>
            <w:r>
              <w:rPr>
                <w:rFonts w:hint="eastAsia"/>
                <w:kern w:val="0"/>
                <w:sz w:val="21"/>
                <w:szCs w:val="21"/>
                <w:lang w:bidi="ar"/>
              </w:rPr>
              <w:t>+</w:t>
            </w:r>
            <w:r>
              <w:rPr>
                <w:rFonts w:hint="eastAsia"/>
                <w:sz w:val="21"/>
                <w:szCs w:val="21"/>
              </w:rPr>
              <w:t>0.0</w:t>
            </w:r>
            <w:r>
              <w:rPr>
                <w:rFonts w:hint="eastAsia"/>
                <w:sz w:val="21"/>
                <w:szCs w:val="21"/>
                <w:lang w:val="en-US" w:eastAsia="zh-CN"/>
              </w:rPr>
              <w:t>216</w:t>
            </w:r>
          </w:p>
        </w:tc>
      </w:tr>
      <w:tr w14:paraId="0E698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0" w:type="pct"/>
            <w:gridSpan w:val="2"/>
            <w:noWrap w:val="0"/>
            <w:vAlign w:val="center"/>
          </w:tcPr>
          <w:p w14:paraId="7FC8275C">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napToGrid w:val="0"/>
                <w:kern w:val="21"/>
                <w:sz w:val="21"/>
                <w:szCs w:val="21"/>
              </w:rPr>
              <w:t>一般工业固体废物</w:t>
            </w:r>
          </w:p>
        </w:tc>
        <w:tc>
          <w:tcPr>
            <w:tcW w:w="616" w:type="pct"/>
            <w:noWrap w:val="0"/>
            <w:vAlign w:val="center"/>
          </w:tcPr>
          <w:p w14:paraId="636D6021">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p>
        </w:tc>
        <w:tc>
          <w:tcPr>
            <w:tcW w:w="462" w:type="pct"/>
            <w:noWrap w:val="0"/>
            <w:vAlign w:val="center"/>
          </w:tcPr>
          <w:p w14:paraId="554C63AA">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5839B4E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31D22B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eastAsia="宋体"/>
                <w:snapToGrid w:val="0"/>
                <w:kern w:val="21"/>
                <w:sz w:val="21"/>
                <w:szCs w:val="21"/>
                <w:lang w:val="en-US" w:eastAsia="zh-CN"/>
              </w:rPr>
            </w:pPr>
            <w:r>
              <w:rPr>
                <w:rFonts w:hint="eastAsia"/>
                <w:snapToGrid w:val="0"/>
                <w:kern w:val="21"/>
                <w:sz w:val="21"/>
                <w:szCs w:val="21"/>
                <w:lang w:val="en-US" w:eastAsia="zh-CN"/>
              </w:rPr>
              <w:t>/</w:t>
            </w:r>
          </w:p>
        </w:tc>
        <w:tc>
          <w:tcPr>
            <w:tcW w:w="638" w:type="pct"/>
            <w:noWrap w:val="0"/>
            <w:vAlign w:val="center"/>
          </w:tcPr>
          <w:p w14:paraId="0D797E94">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p>
        </w:tc>
        <w:tc>
          <w:tcPr>
            <w:tcW w:w="1587" w:type="dxa"/>
            <w:noWrap w:val="0"/>
            <w:vAlign w:val="center"/>
          </w:tcPr>
          <w:p w14:paraId="09C46F7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snapToGrid w:val="0"/>
                <w:kern w:val="21"/>
                <w:sz w:val="21"/>
                <w:szCs w:val="21"/>
              </w:rPr>
            </w:pPr>
            <w:r>
              <w:rPr>
                <w:rFonts w:hint="eastAsia"/>
                <w:snapToGrid w:val="0"/>
                <w:kern w:val="21"/>
                <w:sz w:val="21"/>
                <w:szCs w:val="21"/>
                <w:lang w:val="en-US" w:eastAsia="zh-CN"/>
              </w:rPr>
              <w:t>/</w:t>
            </w:r>
          </w:p>
        </w:tc>
        <w:tc>
          <w:tcPr>
            <w:tcW w:w="1051" w:type="dxa"/>
            <w:noWrap w:val="0"/>
            <w:vAlign w:val="center"/>
          </w:tcPr>
          <w:p w14:paraId="7F8139C4">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eastAsia" w:ascii="Times New Roman"/>
                <w:snapToGrid w:val="0"/>
                <w:kern w:val="21"/>
                <w:sz w:val="21"/>
                <w:szCs w:val="21"/>
              </w:rPr>
            </w:pPr>
            <w:r>
              <w:rPr>
                <w:rFonts w:hint="eastAsia"/>
                <w:kern w:val="0"/>
                <w:sz w:val="21"/>
                <w:szCs w:val="21"/>
                <w:lang w:bidi="ar"/>
              </w:rPr>
              <w:t>+</w:t>
            </w:r>
            <w:r>
              <w:rPr>
                <w:rFonts w:hint="eastAsia" w:ascii="Times New Roman"/>
                <w:snapToGrid w:val="0"/>
                <w:kern w:val="21"/>
                <w:sz w:val="21"/>
                <w:szCs w:val="21"/>
                <w:lang w:val="en-US" w:eastAsia="zh-CN"/>
              </w:rPr>
              <w:t>60.26</w:t>
            </w:r>
          </w:p>
        </w:tc>
      </w:tr>
      <w:tr w14:paraId="15054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0" w:type="pct"/>
            <w:gridSpan w:val="2"/>
            <w:noWrap w:val="0"/>
            <w:vAlign w:val="center"/>
          </w:tcPr>
          <w:p w14:paraId="1F12A62A">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ascii="Times New Roman"/>
                <w:snapToGrid w:val="0"/>
                <w:kern w:val="21"/>
                <w:sz w:val="21"/>
                <w:szCs w:val="21"/>
              </w:rPr>
              <w:t>危险废物</w:t>
            </w:r>
          </w:p>
        </w:tc>
        <w:tc>
          <w:tcPr>
            <w:tcW w:w="616" w:type="pct"/>
            <w:noWrap w:val="0"/>
            <w:vAlign w:val="center"/>
          </w:tcPr>
          <w:p w14:paraId="35828F73">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p>
        </w:tc>
        <w:tc>
          <w:tcPr>
            <w:tcW w:w="462" w:type="pct"/>
            <w:noWrap w:val="0"/>
            <w:vAlign w:val="center"/>
          </w:tcPr>
          <w:p w14:paraId="176ED35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616" w:type="pct"/>
            <w:noWrap w:val="0"/>
            <w:vAlign w:val="center"/>
          </w:tcPr>
          <w:p w14:paraId="23460C06">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565" w:type="pct"/>
            <w:noWrap w:val="0"/>
            <w:vAlign w:val="center"/>
          </w:tcPr>
          <w:p w14:paraId="48EDE9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eastAsia="宋体"/>
                <w:snapToGrid w:val="0"/>
                <w:kern w:val="21"/>
                <w:sz w:val="21"/>
                <w:szCs w:val="21"/>
                <w:lang w:val="en-US" w:eastAsia="zh-CN"/>
              </w:rPr>
            </w:pPr>
            <w:r>
              <w:rPr>
                <w:rFonts w:hint="eastAsia"/>
                <w:snapToGrid w:val="0"/>
                <w:kern w:val="21"/>
                <w:sz w:val="21"/>
                <w:szCs w:val="21"/>
                <w:lang w:val="en-US" w:eastAsia="zh-CN"/>
              </w:rPr>
              <w:t>/</w:t>
            </w:r>
          </w:p>
        </w:tc>
        <w:tc>
          <w:tcPr>
            <w:tcW w:w="638" w:type="pct"/>
            <w:noWrap w:val="0"/>
            <w:vAlign w:val="center"/>
          </w:tcPr>
          <w:p w14:paraId="385AC783">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p>
        </w:tc>
        <w:tc>
          <w:tcPr>
            <w:tcW w:w="1587" w:type="dxa"/>
            <w:noWrap w:val="0"/>
            <w:vAlign w:val="center"/>
          </w:tcPr>
          <w:p w14:paraId="4771BFC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snapToGrid w:val="0"/>
                <w:kern w:val="21"/>
                <w:sz w:val="21"/>
                <w:szCs w:val="21"/>
              </w:rPr>
            </w:pPr>
            <w:r>
              <w:rPr>
                <w:rFonts w:hint="eastAsia"/>
                <w:snapToGrid w:val="0"/>
                <w:kern w:val="21"/>
                <w:sz w:val="21"/>
                <w:szCs w:val="21"/>
                <w:lang w:val="en-US" w:eastAsia="zh-CN"/>
              </w:rPr>
              <w:t>/</w:t>
            </w:r>
          </w:p>
        </w:tc>
        <w:tc>
          <w:tcPr>
            <w:tcW w:w="1051" w:type="dxa"/>
            <w:noWrap w:val="0"/>
            <w:vAlign w:val="center"/>
          </w:tcPr>
          <w:p w14:paraId="41CC31FF">
            <w:pPr>
              <w:pStyle w:val="46"/>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ascii="Times New Roman"/>
                <w:snapToGrid w:val="0"/>
                <w:kern w:val="21"/>
                <w:sz w:val="21"/>
                <w:szCs w:val="21"/>
              </w:rPr>
            </w:pPr>
            <w:r>
              <w:rPr>
                <w:rFonts w:hint="eastAsia"/>
                <w:kern w:val="0"/>
                <w:sz w:val="21"/>
                <w:szCs w:val="21"/>
                <w:lang w:bidi="ar"/>
              </w:rPr>
              <w:t>+</w:t>
            </w:r>
            <w:r>
              <w:rPr>
                <w:rFonts w:hint="eastAsia" w:ascii="Times New Roman"/>
                <w:snapToGrid w:val="0"/>
                <w:kern w:val="21"/>
                <w:sz w:val="21"/>
                <w:szCs w:val="21"/>
                <w:lang w:val="en-US" w:eastAsia="zh-CN"/>
              </w:rPr>
              <w:t>6.09</w:t>
            </w:r>
          </w:p>
        </w:tc>
      </w:tr>
    </w:tbl>
    <w:p w14:paraId="0976E41E">
      <w:pPr>
        <w:pStyle w:val="46"/>
        <w:spacing w:before="192" w:beforeLines="80" w:after="24"/>
        <w:jc w:val="left"/>
        <w:rPr>
          <w:rFonts w:hint="eastAsia" w:ascii="宋体"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6" w:type="default"/>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黑体"/>
    <w:panose1 w:val="00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668DC">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5D6BE">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a2N8sBAACd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wU0oKbHc4MTP37+df/w6//xK&#10;lkX5LknUe6gw88ljbhzu3IDpsx/QmZgPbTDpi5wIxlHg00VgOUQi0qNVuVoVGBIYmy+Iz56f+wDx&#10;vXSGJKOmASeYheXHR4hj6pySqll3r7TOU9T2LwdiJg9LvY89JisOu2EitHPNCfn0OPyaWtx1SvSD&#10;RW3TnsxGmI3dbBx8UPsuL1KqB/72ELGJ3FuqMMJOhXFqmd20YWkt/rznrO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zWtjfLAQAAnQMAAA4AAAAAAAAAAQAgAAAAHgEAAGRycy9lMm9E&#10;b2MueG1sUEsFBgAAAAAGAAYAWQEAAFsFAAAAAA==&#10;">
              <v:fill on="f" focussize="0,0"/>
              <v:stroke on="f"/>
              <v:imagedata o:title=""/>
              <o:lock v:ext="edit" aspectratio="f"/>
              <v:textbox inset="0mm,0mm,0mm,0mm" style="mso-fit-shape-to-text:t;">
                <w:txbxContent>
                  <w:p w14:paraId="70D5D6BE">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D85F7">
    <w:pPr>
      <w:pStyle w:val="16"/>
      <w:framePr w:wrap="around" w:vAnchor="text" w:hAnchor="margin" w:xAlign="center" w:y="1"/>
      <w:rPr>
        <w:rStyle w:val="28"/>
      </w:rPr>
    </w:pPr>
    <w:r>
      <w:fldChar w:fldCharType="begin"/>
    </w:r>
    <w:r>
      <w:rPr>
        <w:rStyle w:val="28"/>
      </w:rPr>
      <w:instrText xml:space="preserve">PAGE  </w:instrText>
    </w:r>
    <w:r>
      <w:fldChar w:fldCharType="end"/>
    </w:r>
  </w:p>
  <w:p w14:paraId="31455FDC">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ECE01">
    <w:pPr>
      <w:pStyle w:val="16"/>
      <w:jc w:val="center"/>
      <w:rPr>
        <w:rFonts w:hint="eastAsia"/>
      </w:rPr>
    </w:pPr>
    <w:r>
      <w:fldChar w:fldCharType="begin"/>
    </w:r>
    <w:r>
      <w:instrText xml:space="preserve">PAGE   \* MERGEFORMAT</w:instrText>
    </w:r>
    <w:r>
      <w:fldChar w:fldCharType="separate"/>
    </w:r>
    <w:r>
      <w:rPr>
        <w:lang w:val="zh-CN"/>
      </w:rPr>
      <w:t>2</w:t>
    </w:r>
    <w:r>
      <w:fldChar w:fldCharType="end"/>
    </w:r>
  </w:p>
  <w:p w14:paraId="5E27316F">
    <w:pPr>
      <w:pStyle w:val="16"/>
      <w:ind w:right="360" w:firstLine="360"/>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B584A">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7F8CF"/>
    <w:multiLevelType w:val="singleLevel"/>
    <w:tmpl w:val="AF77F8CF"/>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0A3D679A"/>
    <w:multiLevelType w:val="multilevel"/>
    <w:tmpl w:val="0A3D679A"/>
    <w:lvl w:ilvl="0" w:tentative="0">
      <w:start w:val="1"/>
      <w:numFmt w:val="decimalEnclosedCircle"/>
      <w:lvlText w:val="%1"/>
      <w:lvlJc w:val="left"/>
      <w:pPr>
        <w:ind w:left="780" w:hanging="360"/>
      </w:pPr>
      <w:rPr>
        <w:rFonts w:hint="default" w:ascii="宋体" w:hAnsi="宋体" w:cs="宋体"/>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46741172"/>
    <w:multiLevelType w:val="multilevel"/>
    <w:tmpl w:val="46741172"/>
    <w:lvl w:ilvl="0" w:tentative="0">
      <w:start w:val="1"/>
      <w:numFmt w:val="decimal"/>
      <w:lvlText w:val="表%1"/>
      <w:lvlJc w:val="left"/>
      <w:pPr>
        <w:ind w:left="420" w:hanging="42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4MTIwZmY0ODA2NzRmMzYzOTg5MjI4NTEyYTgzNzgifQ=="/>
  </w:docVars>
  <w:rsids>
    <w:rsidRoot w:val="00A14947"/>
    <w:rsid w:val="00001E67"/>
    <w:rsid w:val="00005D7B"/>
    <w:rsid w:val="000060B3"/>
    <w:rsid w:val="00006699"/>
    <w:rsid w:val="000068F2"/>
    <w:rsid w:val="000074F4"/>
    <w:rsid w:val="00021EF5"/>
    <w:rsid w:val="00032DFB"/>
    <w:rsid w:val="00036C58"/>
    <w:rsid w:val="00037BE3"/>
    <w:rsid w:val="0004364B"/>
    <w:rsid w:val="00044CD1"/>
    <w:rsid w:val="00057F99"/>
    <w:rsid w:val="00061B1F"/>
    <w:rsid w:val="00064442"/>
    <w:rsid w:val="000733C4"/>
    <w:rsid w:val="00074783"/>
    <w:rsid w:val="0008070B"/>
    <w:rsid w:val="000810AC"/>
    <w:rsid w:val="00081A02"/>
    <w:rsid w:val="00082231"/>
    <w:rsid w:val="000831BB"/>
    <w:rsid w:val="00084F72"/>
    <w:rsid w:val="00092D38"/>
    <w:rsid w:val="0009377B"/>
    <w:rsid w:val="00094D6E"/>
    <w:rsid w:val="00096115"/>
    <w:rsid w:val="000A0E81"/>
    <w:rsid w:val="000A20C9"/>
    <w:rsid w:val="000A35A6"/>
    <w:rsid w:val="000B047B"/>
    <w:rsid w:val="000B058F"/>
    <w:rsid w:val="000B4467"/>
    <w:rsid w:val="000B4DB9"/>
    <w:rsid w:val="000B632B"/>
    <w:rsid w:val="000B66E0"/>
    <w:rsid w:val="000C09AC"/>
    <w:rsid w:val="000C6435"/>
    <w:rsid w:val="000C767F"/>
    <w:rsid w:val="000C7EA0"/>
    <w:rsid w:val="000D41ED"/>
    <w:rsid w:val="000D5A44"/>
    <w:rsid w:val="000E2E55"/>
    <w:rsid w:val="000E3ED2"/>
    <w:rsid w:val="000E5348"/>
    <w:rsid w:val="000E5393"/>
    <w:rsid w:val="000E6B43"/>
    <w:rsid w:val="000F5941"/>
    <w:rsid w:val="000F77CA"/>
    <w:rsid w:val="00100A4B"/>
    <w:rsid w:val="00101A20"/>
    <w:rsid w:val="001071F5"/>
    <w:rsid w:val="00114B2C"/>
    <w:rsid w:val="00114C20"/>
    <w:rsid w:val="0012141F"/>
    <w:rsid w:val="00131F42"/>
    <w:rsid w:val="001357F1"/>
    <w:rsid w:val="0013696A"/>
    <w:rsid w:val="00140FA8"/>
    <w:rsid w:val="00141E9E"/>
    <w:rsid w:val="00142FEB"/>
    <w:rsid w:val="00143A2D"/>
    <w:rsid w:val="001441B1"/>
    <w:rsid w:val="00144697"/>
    <w:rsid w:val="00144861"/>
    <w:rsid w:val="00145433"/>
    <w:rsid w:val="00145A41"/>
    <w:rsid w:val="00151675"/>
    <w:rsid w:val="00157435"/>
    <w:rsid w:val="00170408"/>
    <w:rsid w:val="00172F11"/>
    <w:rsid w:val="0017504D"/>
    <w:rsid w:val="0017671A"/>
    <w:rsid w:val="00177422"/>
    <w:rsid w:val="00184590"/>
    <w:rsid w:val="00186FDE"/>
    <w:rsid w:val="001870D1"/>
    <w:rsid w:val="0018781E"/>
    <w:rsid w:val="00192087"/>
    <w:rsid w:val="0019246D"/>
    <w:rsid w:val="0019262D"/>
    <w:rsid w:val="001A1B35"/>
    <w:rsid w:val="001A48A2"/>
    <w:rsid w:val="001A6F61"/>
    <w:rsid w:val="001B5F27"/>
    <w:rsid w:val="001B72B8"/>
    <w:rsid w:val="001C40C8"/>
    <w:rsid w:val="001C4D4C"/>
    <w:rsid w:val="001C59BE"/>
    <w:rsid w:val="001C69B3"/>
    <w:rsid w:val="001D19EC"/>
    <w:rsid w:val="001D5595"/>
    <w:rsid w:val="001D7874"/>
    <w:rsid w:val="001D7F22"/>
    <w:rsid w:val="001E008E"/>
    <w:rsid w:val="001E48E3"/>
    <w:rsid w:val="001F08A1"/>
    <w:rsid w:val="001F0F17"/>
    <w:rsid w:val="001F1231"/>
    <w:rsid w:val="001F3347"/>
    <w:rsid w:val="001F69E4"/>
    <w:rsid w:val="00202EF2"/>
    <w:rsid w:val="002125B4"/>
    <w:rsid w:val="0021296C"/>
    <w:rsid w:val="00212A45"/>
    <w:rsid w:val="00213204"/>
    <w:rsid w:val="00213A20"/>
    <w:rsid w:val="002155B8"/>
    <w:rsid w:val="00216662"/>
    <w:rsid w:val="00224839"/>
    <w:rsid w:val="002249B2"/>
    <w:rsid w:val="00226574"/>
    <w:rsid w:val="002278EC"/>
    <w:rsid w:val="00231C33"/>
    <w:rsid w:val="0023280E"/>
    <w:rsid w:val="0023350B"/>
    <w:rsid w:val="002344D2"/>
    <w:rsid w:val="002377D1"/>
    <w:rsid w:val="002434A5"/>
    <w:rsid w:val="00243DF4"/>
    <w:rsid w:val="002506BC"/>
    <w:rsid w:val="00254345"/>
    <w:rsid w:val="002554C3"/>
    <w:rsid w:val="00262982"/>
    <w:rsid w:val="00264557"/>
    <w:rsid w:val="00271197"/>
    <w:rsid w:val="002760C5"/>
    <w:rsid w:val="002777EE"/>
    <w:rsid w:val="002805AB"/>
    <w:rsid w:val="00283849"/>
    <w:rsid w:val="00284204"/>
    <w:rsid w:val="0028629A"/>
    <w:rsid w:val="00291773"/>
    <w:rsid w:val="00292D91"/>
    <w:rsid w:val="002A132C"/>
    <w:rsid w:val="002A1640"/>
    <w:rsid w:val="002A168C"/>
    <w:rsid w:val="002A1C0D"/>
    <w:rsid w:val="002A2061"/>
    <w:rsid w:val="002A3DC7"/>
    <w:rsid w:val="002A7C2C"/>
    <w:rsid w:val="002B1123"/>
    <w:rsid w:val="002B2322"/>
    <w:rsid w:val="002B387F"/>
    <w:rsid w:val="002B49E2"/>
    <w:rsid w:val="002B4A5A"/>
    <w:rsid w:val="002B7B00"/>
    <w:rsid w:val="002B7C44"/>
    <w:rsid w:val="002C2B17"/>
    <w:rsid w:val="002C32F4"/>
    <w:rsid w:val="002C4A08"/>
    <w:rsid w:val="002D2B6B"/>
    <w:rsid w:val="002D3DD0"/>
    <w:rsid w:val="002D7EA4"/>
    <w:rsid w:val="002E0AAF"/>
    <w:rsid w:val="002E1F3A"/>
    <w:rsid w:val="002E258F"/>
    <w:rsid w:val="002E298A"/>
    <w:rsid w:val="002E74B0"/>
    <w:rsid w:val="002F56ED"/>
    <w:rsid w:val="002F7CC1"/>
    <w:rsid w:val="00301978"/>
    <w:rsid w:val="0030332C"/>
    <w:rsid w:val="003051C2"/>
    <w:rsid w:val="0031082E"/>
    <w:rsid w:val="00312296"/>
    <w:rsid w:val="003148A7"/>
    <w:rsid w:val="00314F0E"/>
    <w:rsid w:val="003158CE"/>
    <w:rsid w:val="00316235"/>
    <w:rsid w:val="00317389"/>
    <w:rsid w:val="00321D8E"/>
    <w:rsid w:val="00325928"/>
    <w:rsid w:val="00332863"/>
    <w:rsid w:val="0033684D"/>
    <w:rsid w:val="00337B42"/>
    <w:rsid w:val="00341B42"/>
    <w:rsid w:val="0034348F"/>
    <w:rsid w:val="00356653"/>
    <w:rsid w:val="0035743F"/>
    <w:rsid w:val="00357A57"/>
    <w:rsid w:val="00357BE2"/>
    <w:rsid w:val="0036170C"/>
    <w:rsid w:val="00363F0D"/>
    <w:rsid w:val="00366E0F"/>
    <w:rsid w:val="00374510"/>
    <w:rsid w:val="00381A72"/>
    <w:rsid w:val="00381EDD"/>
    <w:rsid w:val="0038322B"/>
    <w:rsid w:val="003843A7"/>
    <w:rsid w:val="00384676"/>
    <w:rsid w:val="00390857"/>
    <w:rsid w:val="00391E4D"/>
    <w:rsid w:val="00395804"/>
    <w:rsid w:val="003A0C10"/>
    <w:rsid w:val="003A1C16"/>
    <w:rsid w:val="003A4BF3"/>
    <w:rsid w:val="003A7443"/>
    <w:rsid w:val="003B420D"/>
    <w:rsid w:val="003C5BEE"/>
    <w:rsid w:val="003C609B"/>
    <w:rsid w:val="003C6C16"/>
    <w:rsid w:val="003D794D"/>
    <w:rsid w:val="003E0A32"/>
    <w:rsid w:val="003E3058"/>
    <w:rsid w:val="003E334A"/>
    <w:rsid w:val="003E76A9"/>
    <w:rsid w:val="003F0809"/>
    <w:rsid w:val="003F3A1C"/>
    <w:rsid w:val="003F6A8C"/>
    <w:rsid w:val="003F755C"/>
    <w:rsid w:val="00401D34"/>
    <w:rsid w:val="00404A09"/>
    <w:rsid w:val="00404D49"/>
    <w:rsid w:val="00405D06"/>
    <w:rsid w:val="00406F01"/>
    <w:rsid w:val="0041055D"/>
    <w:rsid w:val="004125B2"/>
    <w:rsid w:val="00416D50"/>
    <w:rsid w:val="00416FD5"/>
    <w:rsid w:val="00417772"/>
    <w:rsid w:val="00420E6A"/>
    <w:rsid w:val="004224AF"/>
    <w:rsid w:val="00422902"/>
    <w:rsid w:val="00425A9E"/>
    <w:rsid w:val="00426D6B"/>
    <w:rsid w:val="00431E6C"/>
    <w:rsid w:val="004328F1"/>
    <w:rsid w:val="00433CE7"/>
    <w:rsid w:val="004414FA"/>
    <w:rsid w:val="00452738"/>
    <w:rsid w:val="00456091"/>
    <w:rsid w:val="00466321"/>
    <w:rsid w:val="00470A94"/>
    <w:rsid w:val="00470D38"/>
    <w:rsid w:val="00472A36"/>
    <w:rsid w:val="0047500D"/>
    <w:rsid w:val="00476E1F"/>
    <w:rsid w:val="0048113D"/>
    <w:rsid w:val="00482BC0"/>
    <w:rsid w:val="004830D8"/>
    <w:rsid w:val="00484B9B"/>
    <w:rsid w:val="004855F6"/>
    <w:rsid w:val="0048661E"/>
    <w:rsid w:val="004930EC"/>
    <w:rsid w:val="0049408B"/>
    <w:rsid w:val="00494670"/>
    <w:rsid w:val="004A3823"/>
    <w:rsid w:val="004B7FD3"/>
    <w:rsid w:val="004C1F0F"/>
    <w:rsid w:val="004C4E0E"/>
    <w:rsid w:val="004C60AF"/>
    <w:rsid w:val="004C6288"/>
    <w:rsid w:val="004C71E7"/>
    <w:rsid w:val="004D550D"/>
    <w:rsid w:val="004E2D5C"/>
    <w:rsid w:val="004E2FAD"/>
    <w:rsid w:val="004E6946"/>
    <w:rsid w:val="004F1AD8"/>
    <w:rsid w:val="004F2C3E"/>
    <w:rsid w:val="004F2E43"/>
    <w:rsid w:val="004F3456"/>
    <w:rsid w:val="00501DD0"/>
    <w:rsid w:val="0050357F"/>
    <w:rsid w:val="005039CB"/>
    <w:rsid w:val="00505322"/>
    <w:rsid w:val="0050558F"/>
    <w:rsid w:val="00506286"/>
    <w:rsid w:val="00506646"/>
    <w:rsid w:val="00506B0C"/>
    <w:rsid w:val="00510813"/>
    <w:rsid w:val="005116FF"/>
    <w:rsid w:val="00511990"/>
    <w:rsid w:val="00511DE0"/>
    <w:rsid w:val="0051407D"/>
    <w:rsid w:val="00514870"/>
    <w:rsid w:val="00514B9B"/>
    <w:rsid w:val="00517F02"/>
    <w:rsid w:val="00523566"/>
    <w:rsid w:val="00523674"/>
    <w:rsid w:val="00524303"/>
    <w:rsid w:val="005258A2"/>
    <w:rsid w:val="005376D6"/>
    <w:rsid w:val="005401AE"/>
    <w:rsid w:val="00542E07"/>
    <w:rsid w:val="00544545"/>
    <w:rsid w:val="00545424"/>
    <w:rsid w:val="00547D4E"/>
    <w:rsid w:val="00550BE6"/>
    <w:rsid w:val="00551C17"/>
    <w:rsid w:val="00554A7B"/>
    <w:rsid w:val="0055572C"/>
    <w:rsid w:val="0056106A"/>
    <w:rsid w:val="00562AED"/>
    <w:rsid w:val="00567BE0"/>
    <w:rsid w:val="005720AE"/>
    <w:rsid w:val="00580428"/>
    <w:rsid w:val="0059384E"/>
    <w:rsid w:val="00594017"/>
    <w:rsid w:val="00594D77"/>
    <w:rsid w:val="005969E4"/>
    <w:rsid w:val="00597326"/>
    <w:rsid w:val="005A06B7"/>
    <w:rsid w:val="005A1759"/>
    <w:rsid w:val="005A5F25"/>
    <w:rsid w:val="005A68A7"/>
    <w:rsid w:val="005B173B"/>
    <w:rsid w:val="005B17DA"/>
    <w:rsid w:val="005B4908"/>
    <w:rsid w:val="005B6446"/>
    <w:rsid w:val="005B7893"/>
    <w:rsid w:val="005B7E56"/>
    <w:rsid w:val="005D36AB"/>
    <w:rsid w:val="005D66CA"/>
    <w:rsid w:val="005E2DF0"/>
    <w:rsid w:val="005E32D5"/>
    <w:rsid w:val="005E4521"/>
    <w:rsid w:val="005E469B"/>
    <w:rsid w:val="005E5306"/>
    <w:rsid w:val="005E5B5E"/>
    <w:rsid w:val="005E7C57"/>
    <w:rsid w:val="005F1F46"/>
    <w:rsid w:val="00600A48"/>
    <w:rsid w:val="00600F4F"/>
    <w:rsid w:val="00617CC3"/>
    <w:rsid w:val="0062136A"/>
    <w:rsid w:val="00621C0C"/>
    <w:rsid w:val="00622595"/>
    <w:rsid w:val="0062372E"/>
    <w:rsid w:val="006252B7"/>
    <w:rsid w:val="00633E67"/>
    <w:rsid w:val="006377A6"/>
    <w:rsid w:val="00637A3D"/>
    <w:rsid w:val="006411EF"/>
    <w:rsid w:val="006455A6"/>
    <w:rsid w:val="006554FC"/>
    <w:rsid w:val="00660160"/>
    <w:rsid w:val="006732AB"/>
    <w:rsid w:val="006748B8"/>
    <w:rsid w:val="006775C3"/>
    <w:rsid w:val="0068490A"/>
    <w:rsid w:val="0069290A"/>
    <w:rsid w:val="0069775A"/>
    <w:rsid w:val="00697813"/>
    <w:rsid w:val="006A12CE"/>
    <w:rsid w:val="006A3EE8"/>
    <w:rsid w:val="006A6F1B"/>
    <w:rsid w:val="006A72BF"/>
    <w:rsid w:val="006B03F2"/>
    <w:rsid w:val="006B37DC"/>
    <w:rsid w:val="006B4CD7"/>
    <w:rsid w:val="006B4F68"/>
    <w:rsid w:val="006C0592"/>
    <w:rsid w:val="006C1E57"/>
    <w:rsid w:val="006C272E"/>
    <w:rsid w:val="006C3BED"/>
    <w:rsid w:val="006C5479"/>
    <w:rsid w:val="006C60EE"/>
    <w:rsid w:val="006D12C6"/>
    <w:rsid w:val="006D13B5"/>
    <w:rsid w:val="006D5F2A"/>
    <w:rsid w:val="006E12FF"/>
    <w:rsid w:val="006E607E"/>
    <w:rsid w:val="006F187B"/>
    <w:rsid w:val="006F6011"/>
    <w:rsid w:val="00706C5D"/>
    <w:rsid w:val="00710C24"/>
    <w:rsid w:val="007130DF"/>
    <w:rsid w:val="007140E1"/>
    <w:rsid w:val="00720E1B"/>
    <w:rsid w:val="00727916"/>
    <w:rsid w:val="00732322"/>
    <w:rsid w:val="00732922"/>
    <w:rsid w:val="007359BA"/>
    <w:rsid w:val="00736DFF"/>
    <w:rsid w:val="007422DF"/>
    <w:rsid w:val="00746FEE"/>
    <w:rsid w:val="00747367"/>
    <w:rsid w:val="0075130C"/>
    <w:rsid w:val="0075162E"/>
    <w:rsid w:val="00754034"/>
    <w:rsid w:val="00755DA2"/>
    <w:rsid w:val="00756556"/>
    <w:rsid w:val="007618C4"/>
    <w:rsid w:val="00767980"/>
    <w:rsid w:val="00770B19"/>
    <w:rsid w:val="007717A5"/>
    <w:rsid w:val="0077463F"/>
    <w:rsid w:val="007748A9"/>
    <w:rsid w:val="007749AC"/>
    <w:rsid w:val="007836EA"/>
    <w:rsid w:val="00784CDA"/>
    <w:rsid w:val="00785484"/>
    <w:rsid w:val="007901E5"/>
    <w:rsid w:val="007906C4"/>
    <w:rsid w:val="007930B4"/>
    <w:rsid w:val="00793BCE"/>
    <w:rsid w:val="007940EA"/>
    <w:rsid w:val="007967E8"/>
    <w:rsid w:val="00796E4D"/>
    <w:rsid w:val="007979D3"/>
    <w:rsid w:val="007A02AD"/>
    <w:rsid w:val="007A2170"/>
    <w:rsid w:val="007A22BF"/>
    <w:rsid w:val="007A2AC5"/>
    <w:rsid w:val="007A3323"/>
    <w:rsid w:val="007B106D"/>
    <w:rsid w:val="007B26EC"/>
    <w:rsid w:val="007B72B8"/>
    <w:rsid w:val="007B7A58"/>
    <w:rsid w:val="007C085E"/>
    <w:rsid w:val="007C21B5"/>
    <w:rsid w:val="007C409F"/>
    <w:rsid w:val="007D29D4"/>
    <w:rsid w:val="007D56CA"/>
    <w:rsid w:val="007D6191"/>
    <w:rsid w:val="007D7750"/>
    <w:rsid w:val="007D7E9D"/>
    <w:rsid w:val="007E467B"/>
    <w:rsid w:val="007E4BD2"/>
    <w:rsid w:val="007F1D4E"/>
    <w:rsid w:val="007F7344"/>
    <w:rsid w:val="007F7815"/>
    <w:rsid w:val="00800983"/>
    <w:rsid w:val="00801393"/>
    <w:rsid w:val="00802F88"/>
    <w:rsid w:val="0081293E"/>
    <w:rsid w:val="00815465"/>
    <w:rsid w:val="00817E9A"/>
    <w:rsid w:val="00820068"/>
    <w:rsid w:val="008306BD"/>
    <w:rsid w:val="0083094D"/>
    <w:rsid w:val="00831A80"/>
    <w:rsid w:val="00831FCB"/>
    <w:rsid w:val="00833743"/>
    <w:rsid w:val="008340A4"/>
    <w:rsid w:val="0083521E"/>
    <w:rsid w:val="00836F72"/>
    <w:rsid w:val="00867137"/>
    <w:rsid w:val="0087135F"/>
    <w:rsid w:val="00872D94"/>
    <w:rsid w:val="00876A33"/>
    <w:rsid w:val="00880364"/>
    <w:rsid w:val="0089062F"/>
    <w:rsid w:val="00891592"/>
    <w:rsid w:val="008918F5"/>
    <w:rsid w:val="00891E9E"/>
    <w:rsid w:val="00893B11"/>
    <w:rsid w:val="0089764E"/>
    <w:rsid w:val="008A2F68"/>
    <w:rsid w:val="008A7294"/>
    <w:rsid w:val="008B4FA6"/>
    <w:rsid w:val="008B5282"/>
    <w:rsid w:val="008B52C5"/>
    <w:rsid w:val="008B7C17"/>
    <w:rsid w:val="008C0BDB"/>
    <w:rsid w:val="008C2D01"/>
    <w:rsid w:val="008C40E6"/>
    <w:rsid w:val="008D0F7A"/>
    <w:rsid w:val="008D288B"/>
    <w:rsid w:val="008D582B"/>
    <w:rsid w:val="008D68E4"/>
    <w:rsid w:val="008E0506"/>
    <w:rsid w:val="008E0CFF"/>
    <w:rsid w:val="008E5D6B"/>
    <w:rsid w:val="008E6087"/>
    <w:rsid w:val="008E726A"/>
    <w:rsid w:val="008E76F0"/>
    <w:rsid w:val="008F15FE"/>
    <w:rsid w:val="008F25FF"/>
    <w:rsid w:val="008F2D29"/>
    <w:rsid w:val="008F46A8"/>
    <w:rsid w:val="008F5187"/>
    <w:rsid w:val="008F60D8"/>
    <w:rsid w:val="00900C19"/>
    <w:rsid w:val="00900EE8"/>
    <w:rsid w:val="00902727"/>
    <w:rsid w:val="0090312B"/>
    <w:rsid w:val="009101D5"/>
    <w:rsid w:val="00913B66"/>
    <w:rsid w:val="0091736D"/>
    <w:rsid w:val="00920ABC"/>
    <w:rsid w:val="009220EB"/>
    <w:rsid w:val="0093037A"/>
    <w:rsid w:val="00937EC4"/>
    <w:rsid w:val="0094154D"/>
    <w:rsid w:val="0094343B"/>
    <w:rsid w:val="0095155F"/>
    <w:rsid w:val="00954429"/>
    <w:rsid w:val="009563A7"/>
    <w:rsid w:val="009563CE"/>
    <w:rsid w:val="00964036"/>
    <w:rsid w:val="00965513"/>
    <w:rsid w:val="00965D22"/>
    <w:rsid w:val="00970CFF"/>
    <w:rsid w:val="00976328"/>
    <w:rsid w:val="0097680D"/>
    <w:rsid w:val="00980C37"/>
    <w:rsid w:val="00981CCD"/>
    <w:rsid w:val="00982438"/>
    <w:rsid w:val="00982EF8"/>
    <w:rsid w:val="0098404C"/>
    <w:rsid w:val="00985283"/>
    <w:rsid w:val="00992846"/>
    <w:rsid w:val="00995992"/>
    <w:rsid w:val="009A0173"/>
    <w:rsid w:val="009A03E5"/>
    <w:rsid w:val="009A0C45"/>
    <w:rsid w:val="009A0F3B"/>
    <w:rsid w:val="009A1BB4"/>
    <w:rsid w:val="009A2242"/>
    <w:rsid w:val="009A2628"/>
    <w:rsid w:val="009A296F"/>
    <w:rsid w:val="009A3200"/>
    <w:rsid w:val="009A3E96"/>
    <w:rsid w:val="009B00FA"/>
    <w:rsid w:val="009B0897"/>
    <w:rsid w:val="009B22DF"/>
    <w:rsid w:val="009B2BE8"/>
    <w:rsid w:val="009B7BD9"/>
    <w:rsid w:val="009C18E1"/>
    <w:rsid w:val="009C4E0E"/>
    <w:rsid w:val="009C7DD5"/>
    <w:rsid w:val="009D14EF"/>
    <w:rsid w:val="009D1A4E"/>
    <w:rsid w:val="009E0C90"/>
    <w:rsid w:val="009E13F7"/>
    <w:rsid w:val="009E2003"/>
    <w:rsid w:val="009E227D"/>
    <w:rsid w:val="009E5019"/>
    <w:rsid w:val="009F471E"/>
    <w:rsid w:val="00A04F1B"/>
    <w:rsid w:val="00A0501B"/>
    <w:rsid w:val="00A07E8E"/>
    <w:rsid w:val="00A13460"/>
    <w:rsid w:val="00A14947"/>
    <w:rsid w:val="00A217CC"/>
    <w:rsid w:val="00A226D0"/>
    <w:rsid w:val="00A31923"/>
    <w:rsid w:val="00A31987"/>
    <w:rsid w:val="00A32A83"/>
    <w:rsid w:val="00A368DB"/>
    <w:rsid w:val="00A37917"/>
    <w:rsid w:val="00A423AA"/>
    <w:rsid w:val="00A52C9E"/>
    <w:rsid w:val="00A53EC6"/>
    <w:rsid w:val="00A540D5"/>
    <w:rsid w:val="00A55C0F"/>
    <w:rsid w:val="00A56FC2"/>
    <w:rsid w:val="00A57F61"/>
    <w:rsid w:val="00A63812"/>
    <w:rsid w:val="00A666B7"/>
    <w:rsid w:val="00A74215"/>
    <w:rsid w:val="00A75E1B"/>
    <w:rsid w:val="00A8124F"/>
    <w:rsid w:val="00A8653E"/>
    <w:rsid w:val="00A8713F"/>
    <w:rsid w:val="00A90BA1"/>
    <w:rsid w:val="00A97A9A"/>
    <w:rsid w:val="00AA0671"/>
    <w:rsid w:val="00AA07D7"/>
    <w:rsid w:val="00AA2531"/>
    <w:rsid w:val="00AA4906"/>
    <w:rsid w:val="00AA6F4F"/>
    <w:rsid w:val="00AB1E09"/>
    <w:rsid w:val="00AB2619"/>
    <w:rsid w:val="00AB28DF"/>
    <w:rsid w:val="00AB5330"/>
    <w:rsid w:val="00AB76FB"/>
    <w:rsid w:val="00AB7747"/>
    <w:rsid w:val="00AC11A8"/>
    <w:rsid w:val="00AC14CE"/>
    <w:rsid w:val="00AC2A56"/>
    <w:rsid w:val="00AC7F82"/>
    <w:rsid w:val="00AD055E"/>
    <w:rsid w:val="00AD4329"/>
    <w:rsid w:val="00AD477C"/>
    <w:rsid w:val="00AD47A7"/>
    <w:rsid w:val="00AF0CBF"/>
    <w:rsid w:val="00AF18CD"/>
    <w:rsid w:val="00AF257F"/>
    <w:rsid w:val="00AF33CF"/>
    <w:rsid w:val="00AF4D50"/>
    <w:rsid w:val="00AF6179"/>
    <w:rsid w:val="00B1295A"/>
    <w:rsid w:val="00B1718F"/>
    <w:rsid w:val="00B17E07"/>
    <w:rsid w:val="00B20A45"/>
    <w:rsid w:val="00B22C5C"/>
    <w:rsid w:val="00B23303"/>
    <w:rsid w:val="00B24F30"/>
    <w:rsid w:val="00B31ABF"/>
    <w:rsid w:val="00B33BE3"/>
    <w:rsid w:val="00B33E91"/>
    <w:rsid w:val="00B36685"/>
    <w:rsid w:val="00B50DCE"/>
    <w:rsid w:val="00B53901"/>
    <w:rsid w:val="00B53B5D"/>
    <w:rsid w:val="00B54921"/>
    <w:rsid w:val="00B6055E"/>
    <w:rsid w:val="00B6192A"/>
    <w:rsid w:val="00B629EE"/>
    <w:rsid w:val="00B6317D"/>
    <w:rsid w:val="00B64F69"/>
    <w:rsid w:val="00B7723F"/>
    <w:rsid w:val="00B80534"/>
    <w:rsid w:val="00B8433C"/>
    <w:rsid w:val="00B87491"/>
    <w:rsid w:val="00B94A9C"/>
    <w:rsid w:val="00BA29E9"/>
    <w:rsid w:val="00BA7142"/>
    <w:rsid w:val="00BA7B88"/>
    <w:rsid w:val="00BB0F4D"/>
    <w:rsid w:val="00BB237C"/>
    <w:rsid w:val="00BB41A3"/>
    <w:rsid w:val="00BB713D"/>
    <w:rsid w:val="00BB75AF"/>
    <w:rsid w:val="00BC24F7"/>
    <w:rsid w:val="00BC32DC"/>
    <w:rsid w:val="00BC35B6"/>
    <w:rsid w:val="00BC6339"/>
    <w:rsid w:val="00BC6AF7"/>
    <w:rsid w:val="00BD1B51"/>
    <w:rsid w:val="00BD3873"/>
    <w:rsid w:val="00BD4596"/>
    <w:rsid w:val="00BD5C0A"/>
    <w:rsid w:val="00BE1405"/>
    <w:rsid w:val="00BE312D"/>
    <w:rsid w:val="00BE60D5"/>
    <w:rsid w:val="00BF1C20"/>
    <w:rsid w:val="00BF2E32"/>
    <w:rsid w:val="00BF3AEC"/>
    <w:rsid w:val="00BF4048"/>
    <w:rsid w:val="00BF4E7E"/>
    <w:rsid w:val="00BF743C"/>
    <w:rsid w:val="00C03C27"/>
    <w:rsid w:val="00C0586E"/>
    <w:rsid w:val="00C0707E"/>
    <w:rsid w:val="00C10578"/>
    <w:rsid w:val="00C11C55"/>
    <w:rsid w:val="00C135BC"/>
    <w:rsid w:val="00C15B2A"/>
    <w:rsid w:val="00C15C95"/>
    <w:rsid w:val="00C20E63"/>
    <w:rsid w:val="00C22098"/>
    <w:rsid w:val="00C23261"/>
    <w:rsid w:val="00C255EC"/>
    <w:rsid w:val="00C2596A"/>
    <w:rsid w:val="00C26BDC"/>
    <w:rsid w:val="00C27537"/>
    <w:rsid w:val="00C3060B"/>
    <w:rsid w:val="00C30630"/>
    <w:rsid w:val="00C31412"/>
    <w:rsid w:val="00C322A6"/>
    <w:rsid w:val="00C328FE"/>
    <w:rsid w:val="00C33507"/>
    <w:rsid w:val="00C4409D"/>
    <w:rsid w:val="00C44E72"/>
    <w:rsid w:val="00C45A06"/>
    <w:rsid w:val="00C46D42"/>
    <w:rsid w:val="00C47E5B"/>
    <w:rsid w:val="00C61E4B"/>
    <w:rsid w:val="00C64BFF"/>
    <w:rsid w:val="00C66DBD"/>
    <w:rsid w:val="00C704E9"/>
    <w:rsid w:val="00C70778"/>
    <w:rsid w:val="00C72885"/>
    <w:rsid w:val="00C763C9"/>
    <w:rsid w:val="00C80057"/>
    <w:rsid w:val="00C80533"/>
    <w:rsid w:val="00C82232"/>
    <w:rsid w:val="00C82913"/>
    <w:rsid w:val="00C87AA3"/>
    <w:rsid w:val="00C92AF5"/>
    <w:rsid w:val="00C96E72"/>
    <w:rsid w:val="00C972B1"/>
    <w:rsid w:val="00CA0B26"/>
    <w:rsid w:val="00CA11F2"/>
    <w:rsid w:val="00CA2CCE"/>
    <w:rsid w:val="00CA43FD"/>
    <w:rsid w:val="00CA625F"/>
    <w:rsid w:val="00CA6461"/>
    <w:rsid w:val="00CA7DFC"/>
    <w:rsid w:val="00CA7EF8"/>
    <w:rsid w:val="00CB39E1"/>
    <w:rsid w:val="00CB4A01"/>
    <w:rsid w:val="00CC489B"/>
    <w:rsid w:val="00CD2BCD"/>
    <w:rsid w:val="00CD2EAD"/>
    <w:rsid w:val="00CD3A4C"/>
    <w:rsid w:val="00CE10E9"/>
    <w:rsid w:val="00CE247D"/>
    <w:rsid w:val="00CE2910"/>
    <w:rsid w:val="00CE5393"/>
    <w:rsid w:val="00CF36BE"/>
    <w:rsid w:val="00CF46B7"/>
    <w:rsid w:val="00CF6000"/>
    <w:rsid w:val="00CF6216"/>
    <w:rsid w:val="00D003F3"/>
    <w:rsid w:val="00D0364F"/>
    <w:rsid w:val="00D04A80"/>
    <w:rsid w:val="00D06834"/>
    <w:rsid w:val="00D07ECE"/>
    <w:rsid w:val="00D127B9"/>
    <w:rsid w:val="00D22A9D"/>
    <w:rsid w:val="00D22C1A"/>
    <w:rsid w:val="00D23F87"/>
    <w:rsid w:val="00D267D4"/>
    <w:rsid w:val="00D277ED"/>
    <w:rsid w:val="00D308ED"/>
    <w:rsid w:val="00D324E3"/>
    <w:rsid w:val="00D34440"/>
    <w:rsid w:val="00D36D86"/>
    <w:rsid w:val="00D40B1B"/>
    <w:rsid w:val="00D42560"/>
    <w:rsid w:val="00D428AA"/>
    <w:rsid w:val="00D475E3"/>
    <w:rsid w:val="00D50A34"/>
    <w:rsid w:val="00D53EFA"/>
    <w:rsid w:val="00D57CE6"/>
    <w:rsid w:val="00D6407A"/>
    <w:rsid w:val="00D64D25"/>
    <w:rsid w:val="00D67824"/>
    <w:rsid w:val="00D70774"/>
    <w:rsid w:val="00D94A7C"/>
    <w:rsid w:val="00D94F3E"/>
    <w:rsid w:val="00D95896"/>
    <w:rsid w:val="00D979ED"/>
    <w:rsid w:val="00DA2D34"/>
    <w:rsid w:val="00DA59A9"/>
    <w:rsid w:val="00DB2983"/>
    <w:rsid w:val="00DB6429"/>
    <w:rsid w:val="00DB7FFD"/>
    <w:rsid w:val="00DC1257"/>
    <w:rsid w:val="00DC1E88"/>
    <w:rsid w:val="00DC2D22"/>
    <w:rsid w:val="00DC3DC0"/>
    <w:rsid w:val="00DC5B2B"/>
    <w:rsid w:val="00DD027B"/>
    <w:rsid w:val="00DD0A2D"/>
    <w:rsid w:val="00DD318D"/>
    <w:rsid w:val="00DE0A68"/>
    <w:rsid w:val="00DE0B8D"/>
    <w:rsid w:val="00DE401C"/>
    <w:rsid w:val="00DE4C58"/>
    <w:rsid w:val="00DE612E"/>
    <w:rsid w:val="00DE7566"/>
    <w:rsid w:val="00DF2E12"/>
    <w:rsid w:val="00DF514A"/>
    <w:rsid w:val="00DF6690"/>
    <w:rsid w:val="00DF6804"/>
    <w:rsid w:val="00E0358D"/>
    <w:rsid w:val="00E03B82"/>
    <w:rsid w:val="00E04323"/>
    <w:rsid w:val="00E04D06"/>
    <w:rsid w:val="00E070A2"/>
    <w:rsid w:val="00E13C4D"/>
    <w:rsid w:val="00E1648C"/>
    <w:rsid w:val="00E221AC"/>
    <w:rsid w:val="00E2656A"/>
    <w:rsid w:val="00E32D64"/>
    <w:rsid w:val="00E338E9"/>
    <w:rsid w:val="00E412D0"/>
    <w:rsid w:val="00E42B2E"/>
    <w:rsid w:val="00E453B9"/>
    <w:rsid w:val="00E45EFB"/>
    <w:rsid w:val="00E53D90"/>
    <w:rsid w:val="00E54CAD"/>
    <w:rsid w:val="00E56322"/>
    <w:rsid w:val="00E60982"/>
    <w:rsid w:val="00E62C62"/>
    <w:rsid w:val="00E64688"/>
    <w:rsid w:val="00E64B19"/>
    <w:rsid w:val="00E654C1"/>
    <w:rsid w:val="00E65D97"/>
    <w:rsid w:val="00E72A5A"/>
    <w:rsid w:val="00E72C47"/>
    <w:rsid w:val="00E73354"/>
    <w:rsid w:val="00E737FC"/>
    <w:rsid w:val="00E76432"/>
    <w:rsid w:val="00E81A47"/>
    <w:rsid w:val="00E865BC"/>
    <w:rsid w:val="00E87FC7"/>
    <w:rsid w:val="00E9242D"/>
    <w:rsid w:val="00EB4661"/>
    <w:rsid w:val="00EB4DF4"/>
    <w:rsid w:val="00EB5255"/>
    <w:rsid w:val="00EB5C47"/>
    <w:rsid w:val="00EC4FDA"/>
    <w:rsid w:val="00EC6189"/>
    <w:rsid w:val="00ED0639"/>
    <w:rsid w:val="00ED5B0C"/>
    <w:rsid w:val="00ED7674"/>
    <w:rsid w:val="00EE26C4"/>
    <w:rsid w:val="00EF1260"/>
    <w:rsid w:val="00EF4755"/>
    <w:rsid w:val="00EF7135"/>
    <w:rsid w:val="00F027DB"/>
    <w:rsid w:val="00F14A7A"/>
    <w:rsid w:val="00F16EA2"/>
    <w:rsid w:val="00F179EA"/>
    <w:rsid w:val="00F17FC8"/>
    <w:rsid w:val="00F22985"/>
    <w:rsid w:val="00F22B80"/>
    <w:rsid w:val="00F23B13"/>
    <w:rsid w:val="00F23D5E"/>
    <w:rsid w:val="00F31D69"/>
    <w:rsid w:val="00F337E6"/>
    <w:rsid w:val="00F3383E"/>
    <w:rsid w:val="00F42EC3"/>
    <w:rsid w:val="00F4505F"/>
    <w:rsid w:val="00F465A7"/>
    <w:rsid w:val="00F50B7C"/>
    <w:rsid w:val="00F54D5C"/>
    <w:rsid w:val="00F54E6E"/>
    <w:rsid w:val="00F550E6"/>
    <w:rsid w:val="00F60800"/>
    <w:rsid w:val="00F60A87"/>
    <w:rsid w:val="00F7030A"/>
    <w:rsid w:val="00F7254A"/>
    <w:rsid w:val="00F74345"/>
    <w:rsid w:val="00F75531"/>
    <w:rsid w:val="00F76493"/>
    <w:rsid w:val="00F80A0A"/>
    <w:rsid w:val="00F82B19"/>
    <w:rsid w:val="00F86185"/>
    <w:rsid w:val="00F9212D"/>
    <w:rsid w:val="00F93AC0"/>
    <w:rsid w:val="00F965DA"/>
    <w:rsid w:val="00F96D80"/>
    <w:rsid w:val="00FA406A"/>
    <w:rsid w:val="00FA5CBD"/>
    <w:rsid w:val="00FB0534"/>
    <w:rsid w:val="00FB09C4"/>
    <w:rsid w:val="00FB1348"/>
    <w:rsid w:val="00FB1F0E"/>
    <w:rsid w:val="00FB503A"/>
    <w:rsid w:val="00FB516C"/>
    <w:rsid w:val="00FC270F"/>
    <w:rsid w:val="00FC2F75"/>
    <w:rsid w:val="00FD0236"/>
    <w:rsid w:val="00FD18F4"/>
    <w:rsid w:val="00FD42C5"/>
    <w:rsid w:val="00FD5043"/>
    <w:rsid w:val="00FD54DB"/>
    <w:rsid w:val="00FD619F"/>
    <w:rsid w:val="00FE3131"/>
    <w:rsid w:val="00FF096C"/>
    <w:rsid w:val="00FF522F"/>
    <w:rsid w:val="011C593A"/>
    <w:rsid w:val="01290F7E"/>
    <w:rsid w:val="0135177F"/>
    <w:rsid w:val="015D1E09"/>
    <w:rsid w:val="01F106B4"/>
    <w:rsid w:val="01F43671"/>
    <w:rsid w:val="02697903"/>
    <w:rsid w:val="027D4F19"/>
    <w:rsid w:val="02DD1CB7"/>
    <w:rsid w:val="02F96569"/>
    <w:rsid w:val="03305D8B"/>
    <w:rsid w:val="035B5983"/>
    <w:rsid w:val="03D64AC1"/>
    <w:rsid w:val="03EA7B21"/>
    <w:rsid w:val="04C332CB"/>
    <w:rsid w:val="04CA786E"/>
    <w:rsid w:val="04CE09BF"/>
    <w:rsid w:val="04F25B43"/>
    <w:rsid w:val="04F35F8D"/>
    <w:rsid w:val="05080BAB"/>
    <w:rsid w:val="051C17AD"/>
    <w:rsid w:val="053F34B4"/>
    <w:rsid w:val="05877656"/>
    <w:rsid w:val="058A2C94"/>
    <w:rsid w:val="05984FAD"/>
    <w:rsid w:val="05A07316"/>
    <w:rsid w:val="05AF18F5"/>
    <w:rsid w:val="05F83EAE"/>
    <w:rsid w:val="05FA09D2"/>
    <w:rsid w:val="063E7D85"/>
    <w:rsid w:val="06B67D50"/>
    <w:rsid w:val="06C14BAE"/>
    <w:rsid w:val="07293586"/>
    <w:rsid w:val="07295285"/>
    <w:rsid w:val="072E4CA2"/>
    <w:rsid w:val="07636392"/>
    <w:rsid w:val="07770C56"/>
    <w:rsid w:val="077D5150"/>
    <w:rsid w:val="077E6546"/>
    <w:rsid w:val="07C40614"/>
    <w:rsid w:val="07CB65E4"/>
    <w:rsid w:val="07E16C1A"/>
    <w:rsid w:val="07E2241C"/>
    <w:rsid w:val="08133D07"/>
    <w:rsid w:val="0865674A"/>
    <w:rsid w:val="08FF44A9"/>
    <w:rsid w:val="09110AD0"/>
    <w:rsid w:val="091B2A8F"/>
    <w:rsid w:val="092217DD"/>
    <w:rsid w:val="09236CF2"/>
    <w:rsid w:val="093A7294"/>
    <w:rsid w:val="09E14FBB"/>
    <w:rsid w:val="09FF3906"/>
    <w:rsid w:val="0A0B54C6"/>
    <w:rsid w:val="0A127428"/>
    <w:rsid w:val="0A263993"/>
    <w:rsid w:val="0A2D3AC2"/>
    <w:rsid w:val="0A4F0446"/>
    <w:rsid w:val="0AA228A3"/>
    <w:rsid w:val="0AA47826"/>
    <w:rsid w:val="0AA755DF"/>
    <w:rsid w:val="0B120D44"/>
    <w:rsid w:val="0B460226"/>
    <w:rsid w:val="0B483FD9"/>
    <w:rsid w:val="0B815DB0"/>
    <w:rsid w:val="0B9A5905"/>
    <w:rsid w:val="0BD27BF6"/>
    <w:rsid w:val="0BD43C25"/>
    <w:rsid w:val="0C0C0E78"/>
    <w:rsid w:val="0C3B3C7D"/>
    <w:rsid w:val="0CA2346E"/>
    <w:rsid w:val="0CAB2EAE"/>
    <w:rsid w:val="0CC00482"/>
    <w:rsid w:val="0D1B2FAB"/>
    <w:rsid w:val="0D1E5ADA"/>
    <w:rsid w:val="0D2F1E54"/>
    <w:rsid w:val="0D3A3644"/>
    <w:rsid w:val="0D621C7D"/>
    <w:rsid w:val="0DBD10DE"/>
    <w:rsid w:val="0DE760D7"/>
    <w:rsid w:val="0E154DA9"/>
    <w:rsid w:val="0E385F94"/>
    <w:rsid w:val="0E492DA3"/>
    <w:rsid w:val="0E551437"/>
    <w:rsid w:val="0E73034D"/>
    <w:rsid w:val="0ECA15A6"/>
    <w:rsid w:val="0ED4418B"/>
    <w:rsid w:val="0F13775A"/>
    <w:rsid w:val="0F5F45FE"/>
    <w:rsid w:val="0F6D644F"/>
    <w:rsid w:val="0F743046"/>
    <w:rsid w:val="0F9A112B"/>
    <w:rsid w:val="0FE14357"/>
    <w:rsid w:val="102320B0"/>
    <w:rsid w:val="10330C98"/>
    <w:rsid w:val="106D2F64"/>
    <w:rsid w:val="10A033CA"/>
    <w:rsid w:val="10B63710"/>
    <w:rsid w:val="10F10820"/>
    <w:rsid w:val="111C2F7A"/>
    <w:rsid w:val="113175CC"/>
    <w:rsid w:val="113B44EC"/>
    <w:rsid w:val="11665CA1"/>
    <w:rsid w:val="11744302"/>
    <w:rsid w:val="11904838"/>
    <w:rsid w:val="119B1508"/>
    <w:rsid w:val="11A37CC3"/>
    <w:rsid w:val="11CA3E66"/>
    <w:rsid w:val="12013A7A"/>
    <w:rsid w:val="123E1FFD"/>
    <w:rsid w:val="12944402"/>
    <w:rsid w:val="12A25EC5"/>
    <w:rsid w:val="12B5576D"/>
    <w:rsid w:val="136B77FD"/>
    <w:rsid w:val="136F323E"/>
    <w:rsid w:val="13951726"/>
    <w:rsid w:val="13C95750"/>
    <w:rsid w:val="13CC5BF0"/>
    <w:rsid w:val="13D17662"/>
    <w:rsid w:val="13F81B30"/>
    <w:rsid w:val="14396509"/>
    <w:rsid w:val="14CE4274"/>
    <w:rsid w:val="14DD2C3C"/>
    <w:rsid w:val="14EC7C31"/>
    <w:rsid w:val="152559CC"/>
    <w:rsid w:val="153F7AE7"/>
    <w:rsid w:val="15880B8D"/>
    <w:rsid w:val="158B527A"/>
    <w:rsid w:val="15B16C9F"/>
    <w:rsid w:val="16087E1D"/>
    <w:rsid w:val="161709EF"/>
    <w:rsid w:val="167B7ABF"/>
    <w:rsid w:val="16B1013D"/>
    <w:rsid w:val="16C62AAA"/>
    <w:rsid w:val="170A0466"/>
    <w:rsid w:val="173C5AE0"/>
    <w:rsid w:val="17413AE4"/>
    <w:rsid w:val="17414292"/>
    <w:rsid w:val="17632A8C"/>
    <w:rsid w:val="17701D14"/>
    <w:rsid w:val="17735226"/>
    <w:rsid w:val="17AB6806"/>
    <w:rsid w:val="17CA5FF8"/>
    <w:rsid w:val="17D62E90"/>
    <w:rsid w:val="1805577A"/>
    <w:rsid w:val="183E619C"/>
    <w:rsid w:val="18687309"/>
    <w:rsid w:val="189F624C"/>
    <w:rsid w:val="18B104E7"/>
    <w:rsid w:val="18B83AE6"/>
    <w:rsid w:val="18BF0A3F"/>
    <w:rsid w:val="19024052"/>
    <w:rsid w:val="190C30E5"/>
    <w:rsid w:val="191A7CAC"/>
    <w:rsid w:val="1A1C66C0"/>
    <w:rsid w:val="1A404E45"/>
    <w:rsid w:val="1A42393B"/>
    <w:rsid w:val="1A5263A3"/>
    <w:rsid w:val="1AA71347"/>
    <w:rsid w:val="1AAD45DE"/>
    <w:rsid w:val="1ACC7295"/>
    <w:rsid w:val="1AFA5F53"/>
    <w:rsid w:val="1B046F80"/>
    <w:rsid w:val="1B3267B5"/>
    <w:rsid w:val="1B40161D"/>
    <w:rsid w:val="1B441859"/>
    <w:rsid w:val="1B481F26"/>
    <w:rsid w:val="1B5B565A"/>
    <w:rsid w:val="1B6606B1"/>
    <w:rsid w:val="1B72539F"/>
    <w:rsid w:val="1BD05396"/>
    <w:rsid w:val="1BD249CE"/>
    <w:rsid w:val="1BDC2147"/>
    <w:rsid w:val="1C5E7925"/>
    <w:rsid w:val="1C8566BC"/>
    <w:rsid w:val="1CE56E0B"/>
    <w:rsid w:val="1CFD070F"/>
    <w:rsid w:val="1D5C31FA"/>
    <w:rsid w:val="1D5F6196"/>
    <w:rsid w:val="1D6132A5"/>
    <w:rsid w:val="1D725F2A"/>
    <w:rsid w:val="1D8E56D5"/>
    <w:rsid w:val="1E7A43DA"/>
    <w:rsid w:val="1E98390A"/>
    <w:rsid w:val="1F133EDF"/>
    <w:rsid w:val="1F1876C5"/>
    <w:rsid w:val="1F254FF4"/>
    <w:rsid w:val="1F440803"/>
    <w:rsid w:val="1F7E63CC"/>
    <w:rsid w:val="1F8A5A67"/>
    <w:rsid w:val="1FA734E6"/>
    <w:rsid w:val="1FB16970"/>
    <w:rsid w:val="1FC2434A"/>
    <w:rsid w:val="1FDE52A4"/>
    <w:rsid w:val="1FE7539E"/>
    <w:rsid w:val="2039045D"/>
    <w:rsid w:val="20617700"/>
    <w:rsid w:val="20671BE0"/>
    <w:rsid w:val="208E7BB0"/>
    <w:rsid w:val="2093300B"/>
    <w:rsid w:val="20963CB8"/>
    <w:rsid w:val="209B011B"/>
    <w:rsid w:val="20A81A1B"/>
    <w:rsid w:val="20B07FB6"/>
    <w:rsid w:val="20B646FB"/>
    <w:rsid w:val="20C04AB1"/>
    <w:rsid w:val="21174A61"/>
    <w:rsid w:val="213B67A5"/>
    <w:rsid w:val="213B74B1"/>
    <w:rsid w:val="215A2310"/>
    <w:rsid w:val="21DD184A"/>
    <w:rsid w:val="21DE318A"/>
    <w:rsid w:val="21EF5B80"/>
    <w:rsid w:val="22576990"/>
    <w:rsid w:val="226304E5"/>
    <w:rsid w:val="226532D0"/>
    <w:rsid w:val="2296234A"/>
    <w:rsid w:val="22E10EE8"/>
    <w:rsid w:val="22F47480"/>
    <w:rsid w:val="23DE1C48"/>
    <w:rsid w:val="23E74DA8"/>
    <w:rsid w:val="240210CD"/>
    <w:rsid w:val="24685122"/>
    <w:rsid w:val="246F471C"/>
    <w:rsid w:val="24745202"/>
    <w:rsid w:val="24BF09F7"/>
    <w:rsid w:val="2524407E"/>
    <w:rsid w:val="252D53FE"/>
    <w:rsid w:val="257230E8"/>
    <w:rsid w:val="25E56161"/>
    <w:rsid w:val="25EC2D81"/>
    <w:rsid w:val="26065FFA"/>
    <w:rsid w:val="262F2ACD"/>
    <w:rsid w:val="26345D18"/>
    <w:rsid w:val="26505DCF"/>
    <w:rsid w:val="265B7EE1"/>
    <w:rsid w:val="267228AD"/>
    <w:rsid w:val="269D7B10"/>
    <w:rsid w:val="26BF00C6"/>
    <w:rsid w:val="26E864D7"/>
    <w:rsid w:val="26FC7D68"/>
    <w:rsid w:val="277057A2"/>
    <w:rsid w:val="27A94D9E"/>
    <w:rsid w:val="27C45A6D"/>
    <w:rsid w:val="27FB7C2B"/>
    <w:rsid w:val="286B64FE"/>
    <w:rsid w:val="286E1A3B"/>
    <w:rsid w:val="28755149"/>
    <w:rsid w:val="28D50799"/>
    <w:rsid w:val="29206EB8"/>
    <w:rsid w:val="293025A6"/>
    <w:rsid w:val="293957AA"/>
    <w:rsid w:val="29595666"/>
    <w:rsid w:val="295F4310"/>
    <w:rsid w:val="296A36AE"/>
    <w:rsid w:val="296F2D3A"/>
    <w:rsid w:val="298348A6"/>
    <w:rsid w:val="29874881"/>
    <w:rsid w:val="2987790A"/>
    <w:rsid w:val="29E325E0"/>
    <w:rsid w:val="29EA458F"/>
    <w:rsid w:val="2A0F2CAE"/>
    <w:rsid w:val="2A1627EE"/>
    <w:rsid w:val="2A452503"/>
    <w:rsid w:val="2A8D0167"/>
    <w:rsid w:val="2AAD593C"/>
    <w:rsid w:val="2AD9711A"/>
    <w:rsid w:val="2B436C87"/>
    <w:rsid w:val="2B65427E"/>
    <w:rsid w:val="2BA936A8"/>
    <w:rsid w:val="2C315A5A"/>
    <w:rsid w:val="2C4B1C25"/>
    <w:rsid w:val="2D917810"/>
    <w:rsid w:val="2D9E56F5"/>
    <w:rsid w:val="2E0E25D5"/>
    <w:rsid w:val="2E667F96"/>
    <w:rsid w:val="2E8226AB"/>
    <w:rsid w:val="2EA633D6"/>
    <w:rsid w:val="2EE41DA7"/>
    <w:rsid w:val="2F3330C6"/>
    <w:rsid w:val="2F810E62"/>
    <w:rsid w:val="2FBF181A"/>
    <w:rsid w:val="2FD065E6"/>
    <w:rsid w:val="2FD96870"/>
    <w:rsid w:val="30580BC9"/>
    <w:rsid w:val="306C3018"/>
    <w:rsid w:val="307612AA"/>
    <w:rsid w:val="311E2ED7"/>
    <w:rsid w:val="315619EE"/>
    <w:rsid w:val="315C449C"/>
    <w:rsid w:val="317D51E5"/>
    <w:rsid w:val="31B82709"/>
    <w:rsid w:val="31CE162F"/>
    <w:rsid w:val="31D05482"/>
    <w:rsid w:val="3211756E"/>
    <w:rsid w:val="32400B34"/>
    <w:rsid w:val="324256AD"/>
    <w:rsid w:val="329D60E6"/>
    <w:rsid w:val="329E6876"/>
    <w:rsid w:val="32D51642"/>
    <w:rsid w:val="32E92299"/>
    <w:rsid w:val="333015F2"/>
    <w:rsid w:val="334B6320"/>
    <w:rsid w:val="33911388"/>
    <w:rsid w:val="33C90BB5"/>
    <w:rsid w:val="33CE05B0"/>
    <w:rsid w:val="33D934D4"/>
    <w:rsid w:val="33E9557F"/>
    <w:rsid w:val="33FE2F6A"/>
    <w:rsid w:val="34096F5B"/>
    <w:rsid w:val="340E07E5"/>
    <w:rsid w:val="34142C4F"/>
    <w:rsid w:val="34235BF7"/>
    <w:rsid w:val="347F7024"/>
    <w:rsid w:val="34800070"/>
    <w:rsid w:val="348F7D3B"/>
    <w:rsid w:val="35445D57"/>
    <w:rsid w:val="35726A05"/>
    <w:rsid w:val="358C5FA8"/>
    <w:rsid w:val="358E23E7"/>
    <w:rsid w:val="35C15DF1"/>
    <w:rsid w:val="36074A7F"/>
    <w:rsid w:val="36923549"/>
    <w:rsid w:val="36B75FBF"/>
    <w:rsid w:val="36BD0C45"/>
    <w:rsid w:val="376C3D17"/>
    <w:rsid w:val="37E00298"/>
    <w:rsid w:val="37E94B2B"/>
    <w:rsid w:val="38416C9E"/>
    <w:rsid w:val="384646F5"/>
    <w:rsid w:val="384F3137"/>
    <w:rsid w:val="38907FBA"/>
    <w:rsid w:val="38B302F9"/>
    <w:rsid w:val="38F12CD3"/>
    <w:rsid w:val="38F94775"/>
    <w:rsid w:val="390A6214"/>
    <w:rsid w:val="39254EBF"/>
    <w:rsid w:val="392971ED"/>
    <w:rsid w:val="39325651"/>
    <w:rsid w:val="399D4EAB"/>
    <w:rsid w:val="3A0B2756"/>
    <w:rsid w:val="3A872856"/>
    <w:rsid w:val="3A945EA4"/>
    <w:rsid w:val="3AE0240A"/>
    <w:rsid w:val="3AF52AB2"/>
    <w:rsid w:val="3B1D171C"/>
    <w:rsid w:val="3B2C3745"/>
    <w:rsid w:val="3B3763D1"/>
    <w:rsid w:val="3B7D31C1"/>
    <w:rsid w:val="3BB035B5"/>
    <w:rsid w:val="3BBE3E2F"/>
    <w:rsid w:val="3BED3921"/>
    <w:rsid w:val="3C045AB2"/>
    <w:rsid w:val="3C2F6E1E"/>
    <w:rsid w:val="3C3C7B65"/>
    <w:rsid w:val="3C4F64BA"/>
    <w:rsid w:val="3C880819"/>
    <w:rsid w:val="3CDA245A"/>
    <w:rsid w:val="3D1E06B7"/>
    <w:rsid w:val="3E1517B1"/>
    <w:rsid w:val="3E1975B3"/>
    <w:rsid w:val="3E1F15CD"/>
    <w:rsid w:val="3ED47AE4"/>
    <w:rsid w:val="3EDA0523"/>
    <w:rsid w:val="3F4B0A36"/>
    <w:rsid w:val="3F685AF2"/>
    <w:rsid w:val="3F750548"/>
    <w:rsid w:val="3F7C2C24"/>
    <w:rsid w:val="3FB93989"/>
    <w:rsid w:val="3FFB4B03"/>
    <w:rsid w:val="40380EFA"/>
    <w:rsid w:val="40503966"/>
    <w:rsid w:val="407A6407"/>
    <w:rsid w:val="409F61EC"/>
    <w:rsid w:val="40DD11ED"/>
    <w:rsid w:val="411E338D"/>
    <w:rsid w:val="41292B6E"/>
    <w:rsid w:val="417E20DE"/>
    <w:rsid w:val="41B03C55"/>
    <w:rsid w:val="41C62240"/>
    <w:rsid w:val="41DE26B8"/>
    <w:rsid w:val="4200449D"/>
    <w:rsid w:val="42231DFF"/>
    <w:rsid w:val="423A3BCC"/>
    <w:rsid w:val="424D1746"/>
    <w:rsid w:val="424E57D2"/>
    <w:rsid w:val="426C518D"/>
    <w:rsid w:val="42B26C49"/>
    <w:rsid w:val="42CB0B2F"/>
    <w:rsid w:val="43074A8F"/>
    <w:rsid w:val="432F0EB6"/>
    <w:rsid w:val="433A6FE6"/>
    <w:rsid w:val="43480868"/>
    <w:rsid w:val="4350713C"/>
    <w:rsid w:val="436653E0"/>
    <w:rsid w:val="43706C03"/>
    <w:rsid w:val="439D0DD2"/>
    <w:rsid w:val="43BA1D1D"/>
    <w:rsid w:val="43C4431A"/>
    <w:rsid w:val="43EF7E44"/>
    <w:rsid w:val="442206EC"/>
    <w:rsid w:val="443620D0"/>
    <w:rsid w:val="445B3457"/>
    <w:rsid w:val="44893566"/>
    <w:rsid w:val="44B951CC"/>
    <w:rsid w:val="44CD14E0"/>
    <w:rsid w:val="44E73FA1"/>
    <w:rsid w:val="44E90FA1"/>
    <w:rsid w:val="44F20B0B"/>
    <w:rsid w:val="45212D7B"/>
    <w:rsid w:val="452E5F4C"/>
    <w:rsid w:val="455F609B"/>
    <w:rsid w:val="45612018"/>
    <w:rsid w:val="458946E9"/>
    <w:rsid w:val="45A47C0E"/>
    <w:rsid w:val="45BA5EDA"/>
    <w:rsid w:val="45C70325"/>
    <w:rsid w:val="46180798"/>
    <w:rsid w:val="46577FD6"/>
    <w:rsid w:val="466377EA"/>
    <w:rsid w:val="46AA140B"/>
    <w:rsid w:val="46D955A7"/>
    <w:rsid w:val="47133957"/>
    <w:rsid w:val="477A421B"/>
    <w:rsid w:val="47A07E0C"/>
    <w:rsid w:val="47B87DEB"/>
    <w:rsid w:val="48636766"/>
    <w:rsid w:val="4870272E"/>
    <w:rsid w:val="49084A1B"/>
    <w:rsid w:val="49144575"/>
    <w:rsid w:val="497121B4"/>
    <w:rsid w:val="49DC7715"/>
    <w:rsid w:val="49F743F4"/>
    <w:rsid w:val="4A023139"/>
    <w:rsid w:val="4A590D12"/>
    <w:rsid w:val="4A7B576F"/>
    <w:rsid w:val="4A933644"/>
    <w:rsid w:val="4A961107"/>
    <w:rsid w:val="4AA2402F"/>
    <w:rsid w:val="4AE56297"/>
    <w:rsid w:val="4AF561A9"/>
    <w:rsid w:val="4B522887"/>
    <w:rsid w:val="4BAB54E3"/>
    <w:rsid w:val="4BF602FB"/>
    <w:rsid w:val="4C2A60AB"/>
    <w:rsid w:val="4C4A0649"/>
    <w:rsid w:val="4C7E5ECA"/>
    <w:rsid w:val="4C876AA5"/>
    <w:rsid w:val="4C9D01AC"/>
    <w:rsid w:val="4CB6269D"/>
    <w:rsid w:val="4CDD5030"/>
    <w:rsid w:val="4D0E00FB"/>
    <w:rsid w:val="4D155616"/>
    <w:rsid w:val="4D176606"/>
    <w:rsid w:val="4D3A6F7A"/>
    <w:rsid w:val="4D796D9C"/>
    <w:rsid w:val="4D801D1C"/>
    <w:rsid w:val="4DA8083F"/>
    <w:rsid w:val="4DC344F9"/>
    <w:rsid w:val="4DDE0023"/>
    <w:rsid w:val="4DEC4FB0"/>
    <w:rsid w:val="4E075D8A"/>
    <w:rsid w:val="4E412682"/>
    <w:rsid w:val="4E557394"/>
    <w:rsid w:val="4E584318"/>
    <w:rsid w:val="4E63489D"/>
    <w:rsid w:val="4E7D7A8E"/>
    <w:rsid w:val="4E962449"/>
    <w:rsid w:val="4EAD7AD0"/>
    <w:rsid w:val="4EC00FAD"/>
    <w:rsid w:val="4EDD706F"/>
    <w:rsid w:val="4F2B5878"/>
    <w:rsid w:val="4F705701"/>
    <w:rsid w:val="4F9843DC"/>
    <w:rsid w:val="4FC62A8C"/>
    <w:rsid w:val="4FDF1F0B"/>
    <w:rsid w:val="4FE20F0D"/>
    <w:rsid w:val="4FE51552"/>
    <w:rsid w:val="4FE85264"/>
    <w:rsid w:val="500D4700"/>
    <w:rsid w:val="50504C4B"/>
    <w:rsid w:val="50582493"/>
    <w:rsid w:val="508B30F4"/>
    <w:rsid w:val="509C6E7C"/>
    <w:rsid w:val="50A02899"/>
    <w:rsid w:val="51032126"/>
    <w:rsid w:val="51070644"/>
    <w:rsid w:val="513B3A49"/>
    <w:rsid w:val="5142465A"/>
    <w:rsid w:val="5162104E"/>
    <w:rsid w:val="51C629C6"/>
    <w:rsid w:val="525F039F"/>
    <w:rsid w:val="5329065C"/>
    <w:rsid w:val="535E09A0"/>
    <w:rsid w:val="5376685D"/>
    <w:rsid w:val="53A039CC"/>
    <w:rsid w:val="53A1505A"/>
    <w:rsid w:val="53A21820"/>
    <w:rsid w:val="54063E08"/>
    <w:rsid w:val="543437E8"/>
    <w:rsid w:val="54991572"/>
    <w:rsid w:val="54E42220"/>
    <w:rsid w:val="54F73313"/>
    <w:rsid w:val="54F80955"/>
    <w:rsid w:val="54FD5B99"/>
    <w:rsid w:val="555170A7"/>
    <w:rsid w:val="55627BDE"/>
    <w:rsid w:val="556C5292"/>
    <w:rsid w:val="5587536D"/>
    <w:rsid w:val="559B174B"/>
    <w:rsid w:val="55CE0CF4"/>
    <w:rsid w:val="56715348"/>
    <w:rsid w:val="567E5268"/>
    <w:rsid w:val="56A76499"/>
    <w:rsid w:val="56AF2C1F"/>
    <w:rsid w:val="56B22A9C"/>
    <w:rsid w:val="57087816"/>
    <w:rsid w:val="57624FC1"/>
    <w:rsid w:val="57B72A76"/>
    <w:rsid w:val="57C3426C"/>
    <w:rsid w:val="57CE1F93"/>
    <w:rsid w:val="57D70770"/>
    <w:rsid w:val="583B40A0"/>
    <w:rsid w:val="5859008C"/>
    <w:rsid w:val="588743D1"/>
    <w:rsid w:val="5887701A"/>
    <w:rsid w:val="58DA019B"/>
    <w:rsid w:val="58E701E7"/>
    <w:rsid w:val="59851738"/>
    <w:rsid w:val="59C0439F"/>
    <w:rsid w:val="59C9708F"/>
    <w:rsid w:val="5A3478C8"/>
    <w:rsid w:val="5A4724EA"/>
    <w:rsid w:val="5AA458AB"/>
    <w:rsid w:val="5ABE2233"/>
    <w:rsid w:val="5AC13D5C"/>
    <w:rsid w:val="5B30714B"/>
    <w:rsid w:val="5B547E6D"/>
    <w:rsid w:val="5B7B6985"/>
    <w:rsid w:val="5BD323FC"/>
    <w:rsid w:val="5BD81341"/>
    <w:rsid w:val="5BDF5D95"/>
    <w:rsid w:val="5BFE7528"/>
    <w:rsid w:val="5C132B9D"/>
    <w:rsid w:val="5C284FDE"/>
    <w:rsid w:val="5CB92DAE"/>
    <w:rsid w:val="5CDE7D67"/>
    <w:rsid w:val="5D0938D9"/>
    <w:rsid w:val="5D266025"/>
    <w:rsid w:val="5D5B7B1C"/>
    <w:rsid w:val="5D610403"/>
    <w:rsid w:val="5D886ECF"/>
    <w:rsid w:val="5DAF7AA2"/>
    <w:rsid w:val="5DBE1AF3"/>
    <w:rsid w:val="5DFB2336"/>
    <w:rsid w:val="5E0F43F7"/>
    <w:rsid w:val="5E2467F1"/>
    <w:rsid w:val="5E375CA2"/>
    <w:rsid w:val="5E49471D"/>
    <w:rsid w:val="5E567302"/>
    <w:rsid w:val="5E6A579E"/>
    <w:rsid w:val="5E812E6C"/>
    <w:rsid w:val="5E8A74E6"/>
    <w:rsid w:val="5E9E0416"/>
    <w:rsid w:val="5F185629"/>
    <w:rsid w:val="5F1A2B43"/>
    <w:rsid w:val="5FB837BB"/>
    <w:rsid w:val="5FF35BE2"/>
    <w:rsid w:val="60BF0EE4"/>
    <w:rsid w:val="60CC405A"/>
    <w:rsid w:val="60E41FCA"/>
    <w:rsid w:val="610F2343"/>
    <w:rsid w:val="61D871E6"/>
    <w:rsid w:val="61E215D8"/>
    <w:rsid w:val="61E655E2"/>
    <w:rsid w:val="621B3775"/>
    <w:rsid w:val="621D4782"/>
    <w:rsid w:val="62364782"/>
    <w:rsid w:val="625B0BF5"/>
    <w:rsid w:val="625D412A"/>
    <w:rsid w:val="62984488"/>
    <w:rsid w:val="629A7E4C"/>
    <w:rsid w:val="631A6FFF"/>
    <w:rsid w:val="636C51B8"/>
    <w:rsid w:val="6394356A"/>
    <w:rsid w:val="63BD31A6"/>
    <w:rsid w:val="63C61B2C"/>
    <w:rsid w:val="63D40BE9"/>
    <w:rsid w:val="64102431"/>
    <w:rsid w:val="644A7EBE"/>
    <w:rsid w:val="64A5243A"/>
    <w:rsid w:val="64CE73C6"/>
    <w:rsid w:val="64D91FCC"/>
    <w:rsid w:val="64F531DE"/>
    <w:rsid w:val="65373578"/>
    <w:rsid w:val="655825B1"/>
    <w:rsid w:val="655A6249"/>
    <w:rsid w:val="657E7914"/>
    <w:rsid w:val="66382E17"/>
    <w:rsid w:val="667953EA"/>
    <w:rsid w:val="668A6021"/>
    <w:rsid w:val="66C31F2E"/>
    <w:rsid w:val="6712276E"/>
    <w:rsid w:val="671F124A"/>
    <w:rsid w:val="67376E9B"/>
    <w:rsid w:val="675F1641"/>
    <w:rsid w:val="677A33C6"/>
    <w:rsid w:val="67BC6A6D"/>
    <w:rsid w:val="67DF13AC"/>
    <w:rsid w:val="67E3597E"/>
    <w:rsid w:val="67E55C7B"/>
    <w:rsid w:val="681F6961"/>
    <w:rsid w:val="68610A2F"/>
    <w:rsid w:val="68656DB4"/>
    <w:rsid w:val="68805514"/>
    <w:rsid w:val="68AE3991"/>
    <w:rsid w:val="68D85AB4"/>
    <w:rsid w:val="68DC68B5"/>
    <w:rsid w:val="69316E2F"/>
    <w:rsid w:val="694E2071"/>
    <w:rsid w:val="695E78B1"/>
    <w:rsid w:val="69766163"/>
    <w:rsid w:val="697A3B33"/>
    <w:rsid w:val="699979B3"/>
    <w:rsid w:val="69D44760"/>
    <w:rsid w:val="6A3F5A25"/>
    <w:rsid w:val="6A520EC7"/>
    <w:rsid w:val="6A564E8E"/>
    <w:rsid w:val="6AF87E20"/>
    <w:rsid w:val="6B0D2A2B"/>
    <w:rsid w:val="6B2E7C6D"/>
    <w:rsid w:val="6B322639"/>
    <w:rsid w:val="6BE63DEF"/>
    <w:rsid w:val="6BED5F8E"/>
    <w:rsid w:val="6C41778E"/>
    <w:rsid w:val="6C5E306F"/>
    <w:rsid w:val="6C636C38"/>
    <w:rsid w:val="6C7B2180"/>
    <w:rsid w:val="6C94302D"/>
    <w:rsid w:val="6CEA3A0D"/>
    <w:rsid w:val="6D637130"/>
    <w:rsid w:val="6D7745E9"/>
    <w:rsid w:val="6D927EED"/>
    <w:rsid w:val="6DA61D34"/>
    <w:rsid w:val="6DB34098"/>
    <w:rsid w:val="6DB545B6"/>
    <w:rsid w:val="6DCE31F6"/>
    <w:rsid w:val="6DE02FB4"/>
    <w:rsid w:val="6DE70AE6"/>
    <w:rsid w:val="6E1C6B64"/>
    <w:rsid w:val="6E514CED"/>
    <w:rsid w:val="6E530E06"/>
    <w:rsid w:val="6E71760E"/>
    <w:rsid w:val="6EA44C89"/>
    <w:rsid w:val="6EB563D5"/>
    <w:rsid w:val="6EC54667"/>
    <w:rsid w:val="6ECF3EEA"/>
    <w:rsid w:val="6ED92677"/>
    <w:rsid w:val="6EF020F4"/>
    <w:rsid w:val="6F225983"/>
    <w:rsid w:val="6F8742B0"/>
    <w:rsid w:val="6FFC5590"/>
    <w:rsid w:val="700C7E38"/>
    <w:rsid w:val="706D1DD0"/>
    <w:rsid w:val="707B295E"/>
    <w:rsid w:val="70856B87"/>
    <w:rsid w:val="70B51F12"/>
    <w:rsid w:val="70D527EE"/>
    <w:rsid w:val="712A335B"/>
    <w:rsid w:val="715B5300"/>
    <w:rsid w:val="71973718"/>
    <w:rsid w:val="71CF2BD4"/>
    <w:rsid w:val="71D27F8A"/>
    <w:rsid w:val="71D3265D"/>
    <w:rsid w:val="71E60117"/>
    <w:rsid w:val="722C146B"/>
    <w:rsid w:val="72346406"/>
    <w:rsid w:val="72470F28"/>
    <w:rsid w:val="72553024"/>
    <w:rsid w:val="7289632B"/>
    <w:rsid w:val="72DE3255"/>
    <w:rsid w:val="73122968"/>
    <w:rsid w:val="731F5D5E"/>
    <w:rsid w:val="732754E7"/>
    <w:rsid w:val="734B3B1D"/>
    <w:rsid w:val="7385165A"/>
    <w:rsid w:val="73AF6929"/>
    <w:rsid w:val="73C51AD5"/>
    <w:rsid w:val="73F6111A"/>
    <w:rsid w:val="740A1B68"/>
    <w:rsid w:val="741E793C"/>
    <w:rsid w:val="74513A22"/>
    <w:rsid w:val="745E3944"/>
    <w:rsid w:val="746D0005"/>
    <w:rsid w:val="755119C8"/>
    <w:rsid w:val="75FD3DEF"/>
    <w:rsid w:val="7635099D"/>
    <w:rsid w:val="76A7694A"/>
    <w:rsid w:val="76E85E1C"/>
    <w:rsid w:val="7713430A"/>
    <w:rsid w:val="77253073"/>
    <w:rsid w:val="775A27E6"/>
    <w:rsid w:val="77762421"/>
    <w:rsid w:val="77B56B1F"/>
    <w:rsid w:val="780F09F4"/>
    <w:rsid w:val="78A04A58"/>
    <w:rsid w:val="78A90480"/>
    <w:rsid w:val="78FC4628"/>
    <w:rsid w:val="79183801"/>
    <w:rsid w:val="79297363"/>
    <w:rsid w:val="793D1AA3"/>
    <w:rsid w:val="79BF1AF1"/>
    <w:rsid w:val="7A1C58E2"/>
    <w:rsid w:val="7A364017"/>
    <w:rsid w:val="7A377F43"/>
    <w:rsid w:val="7A637029"/>
    <w:rsid w:val="7A8265E1"/>
    <w:rsid w:val="7ABF6645"/>
    <w:rsid w:val="7B02762A"/>
    <w:rsid w:val="7B3B27FC"/>
    <w:rsid w:val="7B5E1EE9"/>
    <w:rsid w:val="7B617E87"/>
    <w:rsid w:val="7B686D42"/>
    <w:rsid w:val="7B713851"/>
    <w:rsid w:val="7B746200"/>
    <w:rsid w:val="7B752D74"/>
    <w:rsid w:val="7B841746"/>
    <w:rsid w:val="7B841759"/>
    <w:rsid w:val="7B906B4F"/>
    <w:rsid w:val="7BF44E7D"/>
    <w:rsid w:val="7BF74844"/>
    <w:rsid w:val="7C6C5AC7"/>
    <w:rsid w:val="7CC6544B"/>
    <w:rsid w:val="7CDE13D9"/>
    <w:rsid w:val="7CFB2948"/>
    <w:rsid w:val="7D0239FF"/>
    <w:rsid w:val="7D3B4243"/>
    <w:rsid w:val="7D5E40CD"/>
    <w:rsid w:val="7D874ABB"/>
    <w:rsid w:val="7DB1236D"/>
    <w:rsid w:val="7DBD13BE"/>
    <w:rsid w:val="7DCD56F2"/>
    <w:rsid w:val="7E6F2E69"/>
    <w:rsid w:val="7E7A7D18"/>
    <w:rsid w:val="7E8D2DAF"/>
    <w:rsid w:val="7EAB548B"/>
    <w:rsid w:val="7EB940ED"/>
    <w:rsid w:val="7F001CE7"/>
    <w:rsid w:val="7F1079D9"/>
    <w:rsid w:val="7F2F1368"/>
    <w:rsid w:val="7F4968B2"/>
    <w:rsid w:val="7F6966F8"/>
    <w:rsid w:val="7FE3216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3"/>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locked/>
    <w:uiPriority w:val="0"/>
    <w:pPr>
      <w:ind w:firstLine="420" w:firstLineChars="200"/>
    </w:pPr>
    <w:rPr>
      <w:szCs w:val="20"/>
    </w:rPr>
  </w:style>
  <w:style w:type="paragraph" w:styleId="7">
    <w:name w:val="annotation text"/>
    <w:basedOn w:val="1"/>
    <w:link w:val="34"/>
    <w:semiHidden/>
    <w:qFormat/>
    <w:uiPriority w:val="0"/>
    <w:pPr>
      <w:jc w:val="left"/>
    </w:pPr>
    <w:rPr>
      <w:kern w:val="0"/>
      <w:sz w:val="24"/>
      <w:szCs w:val="20"/>
    </w:rPr>
  </w:style>
  <w:style w:type="paragraph" w:styleId="8">
    <w:name w:val="Body Text"/>
    <w:basedOn w:val="1"/>
    <w:next w:val="9"/>
    <w:link w:val="35"/>
    <w:qFormat/>
    <w:uiPriority w:val="0"/>
    <w:pPr>
      <w:widowControl/>
      <w:snapToGrid w:val="0"/>
      <w:spacing w:before="60" w:after="160" w:line="259" w:lineRule="auto"/>
      <w:ind w:right="113"/>
    </w:pPr>
    <w:rPr>
      <w:kern w:val="0"/>
      <w:sz w:val="18"/>
      <w:szCs w:val="20"/>
    </w:rPr>
  </w:style>
  <w:style w:type="paragraph" w:styleId="9">
    <w:name w:val="List Bullet 5"/>
    <w:basedOn w:val="1"/>
    <w:qFormat/>
    <w:locked/>
    <w:uiPriority w:val="0"/>
    <w:pPr>
      <w:numPr>
        <w:ilvl w:val="0"/>
        <w:numId w:val="1"/>
      </w:numPr>
    </w:pPr>
  </w:style>
  <w:style w:type="paragraph" w:styleId="10">
    <w:name w:val="Body Text Indent"/>
    <w:basedOn w:val="1"/>
    <w:link w:val="36"/>
    <w:qFormat/>
    <w:uiPriority w:val="0"/>
    <w:pPr>
      <w:spacing w:after="120"/>
      <w:ind w:left="420" w:leftChars="200"/>
    </w:pPr>
    <w:rPr>
      <w:kern w:val="0"/>
      <w:sz w:val="24"/>
      <w:szCs w:val="20"/>
    </w:rPr>
  </w:style>
  <w:style w:type="paragraph" w:styleId="11">
    <w:name w:val="Plain Text"/>
    <w:basedOn w:val="1"/>
    <w:qFormat/>
    <w:locked/>
    <w:uiPriority w:val="0"/>
    <w:rPr>
      <w:rFonts w:ascii="宋体" w:hAnsi="Courier New" w:eastAsia="仿宋_GB2312"/>
      <w:sz w:val="28"/>
    </w:rPr>
  </w:style>
  <w:style w:type="paragraph" w:styleId="12">
    <w:name w:val="Date"/>
    <w:basedOn w:val="1"/>
    <w:next w:val="1"/>
    <w:link w:val="37"/>
    <w:qFormat/>
    <w:uiPriority w:val="0"/>
    <w:pPr>
      <w:ind w:left="100" w:leftChars="2500"/>
    </w:pPr>
    <w:rPr>
      <w:kern w:val="0"/>
      <w:sz w:val="24"/>
      <w:szCs w:val="20"/>
    </w:rPr>
  </w:style>
  <w:style w:type="paragraph" w:styleId="13">
    <w:name w:val="Body Text Indent 2"/>
    <w:basedOn w:val="1"/>
    <w:next w:val="14"/>
    <w:qFormat/>
    <w:locked/>
    <w:uiPriority w:val="0"/>
    <w:pPr>
      <w:spacing w:after="120" w:line="480" w:lineRule="auto"/>
      <w:ind w:left="420" w:leftChars="200"/>
    </w:pPr>
    <w:rPr>
      <w:szCs w:val="24"/>
    </w:rPr>
  </w:style>
  <w:style w:type="paragraph" w:styleId="14">
    <w:name w:val="Body Text First Indent 2"/>
    <w:basedOn w:val="10"/>
    <w:next w:val="1"/>
    <w:qFormat/>
    <w:locked/>
    <w:uiPriority w:val="0"/>
    <w:pPr>
      <w:spacing w:after="120" w:line="240" w:lineRule="auto"/>
      <w:ind w:left="420" w:leftChars="200" w:firstLine="420" w:firstLineChars="200"/>
    </w:pPr>
    <w:rPr>
      <w:sz w:val="21"/>
      <w:szCs w:val="24"/>
    </w:rPr>
  </w:style>
  <w:style w:type="paragraph" w:styleId="15">
    <w:name w:val="Balloon Text"/>
    <w:basedOn w:val="1"/>
    <w:link w:val="38"/>
    <w:semiHidden/>
    <w:qFormat/>
    <w:uiPriority w:val="0"/>
    <w:rPr>
      <w:kern w:val="0"/>
      <w:sz w:val="18"/>
      <w:szCs w:val="20"/>
    </w:rPr>
  </w:style>
  <w:style w:type="paragraph" w:styleId="16">
    <w:name w:val="footer"/>
    <w:basedOn w:val="1"/>
    <w:link w:val="43"/>
    <w:qFormat/>
    <w:uiPriority w:val="99"/>
    <w:pPr>
      <w:tabs>
        <w:tab w:val="center" w:pos="4153"/>
        <w:tab w:val="right" w:pos="8306"/>
      </w:tabs>
      <w:snapToGrid w:val="0"/>
      <w:jc w:val="left"/>
    </w:pPr>
    <w:rPr>
      <w:kern w:val="0"/>
      <w:sz w:val="18"/>
      <w:szCs w:val="20"/>
    </w:rPr>
  </w:style>
  <w:style w:type="paragraph" w:styleId="17">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qFormat/>
    <w:locked/>
    <w:uiPriority w:val="0"/>
    <w:pPr>
      <w:spacing w:line="360" w:lineRule="exact"/>
      <w:jc w:val="center"/>
    </w:pPr>
    <w:rPr>
      <w:rFonts w:ascii="仿宋_GB2312" w:eastAsia="仿宋_GB2312" w:cs="仿宋_GB2312"/>
      <w:sz w:val="24"/>
    </w:rPr>
  </w:style>
  <w:style w:type="paragraph" w:styleId="19">
    <w:name w:val="table of figures"/>
    <w:basedOn w:val="1"/>
    <w:next w:val="1"/>
    <w:semiHidden/>
    <w:qFormat/>
    <w:locked/>
    <w:uiPriority w:val="0"/>
    <w:pPr>
      <w:spacing w:after="120" w:line="500" w:lineRule="exact"/>
      <w:jc w:val="center"/>
    </w:pPr>
    <w:rPr>
      <w:rFonts w:ascii="仿宋_GB2312" w:eastAsia="仿宋_GB2312"/>
      <w:sz w:val="28"/>
    </w:rPr>
  </w:style>
  <w:style w:type="paragraph" w:styleId="20">
    <w:name w:val="Body Text 2"/>
    <w:basedOn w:val="1"/>
    <w:link w:val="32"/>
    <w:qFormat/>
    <w:locked/>
    <w:uiPriority w:val="0"/>
    <w:pPr>
      <w:spacing w:after="120" w:line="480" w:lineRule="auto"/>
    </w:pPr>
    <w:rPr>
      <w:szCs w:val="24"/>
    </w:rPr>
  </w:style>
  <w:style w:type="paragraph" w:styleId="21">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42"/>
    <w:semiHidden/>
    <w:qFormat/>
    <w:uiPriority w:val="0"/>
    <w:rPr>
      <w:b/>
      <w:sz w:val="24"/>
      <w:szCs w:val="20"/>
    </w:rPr>
  </w:style>
  <w:style w:type="paragraph" w:styleId="23">
    <w:name w:val="Body Text First Indent"/>
    <w:basedOn w:val="8"/>
    <w:next w:val="19"/>
    <w:qFormat/>
    <w:locked/>
    <w:uiPriority w:val="0"/>
    <w:pPr>
      <w:spacing w:after="120" w:line="500" w:lineRule="exact"/>
      <w:ind w:firstLine="420" w:firstLineChars="100"/>
    </w:pPr>
    <w:rPr>
      <w:rFonts w:ascii="Calibri" w:hAnsi="Calibri" w:cs="Times New Roman"/>
      <w:sz w:val="28"/>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rPr>
  </w:style>
  <w:style w:type="character" w:styleId="28">
    <w:name w:val="page number"/>
    <w:qFormat/>
    <w:locked/>
    <w:uiPriority w:val="0"/>
  </w:style>
  <w:style w:type="character" w:styleId="29">
    <w:name w:val="Emphasis"/>
    <w:qFormat/>
    <w:locked/>
    <w:uiPriority w:val="0"/>
    <w:rPr>
      <w:i/>
    </w:rPr>
  </w:style>
  <w:style w:type="character" w:styleId="30">
    <w:name w:val="Hyperlink"/>
    <w:qFormat/>
    <w:locked/>
    <w:uiPriority w:val="99"/>
    <w:rPr>
      <w:color w:val="338DE6"/>
      <w:szCs w:val="20"/>
      <w:u w:val="none"/>
    </w:rPr>
  </w:style>
  <w:style w:type="character" w:styleId="31">
    <w:name w:val="annotation reference"/>
    <w:semiHidden/>
    <w:qFormat/>
    <w:uiPriority w:val="0"/>
    <w:rPr>
      <w:sz w:val="21"/>
    </w:rPr>
  </w:style>
  <w:style w:type="character" w:customStyle="1" w:styleId="32">
    <w:name w:val="正文文本 2 字符"/>
    <w:link w:val="20"/>
    <w:qFormat/>
    <w:uiPriority w:val="0"/>
    <w:rPr>
      <w:kern w:val="2"/>
      <w:sz w:val="21"/>
      <w:szCs w:val="24"/>
    </w:rPr>
  </w:style>
  <w:style w:type="character" w:customStyle="1" w:styleId="33">
    <w:name w:val="标题 3 字符"/>
    <w:link w:val="4"/>
    <w:semiHidden/>
    <w:qFormat/>
    <w:uiPriority w:val="0"/>
    <w:rPr>
      <w:b/>
      <w:bCs/>
      <w:kern w:val="2"/>
      <w:sz w:val="32"/>
      <w:szCs w:val="32"/>
    </w:rPr>
  </w:style>
  <w:style w:type="character" w:customStyle="1" w:styleId="34">
    <w:name w:val="批注文字 字符"/>
    <w:link w:val="7"/>
    <w:qFormat/>
    <w:locked/>
    <w:uiPriority w:val="0"/>
    <w:rPr>
      <w:rFonts w:ascii="Times New Roman" w:hAnsi="Times New Roman" w:eastAsia="宋体"/>
      <w:sz w:val="24"/>
    </w:rPr>
  </w:style>
  <w:style w:type="character" w:customStyle="1" w:styleId="35">
    <w:name w:val="正文文本 字符"/>
    <w:link w:val="8"/>
    <w:qFormat/>
    <w:locked/>
    <w:uiPriority w:val="0"/>
    <w:rPr>
      <w:sz w:val="18"/>
    </w:rPr>
  </w:style>
  <w:style w:type="character" w:customStyle="1" w:styleId="36">
    <w:name w:val="正文文本缩进 字符"/>
    <w:link w:val="10"/>
    <w:semiHidden/>
    <w:qFormat/>
    <w:locked/>
    <w:uiPriority w:val="0"/>
    <w:rPr>
      <w:rFonts w:ascii="Times New Roman" w:hAnsi="Times New Roman" w:eastAsia="宋体"/>
      <w:sz w:val="24"/>
    </w:rPr>
  </w:style>
  <w:style w:type="character" w:customStyle="1" w:styleId="37">
    <w:name w:val="日期 字符1"/>
    <w:link w:val="12"/>
    <w:qFormat/>
    <w:locked/>
    <w:uiPriority w:val="0"/>
    <w:rPr>
      <w:rFonts w:ascii="Times New Roman" w:hAnsi="Times New Roman" w:eastAsia="宋体"/>
      <w:sz w:val="24"/>
    </w:rPr>
  </w:style>
  <w:style w:type="character" w:customStyle="1" w:styleId="38">
    <w:name w:val="批注框文本 字符"/>
    <w:link w:val="15"/>
    <w:semiHidden/>
    <w:qFormat/>
    <w:locked/>
    <w:uiPriority w:val="0"/>
    <w:rPr>
      <w:rFonts w:ascii="Times New Roman" w:hAnsi="Times New Roman" w:eastAsia="宋体"/>
      <w:sz w:val="18"/>
    </w:rPr>
  </w:style>
  <w:style w:type="character" w:customStyle="1" w:styleId="39">
    <w:name w:val="页脚 字符1"/>
    <w:link w:val="16"/>
    <w:qFormat/>
    <w:uiPriority w:val="0"/>
    <w:rPr>
      <w:rFonts w:eastAsia="宋体"/>
      <w:kern w:val="2"/>
      <w:sz w:val="18"/>
      <w:lang w:val="en-US" w:eastAsia="zh-CN" w:bidi="ar-SA"/>
    </w:rPr>
  </w:style>
  <w:style w:type="character" w:customStyle="1" w:styleId="40">
    <w:name w:val="页眉 字符"/>
    <w:link w:val="17"/>
    <w:qFormat/>
    <w:locked/>
    <w:uiPriority w:val="0"/>
    <w:rPr>
      <w:sz w:val="18"/>
    </w:rPr>
  </w:style>
  <w:style w:type="character" w:customStyle="1" w:styleId="41">
    <w:name w:val="普通(网站) 字符"/>
    <w:link w:val="21"/>
    <w:qFormat/>
    <w:locked/>
    <w:uiPriority w:val="0"/>
    <w:rPr>
      <w:rFonts w:ascii="宋体" w:hAnsi="宋体" w:eastAsia="宋体"/>
      <w:sz w:val="24"/>
    </w:rPr>
  </w:style>
  <w:style w:type="character" w:customStyle="1" w:styleId="42">
    <w:name w:val="批注主题 字符"/>
    <w:link w:val="22"/>
    <w:semiHidden/>
    <w:qFormat/>
    <w:locked/>
    <w:uiPriority w:val="0"/>
    <w:rPr>
      <w:rFonts w:ascii="Times New Roman" w:hAnsi="Times New Roman" w:eastAsia="宋体"/>
      <w:b/>
      <w:kern w:val="2"/>
      <w:sz w:val="24"/>
    </w:rPr>
  </w:style>
  <w:style w:type="character" w:customStyle="1" w:styleId="43">
    <w:name w:val="页脚 字符2"/>
    <w:link w:val="16"/>
    <w:qFormat/>
    <w:locked/>
    <w:uiPriority w:val="99"/>
    <w:rPr>
      <w:sz w:val="18"/>
    </w:rPr>
  </w:style>
  <w:style w:type="character" w:customStyle="1" w:styleId="44">
    <w:name w:val="日期 字符"/>
    <w:semiHidden/>
    <w:qFormat/>
    <w:uiPriority w:val="0"/>
    <w:rPr>
      <w:rFonts w:ascii="Times New Roman" w:hAnsi="Times New Roman" w:eastAsia="宋体"/>
      <w:sz w:val="24"/>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页脚 字符"/>
    <w:qFormat/>
    <w:uiPriority w:val="99"/>
  </w:style>
  <w:style w:type="character" w:customStyle="1" w:styleId="48">
    <w:name w:val="批注文字 字符1"/>
    <w:semiHidden/>
    <w:qFormat/>
    <w:uiPriority w:val="0"/>
    <w:rPr>
      <w:rFonts w:ascii="Times New Roman" w:hAnsi="Times New Roman" w:eastAsia="宋体"/>
      <w:sz w:val="24"/>
    </w:rPr>
  </w:style>
  <w:style w:type="character" w:customStyle="1" w:styleId="49">
    <w:name w:val="正文文本 字符1"/>
    <w:semiHidden/>
    <w:qFormat/>
    <w:uiPriority w:val="0"/>
    <w:rPr>
      <w:rFonts w:ascii="Times New Roman" w:hAnsi="Times New Roman" w:eastAsia="宋体"/>
      <w:sz w:val="24"/>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表头"/>
    <w:basedOn w:val="1"/>
    <w:next w:val="1"/>
    <w:qFormat/>
    <w:uiPriority w:val="0"/>
    <w:pPr>
      <w:tabs>
        <w:tab w:val="left" w:pos="6840"/>
      </w:tabs>
      <w:topLinePunct/>
      <w:snapToGrid w:val="0"/>
      <w:spacing w:line="529" w:lineRule="exact"/>
      <w:jc w:val="center"/>
    </w:pPr>
    <w:rPr>
      <w:rFonts w:ascii="宋体" w:hAnsi="宋体" w:cs="宋体"/>
      <w:b/>
      <w:bCs/>
      <w:kern w:val="24"/>
      <w:sz w:val="24"/>
      <w:szCs w:val="28"/>
    </w:rPr>
  </w:style>
  <w:style w:type="paragraph" w:customStyle="1" w:styleId="53">
    <w:name w:val="Char Char Char Char Char Char Char Char Char Char Char1 Char Char Char"/>
    <w:basedOn w:val="1"/>
    <w:qFormat/>
    <w:uiPriority w:val="0"/>
  </w:style>
  <w:style w:type="paragraph" w:customStyle="1" w:styleId="54">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character" w:customStyle="1" w:styleId="55">
    <w:name w:val="font61"/>
    <w:qFormat/>
    <w:uiPriority w:val="0"/>
    <w:rPr>
      <w:rFonts w:hint="eastAsia" w:ascii="宋体" w:hAnsi="宋体" w:eastAsia="宋体" w:cs="宋体"/>
      <w:color w:val="333333"/>
      <w:sz w:val="21"/>
      <w:szCs w:val="21"/>
      <w:u w:val="none"/>
    </w:rPr>
  </w:style>
  <w:style w:type="character" w:customStyle="1" w:styleId="56">
    <w:name w:val="font21"/>
    <w:qFormat/>
    <w:uiPriority w:val="0"/>
    <w:rPr>
      <w:rFonts w:hint="eastAsia" w:ascii="宋体" w:hAnsi="宋体" w:eastAsia="宋体" w:cs="宋体"/>
      <w:color w:val="000000"/>
      <w:sz w:val="21"/>
      <w:szCs w:val="21"/>
      <w:u w:val="none"/>
    </w:rPr>
  </w:style>
  <w:style w:type="character" w:customStyle="1" w:styleId="57">
    <w:name w:val="font51"/>
    <w:qFormat/>
    <w:uiPriority w:val="0"/>
    <w:rPr>
      <w:rFonts w:hint="default" w:ascii="Times New Roman" w:hAnsi="Times New Roman" w:cs="Times New Roman"/>
      <w:color w:val="000000"/>
      <w:sz w:val="21"/>
      <w:szCs w:val="21"/>
      <w:u w:val="none"/>
    </w:rPr>
  </w:style>
  <w:style w:type="paragraph" w:customStyle="1" w:styleId="58">
    <w:name w:val="目录 53"/>
    <w:basedOn w:val="1"/>
    <w:next w:val="1"/>
    <w:qFormat/>
    <w:uiPriority w:val="0"/>
    <w:pPr>
      <w:ind w:left="840"/>
    </w:pPr>
    <w:rPr>
      <w:rFonts w:cs="宋体"/>
      <w:color w:val="000000"/>
    </w:rPr>
  </w:style>
  <w:style w:type="paragraph" w:customStyle="1" w:styleId="59">
    <w:name w:val="Default"/>
    <w:basedOn w:val="60"/>
    <w:next w:val="61"/>
    <w:qFormat/>
    <w:uiPriority w:val="0"/>
    <w:pPr>
      <w:widowControl w:val="0"/>
      <w:autoSpaceDE w:val="0"/>
      <w:autoSpaceDN w:val="0"/>
      <w:adjustRightInd w:val="0"/>
    </w:pPr>
    <w:rPr>
      <w:rFonts w:ascii="宋体" w:hAnsi="宋体" w:cs="宋体"/>
      <w:sz w:val="24"/>
      <w:lang w:val="en-US" w:eastAsia="zh-CN" w:bidi="ar-SA"/>
    </w:rPr>
  </w:style>
  <w:style w:type="paragraph" w:customStyle="1" w:styleId="60">
    <w:name w:val="标题2"/>
    <w:basedOn w:val="3"/>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61">
    <w:name w:val="样式3"/>
    <w:basedOn w:val="1"/>
    <w:next w:val="58"/>
    <w:autoRedefine/>
    <w:qFormat/>
    <w:uiPriority w:val="0"/>
    <w:pPr>
      <w:autoSpaceDE w:val="0"/>
      <w:autoSpaceDN w:val="0"/>
      <w:snapToGrid w:val="0"/>
      <w:spacing w:before="120" w:line="460" w:lineRule="atLeast"/>
      <w:jc w:val="center"/>
    </w:pPr>
    <w:rPr>
      <w:rFonts w:eastAsia="黑体"/>
      <w:sz w:val="28"/>
    </w:rPr>
  </w:style>
  <w:style w:type="character" w:customStyle="1" w:styleId="62">
    <w:name w:val="font11"/>
    <w:qFormat/>
    <w:uiPriority w:val="0"/>
    <w:rPr>
      <w:rFonts w:hint="eastAsia" w:ascii="宋体" w:hAnsi="宋体" w:eastAsia="宋体" w:cs="宋体"/>
      <w:color w:val="000000"/>
      <w:sz w:val="21"/>
      <w:szCs w:val="21"/>
      <w:u w:val="none"/>
    </w:rPr>
  </w:style>
  <w:style w:type="character" w:customStyle="1" w:styleId="63">
    <w:name w:val="font31"/>
    <w:qFormat/>
    <w:uiPriority w:val="0"/>
    <w:rPr>
      <w:rFonts w:hint="eastAsia" w:ascii="宋体" w:hAnsi="宋体" w:eastAsia="宋体" w:cs="宋体"/>
      <w:color w:val="000000"/>
      <w:sz w:val="22"/>
      <w:szCs w:val="22"/>
      <w:u w:val="none"/>
    </w:rPr>
  </w:style>
  <w:style w:type="paragraph" w:customStyle="1" w:styleId="64">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rPr>
  </w:style>
  <w:style w:type="paragraph" w:customStyle="1" w:styleId="66">
    <w:name w:val="表格头"/>
    <w:basedOn w:val="1"/>
    <w:qFormat/>
    <w:uiPriority w:val="0"/>
    <w:pPr>
      <w:widowControl w:val="0"/>
      <w:tabs>
        <w:tab w:val="left" w:pos="0"/>
      </w:tabs>
      <w:spacing w:line="360" w:lineRule="auto"/>
      <w:jc w:val="center"/>
    </w:pPr>
    <w:rPr>
      <w:b/>
      <w:bCs/>
      <w:kern w:val="2"/>
      <w:sz w:val="24"/>
      <w:szCs w:val="24"/>
    </w:rPr>
  </w:style>
  <w:style w:type="table" w:customStyle="1" w:styleId="67">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68">
    <w:name w:val="表格内部—常用"/>
    <w:basedOn w:val="1"/>
    <w:next w:val="1"/>
    <w:qFormat/>
    <w:uiPriority w:val="0"/>
    <w:pPr>
      <w:jc w:val="center"/>
    </w:pPr>
    <w:rPr>
      <w:rFonts w:ascii="Calibri" w:hAnsi="Calibri"/>
      <w:szCs w:val="21"/>
    </w:rPr>
  </w:style>
  <w:style w:type="paragraph" w:customStyle="1" w:styleId="69">
    <w:name w:val="表格正文"/>
    <w:basedOn w:val="1"/>
    <w:qFormat/>
    <w:uiPriority w:val="0"/>
    <w:pPr>
      <w:widowControl/>
      <w:spacing w:line="240" w:lineRule="auto"/>
      <w:ind w:firstLine="0" w:firstLineChars="0"/>
      <w:jc w:val="center"/>
    </w:pPr>
    <w:rPr>
      <w:sz w:val="21"/>
    </w:rPr>
  </w:style>
  <w:style w:type="paragraph" w:customStyle="1" w:styleId="70">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xMjM5MTEzMjI1IiwKCSJHcm91cElkIiA6ICIxOTAzODM5NDUiLAoJIkltYWdlIiA6ICJpVkJPUncwS0dnb0FBQUFOU1VoRVVnQUFBM2tBQUFLNUNBWUFBQUFDYitmVkFBQUFBWE5TUjBJQXJzNGM2UUFBSUFCSlJFRlVlSnpzM1hkOFZGWCsvL0gzblV4SUlUUU5oQktLSUZJa2tLQW9GaEFVRkZIYzFTOUtXUkFGQzRxTElPdUNLQ0JLVWJHdG9HQURCUVVVRlJWQmxoV1JFaEFRSmdXRFNJc0NJUkJLU0RDa3pNejUvUUdaWDBJS0NVa1lrcnllaitXeE0vZWVlK2N6eUVubU0rZWN6N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9LMzF4ZE5PU01BK2RVQUFBQUFTVVZPUks1Q1lJST0iLAoJIlRoZW1lIiA6ICIiLAoJIlR5cGUiIDogImZsb3ciLAoJIlVzZXJJZCIgOiAiMjcxODcxMDkwIiwKCSJWZXJzaW9uIiA6ICIiCn0K"/>
    </extobj>
    <extobj name="ECB019B1-382A-4266-B25C-5B523AA43C14-2">
      <extobjdata type="ECB019B1-382A-4266-B25C-5B523AA43C14" data="ewoJIkZpbGVJZCIgOiAiMzgxMDg5NDQ0NzE1IiwKCSJHcm91cElkIiA6ICIxOTAzODM5NDUiLAoJIkltYWdlIiA6ICJpVkJPUncwS0dnb0FBQUFOU1VoRVVnQUFCQTRBQUFSYkNBWUFBQUFIbmVNRUFBQUFBWE5TUjBJQXJzNGM2UUFBSUFCSlJFRlVlSnpzM1htWVhGVzE5L0hmT2xVOVpZSkVDQUVTQ0JJaGFaTHFPdFZPcUNneVhsVEV3RlZFUVJGRWtVa0ZSRUVRbFVGRkptVndBSmxCWHh4QWxLQjRrUnU4RUJtNlRuVW5OQVFDQmdrUXBpU2trL1JVZGRiN1IxZUhTcWVyMDBsNmludy96NU9ucS9iWlo1OTFRb3F1V3JYMzJo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FWGdBQUFBQUFBQU9OWGtUcCtBTTJYbDVZcjdNRjdIMHorLzA2Y0NBSUN1ZlB1dHZpMHFra215M09sekFRQUF1SjErZElHRFdvdXFYV1NxTFNzclUrejI5Ky8wNlFBQVlNc2lpNHNzMVhmNk5BQUFBRzZYSDEzZ29OSmNtMzJQbTJtN3hTTGZPMzB1QUFBNGNMSGFiUHIwVHA4RUFBREE3V0s2MHlmZ3lBTVBQT0RSdEdtYnBuZjZQQUFBdUZwcGFaVTVQLy9MVWxHe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zYvUi80UlJnMkRUWjJJUUFBQUFCSlJVNUVya0pnZ2c9PSIsCgkiVGhlbWUiIDogIiIsCgkiVHlwZSIgOiAiZmxvdyIsCgkiVXNlcklkIiA6ICIyNzE4NzEwOTAiLAoJIlZlcnNpb24iIDogIjk5Igp9Cg=="/>
    </extobj>
    <extobj name="ECB019B1-382A-4266-B25C-5B523AA43C14-3">
      <extobjdata type="ECB019B1-382A-4266-B25C-5B523AA43C14" data="ewoJIkZpbGVJZCIgOiAiMzgxMjQ2NTIxNzkyIiwKCSJHcm91cElkIiA6ICIxOTAzODM5NDUiLAoJIkltYWdlIiA6ICJpVkJPUncwS0dnb0FBQUFOU1VoRVVnQUFCUllBQUFMMUNBWUFBQUN5ckxoOEFBQUFBWE5TUjBJQXJzNGM2UUFBSUFCSlJFRlVlSnpzM1h0OHozWC94L0hIWi90dWhvMnhDVFBNS2NmSkhHcU9FVWtTMGhVcC9PUVlLVnlFU0VLU0N5R25SR1J5aUtKRWw4TlZTM0lxYkcwNXptbVk0ekEyZHZwKzkvbjlzV3ZmeTdlZERMVnN6L3Z0NXBaOTN1L1ArL1A2ZktmbzZYME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vNy80QlRsQ3h2L1hVNEFBQUFBRWxGVGtTdVFtQ0MiLAoJIlRoZW1lIiA6ICIiLAoJIlR5cGUiIDogImZsb3ciLAoJIlVzZXJJZCIgOiAiMjcxODcxMDkw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8148</Words>
  <Characters>8639</Characters>
  <Lines>279</Lines>
  <Paragraphs>78</Paragraphs>
  <TotalTime>11</TotalTime>
  <ScaleCrop>false</ScaleCrop>
  <LinksUpToDate>false</LinksUpToDate>
  <CharactersWithSpaces>8740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2025-02-20T06:43:00Z</dcterms:created>
  <dc:creator>lhj</dc:creator>
  <cp:lastModifiedBy>向南</cp:lastModifiedBy>
  <cp:lastPrinted>2024-12-17T07:50:00Z</cp:lastPrinted>
  <dcterms:modified xsi:type="dcterms:W3CDTF">2025-03-31T08:30:29Z</dcterms:modified>
  <dc:title>附件2</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D2767A74B8C94BC788B1E99107609F1F_13</vt:lpwstr>
  </property>
  <property fmtid="{D5CDD505-2E9C-101B-9397-08002B2CF9AE}" pid="4" name="KSOTemplateDocerSaveRecord">
    <vt:lpwstr>eyJoZGlkIjoiMzQzNWI2NTgwYTZmOWEwY2IyODVmNzM5MjJhZmQ2OTQiLCJ1c2VySWQiOiIyNzE4NzEwOTAifQ==</vt:lpwstr>
  </property>
</Properties>
</file>