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 w14:paraId="4E84B9C7"/>
    <w:p w14:paraId="3D267391"/>
    <w:p w14:paraId="7A67F4E7"/>
    <w:p w14:paraId="5E1F164F"/>
    <w:p w14:paraId="6BB152AE"/>
    <w:p w14:paraId="3ECF067E"/>
    <w:p w14:paraId="0ABB07B8"/>
    <w:p w14:paraId="147FC8AC"/>
    <w:p w14:paraId="21F218EB">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val="en-US" w:eastAsia="zh-CN"/>
        </w:rPr>
        <w:t>杜集区机关事务管理中心</w:t>
      </w:r>
      <w:r>
        <w:rPr>
          <w:rFonts w:hint="eastAsia" w:ascii="TimesNewRoman" w:hAnsi="TimesNewRoman" w:eastAsia="华文中宋" w:cs="TimesNewRoman"/>
          <w:b/>
          <w:sz w:val="44"/>
          <w:szCs w:val="44"/>
        </w:rPr>
        <w:t>202</w:t>
      </w:r>
      <w:r>
        <w:rPr>
          <w:rFonts w:hint="eastAsia" w:ascii="TimesNewRoman" w:hAnsi="TimesNewRoman" w:eastAsia="华文中宋" w:cs="TimesNewRoman"/>
          <w:b/>
          <w:sz w:val="44"/>
          <w:szCs w:val="44"/>
          <w:lang w:val="en-US" w:eastAsia="zh-CN"/>
        </w:rPr>
        <w:t>5</w:t>
      </w:r>
      <w:r>
        <w:rPr>
          <w:rFonts w:hint="eastAsia" w:ascii="TimesNewRoman" w:hAnsi="TimesNewRoman" w:eastAsia="华文中宋" w:cs="TimesNewRoman"/>
          <w:b/>
          <w:sz w:val="44"/>
          <w:szCs w:val="44"/>
        </w:rPr>
        <w:t>年</w:t>
      </w:r>
    </w:p>
    <w:p w14:paraId="33F6722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692597B4"/>
    <w:p w14:paraId="551EF2E2"/>
    <w:p w14:paraId="70BF7A57"/>
    <w:p w14:paraId="5F4D0E04"/>
    <w:p w14:paraId="2526E2B8"/>
    <w:p w14:paraId="40B21F87"/>
    <w:p w14:paraId="706A1F16"/>
    <w:p w14:paraId="7FF31E9D"/>
    <w:p w14:paraId="3F8A67C2"/>
    <w:p w14:paraId="43501CE2"/>
    <w:p w14:paraId="6BF512B9"/>
    <w:p w14:paraId="1D296B82"/>
    <w:p w14:paraId="680FFAE6"/>
    <w:p w14:paraId="58884FC5"/>
    <w:p w14:paraId="6FFBA224"/>
    <w:p w14:paraId="721F8145"/>
    <w:p w14:paraId="47C5F308"/>
    <w:p w14:paraId="21F46E50"/>
    <w:p w14:paraId="048143B7"/>
    <w:p w14:paraId="07554596"/>
    <w:p w14:paraId="4FD4F1C8"/>
    <w:p w14:paraId="20EC6F62"/>
    <w:p w14:paraId="345A2868">
      <w:pPr>
        <w:pStyle w:val="4"/>
        <w:adjustRightInd w:val="0"/>
        <w:snapToGrid w:val="0"/>
        <w:spacing w:line="560" w:lineRule="exact"/>
        <w:jc w:val="center"/>
        <w:rPr>
          <w:rFonts w:ascii="TimesNewRoman" w:hAnsi="TimesNewRoman" w:eastAsia="黑体" w:cs="TimesNewRoman"/>
          <w:bCs/>
          <w:sz w:val="44"/>
          <w:szCs w:val="44"/>
        </w:rPr>
      </w:pPr>
    </w:p>
    <w:p w14:paraId="1F902ECD">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w:t>
      </w:r>
      <w:r>
        <w:rPr>
          <w:rFonts w:hint="eastAsia" w:ascii="TimesNewRoman" w:hAnsi="TimesNewRoman" w:eastAsia="黑体" w:cs="TimesNewRoman"/>
          <w:bCs/>
          <w:sz w:val="44"/>
          <w:szCs w:val="44"/>
          <w:lang w:val="en-US" w:eastAsia="zh-CN"/>
        </w:rPr>
        <w:t>5</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1</w:t>
      </w:r>
      <w:r>
        <w:rPr>
          <w:rFonts w:hint="eastAsia" w:ascii="TimesNewRoman" w:hAnsi="TimesNewRoman" w:eastAsia="黑体" w:cs="TimesNewRoman"/>
          <w:bCs/>
          <w:sz w:val="44"/>
          <w:szCs w:val="44"/>
        </w:rPr>
        <w:t>月</w:t>
      </w:r>
    </w:p>
    <w:p w14:paraId="648EEC44"/>
    <w:p w14:paraId="6D74DC09"/>
    <w:p w14:paraId="0F83F9AE"/>
    <w:p w14:paraId="24EA48B2">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63C96DAD"/>
    <w:p w14:paraId="2A109572">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3BC6F23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727BF42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14:paraId="48939B9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w:t>
      </w:r>
      <w:r>
        <w:rPr>
          <w:rFonts w:hint="eastAsia" w:ascii="TimesNewRoman" w:hAnsi="TimesNewRoman" w:eastAsia="仿宋_GB2312" w:cs="TimesNewRoman"/>
          <w:bCs/>
          <w:sz w:val="32"/>
          <w:szCs w:val="32"/>
          <w:lang w:val="en-US" w:eastAsia="zh-CN"/>
        </w:rPr>
        <w:t>5</w:t>
      </w:r>
      <w:r>
        <w:rPr>
          <w:rFonts w:hint="eastAsia" w:ascii="TimesNewRoman" w:hAnsi="TimesNewRoman" w:eastAsia="仿宋_GB2312" w:cs="TimesNewRoman"/>
          <w:bCs/>
          <w:sz w:val="32"/>
          <w:szCs w:val="32"/>
        </w:rPr>
        <w:t>年度主要工作任务</w:t>
      </w:r>
    </w:p>
    <w:p w14:paraId="261B9D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w:t>
      </w:r>
      <w:r>
        <w:rPr>
          <w:rFonts w:hint="eastAsia" w:ascii="TimesNewRoman" w:hAnsi="TimesNewRoman" w:eastAsia="仿宋_GB2312" w:cs="TimesNewRoman"/>
          <w:b/>
          <w:sz w:val="32"/>
          <w:szCs w:val="32"/>
          <w:lang w:val="en-US" w:eastAsia="zh-CN"/>
        </w:rPr>
        <w:t>5</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0E11D6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收支总表</w:t>
      </w:r>
    </w:p>
    <w:p w14:paraId="35D3807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收入总表</w:t>
      </w:r>
    </w:p>
    <w:p w14:paraId="0E32563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支出总表</w:t>
      </w:r>
    </w:p>
    <w:p w14:paraId="49822CD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财政拨款收支总表</w:t>
      </w:r>
    </w:p>
    <w:p w14:paraId="2950CA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一般公共预算支出表</w:t>
      </w:r>
    </w:p>
    <w:p w14:paraId="0700A1C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val="en-US" w:eastAsia="zh-CN"/>
        </w:rPr>
        <w:t>杜集区</w:t>
      </w:r>
      <w:r>
        <w:rPr>
          <w:rFonts w:hint="eastAsia" w:ascii="TimesNewRoman" w:hAnsi="TimesNewRoman" w:eastAsia="仿宋_GB2312" w:cs="TimesNewRoman"/>
          <w:bCs/>
          <w:sz w:val="32"/>
          <w:szCs w:val="32"/>
          <w:lang w:eastAsia="zh-CN"/>
        </w:rPr>
        <w:t>机关事务管理中心2025年</w:t>
      </w:r>
      <w:r>
        <w:rPr>
          <w:rFonts w:hint="eastAsia" w:ascii="TimesNewRoman" w:hAnsi="TimesNewRoman" w:eastAsia="仿宋_GB2312" w:cs="TimesNewRoman"/>
          <w:bCs/>
          <w:sz w:val="32"/>
          <w:szCs w:val="32"/>
        </w:rPr>
        <w:t>一般公共预算基本支出表</w:t>
      </w:r>
    </w:p>
    <w:p w14:paraId="4ED9F1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政府性基金预算支出表</w:t>
      </w:r>
    </w:p>
    <w:p w14:paraId="0113C9D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国有资本经营预算支出表</w:t>
      </w:r>
    </w:p>
    <w:p w14:paraId="1AEF5B1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项目支出表</w:t>
      </w:r>
    </w:p>
    <w:p w14:paraId="5C96A5E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政府采购支出表</w:t>
      </w:r>
    </w:p>
    <w:p w14:paraId="68CC3209">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政府购买服务支出表</w:t>
      </w:r>
    </w:p>
    <w:p w14:paraId="7BE0D7B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杜集区机关事务管理中心2025年</w:t>
      </w:r>
      <w:r>
        <w:rPr>
          <w:rFonts w:ascii="TimesNewRoman" w:hAnsi="TimesNewRoman" w:eastAsia="仿宋_GB2312" w:cs="TimesNewRoman"/>
          <w:bCs/>
          <w:sz w:val="32"/>
          <w:szCs w:val="32"/>
        </w:rPr>
        <w:t>通用资产配置支出表</w:t>
      </w:r>
    </w:p>
    <w:p w14:paraId="51FB32A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2025年部门</w:t>
      </w:r>
      <w:r>
        <w:rPr>
          <w:rFonts w:hint="eastAsia" w:ascii="TimesNewRoman" w:hAnsi="TimesNewRoman" w:eastAsia="仿宋_GB2312" w:cs="TimesNewRoman"/>
          <w:b/>
          <w:sz w:val="32"/>
          <w:szCs w:val="32"/>
        </w:rPr>
        <w:t>预算情况说明</w:t>
      </w:r>
    </w:p>
    <w:p w14:paraId="2E4C67D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收支总表的说明</w:t>
      </w:r>
    </w:p>
    <w:p w14:paraId="0674602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收入总表的说明</w:t>
      </w:r>
    </w:p>
    <w:p w14:paraId="0EA2ABC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支出总表的说明</w:t>
      </w:r>
    </w:p>
    <w:p w14:paraId="7308CB4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财政拨款收支总表的说明</w:t>
      </w:r>
    </w:p>
    <w:p w14:paraId="673A596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一般公共预算支出表的说明</w:t>
      </w:r>
    </w:p>
    <w:p w14:paraId="15D7C43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一般公共预算基本支出表的说明</w:t>
      </w:r>
    </w:p>
    <w:p w14:paraId="609FAFB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政府性基金预算支出表的说明</w:t>
      </w:r>
    </w:p>
    <w:p w14:paraId="7CA5FD7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国有资本经营预算支出表的说明</w:t>
      </w:r>
    </w:p>
    <w:p w14:paraId="09EEFC2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项目支出表的说明</w:t>
      </w:r>
    </w:p>
    <w:p w14:paraId="5F64BB8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政府采购支出表的说明</w:t>
      </w:r>
    </w:p>
    <w:p w14:paraId="5A31333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2025年</w:t>
      </w:r>
      <w:r>
        <w:rPr>
          <w:rFonts w:hint="eastAsia" w:ascii="TimesNewRoman" w:hAnsi="TimesNewRoman" w:eastAsia="仿宋_GB2312" w:cs="TimesNewRoman"/>
          <w:bCs/>
          <w:sz w:val="32"/>
          <w:szCs w:val="32"/>
        </w:rPr>
        <w:t>政府购买服务支出表的说明</w:t>
      </w:r>
    </w:p>
    <w:p w14:paraId="13873CF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66DC52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0B7A57FE">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75CED61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部门预算纳入绩效考评项目表</w:t>
      </w:r>
    </w:p>
    <w:p w14:paraId="09EF3A5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杜集区机关事务管理中心2025年</w:t>
      </w:r>
      <w:r>
        <w:rPr>
          <w:rFonts w:hint="eastAsia" w:ascii="TimesNewRoman" w:hAnsi="TimesNewRoman" w:eastAsia="仿宋_GB2312" w:cs="TimesNewRoman"/>
          <w:bCs/>
          <w:sz w:val="32"/>
          <w:szCs w:val="32"/>
        </w:rPr>
        <w:t>部门预算专项资金管理清单（专栏公开）</w:t>
      </w:r>
    </w:p>
    <w:p w14:paraId="0FE24111">
      <w:pPr>
        <w:pStyle w:val="4"/>
        <w:adjustRightInd w:val="0"/>
        <w:snapToGrid w:val="0"/>
        <w:spacing w:line="400" w:lineRule="exact"/>
        <w:ind w:firstLine="800" w:firstLineChars="250"/>
        <w:rPr>
          <w:rFonts w:ascii="TimesNewRoman" w:hAnsi="TimesNewRoman" w:eastAsia="仿宋_GB2312" w:cs="TimesNewRoman"/>
          <w:bCs/>
          <w:sz w:val="32"/>
          <w:szCs w:val="32"/>
        </w:rPr>
      </w:pPr>
    </w:p>
    <w:p w14:paraId="490A05CC">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14:paraId="70F45E13"/>
    <w:p w14:paraId="7F95B6A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5F71706F">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default" w:ascii="TimesNewRoman" w:hAnsi="TimesNewRoman" w:eastAsia="仿宋_GB2312" w:cs="TimesNewRoman"/>
          <w:kern w:val="2"/>
          <w:sz w:val="32"/>
          <w:szCs w:val="32"/>
          <w:lang w:val="en-US" w:eastAsia="zh-CN" w:bidi="ar-SA"/>
        </w:rPr>
        <w:t>杜集区机关服务管理中心成立于</w:t>
      </w:r>
      <w:r>
        <w:rPr>
          <w:rFonts w:hint="eastAsia" w:ascii="TimesNewRoman" w:hAnsi="TimesNewRoman" w:eastAsia="仿宋_GB2312" w:cs="TimesNewRoman"/>
          <w:kern w:val="2"/>
          <w:sz w:val="32"/>
          <w:szCs w:val="32"/>
          <w:lang w:val="en-US" w:eastAsia="zh-CN" w:bidi="ar-SA"/>
        </w:rPr>
        <w:t>1994年，为区政府直属事业单位，编制6人，主要职责为：</w:t>
      </w:r>
    </w:p>
    <w:p w14:paraId="3CDA98C8">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1、 根据有关政策和规定，研究制订区直机关后勤服务管理工作的具体办法和规定，并监督实施；</w:t>
      </w:r>
    </w:p>
    <w:p w14:paraId="4B9AF888">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2、 负责区直机关大院内的公共设施和办公、服务用房等基础设施的维修、改造和产权管理工作；</w:t>
      </w:r>
    </w:p>
    <w:p w14:paraId="6C428FA4">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3、 负责区直机关大院的卫生保洁、绿化、亮化、硬化、美化、供水、供电、供暖、供开水和治安保卫等保障工作；</w:t>
      </w:r>
    </w:p>
    <w:p w14:paraId="1CCF588E">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4、 负责区机关食堂和礼堂的管理工作；</w:t>
      </w:r>
    </w:p>
    <w:p w14:paraId="26F53081">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5、 负责区四大班子机关工勤人员的集中统一管理工作；</w:t>
      </w:r>
    </w:p>
    <w:p w14:paraId="67F9F162">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6、 负责区委、区政府对外公务接待后勤工作；</w:t>
      </w:r>
    </w:p>
    <w:p w14:paraId="468B55F5">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7、 负责后勤工作人员的教育和管理，组织理论和专业技能学习，不断提高其综合素质，从而提高服务质量和水平。</w:t>
      </w:r>
    </w:p>
    <w:p w14:paraId="18DAF66C">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8、 承办区委、区政府交办的其它工作。</w:t>
      </w:r>
    </w:p>
    <w:p w14:paraId="5408ED8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14:paraId="37B0293F">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（部门预算构成：）从预算单位构成看，</w:t>
      </w:r>
      <w:r>
        <w:rPr>
          <w:rFonts w:hint="eastAsia" w:ascii="TimesNewRoman" w:hAnsi="TimesNewRoman" w:eastAsia="仿宋_GB2312" w:cs="TimesNewRoman"/>
          <w:bCs/>
          <w:sz w:val="32"/>
          <w:szCs w:val="32"/>
          <w:lang w:eastAsia="zh-CN"/>
        </w:rPr>
        <w:t>杜集区机关事务管理中心</w:t>
      </w:r>
      <w:r>
        <w:rPr>
          <w:rFonts w:hint="eastAsia" w:ascii="TimesNewRoman" w:hAnsi="TimesNewRoman" w:eastAsia="仿宋_GB2312" w:cs="TimesNewRoman"/>
          <w:sz w:val="32"/>
          <w:szCs w:val="32"/>
          <w:lang w:eastAsia="zh-CN"/>
        </w:rPr>
        <w:t>2025年</w:t>
      </w:r>
      <w:r>
        <w:rPr>
          <w:rFonts w:hint="eastAsia" w:ascii="TimesNewRoman" w:hAnsi="TimesNewRoman" w:eastAsia="仿宋_GB2312" w:cs="TimesNewRoman"/>
          <w:sz w:val="32"/>
          <w:szCs w:val="32"/>
        </w:rPr>
        <w:t>度部门预算仅包括</w:t>
      </w:r>
      <w:r>
        <w:rPr>
          <w:rFonts w:hint="eastAsia" w:ascii="TimesNewRoman" w:hAnsi="TimesNewRoman" w:eastAsia="仿宋_GB2312" w:cs="TimesNewRoman"/>
          <w:sz w:val="32"/>
          <w:szCs w:val="32"/>
          <w:lang w:val="en-US" w:eastAsia="zh-CN"/>
        </w:rPr>
        <w:t>中心</w:t>
      </w:r>
      <w:r>
        <w:rPr>
          <w:rFonts w:hint="eastAsia" w:ascii="TimesNewRoman" w:hAnsi="TimesNewRoman" w:eastAsia="仿宋_GB2312" w:cs="TimesNewRoman"/>
          <w:sz w:val="32"/>
          <w:szCs w:val="32"/>
        </w:rPr>
        <w:t>本级预算，无其他下属单位预算。</w:t>
      </w:r>
    </w:p>
    <w:p w14:paraId="34B1695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度主要工作任务</w:t>
      </w:r>
    </w:p>
    <w:p w14:paraId="3133F7F4">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eastAsia"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1、着重加强日常管理，确保机关各项工作和活动正常开展。搞好机关大院的硬化、绿化、亮化、美化和有序化，为我区机关干部职工提供良好的办公环境。</w:t>
      </w:r>
    </w:p>
    <w:p w14:paraId="1CCBF683">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2、加强机关食堂管理。对食堂加强管理。同时加强食品卫生管理，确保用餐安全。搞好区委、区政府公务接待服务工作。</w:t>
      </w:r>
    </w:p>
    <w:p w14:paraId="0187F257">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3、加强冬季供暖管理。提前做好冬季锅炉运行前安检工作和燃料、耗材采购、管道系统维修等各项准备工作，以应对突发的寒流。对锅炉进行中的安全措施监管到位，确保供暖质量和运行安全。</w:t>
      </w:r>
    </w:p>
    <w:p w14:paraId="1DF7CFBF">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4、加强物业管理。按照与顺达物业公司签订的物业管理承包协议，加强对公共部位卫生的管理和对安保人员值班情况特别是夜班情况的监督和检查，对水电工工作情况及时反馈到物业公司，做到当班人员无离岗，夜间巡逻不停顿。进一步加强车辆停放管理，保证有序畅通。</w:t>
      </w:r>
    </w:p>
    <w:p w14:paraId="6B542552">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5、坚持礼堂使用管理制度。区机关服务管理中心全力保障区几大班子召开的各种会议，对部门使用礼堂要加强登记管理。及时对礼堂设备和设施进行维修，保持完好状态，保证大会需要。</w:t>
      </w:r>
    </w:p>
    <w:p w14:paraId="3A13F973">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default"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6、及时维修改造各种设施。（1）补栽大院内花木，提高绿化档次。（2）维修更新供电线路。（3）经常对水、电、气排查，发现隐患及时排除，杜绝跑、冒、滴、漏。（4）其它各种设施及时维修，减少大修造成浪费。</w:t>
      </w:r>
    </w:p>
    <w:p w14:paraId="5A3C2CBC">
      <w:pPr>
        <w:keepNext w:val="0"/>
        <w:keepLines w:val="0"/>
        <w:pageBreakBefore w:val="0"/>
        <w:widowControl w:val="0"/>
        <w:kinsoku/>
        <w:overflowPunct/>
        <w:topLinePunct w:val="0"/>
        <w:autoSpaceDE/>
        <w:autoSpaceDN/>
        <w:bidi w:val="0"/>
        <w:adjustRightInd w:val="0"/>
        <w:snapToGrid w:val="0"/>
        <w:spacing w:line="560" w:lineRule="exact"/>
        <w:ind w:firstLine="480" w:firstLineChars="150"/>
        <w:jc w:val="both"/>
        <w:outlineLvl w:val="0"/>
        <w:rPr>
          <w:rFonts w:hint="eastAsia" w:ascii="TimesNewRoman" w:hAnsi="TimesNewRoman" w:eastAsia="仿宋_GB2312" w:cs="TimesNewRoman"/>
          <w:kern w:val="2"/>
          <w:sz w:val="32"/>
          <w:szCs w:val="32"/>
          <w:lang w:val="en-US" w:eastAsia="zh-CN" w:bidi="ar-SA"/>
        </w:rPr>
      </w:pPr>
      <w:r>
        <w:rPr>
          <w:rFonts w:hint="eastAsia" w:ascii="TimesNewRoman" w:hAnsi="TimesNewRoman" w:eastAsia="仿宋_GB2312" w:cs="TimesNewRoman"/>
          <w:kern w:val="2"/>
          <w:sz w:val="32"/>
          <w:szCs w:val="32"/>
          <w:lang w:val="en-US" w:eastAsia="zh-CN" w:bidi="ar-SA"/>
        </w:rPr>
        <w:t>除此之外，还要围绕区委、区政府中心工作，努力完成招商、禁烧等其它任务。</w:t>
      </w:r>
    </w:p>
    <w:p w14:paraId="1597DE86">
      <w:pPr>
        <w:pStyle w:val="4"/>
        <w:adjustRightInd w:val="0"/>
        <w:snapToGrid w:val="0"/>
        <w:spacing w:line="560" w:lineRule="exact"/>
        <w:ind w:firstLine="627" w:firstLineChars="196"/>
        <w:rPr>
          <w:rFonts w:ascii="TimesNewRoman" w:hAnsi="TimesNewRoman" w:eastAsia="仿宋_GB2312" w:cs="TimesNewRoman"/>
          <w:bCs/>
          <w:sz w:val="32"/>
          <w:szCs w:val="32"/>
        </w:rPr>
      </w:pPr>
    </w:p>
    <w:p w14:paraId="71D58031"/>
    <w:p w14:paraId="2958DF4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2025年部门</w:t>
      </w:r>
      <w:r>
        <w:rPr>
          <w:rFonts w:hint="eastAsia" w:ascii="TimesNewRoman" w:hAnsi="TimesNewRoman" w:eastAsia="黑体" w:cs="TimesNewRoman"/>
          <w:bCs/>
          <w:sz w:val="36"/>
          <w:szCs w:val="36"/>
        </w:rPr>
        <w:t>预算表</w:t>
      </w:r>
    </w:p>
    <w:p w14:paraId="5FD86BC6">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B2A4261">
      <w:r>
        <w:t xml:space="preserve">                                        </w:t>
      </w:r>
    </w:p>
    <w:p w14:paraId="3CBDA5B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2025年部门</w:t>
      </w:r>
      <w:r>
        <w:rPr>
          <w:rFonts w:hint="eastAsia" w:ascii="TimesNewRoman" w:hAnsi="TimesNewRoman" w:eastAsia="黑体" w:cs="TimesNewRoman"/>
          <w:bCs/>
          <w:sz w:val="36"/>
          <w:szCs w:val="36"/>
        </w:rPr>
        <w:t>预算情况说明</w:t>
      </w:r>
    </w:p>
    <w:p w14:paraId="1C9E42C2"/>
    <w:p w14:paraId="19A0FF3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收支总表的说明</w:t>
      </w:r>
    </w:p>
    <w:p w14:paraId="29BB7701">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杜集区机关事务管理中心</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杜集区机关事务管理中心2025年</w:t>
      </w:r>
      <w:r>
        <w:rPr>
          <w:rFonts w:hint="eastAsia" w:ascii="TimesNewRoman" w:hAnsi="TimesNewRoman" w:eastAsia="仿宋_GB2312" w:cs="TimesNewRoman"/>
          <w:sz w:val="32"/>
          <w:szCs w:val="32"/>
        </w:rPr>
        <w:t>收支总预算</w:t>
      </w:r>
      <w:r>
        <w:rPr>
          <w:rFonts w:hint="eastAsia" w:ascii="TimesNewRoman" w:hAnsi="TimesNewRoman" w:eastAsia="仿宋_GB2312" w:cs="TimesNewRoman"/>
          <w:sz w:val="32"/>
          <w:szCs w:val="32"/>
          <w:lang w:val="en-US" w:eastAsia="zh-CN"/>
        </w:rPr>
        <w:t>1759.27</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收入全部是一般公共预算拨款收入</w:t>
      </w:r>
      <w:r>
        <w:rPr>
          <w:rFonts w:hint="eastAsia" w:ascii="TimesNewRoman" w:hAnsi="TimesNewRoman" w:eastAsia="仿宋_GB2312" w:cs="TimesNewRoman"/>
          <w:sz w:val="32"/>
          <w:szCs w:val="32"/>
          <w:lang w:val="en-US" w:eastAsia="zh-CN"/>
        </w:rPr>
        <w:t>1759.27</w:t>
      </w:r>
      <w:r>
        <w:rPr>
          <w:rFonts w:hint="eastAsia" w:ascii="TimesNewRoman" w:hAnsi="TimesNewRoman" w:eastAsia="仿宋_GB2312" w:cs="TimesNewRoman"/>
          <w:sz w:val="32"/>
          <w:szCs w:val="32"/>
          <w:lang w:eastAsia="zh-CN"/>
        </w:rPr>
        <w:t>万元</w:t>
      </w:r>
      <w:r>
        <w:rPr>
          <w:rFonts w:hint="eastAsia" w:ascii="TimesNewRoman" w:hAnsi="TimesNewRoman" w:eastAsia="仿宋_GB2312" w:cs="TimesNewRoman"/>
          <w:sz w:val="32"/>
          <w:szCs w:val="32"/>
        </w:rPr>
        <w:t>，支出包括：一般公共服务支出、社会保障和就业支出、卫生健康支出、住房</w:t>
      </w:r>
    </w:p>
    <w:p w14:paraId="1242D04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收入总表的说明</w:t>
      </w:r>
    </w:p>
    <w:p w14:paraId="55E9CF3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收入预算</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w:t>
      </w:r>
    </w:p>
    <w:p w14:paraId="30CE6FFB">
      <w:pPr>
        <w:ind w:firstLine="643"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b/>
          <w:kern w:val="0"/>
          <w:sz w:val="32"/>
          <w:szCs w:val="32"/>
        </w:rPr>
        <w:t>本年收入</w:t>
      </w:r>
      <w:r>
        <w:rPr>
          <w:rFonts w:hint="eastAsia" w:ascii="TimesNewRoman" w:hAnsi="TimesNewRoman" w:eastAsia="仿宋_GB2312" w:cs="TimesNewRoman"/>
          <w:b/>
          <w:kern w:val="0"/>
          <w:sz w:val="32"/>
          <w:szCs w:val="32"/>
          <w:lang w:val="en-US" w:eastAsia="zh-CN"/>
        </w:rPr>
        <w:t>1759.27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259.94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12.87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减少维修维护等项目</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年预算增加（减少）</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万元，增长（下降）</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无此项目</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年预算增加（减少）</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万元，增长（下降）</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无此项目</w:t>
      </w:r>
      <w:r>
        <w:rPr>
          <w:rFonts w:hint="eastAsia" w:ascii="TimesNewRoman" w:hAnsi="TimesNewRoman" w:eastAsia="仿宋_GB2312" w:cs="TimesNewRoman"/>
          <w:kern w:val="0"/>
          <w:sz w:val="32"/>
          <w:szCs w:val="32"/>
        </w:rPr>
        <w:t>。</w:t>
      </w:r>
    </w:p>
    <w:p w14:paraId="2EF8A7A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支出总表的说明</w:t>
      </w:r>
    </w:p>
    <w:p w14:paraId="3492427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支出预算</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259.94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12.87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减少维修维护等项目</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384.27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21.84</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78.16</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val="en-US" w:eastAsia="zh-CN"/>
        </w:rPr>
        <w:t>车辆运转、日常办公维修费用</w:t>
      </w:r>
      <w:r>
        <w:rPr>
          <w:rFonts w:hint="eastAsia" w:ascii="TimesNewRoman" w:hAnsi="TimesNewRoman" w:eastAsia="仿宋_GB2312" w:cs="TimesNewRoman"/>
          <w:kern w:val="0"/>
          <w:sz w:val="32"/>
          <w:szCs w:val="32"/>
        </w:rPr>
        <w:t>。</w:t>
      </w:r>
    </w:p>
    <w:p w14:paraId="4F05180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财政拨款收支总表的说明</w:t>
      </w:r>
    </w:p>
    <w:p w14:paraId="629E291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财政拨款收支预算</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1730.23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98.35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15.86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0.9</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3.84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0.22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9.34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0.53</w:t>
      </w:r>
      <w:r>
        <w:rPr>
          <w:rFonts w:hint="eastAsia" w:ascii="TimesNewRoman" w:hAnsi="TimesNewRoman" w:eastAsia="仿宋_GB2312" w:cs="TimesNewRoman"/>
          <w:kern w:val="0"/>
          <w:sz w:val="32"/>
          <w:szCs w:val="32"/>
        </w:rPr>
        <w:t>%。</w:t>
      </w:r>
    </w:p>
    <w:p w14:paraId="48FEBDE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一般公共预算支出表的说明</w:t>
      </w:r>
    </w:p>
    <w:p w14:paraId="215DF757">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234B66A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一般公共预算支出</w:t>
      </w:r>
      <w:r>
        <w:rPr>
          <w:rFonts w:hint="eastAsia" w:ascii="TimesNewRoman" w:hAnsi="TimesNewRoman" w:eastAsia="仿宋_GB2312" w:cs="TimesNewRoman"/>
          <w:kern w:val="0"/>
          <w:sz w:val="32"/>
          <w:szCs w:val="32"/>
          <w:lang w:val="en-US" w:eastAsia="zh-CN"/>
        </w:rPr>
        <w:t>1759.27</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259.94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12.87</w:t>
      </w:r>
      <w:r>
        <w:rPr>
          <w:rFonts w:hint="eastAsia" w:ascii="TimesNewRoman" w:hAnsi="TimesNewRoman" w:eastAsia="仿宋_GB2312" w:cs="TimesNewRoman"/>
          <w:kern w:val="0"/>
          <w:sz w:val="32"/>
          <w:szCs w:val="32"/>
        </w:rPr>
        <w:t>%，主要原因：一是</w:t>
      </w:r>
      <w:r>
        <w:rPr>
          <w:rFonts w:hint="eastAsia" w:ascii="TimesNewRoman" w:hAnsi="TimesNewRoman" w:eastAsia="仿宋_GB2312" w:cs="TimesNewRoman"/>
          <w:kern w:val="0"/>
          <w:sz w:val="32"/>
          <w:szCs w:val="32"/>
          <w:lang w:val="en-US" w:eastAsia="zh-CN"/>
        </w:rPr>
        <w:t>项目减少</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val="en-US" w:eastAsia="zh-CN"/>
        </w:rPr>
        <w:t>维修维护费用降低</w:t>
      </w:r>
      <w:r>
        <w:rPr>
          <w:rFonts w:hint="eastAsia" w:ascii="TimesNewRoman" w:hAnsi="TimesNewRoman" w:eastAsia="仿宋_GB2312" w:cs="TimesNewRoman"/>
          <w:kern w:val="0"/>
          <w:sz w:val="32"/>
          <w:szCs w:val="32"/>
        </w:rPr>
        <w:t>。</w:t>
      </w:r>
    </w:p>
    <w:p w14:paraId="49DE98C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D7D80E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1730.23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98.35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15.86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0.9</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3.84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0.22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9.34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0.53</w:t>
      </w:r>
      <w:r>
        <w:rPr>
          <w:rFonts w:hint="eastAsia" w:ascii="TimesNewRoman" w:hAnsi="TimesNewRoman" w:eastAsia="仿宋_GB2312" w:cs="TimesNewRoman"/>
          <w:kern w:val="0"/>
          <w:sz w:val="32"/>
          <w:szCs w:val="32"/>
        </w:rPr>
        <w:t>%。</w:t>
      </w:r>
    </w:p>
    <w:p w14:paraId="4CCA7076">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955B5A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color w:val="FF0000"/>
          <w:kern w:val="0"/>
          <w:sz w:val="32"/>
          <w:szCs w:val="32"/>
        </w:rPr>
        <w:t>一般公共服务支出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财政事务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行政运行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355.23</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296.03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500.05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将所有人员经费全部转入行政运行中支出</w:t>
      </w:r>
      <w:r>
        <w:rPr>
          <w:rFonts w:hint="eastAsia" w:ascii="TimesNewRoman" w:hAnsi="TimesNewRoman" w:eastAsia="仿宋_GB2312" w:cs="TimesNewRoman"/>
          <w:kern w:val="0"/>
          <w:sz w:val="32"/>
          <w:szCs w:val="32"/>
        </w:rPr>
        <w:t>。</w:t>
      </w:r>
    </w:p>
    <w:p w14:paraId="4193C8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color w:val="FF0000"/>
          <w:kern w:val="0"/>
          <w:sz w:val="32"/>
          <w:szCs w:val="32"/>
        </w:rPr>
        <w:t>一般公共服务支出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财政事务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一般行政管理事务</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528.76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27.77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人员经费移出，维修维护项目减少</w:t>
      </w:r>
      <w:r>
        <w:rPr>
          <w:rFonts w:hint="eastAsia" w:ascii="TimesNewRoman" w:hAnsi="TimesNewRoman" w:eastAsia="仿宋_GB2312" w:cs="TimesNewRoman"/>
          <w:kern w:val="0"/>
          <w:sz w:val="32"/>
          <w:szCs w:val="32"/>
        </w:rPr>
        <w:t>。</w:t>
      </w:r>
    </w:p>
    <w:p w14:paraId="74D671D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w:t>
      </w:r>
      <w:r>
        <w:rPr>
          <w:rFonts w:hint="eastAsia" w:ascii="TimesNewRoman" w:hAnsi="TimesNewRoman" w:eastAsia="仿宋_GB2312" w:cs="TimesNewRoman"/>
          <w:color w:val="FF0000"/>
          <w:kern w:val="0"/>
          <w:sz w:val="32"/>
          <w:szCs w:val="32"/>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行政事业单位</w:t>
      </w:r>
      <w:r>
        <w:rPr>
          <w:rFonts w:hint="eastAsia" w:ascii="TimesNewRoman" w:hAnsi="TimesNewRoman" w:eastAsia="仿宋_GB2312" w:cs="TimesNewRoman"/>
          <w:color w:val="FF0000"/>
          <w:kern w:val="0"/>
          <w:sz w:val="32"/>
          <w:szCs w:val="32"/>
          <w:lang w:val="en-US" w:eastAsia="zh-CN"/>
        </w:rPr>
        <w:t>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行政事业单位离退休</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7.29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7.29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增加离退休人员费用</w:t>
      </w:r>
      <w:r>
        <w:rPr>
          <w:rFonts w:hint="eastAsia" w:ascii="TimesNewRoman" w:hAnsi="TimesNewRoman" w:eastAsia="仿宋_GB2312" w:cs="TimesNewRoman"/>
          <w:kern w:val="0"/>
          <w:sz w:val="32"/>
          <w:szCs w:val="32"/>
        </w:rPr>
        <w:t>。</w:t>
      </w:r>
    </w:p>
    <w:p w14:paraId="767071D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行政事业单位</w:t>
      </w:r>
      <w:r>
        <w:rPr>
          <w:rFonts w:hint="eastAsia" w:ascii="TimesNewRoman" w:hAnsi="TimesNewRoman" w:eastAsia="仿宋_GB2312" w:cs="TimesNewRoman"/>
          <w:color w:val="FF0000"/>
          <w:kern w:val="0"/>
          <w:sz w:val="32"/>
          <w:szCs w:val="32"/>
          <w:lang w:val="en-US" w:eastAsia="zh-CN"/>
        </w:rPr>
        <w:t>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机关事业单位基本养老保险缴费支出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5.24</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1.38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20.85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5CEEFD9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行政事业单位</w:t>
      </w:r>
      <w:r>
        <w:rPr>
          <w:rFonts w:hint="eastAsia" w:ascii="TimesNewRoman" w:hAnsi="TimesNewRoman" w:eastAsia="仿宋_GB2312" w:cs="TimesNewRoman"/>
          <w:color w:val="FF0000"/>
          <w:kern w:val="0"/>
          <w:sz w:val="32"/>
          <w:szCs w:val="32"/>
          <w:lang w:val="en-US" w:eastAsia="zh-CN"/>
        </w:rPr>
        <w:t>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机关事业单位</w:t>
      </w:r>
      <w:r>
        <w:rPr>
          <w:rFonts w:hint="eastAsia" w:ascii="TimesNewRoman" w:hAnsi="TimesNewRoman" w:eastAsia="仿宋_GB2312" w:cs="TimesNewRoman"/>
          <w:color w:val="FF0000"/>
          <w:kern w:val="0"/>
          <w:sz w:val="32"/>
          <w:szCs w:val="32"/>
          <w:lang w:val="en-US" w:eastAsia="zh-CN"/>
        </w:rPr>
        <w:t>职业年金缴费支出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2.62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0.61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20.85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4AEE05F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lang w:val="en-US" w:eastAsia="zh-CN"/>
        </w:rPr>
        <w:t>其他社会保障和就业支出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lang w:val="en-US" w:eastAsia="zh-CN"/>
        </w:rPr>
        <w:t>其他社会保障和就业支出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0.11</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3A245E3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lang w:val="en-US"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lang w:val="en-US"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lang w:val="en-US" w:eastAsia="zh-CN"/>
        </w:rPr>
        <w:t>行政单位医疗</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2.36</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0.17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6.72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609A3B4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lang w:val="en-US"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lang w:val="en-US"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lang w:val="en-US" w:eastAsia="zh-CN"/>
        </w:rPr>
        <w:t>公务员医疗补助</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1.48</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5.71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1EE389B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rPr>
        <w:t>住房保障支出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住房改革支出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rPr>
        <w:t>住房公积金</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6.6</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0.77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10.45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0E1932A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FF0000"/>
          <w:kern w:val="0"/>
          <w:sz w:val="32"/>
          <w:szCs w:val="32"/>
        </w:rPr>
        <w:t>住房保障支出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color w:val="FF0000"/>
          <w:kern w:val="0"/>
          <w:sz w:val="32"/>
          <w:szCs w:val="32"/>
        </w:rPr>
        <w:t>住房改革支出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color w:val="FF0000"/>
          <w:kern w:val="0"/>
          <w:sz w:val="32"/>
          <w:szCs w:val="32"/>
          <w:lang w:val="en-US" w:eastAsia="zh-CN"/>
        </w:rPr>
        <w:t>购房补贴</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2.75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0.32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10.42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人员缴费比例变动</w:t>
      </w:r>
      <w:r>
        <w:rPr>
          <w:rFonts w:hint="eastAsia" w:ascii="TimesNewRoman" w:hAnsi="TimesNewRoman" w:eastAsia="仿宋_GB2312" w:cs="TimesNewRoman"/>
          <w:kern w:val="0"/>
          <w:sz w:val="32"/>
          <w:szCs w:val="32"/>
        </w:rPr>
        <w:t>。</w:t>
      </w:r>
    </w:p>
    <w:p w14:paraId="61D5E0C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一般公共预算基本支出表的说明</w:t>
      </w:r>
    </w:p>
    <w:p w14:paraId="668DDD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一般公共预算基本支出</w:t>
      </w:r>
      <w:r>
        <w:rPr>
          <w:rFonts w:hint="eastAsia" w:ascii="TimesNewRoman" w:hAnsi="TimesNewRoman" w:eastAsia="仿宋_GB2312" w:cs="TimesNewRoman"/>
          <w:kern w:val="0"/>
          <w:sz w:val="32"/>
          <w:szCs w:val="32"/>
          <w:lang w:val="en-US" w:eastAsia="zh-CN"/>
        </w:rPr>
        <w:t>1730.23</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346.81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8.42</w:t>
      </w:r>
      <w:r>
        <w:rPr>
          <w:rFonts w:hint="eastAsia" w:ascii="TimesNewRoman" w:hAnsi="TimesNewRoman" w:eastAsia="仿宋_GB2312" w:cs="TimesNewRoman"/>
          <w:kern w:val="0"/>
          <w:sz w:val="32"/>
          <w:szCs w:val="32"/>
        </w:rPr>
        <w:t>万元。</w:t>
      </w:r>
    </w:p>
    <w:p w14:paraId="2051DE28">
      <w:pPr>
        <w:ind w:firstLine="643" w:firstLineChars="200"/>
        <w:rPr>
          <w:rFonts w:ascii="TimesNewRoman" w:hAnsi="TimesNewRoman" w:eastAsia="仿宋_GB2312" w:cs="TimesNewRoman"/>
          <w:color w:val="0070C0"/>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346.81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color w:val="0070C0"/>
          <w:kern w:val="0"/>
          <w:sz w:val="32"/>
          <w:szCs w:val="32"/>
        </w:rPr>
        <w:t>基本工资、津贴补贴、奖金、机关事业单位基本养老保险费、职业年金缴费、职工基本医疗保险缴费、公务员医疗补助缴费、其他社会保障缴费、住房公积金、医疗费、其他工资福利支出、。</w:t>
      </w:r>
    </w:p>
    <w:p w14:paraId="60E20260">
      <w:pPr>
        <w:ind w:firstLine="643" w:firstLineChars="200"/>
        <w:rPr>
          <w:rFonts w:ascii="TimesNewRoman" w:hAnsi="TimesNewRoman" w:eastAsia="仿宋_GB2312" w:cs="TimesNewRoman"/>
          <w:color w:val="0070C0"/>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8.42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color w:val="0070C0"/>
          <w:kern w:val="0"/>
          <w:sz w:val="32"/>
          <w:szCs w:val="32"/>
        </w:rPr>
        <w:t>办公费、对其他个人和家庭的补助支出、差旅费</w:t>
      </w:r>
      <w:r>
        <w:rPr>
          <w:rFonts w:hint="eastAsia" w:ascii="TimesNewRoman" w:hAnsi="TimesNewRoman" w:eastAsia="仿宋_GB2312" w:cs="TimesNewRoman"/>
          <w:color w:val="0070C0"/>
          <w:kern w:val="0"/>
          <w:sz w:val="32"/>
          <w:szCs w:val="32"/>
          <w:lang w:eastAsia="zh-CN"/>
        </w:rPr>
        <w:t>、</w:t>
      </w:r>
      <w:r>
        <w:rPr>
          <w:rFonts w:hint="eastAsia" w:ascii="TimesNewRoman" w:hAnsi="TimesNewRoman" w:eastAsia="仿宋_GB2312" w:cs="TimesNewRoman"/>
          <w:color w:val="0070C0"/>
          <w:kern w:val="0"/>
          <w:sz w:val="32"/>
          <w:szCs w:val="32"/>
          <w:lang w:val="en-US" w:eastAsia="zh-CN"/>
        </w:rPr>
        <w:t>其他交通费用</w:t>
      </w:r>
      <w:r>
        <w:rPr>
          <w:rFonts w:hint="eastAsia" w:ascii="TimesNewRoman" w:hAnsi="TimesNewRoman" w:eastAsia="仿宋_GB2312" w:cs="TimesNewRoman"/>
          <w:color w:val="0070C0"/>
          <w:kern w:val="0"/>
          <w:sz w:val="32"/>
          <w:szCs w:val="32"/>
        </w:rPr>
        <w:t>。</w:t>
      </w:r>
    </w:p>
    <w:p w14:paraId="6A6199D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政府性基金预算支出表的说明</w:t>
      </w:r>
    </w:p>
    <w:p w14:paraId="029536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没有政府性基金预算拨款收入，也没有使用政府性基金预算拨款安排的支出。</w:t>
      </w:r>
    </w:p>
    <w:p w14:paraId="4092E6A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国有资本经营预算支出表的说明</w:t>
      </w:r>
    </w:p>
    <w:p w14:paraId="001B1C6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没有国有资本经营预算拨款收入，也没有使用国有资本经营预算拨款安排的支出。</w:t>
      </w:r>
    </w:p>
    <w:p w14:paraId="3D29D56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项目支出表的说明</w:t>
      </w:r>
    </w:p>
    <w:p w14:paraId="5BC05A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预算共安排项目支出</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294.4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17.64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人员经费移除，维修、维护项目减少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39297D3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政府采购支出表的说明</w:t>
      </w:r>
    </w:p>
    <w:p w14:paraId="6C69DB7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预算安排政府采购支出</w:t>
      </w:r>
      <w:r>
        <w:rPr>
          <w:rFonts w:hint="eastAsia" w:ascii="TimesNewRoman" w:hAnsi="TimesNewRoman" w:eastAsia="仿宋_GB2312" w:cs="TimesNewRoman"/>
          <w:kern w:val="0"/>
          <w:sz w:val="32"/>
          <w:szCs w:val="32"/>
          <w:lang w:val="en-US" w:eastAsia="zh-CN"/>
        </w:rPr>
        <w:t>80</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7.5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8.57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减少其他物品采购</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3ECBF4E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2025年</w:t>
      </w:r>
      <w:r>
        <w:rPr>
          <w:rFonts w:hint="eastAsia" w:ascii="TimesNewRoman" w:hAnsi="TimesNewRoman" w:eastAsia="黑体" w:cs="TimesNewRoman"/>
          <w:bCs/>
          <w:sz w:val="32"/>
          <w:szCs w:val="32"/>
        </w:rPr>
        <w:t>政府购买服务支出表的说明</w:t>
      </w:r>
    </w:p>
    <w:p w14:paraId="1A3503A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预算安排政府购买服务支出</w:t>
      </w:r>
      <w:r>
        <w:rPr>
          <w:rFonts w:hint="eastAsia" w:ascii="TimesNewRoman" w:hAnsi="TimesNewRoman" w:eastAsia="仿宋_GB2312" w:cs="TimesNewRoman"/>
          <w:kern w:val="0"/>
          <w:sz w:val="32"/>
          <w:szCs w:val="32"/>
          <w:lang w:val="en-US" w:eastAsia="zh-CN"/>
        </w:rPr>
        <w:t>69.6</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9.6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物业服务重新招标，增加管理范围</w:t>
      </w:r>
      <w:r>
        <w:rPr>
          <w:rFonts w:hint="eastAsia" w:ascii="TimesNewRoman" w:hAnsi="TimesNewRoman" w:eastAsia="仿宋_GB2312" w:cs="TimesNewRoman"/>
          <w:kern w:val="0"/>
          <w:sz w:val="32"/>
          <w:szCs w:val="32"/>
        </w:rPr>
        <w:t>。</w:t>
      </w:r>
    </w:p>
    <w:p w14:paraId="1A9278C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2B574C4B">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A59CD21">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方正仿宋_GBK" w:cs="TimesNewRoman"/>
          <w:b/>
          <w:sz w:val="32"/>
          <w:szCs w:val="32"/>
        </w:rPr>
      </w:pPr>
      <w:r>
        <w:rPr>
          <w:rFonts w:hint="eastAsia" w:ascii="TimesNewRoman" w:hAnsi="TimesNewRoman" w:eastAsia="方正仿宋_GBK" w:cs="TimesNewRoman"/>
          <w:b/>
          <w:sz w:val="32"/>
          <w:szCs w:val="32"/>
          <w:lang w:val="en-US" w:eastAsia="zh-CN"/>
        </w:rPr>
        <w:t>1</w:t>
      </w:r>
      <w:r>
        <w:rPr>
          <w:rFonts w:hint="default" w:ascii="TimesNewRoman" w:hAnsi="TimesNewRoman" w:eastAsia="方正仿宋_GBK" w:cs="TimesNewRoman"/>
          <w:b/>
          <w:sz w:val="32"/>
          <w:szCs w:val="32"/>
        </w:rPr>
        <w:t>.</w:t>
      </w:r>
      <w:r>
        <w:rPr>
          <w:rFonts w:hint="default"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lang w:val="en-US" w:eastAsia="zh-CN"/>
        </w:rPr>
        <w:t>水电费</w:t>
      </w:r>
      <w:r>
        <w:rPr>
          <w:rFonts w:hint="default" w:ascii="方正仿宋_GBK" w:hAnsi="方正仿宋_GBK" w:eastAsia="方正仿宋_GBK" w:cs="方正仿宋_GBK"/>
          <w:b/>
          <w:sz w:val="32"/>
          <w:szCs w:val="32"/>
        </w:rPr>
        <w:t>”项目。</w:t>
      </w:r>
    </w:p>
    <w:p w14:paraId="655906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NewRoman" w:hAnsi="TimesNewRoman" w:eastAsia="方正仿宋_GBK" w:cs="TimesNewRoman"/>
          <w:sz w:val="32"/>
          <w:szCs w:val="32"/>
          <w:lang w:val="en-US" w:eastAsia="zh-CN"/>
        </w:rPr>
      </w:pPr>
      <w:r>
        <w:rPr>
          <w:rFonts w:hint="default" w:ascii="TimesNewRoman" w:hAnsi="TimesNewRoman" w:eastAsia="方正仿宋_GBK" w:cs="TimesNewRoman"/>
          <w:sz w:val="32"/>
          <w:szCs w:val="32"/>
        </w:rPr>
        <w:t>（1）项目概述。</w:t>
      </w:r>
      <w:r>
        <w:rPr>
          <w:rFonts w:hint="eastAsia" w:ascii="TimesNewRoman" w:hAnsi="TimesNewRoman" w:eastAsia="方正仿宋_GBK" w:cs="TimesNewRoman"/>
          <w:sz w:val="32"/>
          <w:szCs w:val="32"/>
          <w:lang w:val="en-US" w:eastAsia="zh-CN"/>
        </w:rPr>
        <w:t>机关办公区域水电费</w:t>
      </w:r>
    </w:p>
    <w:p w14:paraId="470ECA2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方正仿宋_GBK" w:cs="TimesNewRoman"/>
          <w:sz w:val="32"/>
          <w:szCs w:val="32"/>
          <w:lang w:val="en-US" w:eastAsia="zh-CN"/>
        </w:rPr>
      </w:pPr>
      <w:r>
        <w:rPr>
          <w:rFonts w:hint="default" w:ascii="TimesNewRoman" w:hAnsi="TimesNewRoman" w:eastAsia="方正仿宋_GBK" w:cs="TimesNewRoman"/>
          <w:sz w:val="32"/>
          <w:szCs w:val="32"/>
        </w:rPr>
        <w:t>（2）立项依据。</w:t>
      </w:r>
      <w:r>
        <w:rPr>
          <w:rFonts w:hint="eastAsia" w:ascii="TimesNewRoman" w:hAnsi="TimesNewRoman" w:eastAsia="方正仿宋_GBK" w:cs="TimesNewRoman"/>
          <w:sz w:val="32"/>
          <w:szCs w:val="32"/>
          <w:lang w:val="en-US" w:eastAsia="zh-CN"/>
        </w:rPr>
        <w:t>上年度实际支出数</w:t>
      </w:r>
      <w:bookmarkStart w:id="0" w:name="_GoBack"/>
      <w:bookmarkEnd w:id="0"/>
    </w:p>
    <w:p w14:paraId="4EBD81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方正仿宋_GBK" w:cs="TimesNewRoman"/>
          <w:sz w:val="32"/>
          <w:szCs w:val="32"/>
          <w:u w:val="single"/>
        </w:rPr>
      </w:pPr>
      <w:r>
        <w:rPr>
          <w:rFonts w:hint="default" w:ascii="TimesNewRoman" w:hAnsi="TimesNewRoman" w:eastAsia="方正仿宋_GBK" w:cs="TimesNewRoman"/>
          <w:sz w:val="32"/>
          <w:szCs w:val="32"/>
        </w:rPr>
        <w:t>（3）实施主体。</w:t>
      </w:r>
      <w:r>
        <w:rPr>
          <w:rFonts w:hint="default" w:ascii="TimesNewRoman" w:hAnsi="TimesNewRoman" w:eastAsia="方正仿宋_GBK" w:cs="TimesNewRoman"/>
          <w:sz w:val="32"/>
          <w:szCs w:val="32"/>
          <w:lang w:val="en-US" w:eastAsia="zh-CN"/>
        </w:rPr>
        <w:t>淮北市杜集区机关事务管理中心</w:t>
      </w:r>
    </w:p>
    <w:p w14:paraId="5472F3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NewRoman" w:hAnsi="TimesNewRoman" w:eastAsia="方正仿宋_GBK" w:cs="TimesNewRoman"/>
          <w:sz w:val="32"/>
          <w:szCs w:val="32"/>
          <w:lang w:val="en-US" w:eastAsia="zh-CN"/>
        </w:rPr>
      </w:pPr>
      <w:r>
        <w:rPr>
          <w:rFonts w:hint="default" w:ascii="TimesNewRoman" w:hAnsi="TimesNewRoman" w:eastAsia="方正仿宋_GBK" w:cs="TimesNewRoman"/>
          <w:sz w:val="32"/>
          <w:szCs w:val="32"/>
        </w:rPr>
        <w:t>（4）起止时间。</w:t>
      </w:r>
      <w:r>
        <w:rPr>
          <w:rFonts w:hint="eastAsia" w:ascii="TimesNewRoman" w:hAnsi="TimesNewRoman" w:eastAsia="方正仿宋_GBK" w:cs="TimesNewRoman"/>
          <w:sz w:val="32"/>
          <w:szCs w:val="32"/>
          <w:lang w:val="en-US" w:eastAsia="zh-CN"/>
        </w:rPr>
        <w:t>2025.1-2025.12</w:t>
      </w:r>
    </w:p>
    <w:p w14:paraId="448F2A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方正仿宋_GBK" w:cs="TimesNewRoman"/>
          <w:bCs/>
          <w:sz w:val="32"/>
          <w:szCs w:val="32"/>
        </w:rPr>
      </w:pPr>
      <w:r>
        <w:rPr>
          <w:rFonts w:hint="default" w:ascii="TimesNewRoman" w:hAnsi="TimesNewRoman" w:eastAsia="方正仿宋_GBK" w:cs="TimesNewRoman"/>
          <w:sz w:val="32"/>
          <w:szCs w:val="32"/>
        </w:rPr>
        <w:t>（5）项目内容。</w:t>
      </w:r>
      <w:r>
        <w:rPr>
          <w:rFonts w:hint="eastAsia" w:ascii="TimesNewRoman" w:hAnsi="TimesNewRoman" w:eastAsia="方正仿宋_GBK" w:cs="TimesNewRoman"/>
          <w:sz w:val="32"/>
          <w:szCs w:val="32"/>
          <w:lang w:val="en-US" w:eastAsia="zh-CN"/>
        </w:rPr>
        <w:t>机关办公区域水电费</w:t>
      </w:r>
    </w:p>
    <w:p w14:paraId="09CBFA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NewRoman" w:hAnsi="TimesNewRoman" w:eastAsia="方正仿宋_GBK" w:cs="TimesNewRoman"/>
          <w:sz w:val="32"/>
          <w:szCs w:val="32"/>
          <w:lang w:val="en-US" w:eastAsia="zh-CN"/>
        </w:rPr>
      </w:pPr>
      <w:r>
        <w:rPr>
          <w:rFonts w:hint="default" w:ascii="TimesNewRoman" w:hAnsi="TimesNewRoman" w:eastAsia="方正仿宋_GBK" w:cs="TimesNewRoman"/>
          <w:sz w:val="32"/>
          <w:szCs w:val="32"/>
        </w:rPr>
        <w:t>（6）年度预算安排。</w:t>
      </w:r>
      <w:r>
        <w:rPr>
          <w:rFonts w:hint="eastAsia" w:ascii="TimesNewRoman" w:hAnsi="TimesNewRoman" w:eastAsia="方正仿宋_GBK" w:cs="TimesNewRoman"/>
          <w:sz w:val="32"/>
          <w:szCs w:val="32"/>
          <w:lang w:val="en-US" w:eastAsia="zh-CN"/>
        </w:rPr>
        <w:t>98万元</w:t>
      </w:r>
    </w:p>
    <w:p w14:paraId="15549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（7）绩效目标。</w:t>
      </w:r>
      <w:r>
        <w:rPr>
          <w:rFonts w:hint="default" w:ascii="TimesNewRoman" w:hAnsi="TimesNewRoman" w:eastAsia="方正仿宋_GBK" w:cs="TimesNewRoman"/>
          <w:sz w:val="32"/>
          <w:szCs w:val="32"/>
          <w:lang w:val="en-US" w:eastAsia="zh-CN"/>
        </w:rPr>
        <w:t>保障机关办公区域正常用水用电</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41E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3F6ADF4">
            <w:pPr>
              <w:keepNext w:val="0"/>
              <w:keepLines w:val="0"/>
              <w:widowControl/>
              <w:suppressLineNumbers w:val="0"/>
              <w:jc w:val="center"/>
              <w:textAlignment w:val="center"/>
              <w:rPr>
                <w:rFonts w:hint="default" w:ascii="TimesNewRoman" w:hAnsi="TimesNewRoman" w:eastAsia="仿宋_GB2312" w:cs="TimesNewRoman"/>
                <w:b/>
                <w:bCs/>
                <w:sz w:val="32"/>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14:paraId="5E33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5DFA3DE8">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5</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14:paraId="0FF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71DD408C">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66A908B4">
            <w:pPr>
              <w:jc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18"/>
                <w:szCs w:val="18"/>
                <w:u w:val="none"/>
                <w:lang w:val="en-US" w:eastAsia="zh-CN" w:bidi="ar"/>
              </w:rPr>
              <w:t>水电费</w:t>
            </w:r>
          </w:p>
        </w:tc>
      </w:tr>
      <w:tr w14:paraId="76D2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322EF4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3FFEF9DD">
            <w:pPr>
              <w:jc w:val="center"/>
              <w:rPr>
                <w:rFonts w:hint="default" w:ascii="TimesNewRoman" w:hAnsi="TimesNewRoman" w:eastAsia="仿宋_GB2312" w:cs="TimesNewRoman"/>
                <w:sz w:val="20"/>
                <w:szCs w:val="20"/>
                <w:highlight w:val="none"/>
              </w:rPr>
            </w:pPr>
            <w:r>
              <w:rPr>
                <w:rFonts w:hint="default" w:ascii="宋体" w:hAnsi="宋体" w:eastAsia="宋体" w:cs="宋体"/>
                <w:i w:val="0"/>
                <w:iCs w:val="0"/>
                <w:color w:val="000000"/>
                <w:kern w:val="0"/>
                <w:sz w:val="18"/>
                <w:szCs w:val="18"/>
                <w:u w:val="none"/>
                <w:lang w:val="en-US" w:eastAsia="zh-CN" w:bidi="ar"/>
              </w:rPr>
              <w:t>[004]淮北市杜集区机关事务管理中心</w:t>
            </w:r>
          </w:p>
        </w:tc>
        <w:tc>
          <w:tcPr>
            <w:tcW w:w="1848" w:type="dxa"/>
            <w:tcBorders>
              <w:tl2br w:val="nil"/>
              <w:tr2bl w:val="nil"/>
            </w:tcBorders>
            <w:noWrap w:val="0"/>
            <w:vAlign w:val="center"/>
          </w:tcPr>
          <w:p w14:paraId="5626642D">
            <w:pPr>
              <w:keepNext w:val="0"/>
              <w:keepLines w:val="0"/>
              <w:widowControl/>
              <w:suppressLineNumbers w:val="0"/>
              <w:jc w:val="center"/>
              <w:textAlignment w:val="center"/>
              <w:rPr>
                <w:rFonts w:hint="default" w:ascii="TimesNewRoman" w:hAnsi="TimesNewRoman" w:eastAsia="仿宋_GB2312" w:cs="TimesNewRoman"/>
                <w:sz w:val="32"/>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1F7EF04E">
            <w:pPr>
              <w:jc w:val="center"/>
              <w:rPr>
                <w:rFonts w:hint="default" w:ascii="TimesNewRoman" w:hAnsi="TimesNewRoman" w:eastAsia="仿宋_GB2312" w:cs="TimesNewRoman"/>
                <w:sz w:val="32"/>
                <w:szCs w:val="20"/>
                <w:highlight w:val="none"/>
              </w:rPr>
            </w:pPr>
            <w:r>
              <w:rPr>
                <w:rFonts w:hint="default" w:ascii="宋体" w:hAnsi="宋体" w:eastAsia="宋体" w:cs="宋体"/>
                <w:i w:val="0"/>
                <w:iCs w:val="0"/>
                <w:color w:val="000000"/>
                <w:kern w:val="0"/>
                <w:sz w:val="18"/>
                <w:szCs w:val="18"/>
                <w:u w:val="none"/>
                <w:lang w:val="en-US" w:eastAsia="zh-CN" w:bidi="ar"/>
              </w:rPr>
              <w:t>淮北市杜集区机关事务管理中心</w:t>
            </w:r>
          </w:p>
        </w:tc>
      </w:tr>
      <w:tr w14:paraId="3C70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8CFD34C">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1F493EE0">
            <w:pPr>
              <w:jc w:val="center"/>
              <w:rPr>
                <w:rFonts w:hint="default" w:ascii="TimesNewRoman" w:hAnsi="TimesNewRoman" w:eastAsia="仿宋_GB2312" w:cs="TimesNewRoman"/>
                <w:sz w:val="20"/>
                <w:szCs w:val="20"/>
                <w:highlight w:val="none"/>
              </w:rPr>
            </w:pPr>
          </w:p>
        </w:tc>
        <w:tc>
          <w:tcPr>
            <w:tcW w:w="1848" w:type="dxa"/>
            <w:tcBorders>
              <w:tl2br w:val="nil"/>
              <w:tr2bl w:val="nil"/>
            </w:tcBorders>
            <w:noWrap w:val="0"/>
            <w:vAlign w:val="center"/>
          </w:tcPr>
          <w:p w14:paraId="5F1D95E3">
            <w:pPr>
              <w:keepNext w:val="0"/>
              <w:keepLines w:val="0"/>
              <w:widowControl/>
              <w:suppressLineNumbers w:val="0"/>
              <w:jc w:val="center"/>
              <w:textAlignment w:val="center"/>
              <w:rPr>
                <w:rFonts w:hint="default" w:ascii="TimesNewRoman" w:hAnsi="TimesNewRoman" w:eastAsia="仿宋_GB2312" w:cs="TimesNewRoman"/>
                <w:sz w:val="32"/>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49DCE60C">
            <w:pPr>
              <w:jc w:val="center"/>
              <w:rPr>
                <w:rFonts w:hint="default" w:ascii="TimesNewRoman" w:hAnsi="TimesNewRoman" w:eastAsia="仿宋_GB2312" w:cs="TimesNewRoman"/>
                <w:sz w:val="32"/>
                <w:szCs w:val="20"/>
                <w:highlight w:val="none"/>
                <w:lang w:val="en-US" w:eastAsia="zh-CN"/>
              </w:rPr>
            </w:pPr>
            <w:r>
              <w:rPr>
                <w:rFonts w:hint="eastAsia" w:ascii="宋体" w:hAnsi="宋体" w:eastAsia="宋体" w:cs="宋体"/>
                <w:i w:val="0"/>
                <w:iCs w:val="0"/>
                <w:color w:val="000000"/>
                <w:kern w:val="0"/>
                <w:sz w:val="18"/>
                <w:szCs w:val="18"/>
                <w:u w:val="none"/>
                <w:lang w:val="en-US" w:eastAsia="zh-CN" w:bidi="ar"/>
              </w:rPr>
              <w:t>1年</w:t>
            </w:r>
          </w:p>
        </w:tc>
      </w:tr>
      <w:tr w14:paraId="415B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608BC0E3">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1B200A28">
            <w:pPr>
              <w:keepNext w:val="0"/>
              <w:keepLines w:val="0"/>
              <w:widowControl/>
              <w:suppressLineNumbers w:val="0"/>
              <w:jc w:val="left"/>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33D7FE0A">
            <w:pPr>
              <w:jc w:val="center"/>
              <w:rPr>
                <w:rFonts w:hint="default" w:ascii="TimesNewRoman" w:hAnsi="TimesNewRoman" w:eastAsia="仿宋_GB2312" w:cs="TimesNewRoman"/>
                <w:sz w:val="20"/>
                <w:szCs w:val="20"/>
                <w:highlight w:val="none"/>
                <w:lang w:val="en-US" w:eastAsia="zh-CN"/>
              </w:rPr>
            </w:pPr>
            <w:r>
              <w:rPr>
                <w:rFonts w:hint="eastAsia" w:ascii="TimesNewRoman" w:hAnsi="TimesNewRoman" w:eastAsia="仿宋_GB2312" w:cs="TimesNewRoman"/>
                <w:sz w:val="20"/>
                <w:szCs w:val="20"/>
                <w:highlight w:val="none"/>
                <w:lang w:val="en-US" w:eastAsia="zh-CN"/>
              </w:rPr>
              <w:t>98</w:t>
            </w:r>
          </w:p>
        </w:tc>
      </w:tr>
      <w:tr w14:paraId="5F1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32465C8">
            <w:pPr>
              <w:jc w:val="center"/>
              <w:rPr>
                <w:rFonts w:hint="default" w:ascii="TimesNewRoman" w:hAnsi="TimesNewRoman" w:eastAsia="仿宋_GB2312" w:cs="TimesNewRoman"/>
                <w:sz w:val="20"/>
                <w:szCs w:val="20"/>
                <w:highlight w:val="none"/>
              </w:rPr>
            </w:pPr>
          </w:p>
        </w:tc>
        <w:tc>
          <w:tcPr>
            <w:tcW w:w="3349" w:type="dxa"/>
            <w:gridSpan w:val="2"/>
            <w:tcBorders>
              <w:tl2br w:val="nil"/>
              <w:tr2bl w:val="nil"/>
            </w:tcBorders>
            <w:noWrap w:val="0"/>
            <w:vAlign w:val="center"/>
          </w:tcPr>
          <w:p w14:paraId="29C3D480">
            <w:pPr>
              <w:keepNext w:val="0"/>
              <w:keepLines w:val="0"/>
              <w:widowControl/>
              <w:suppressLineNumbers w:val="0"/>
              <w:jc w:val="left"/>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796C50A4">
            <w:pPr>
              <w:jc w:val="center"/>
              <w:rPr>
                <w:rFonts w:hint="default" w:ascii="TimesNewRoman" w:hAnsi="TimesNewRoman" w:eastAsia="仿宋_GB2312" w:cs="TimesNewRoman"/>
                <w:sz w:val="20"/>
                <w:szCs w:val="20"/>
                <w:highlight w:val="none"/>
                <w:lang w:val="en-US" w:eastAsia="zh-CN"/>
              </w:rPr>
            </w:pPr>
            <w:r>
              <w:rPr>
                <w:rFonts w:hint="eastAsia" w:ascii="TimesNewRoman" w:hAnsi="TimesNewRoman" w:eastAsia="仿宋_GB2312" w:cs="TimesNewRoman"/>
                <w:sz w:val="20"/>
                <w:szCs w:val="20"/>
                <w:highlight w:val="none"/>
                <w:lang w:val="en-US" w:eastAsia="zh-CN"/>
              </w:rPr>
              <w:t>98</w:t>
            </w:r>
          </w:p>
        </w:tc>
      </w:tr>
      <w:tr w14:paraId="520A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8CD47D8">
            <w:pPr>
              <w:jc w:val="center"/>
              <w:rPr>
                <w:rFonts w:hint="default" w:ascii="TimesNewRoman" w:hAnsi="TimesNewRoman" w:eastAsia="仿宋_GB2312" w:cs="TimesNewRoman"/>
                <w:sz w:val="20"/>
                <w:szCs w:val="20"/>
                <w:highlight w:val="none"/>
              </w:rPr>
            </w:pPr>
          </w:p>
        </w:tc>
        <w:tc>
          <w:tcPr>
            <w:tcW w:w="3349" w:type="dxa"/>
            <w:gridSpan w:val="2"/>
            <w:tcBorders>
              <w:tl2br w:val="nil"/>
              <w:tr2bl w:val="nil"/>
            </w:tcBorders>
            <w:noWrap w:val="0"/>
            <w:vAlign w:val="center"/>
          </w:tcPr>
          <w:p w14:paraId="5E273A2B">
            <w:pPr>
              <w:keepNext w:val="0"/>
              <w:keepLines w:val="0"/>
              <w:widowControl/>
              <w:suppressLineNumbers w:val="0"/>
              <w:jc w:val="left"/>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3081DCC0">
            <w:pPr>
              <w:jc w:val="center"/>
              <w:rPr>
                <w:rFonts w:hint="eastAsia" w:ascii="TimesNewRoman" w:hAnsi="TimesNewRoman" w:eastAsia="仿宋_GB2312" w:cs="TimesNewRoman"/>
                <w:sz w:val="20"/>
                <w:szCs w:val="20"/>
                <w:highlight w:val="none"/>
                <w:lang w:val="en-US" w:eastAsia="zh-CN"/>
              </w:rPr>
            </w:pPr>
            <w:r>
              <w:rPr>
                <w:rFonts w:hint="eastAsia" w:ascii="TimesNewRoman" w:hAnsi="TimesNewRoman" w:eastAsia="仿宋_GB2312" w:cs="TimesNewRoman"/>
                <w:sz w:val="20"/>
                <w:szCs w:val="20"/>
                <w:highlight w:val="none"/>
                <w:lang w:val="en-US" w:eastAsia="zh-CN"/>
              </w:rPr>
              <w:t>0</w:t>
            </w:r>
          </w:p>
        </w:tc>
      </w:tr>
      <w:tr w14:paraId="692D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5F399C7">
            <w:pPr>
              <w:jc w:val="center"/>
              <w:rPr>
                <w:rFonts w:hint="default" w:ascii="TimesNewRoman" w:hAnsi="TimesNewRoman" w:eastAsia="仿宋_GB2312" w:cs="TimesNewRoman"/>
                <w:sz w:val="20"/>
                <w:szCs w:val="20"/>
                <w:highlight w:val="none"/>
              </w:rPr>
            </w:pPr>
          </w:p>
        </w:tc>
        <w:tc>
          <w:tcPr>
            <w:tcW w:w="3349" w:type="dxa"/>
            <w:gridSpan w:val="2"/>
            <w:tcBorders>
              <w:tl2br w:val="nil"/>
              <w:tr2bl w:val="nil"/>
            </w:tcBorders>
            <w:noWrap w:val="0"/>
            <w:vAlign w:val="center"/>
          </w:tcPr>
          <w:p w14:paraId="760C8D00">
            <w:pPr>
              <w:keepNext w:val="0"/>
              <w:keepLines w:val="0"/>
              <w:widowControl/>
              <w:suppressLineNumbers w:val="0"/>
              <w:jc w:val="left"/>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478D1DEB">
            <w:pPr>
              <w:jc w:val="center"/>
              <w:rPr>
                <w:rFonts w:hint="eastAsia" w:ascii="TimesNewRoman" w:hAnsi="TimesNewRoman" w:eastAsia="仿宋_GB2312" w:cs="TimesNewRoman"/>
                <w:sz w:val="20"/>
                <w:szCs w:val="20"/>
                <w:highlight w:val="none"/>
                <w:lang w:val="en-US" w:eastAsia="zh-CN"/>
              </w:rPr>
            </w:pPr>
            <w:r>
              <w:rPr>
                <w:rFonts w:hint="eastAsia" w:ascii="TimesNewRoman" w:hAnsi="TimesNewRoman" w:eastAsia="仿宋_GB2312" w:cs="TimesNewRoman"/>
                <w:sz w:val="20"/>
                <w:szCs w:val="20"/>
                <w:highlight w:val="none"/>
                <w:lang w:val="en-US" w:eastAsia="zh-CN"/>
              </w:rPr>
              <w:t>0</w:t>
            </w:r>
          </w:p>
        </w:tc>
      </w:tr>
      <w:tr w14:paraId="4F94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650673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49E3A2D0">
            <w:pPr>
              <w:jc w:val="left"/>
              <w:rPr>
                <w:rFonts w:hint="default" w:ascii="TimesNewRoman" w:hAnsi="TimesNewRoman" w:eastAsia="仿宋_GB2312" w:cs="TimesNewRoman"/>
                <w:sz w:val="20"/>
                <w:szCs w:val="20"/>
                <w:highlight w:val="none"/>
              </w:rPr>
            </w:pPr>
            <w:r>
              <w:rPr>
                <w:rFonts w:hint="default" w:ascii="TimesNewRoman" w:hAnsi="TimesNewRoman" w:eastAsia="仿宋_GB2312" w:cs="TimesNewRoman"/>
                <w:sz w:val="20"/>
                <w:szCs w:val="20"/>
                <w:highlight w:val="none"/>
              </w:rPr>
              <w:t>保障机关办公区域正常用水用电</w:t>
            </w:r>
          </w:p>
        </w:tc>
      </w:tr>
      <w:tr w14:paraId="6F3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51576284">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2F57E6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5B7AC3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446E0644">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532F7B0D">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14:paraId="70C9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FED5587">
            <w:pPr>
              <w:jc w:val="center"/>
              <w:rPr>
                <w:rFonts w:hint="default" w:ascii="TimesNewRoman" w:hAnsi="TimesNewRoman" w:eastAsia="仿宋_GB2312" w:cs="TimesNewRoman"/>
                <w:sz w:val="20"/>
                <w:szCs w:val="20"/>
                <w:highlight w:val="none"/>
              </w:rPr>
            </w:pPr>
          </w:p>
        </w:tc>
        <w:tc>
          <w:tcPr>
            <w:tcW w:w="723" w:type="dxa"/>
            <w:vMerge w:val="restart"/>
            <w:tcBorders>
              <w:tl2br w:val="nil"/>
              <w:tr2bl w:val="nil"/>
            </w:tcBorders>
            <w:noWrap w:val="0"/>
            <w:vAlign w:val="center"/>
          </w:tcPr>
          <w:p w14:paraId="3F2D2BC2">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5EDB3A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6E28FF17">
            <w:pPr>
              <w:keepNext w:val="0"/>
              <w:keepLines w:val="0"/>
              <w:widowControl/>
              <w:suppressLineNumbers w:val="0"/>
              <w:jc w:val="center"/>
              <w:textAlignment w:val="center"/>
              <w:rPr>
                <w:rFonts w:hint="default" w:ascii="TimesNewRoman" w:hAnsi="TimesNewRoman" w:eastAsia="仿宋_GB2312" w:cs="TimesNewRoman"/>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水电保障数量</w:t>
            </w:r>
          </w:p>
        </w:tc>
        <w:tc>
          <w:tcPr>
            <w:tcW w:w="4228" w:type="dxa"/>
            <w:gridSpan w:val="2"/>
            <w:tcBorders>
              <w:tl2br w:val="nil"/>
              <w:tr2bl w:val="nil"/>
            </w:tcBorders>
            <w:noWrap w:val="0"/>
            <w:vAlign w:val="center"/>
          </w:tcPr>
          <w:p w14:paraId="306C8281">
            <w:pPr>
              <w:keepNext w:val="0"/>
              <w:keepLines w:val="0"/>
              <w:widowControl/>
              <w:suppressLineNumbers w:val="0"/>
              <w:jc w:val="center"/>
              <w:textAlignment w:val="center"/>
              <w:rPr>
                <w:rFonts w:hint="eastAsia" w:ascii="TimesNewRoman" w:hAnsi="TimesNewRoman" w:eastAsia="仿宋_GB2312" w:cs="TimesNewRoman"/>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≥4处</w:t>
            </w:r>
          </w:p>
        </w:tc>
      </w:tr>
      <w:tr w14:paraId="62D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10AC6A1">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47FD294A">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659BD4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0A771F34">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noWrap w:val="0"/>
            <w:vAlign w:val="center"/>
          </w:tcPr>
          <w:p w14:paraId="1587F8AE">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据实报销</w:t>
            </w:r>
          </w:p>
        </w:tc>
      </w:tr>
      <w:tr w14:paraId="1634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2C87290">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240A6134">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5CF5A4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61A20056">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noWrap w:val="0"/>
            <w:vAlign w:val="center"/>
          </w:tcPr>
          <w:p w14:paraId="64709E43">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按月</w:t>
            </w:r>
          </w:p>
        </w:tc>
      </w:tr>
      <w:tr w14:paraId="4698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EF9BD07">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6D96239B">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7E9CFE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6254E67F">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noWrap w:val="0"/>
            <w:vAlign w:val="center"/>
          </w:tcPr>
          <w:p w14:paraId="2DE25029">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≤98万元</w:t>
            </w:r>
          </w:p>
        </w:tc>
      </w:tr>
      <w:tr w14:paraId="07AC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3413DD0">
            <w:pPr>
              <w:jc w:val="center"/>
              <w:rPr>
                <w:rFonts w:hint="default" w:ascii="TimesNewRoman" w:hAnsi="TimesNewRoman" w:eastAsia="仿宋_GB2312" w:cs="TimesNewRoman"/>
                <w:sz w:val="20"/>
                <w:szCs w:val="20"/>
                <w:highlight w:val="none"/>
              </w:rPr>
            </w:pPr>
          </w:p>
        </w:tc>
        <w:tc>
          <w:tcPr>
            <w:tcW w:w="723" w:type="dxa"/>
            <w:vMerge w:val="restart"/>
            <w:tcBorders>
              <w:tl2br w:val="nil"/>
              <w:tr2bl w:val="nil"/>
            </w:tcBorders>
            <w:noWrap w:val="0"/>
            <w:vAlign w:val="center"/>
          </w:tcPr>
          <w:p w14:paraId="16AD652F">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455A2D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67B1A88B">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水电资源经济效益</w:t>
            </w:r>
          </w:p>
        </w:tc>
        <w:tc>
          <w:tcPr>
            <w:tcW w:w="4228" w:type="dxa"/>
            <w:gridSpan w:val="2"/>
            <w:tcBorders>
              <w:tl2br w:val="nil"/>
              <w:tr2bl w:val="nil"/>
            </w:tcBorders>
            <w:noWrap w:val="0"/>
            <w:vAlign w:val="center"/>
          </w:tcPr>
          <w:p w14:paraId="1327A4E8">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较高</w:t>
            </w:r>
          </w:p>
        </w:tc>
      </w:tr>
      <w:tr w14:paraId="10F7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5112C8B">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41ACC047">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2A5186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011E15F2">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政府水污染工作的不断加大</w:t>
            </w:r>
          </w:p>
        </w:tc>
        <w:tc>
          <w:tcPr>
            <w:tcW w:w="4228" w:type="dxa"/>
            <w:gridSpan w:val="2"/>
            <w:tcBorders>
              <w:tl2br w:val="nil"/>
              <w:tr2bl w:val="nil"/>
            </w:tcBorders>
            <w:noWrap w:val="0"/>
            <w:vAlign w:val="center"/>
          </w:tcPr>
          <w:p w14:paraId="43B4F570">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明显</w:t>
            </w:r>
          </w:p>
        </w:tc>
      </w:tr>
      <w:tr w14:paraId="4E84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0CEBD4B">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7D338798">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49A1A5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仿宋_GB2312" w:cs="TimesNewRoman"/>
                <w:sz w:val="20"/>
                <w:szCs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4EBE3547">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水电能耗节约率</w:t>
            </w:r>
          </w:p>
        </w:tc>
        <w:tc>
          <w:tcPr>
            <w:tcW w:w="4228" w:type="dxa"/>
            <w:gridSpan w:val="2"/>
            <w:tcBorders>
              <w:tl2br w:val="nil"/>
              <w:tr2bl w:val="nil"/>
            </w:tcBorders>
            <w:noWrap w:val="0"/>
            <w:vAlign w:val="center"/>
          </w:tcPr>
          <w:p w14:paraId="5AEA0A80">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较高</w:t>
            </w:r>
          </w:p>
        </w:tc>
      </w:tr>
      <w:tr w14:paraId="2764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128B298F">
            <w:pPr>
              <w:jc w:val="center"/>
              <w:rPr>
                <w:rFonts w:hint="default" w:ascii="TimesNewRoman" w:hAnsi="TimesNewRoman" w:eastAsia="仿宋_GB2312" w:cs="TimesNewRoman"/>
                <w:sz w:val="20"/>
                <w:szCs w:val="20"/>
                <w:highlight w:val="none"/>
              </w:rPr>
            </w:pPr>
          </w:p>
        </w:tc>
        <w:tc>
          <w:tcPr>
            <w:tcW w:w="723" w:type="dxa"/>
            <w:vMerge w:val="continue"/>
            <w:tcBorders>
              <w:tl2br w:val="nil"/>
              <w:tr2bl w:val="nil"/>
            </w:tcBorders>
            <w:noWrap w:val="0"/>
            <w:vAlign w:val="center"/>
          </w:tcPr>
          <w:p w14:paraId="3D3CB9A5">
            <w:pPr>
              <w:jc w:val="center"/>
              <w:rPr>
                <w:rFonts w:hint="default" w:ascii="TimesNewRoman" w:hAnsi="TimesNewRoman" w:eastAsia="仿宋_GB2312" w:cs="TimesNewRoman"/>
                <w:sz w:val="20"/>
                <w:szCs w:val="20"/>
                <w:highlight w:val="none"/>
              </w:rPr>
            </w:pPr>
          </w:p>
        </w:tc>
        <w:tc>
          <w:tcPr>
            <w:tcW w:w="759" w:type="dxa"/>
            <w:gridSpan w:val="2"/>
            <w:tcBorders>
              <w:tl2br w:val="nil"/>
              <w:tr2bl w:val="nil"/>
            </w:tcBorders>
            <w:noWrap w:val="0"/>
            <w:vAlign w:val="center"/>
          </w:tcPr>
          <w:p w14:paraId="27A37D7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szCs w:val="20"/>
                <w:highlight w:val="none"/>
              </w:rPr>
            </w:pPr>
            <w:r>
              <w:rPr>
                <w:rFonts w:hint="default" w:ascii="TimesNewRoman" w:hAnsi="TimesNewRoman" w:eastAsia="宋体" w:cs="TimesNewRoman"/>
                <w:sz w:val="20"/>
                <w:szCs w:val="20"/>
                <w:highlight w:val="none"/>
              </w:rPr>
              <w:t>可持续影响指标</w:t>
            </w:r>
          </w:p>
        </w:tc>
        <w:tc>
          <w:tcPr>
            <w:tcW w:w="2872" w:type="dxa"/>
            <w:tcBorders>
              <w:tl2br w:val="nil"/>
              <w:tr2bl w:val="nil"/>
            </w:tcBorders>
            <w:noWrap w:val="0"/>
            <w:vAlign w:val="center"/>
          </w:tcPr>
          <w:p w14:paraId="51369D0D">
            <w:pPr>
              <w:keepNext w:val="0"/>
              <w:keepLines w:val="0"/>
              <w:widowControl/>
              <w:suppressLineNumbers w:val="0"/>
              <w:jc w:val="center"/>
              <w:textAlignment w:val="center"/>
              <w:rPr>
                <w:rFonts w:hint="default" w:ascii="TimesNewRoman" w:hAnsi="TimesNewRoman" w:eastAsia="宋体" w:cs="TimesNewRoman"/>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对环境保护能力的影响程度</w:t>
            </w:r>
          </w:p>
        </w:tc>
        <w:tc>
          <w:tcPr>
            <w:tcW w:w="4228" w:type="dxa"/>
            <w:gridSpan w:val="2"/>
            <w:tcBorders>
              <w:tl2br w:val="nil"/>
              <w:tr2bl w:val="nil"/>
            </w:tcBorders>
            <w:noWrap w:val="0"/>
            <w:vAlign w:val="center"/>
          </w:tcPr>
          <w:p w14:paraId="3875685B">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较好</w:t>
            </w:r>
          </w:p>
        </w:tc>
      </w:tr>
      <w:tr w14:paraId="2AF9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68C5284">
            <w:pPr>
              <w:jc w:val="center"/>
              <w:rPr>
                <w:rFonts w:hint="default" w:ascii="TimesNewRoman" w:hAnsi="TimesNewRoman" w:eastAsia="仿宋_GB2312" w:cs="TimesNewRoman"/>
                <w:sz w:val="20"/>
                <w:szCs w:val="20"/>
                <w:highlight w:val="none"/>
              </w:rPr>
            </w:pPr>
          </w:p>
        </w:tc>
        <w:tc>
          <w:tcPr>
            <w:tcW w:w="723" w:type="dxa"/>
            <w:tcBorders>
              <w:tl2br w:val="nil"/>
              <w:tr2bl w:val="nil"/>
            </w:tcBorders>
            <w:noWrap w:val="0"/>
            <w:vAlign w:val="center"/>
          </w:tcPr>
          <w:p w14:paraId="012E934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szCs w:val="20"/>
                <w:highlight w:val="none"/>
                <w:lang w:eastAsia="zh-CN"/>
              </w:rPr>
            </w:pPr>
            <w:r>
              <w:rPr>
                <w:rFonts w:hint="default" w:ascii="TimesNewRoman" w:hAnsi="TimesNewRoman" w:eastAsia="宋体" w:cs="TimesNewRoman"/>
                <w:sz w:val="20"/>
                <w:szCs w:val="20"/>
                <w:highlight w:val="none"/>
                <w:lang w:eastAsia="zh-CN"/>
              </w:rPr>
              <w:t>满意度指标</w:t>
            </w:r>
          </w:p>
        </w:tc>
        <w:tc>
          <w:tcPr>
            <w:tcW w:w="759" w:type="dxa"/>
            <w:gridSpan w:val="2"/>
            <w:tcBorders>
              <w:tl2br w:val="nil"/>
              <w:tr2bl w:val="nil"/>
            </w:tcBorders>
            <w:noWrap w:val="0"/>
            <w:vAlign w:val="center"/>
          </w:tcPr>
          <w:p w14:paraId="5B7F960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szCs w:val="20"/>
                <w:highlight w:val="none"/>
                <w:lang w:eastAsia="zh-CN"/>
              </w:rPr>
            </w:pPr>
            <w:r>
              <w:rPr>
                <w:rFonts w:hint="default" w:ascii="TimesNewRoman" w:hAnsi="TimesNewRoman" w:eastAsia="宋体" w:cs="TimesNewRoman"/>
                <w:sz w:val="20"/>
                <w:szCs w:val="20"/>
                <w:highlight w:val="none"/>
                <w:lang w:eastAsia="zh-CN"/>
              </w:rPr>
              <w:t>满意度指标</w:t>
            </w:r>
          </w:p>
        </w:tc>
        <w:tc>
          <w:tcPr>
            <w:tcW w:w="2872" w:type="dxa"/>
            <w:tcBorders>
              <w:tl2br w:val="nil"/>
              <w:tr2bl w:val="nil"/>
            </w:tcBorders>
            <w:noWrap w:val="0"/>
            <w:vAlign w:val="center"/>
          </w:tcPr>
          <w:p w14:paraId="05C2C780">
            <w:pPr>
              <w:keepNext w:val="0"/>
              <w:keepLines w:val="0"/>
              <w:widowControl/>
              <w:suppressLineNumbers w:val="0"/>
              <w:jc w:val="center"/>
              <w:textAlignment w:val="center"/>
              <w:rPr>
                <w:rFonts w:hint="default" w:ascii="TimesNewRoman" w:hAnsi="TimesNewRoman" w:eastAsia="宋体" w:cs="TimesNewRoman"/>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4228" w:type="dxa"/>
            <w:gridSpan w:val="2"/>
            <w:tcBorders>
              <w:tl2br w:val="nil"/>
              <w:tr2bl w:val="nil"/>
            </w:tcBorders>
            <w:noWrap w:val="0"/>
            <w:vAlign w:val="center"/>
          </w:tcPr>
          <w:p w14:paraId="69D9124C">
            <w:pPr>
              <w:keepNext w:val="0"/>
              <w:keepLines w:val="0"/>
              <w:widowControl/>
              <w:suppressLineNumbers w:val="0"/>
              <w:jc w:val="center"/>
              <w:textAlignment w:val="center"/>
              <w:rPr>
                <w:rFonts w:hint="default" w:ascii="TimesNewRoman" w:hAnsi="TimesNewRoman" w:eastAsia="仿宋_GB2312" w:cs="TimesNewRoman"/>
                <w:sz w:val="20"/>
                <w:szCs w:val="20"/>
                <w:highlight w:val="none"/>
              </w:rPr>
            </w:pPr>
            <w:r>
              <w:rPr>
                <w:rFonts w:hint="eastAsia" w:ascii="宋体" w:hAnsi="宋体" w:eastAsia="宋体" w:cs="宋体"/>
                <w:i w:val="0"/>
                <w:iCs w:val="0"/>
                <w:color w:val="000000"/>
                <w:kern w:val="0"/>
                <w:sz w:val="20"/>
                <w:szCs w:val="20"/>
                <w:u w:val="none"/>
                <w:lang w:val="en-US" w:eastAsia="zh-CN" w:bidi="ar"/>
              </w:rPr>
              <w:t>≥100%</w:t>
            </w:r>
          </w:p>
        </w:tc>
      </w:tr>
    </w:tbl>
    <w:p w14:paraId="3B3C3B0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6605FB4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机关运行经费财政拨款预算</w:t>
      </w:r>
      <w:r>
        <w:rPr>
          <w:rFonts w:hint="eastAsia" w:ascii="TimesNewRoman" w:hAnsi="TimesNewRoman" w:eastAsia="仿宋_GB2312" w:cs="TimesNewRoman"/>
          <w:kern w:val="0"/>
          <w:sz w:val="32"/>
          <w:szCs w:val="32"/>
          <w:lang w:val="en-US" w:eastAsia="zh-CN"/>
        </w:rPr>
        <w:t>8.42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人员变更</w:t>
      </w:r>
      <w:r>
        <w:rPr>
          <w:rFonts w:hint="eastAsia" w:ascii="TimesNewRoman" w:hAnsi="TimesNewRoman" w:eastAsia="仿宋_GB2312" w:cs="TimesNewRoman"/>
          <w:kern w:val="0"/>
          <w:sz w:val="32"/>
          <w:szCs w:val="32"/>
        </w:rPr>
        <w:t>。</w:t>
      </w:r>
    </w:p>
    <w:p w14:paraId="2DEDB5E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9CBAC5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杜集区机关事务管理中心2025年</w:t>
      </w:r>
      <w:r>
        <w:rPr>
          <w:rFonts w:hint="eastAsia" w:ascii="TimesNewRoman" w:hAnsi="TimesNewRoman" w:eastAsia="仿宋_GB2312" w:cs="TimesNewRoman"/>
          <w:kern w:val="0"/>
          <w:sz w:val="32"/>
          <w:szCs w:val="32"/>
        </w:rPr>
        <w:t>政府采购预算</w:t>
      </w:r>
      <w:r>
        <w:rPr>
          <w:rFonts w:hint="eastAsia" w:ascii="TimesNewRoman" w:hAnsi="TimesNewRoman" w:eastAsia="仿宋_GB2312" w:cs="TimesNewRoman"/>
          <w:kern w:val="0"/>
          <w:sz w:val="32"/>
          <w:szCs w:val="32"/>
          <w:lang w:val="en-US" w:eastAsia="zh-CN"/>
        </w:rPr>
        <w:t>80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80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32A2D6A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3BAF010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年12月31日，</w:t>
      </w:r>
      <w:r>
        <w:rPr>
          <w:rFonts w:hint="eastAsia" w:ascii="TimesNewRoman" w:hAnsi="TimesNewRoman" w:eastAsia="仿宋_GB2312" w:cs="TimesNewRoman"/>
          <w:kern w:val="0"/>
          <w:sz w:val="32"/>
          <w:szCs w:val="32"/>
          <w:lang w:eastAsia="zh-CN"/>
        </w:rPr>
        <w:t>杜集区机关事务管理中心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43</w:t>
      </w:r>
      <w:r>
        <w:rPr>
          <w:rFonts w:hint="eastAsia" w:ascii="TimesNewRoman" w:hAnsi="TimesNewRoman" w:eastAsia="仿宋_GB2312" w:cs="TimesNewRoman"/>
          <w:kern w:val="0"/>
          <w:sz w:val="32"/>
          <w:szCs w:val="32"/>
        </w:rPr>
        <w:t>辆，其中：主要领导干部用车</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A7035B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2025年部门</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80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全部为</w:t>
      </w:r>
      <w:r>
        <w:rPr>
          <w:rFonts w:hint="eastAsia" w:ascii="TimesNewRoman" w:hAnsi="TimesNewRoman" w:eastAsia="仿宋_GB2312" w:cs="TimesNewRoman"/>
          <w:kern w:val="0"/>
          <w:sz w:val="32"/>
          <w:szCs w:val="32"/>
        </w:rPr>
        <w:t>机要通信用车；安排购置单价50万元以上的通用设备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4092D7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7004C5E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杜集区机关事务管理中心</w:t>
      </w: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1375</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B7E4FCF">
      <w:pPr>
        <w:pStyle w:val="4"/>
        <w:adjustRightInd w:val="0"/>
        <w:snapToGrid w:val="0"/>
        <w:spacing w:line="560" w:lineRule="exact"/>
        <w:jc w:val="center"/>
        <w:rPr>
          <w:rFonts w:ascii="TimesNewRoman" w:hAnsi="TimesNewRoman" w:eastAsia="黑体" w:cs="TimesNewRoman"/>
          <w:bCs/>
          <w:sz w:val="36"/>
          <w:szCs w:val="36"/>
        </w:rPr>
      </w:pPr>
    </w:p>
    <w:p w14:paraId="579EB7F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6E26ABD7"/>
    <w:p w14:paraId="1DF9288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475917B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6AF9D09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1E6F16B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val="en-US" w:eastAsia="zh-CN"/>
        </w:rPr>
        <w:t>四</w:t>
      </w:r>
      <w:r>
        <w:rPr>
          <w:rFonts w:hint="eastAsia" w:ascii="TimesNewRoman" w:hAnsi="TimesNewRoman" w:eastAsia="仿宋_GB2312" w:cs="TimesNewRoman"/>
          <w:b/>
          <w:sz w:val="32"/>
          <w:szCs w:val="32"/>
        </w:rPr>
        <w:t>、基本支出：</w:t>
      </w:r>
      <w:r>
        <w:rPr>
          <w:rFonts w:hint="eastAsia" w:ascii="TimesNewRoman" w:hAnsi="TimesNewRoman" w:eastAsia="仿宋_GB2312" w:cs="TimesNewRoman"/>
          <w:sz w:val="32"/>
          <w:szCs w:val="32"/>
        </w:rPr>
        <w:t>指为保障机构正常运转、完成日常工作任务而发生的人员支出和公用支出。</w:t>
      </w:r>
    </w:p>
    <w:p w14:paraId="0E2FFAC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val="en-US" w:eastAsia="zh-CN"/>
        </w:rPr>
        <w:t>五</w:t>
      </w:r>
      <w:r>
        <w:rPr>
          <w:rFonts w:hint="eastAsia" w:ascii="TimesNewRoman" w:hAnsi="TimesNewRoman" w:eastAsia="仿宋_GB2312" w:cs="TimesNewRoman"/>
          <w:b/>
          <w:sz w:val="32"/>
          <w:szCs w:val="32"/>
        </w:rPr>
        <w:t>、项目支出：</w:t>
      </w:r>
      <w:r>
        <w:rPr>
          <w:rFonts w:hint="eastAsia" w:ascii="TimesNewRoman" w:hAnsi="TimesNewRoman" w:eastAsia="仿宋_GB2312" w:cs="TimesNewRoman"/>
          <w:sz w:val="32"/>
          <w:szCs w:val="32"/>
        </w:rPr>
        <w:t>指在除基本支出之外的支出，主要用于完成特定的工作任务和事业发展目标。</w:t>
      </w:r>
    </w:p>
    <w:p w14:paraId="006A801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val="en-US" w:eastAsia="zh-CN"/>
        </w:rPr>
        <w:t>六</w:t>
      </w:r>
      <w:r>
        <w:rPr>
          <w:rFonts w:hint="eastAsia" w:ascii="TimesNewRoman" w:hAnsi="TimesNewRoman" w:eastAsia="仿宋_GB2312" w:cs="TimesNewRoman"/>
          <w:b/>
          <w:sz w:val="32"/>
          <w:szCs w:val="32"/>
        </w:rPr>
        <w:t xml:space="preserve">、机关运行经费: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9C34C62"/>
    <w:p w14:paraId="4670B7B1"/>
    <w:p w14:paraId="49510B67"/>
    <w:p w14:paraId="417F220A"/>
    <w:p w14:paraId="3DF39CB9"/>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Arial Unicode MS"/>
    <w:panose1 w:val="00000000000000000000"/>
    <w:charset w:val="00"/>
    <w:family w:val="auto"/>
    <w:pitch w:val="default"/>
    <w:sig w:usb0="00000000" w:usb1="00000000" w:usb2="00000029" w:usb3="00000000" w:csb0="600001FF" w:csb1="FFFF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80C1C40"/>
    <w:rsid w:val="0A1A3FDB"/>
    <w:rsid w:val="0A6842D0"/>
    <w:rsid w:val="17914E66"/>
    <w:rsid w:val="1B4072CF"/>
    <w:rsid w:val="1D083E1C"/>
    <w:rsid w:val="1FF40688"/>
    <w:rsid w:val="2C0775AF"/>
    <w:rsid w:val="2D171678"/>
    <w:rsid w:val="390F35C1"/>
    <w:rsid w:val="43452E25"/>
    <w:rsid w:val="634A5AC3"/>
    <w:rsid w:val="6C040FAA"/>
    <w:rsid w:val="6CE6053F"/>
    <w:rsid w:val="6F187142"/>
    <w:rsid w:val="728B7844"/>
    <w:rsid w:val="738D3CFE"/>
    <w:rsid w:val="74051691"/>
    <w:rsid w:val="75640639"/>
    <w:rsid w:val="762A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4617</Words>
  <Characters>5278</Characters>
  <Lines>46</Lines>
  <Paragraphs>13</Paragraphs>
  <TotalTime>1</TotalTime>
  <ScaleCrop>false</ScaleCrop>
  <LinksUpToDate>false</LinksUpToDate>
  <CharactersWithSpaces>5337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乂日光倾城¤</cp:lastModifiedBy>
  <cp:lastPrinted>2025-03-26T07:35:00Z</cp:lastPrinted>
  <dcterms:modified xsi:type="dcterms:W3CDTF">2025-03-26T08:50:00Z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eyJoZGlkIjoiOThjZmU1NzgyNTJjZmM5OTc3Zjc3ODEzZWRjN2E4NGUiLCJ1c2VySWQiOiI2MjQxMjQ5MTAifQ==</vt:lpwstr>
  </property>
  <property fmtid="{D5CDD505-2E9C-101B-9397-08002B2CF9AE}" pid="3" name="KSOProductBuildVer">
    <vt:lpwstr>2052-12.1.0.20305</vt:lpwstr>
  </property>
  <property fmtid="{D5CDD505-2E9C-101B-9397-08002B2CF9AE}" pid="4" name="ICV">
    <vt:lpwstr>DB3093AB93A143E3A202C4E521EF838A_12</vt:lpwstr>
  </property>
</Properties>
</file>