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B4F2D"/>
    <w:p w14:paraId="4E84B9C7"/>
    <w:p w14:paraId="3D267391"/>
    <w:p w14:paraId="7A67F4E7"/>
    <w:p w14:paraId="5E1F164F"/>
    <w:p w14:paraId="6BB152AE"/>
    <w:p w14:paraId="3ECF067E"/>
    <w:p w14:paraId="0ABB07B8"/>
    <w:p w14:paraId="147FC8AC"/>
    <w:p w14:paraId="21F218EB">
      <w:pPr>
        <w:spacing w:line="560" w:lineRule="exact"/>
        <w:jc w:val="center"/>
        <w:rPr>
          <w:rFonts w:ascii="TimesNewRoman" w:hAnsi="TimesNewRoman" w:eastAsia="华文中宋" w:cs="TimesNewRoman"/>
          <w:b/>
          <w:sz w:val="44"/>
          <w:szCs w:val="44"/>
        </w:rPr>
      </w:pPr>
      <w:r>
        <w:rPr>
          <w:rFonts w:hint="eastAsia" w:ascii="TimesNewRoman" w:hAnsi="TimesNewRoman" w:eastAsia="华文中宋" w:cs="TimesNewRoman"/>
          <w:b/>
          <w:sz w:val="44"/>
          <w:szCs w:val="44"/>
          <w:lang w:val="en-US" w:eastAsia="zh-CN"/>
        </w:rPr>
        <w:t>杜集区</w:t>
      </w:r>
      <w:r>
        <w:rPr>
          <w:rFonts w:hint="eastAsia" w:ascii="TimesNewRoman" w:hAnsi="TimesNewRoman" w:eastAsia="华文中宋" w:cs="TimesNewRoman"/>
          <w:b/>
          <w:sz w:val="44"/>
          <w:szCs w:val="44"/>
          <w:lang w:eastAsia="zh-CN"/>
        </w:rPr>
        <w:t>司法局</w:t>
      </w:r>
      <w:r>
        <w:rPr>
          <w:rFonts w:hint="eastAsia" w:ascii="TimesNewRoman" w:hAnsi="TimesNewRoman" w:eastAsia="华文中宋" w:cs="TimesNewRoman"/>
          <w:b/>
          <w:sz w:val="44"/>
          <w:szCs w:val="44"/>
        </w:rPr>
        <w:t>202</w:t>
      </w:r>
      <w:r>
        <w:rPr>
          <w:rFonts w:hint="eastAsia" w:ascii="TimesNewRoman" w:hAnsi="TimesNewRoman" w:eastAsia="华文中宋" w:cs="TimesNewRoman"/>
          <w:b/>
          <w:sz w:val="44"/>
          <w:szCs w:val="44"/>
          <w:lang w:val="en-US" w:eastAsia="zh-CN"/>
        </w:rPr>
        <w:t>5</w:t>
      </w:r>
      <w:r>
        <w:rPr>
          <w:rFonts w:hint="eastAsia" w:ascii="TimesNewRoman" w:hAnsi="TimesNewRoman" w:eastAsia="华文中宋" w:cs="TimesNewRoman"/>
          <w:b/>
          <w:sz w:val="44"/>
          <w:szCs w:val="44"/>
        </w:rPr>
        <w:t>年</w:t>
      </w:r>
    </w:p>
    <w:p w14:paraId="33F67226">
      <w:pPr>
        <w:spacing w:line="560" w:lineRule="exact"/>
        <w:jc w:val="center"/>
        <w:rPr>
          <w:rFonts w:ascii="TimesNewRoman" w:hAnsi="TimesNewRoman" w:eastAsia="华文中宋" w:cs="TimesNewRoman"/>
          <w:b/>
          <w:sz w:val="44"/>
          <w:szCs w:val="44"/>
        </w:rPr>
      </w:pPr>
      <w:r>
        <w:rPr>
          <w:rFonts w:hint="eastAsia" w:ascii="TimesNewRoman" w:hAnsi="TimesNewRoman" w:eastAsia="华文中宋" w:cs="TimesNewRoman"/>
          <w:b/>
          <w:sz w:val="44"/>
          <w:szCs w:val="44"/>
        </w:rPr>
        <w:t>部门（单位）预算</w:t>
      </w:r>
    </w:p>
    <w:p w14:paraId="692597B4"/>
    <w:p w14:paraId="551EF2E2"/>
    <w:p w14:paraId="70BF7A57"/>
    <w:p w14:paraId="5F4D0E04"/>
    <w:p w14:paraId="2526E2B8"/>
    <w:p w14:paraId="40B21F87"/>
    <w:p w14:paraId="706A1F16"/>
    <w:p w14:paraId="7FF31E9D"/>
    <w:p w14:paraId="3F8A67C2"/>
    <w:p w14:paraId="43501CE2"/>
    <w:p w14:paraId="6BF512B9"/>
    <w:p w14:paraId="1D296B82"/>
    <w:p w14:paraId="680FFAE6"/>
    <w:p w14:paraId="58884FC5"/>
    <w:p w14:paraId="6FFBA224"/>
    <w:p w14:paraId="721F8145"/>
    <w:p w14:paraId="47C5F308"/>
    <w:p w14:paraId="21F46E50"/>
    <w:p w14:paraId="048143B7"/>
    <w:p w14:paraId="07554596"/>
    <w:p w14:paraId="4FD4F1C8"/>
    <w:p w14:paraId="20EC6F62"/>
    <w:p w14:paraId="345A2868">
      <w:pPr>
        <w:pStyle w:val="4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44"/>
          <w:szCs w:val="44"/>
        </w:rPr>
      </w:pPr>
    </w:p>
    <w:p w14:paraId="1F902ECD">
      <w:pPr>
        <w:pStyle w:val="4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44"/>
          <w:szCs w:val="44"/>
        </w:rPr>
      </w:pPr>
      <w:r>
        <w:rPr>
          <w:rFonts w:hint="eastAsia" w:ascii="TimesNewRoman" w:hAnsi="TimesNewRoman" w:eastAsia="黑体" w:cs="TimesNewRoman"/>
          <w:bCs/>
          <w:sz w:val="44"/>
          <w:szCs w:val="44"/>
        </w:rPr>
        <w:t>202</w:t>
      </w:r>
      <w:r>
        <w:rPr>
          <w:rFonts w:hint="eastAsia" w:ascii="TimesNewRoman" w:hAnsi="TimesNewRoman" w:eastAsia="黑体" w:cs="TimesNewRoman"/>
          <w:bCs/>
          <w:sz w:val="44"/>
          <w:szCs w:val="44"/>
          <w:lang w:val="en-US" w:eastAsia="zh-CN"/>
        </w:rPr>
        <w:t>5</w:t>
      </w:r>
      <w:r>
        <w:rPr>
          <w:rFonts w:hint="eastAsia" w:ascii="TimesNewRoman" w:hAnsi="TimesNewRoman" w:eastAsia="黑体" w:cs="TimesNewRoman"/>
          <w:bCs/>
          <w:sz w:val="44"/>
          <w:szCs w:val="44"/>
        </w:rPr>
        <w:t>年</w:t>
      </w:r>
      <w:r>
        <w:rPr>
          <w:rFonts w:hint="eastAsia" w:ascii="TimesNewRoman" w:hAnsi="TimesNewRoman" w:eastAsia="黑体" w:cs="TimesNewRoman"/>
          <w:bCs/>
          <w:sz w:val="44"/>
          <w:szCs w:val="44"/>
          <w:lang w:val="en-US" w:eastAsia="zh-CN"/>
        </w:rPr>
        <w:t>1</w:t>
      </w:r>
      <w:r>
        <w:rPr>
          <w:rFonts w:hint="eastAsia" w:ascii="TimesNewRoman" w:hAnsi="TimesNewRoman" w:eastAsia="黑体" w:cs="TimesNewRoman"/>
          <w:bCs/>
          <w:sz w:val="44"/>
          <w:szCs w:val="44"/>
        </w:rPr>
        <w:t>月</w:t>
      </w:r>
    </w:p>
    <w:p w14:paraId="648EEC44"/>
    <w:p w14:paraId="6D74DC09"/>
    <w:p w14:paraId="0F83F9AE"/>
    <w:p w14:paraId="24EA48B2">
      <w:pPr>
        <w:pStyle w:val="4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44"/>
          <w:szCs w:val="44"/>
        </w:rPr>
      </w:pPr>
      <w:r>
        <w:rPr>
          <w:rFonts w:hint="eastAsia" w:ascii="TimesNewRoman" w:hAnsi="TimesNewRoman" w:eastAsia="黑体" w:cs="TimesNewRoman"/>
          <w:bCs/>
          <w:sz w:val="44"/>
          <w:szCs w:val="44"/>
        </w:rPr>
        <w:t>目  录</w:t>
      </w:r>
    </w:p>
    <w:p w14:paraId="63C96DAD"/>
    <w:p w14:paraId="2A109572">
      <w:pPr>
        <w:pStyle w:val="4"/>
        <w:adjustRightInd w:val="0"/>
        <w:snapToGrid w:val="0"/>
        <w:spacing w:line="40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第一部分 部门（单位）概况</w:t>
      </w:r>
    </w:p>
    <w:p w14:paraId="3BC6F231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1、主要职责</w:t>
      </w:r>
    </w:p>
    <w:p w14:paraId="727BF421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2、部门（单位）预算构成</w:t>
      </w:r>
    </w:p>
    <w:p w14:paraId="48939B9C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3 、202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5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年度主要工作任务</w:t>
      </w:r>
    </w:p>
    <w:p w14:paraId="261B9D30">
      <w:pPr>
        <w:pStyle w:val="4"/>
        <w:adjustRightInd w:val="0"/>
        <w:snapToGrid w:val="0"/>
        <w:spacing w:line="40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第二部分 202</w:t>
      </w:r>
      <w:r>
        <w:rPr>
          <w:rFonts w:hint="eastAsia" w:ascii="TimesNewRoman" w:hAnsi="TimesNewRoman" w:eastAsia="仿宋_GB2312" w:cs="TimesNewRoman"/>
          <w:b/>
          <w:sz w:val="32"/>
          <w:szCs w:val="32"/>
          <w:lang w:val="en-US" w:eastAsia="zh-CN"/>
        </w:rPr>
        <w:t>5</w:t>
      </w:r>
      <w:r>
        <w:rPr>
          <w:rFonts w:hint="eastAsia" w:ascii="TimesNewRoman" w:hAnsi="TimesNewRoman" w:eastAsia="仿宋_GB2312" w:cs="TimesNewRoman"/>
          <w:b/>
          <w:sz w:val="32"/>
          <w:szCs w:val="32"/>
        </w:rPr>
        <w:t>年部门（单位）预算表</w:t>
      </w:r>
    </w:p>
    <w:p w14:paraId="0E11D61B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1、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杜集区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司法局2025年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收支总表</w:t>
      </w:r>
    </w:p>
    <w:p w14:paraId="35D3807C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2、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杜集区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司法局2025年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收入总表</w:t>
      </w:r>
    </w:p>
    <w:p w14:paraId="0E32563D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3、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杜集区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司法局2025年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支出总表</w:t>
      </w:r>
    </w:p>
    <w:p w14:paraId="49822CDA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4、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杜集区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司法局2025年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财政拨款收支总表</w:t>
      </w:r>
    </w:p>
    <w:p w14:paraId="2950CA42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5、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杜集区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司法局2025年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一般公共预算支出表</w:t>
      </w:r>
    </w:p>
    <w:p w14:paraId="0700A1C9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6、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杜集区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司法局2025年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一般公共预算基本支出表</w:t>
      </w:r>
    </w:p>
    <w:p w14:paraId="4ED9F198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7、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政府性基金预算支出表</w:t>
      </w:r>
    </w:p>
    <w:p w14:paraId="0113C9D3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8、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国有资本经营预算支出表</w:t>
      </w:r>
    </w:p>
    <w:p w14:paraId="1AEF5B13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9、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项目支出表</w:t>
      </w:r>
    </w:p>
    <w:p w14:paraId="5C96A5E3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10、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政府采购支出表</w:t>
      </w:r>
    </w:p>
    <w:p w14:paraId="68CC3209">
      <w:pPr>
        <w:pStyle w:val="4"/>
        <w:adjustRightInd w:val="0"/>
        <w:snapToGrid w:val="0"/>
        <w:spacing w:line="400" w:lineRule="exact"/>
        <w:ind w:firstLine="800" w:firstLineChars="250"/>
        <w:rPr>
          <w:rFonts w:hint="eastAsia"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11、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政府购买服务支出表</w:t>
      </w:r>
    </w:p>
    <w:p w14:paraId="7BE0D7B8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12、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杜集区司法局2025年</w:t>
      </w:r>
      <w:r>
        <w:rPr>
          <w:rFonts w:ascii="TimesNewRoman" w:hAnsi="TimesNewRoman" w:eastAsia="仿宋_GB2312" w:cs="TimesNewRoman"/>
          <w:bCs/>
          <w:sz w:val="32"/>
          <w:szCs w:val="32"/>
        </w:rPr>
        <w:t>通用资产配置支出表</w:t>
      </w:r>
    </w:p>
    <w:p w14:paraId="51FB32A6">
      <w:pPr>
        <w:pStyle w:val="4"/>
        <w:adjustRightInd w:val="0"/>
        <w:snapToGrid w:val="0"/>
        <w:spacing w:line="40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 xml:space="preserve">第三部分 </w:t>
      </w:r>
      <w:r>
        <w:rPr>
          <w:rFonts w:hint="eastAsia" w:ascii="TimesNewRoman" w:hAnsi="TimesNewRoman" w:eastAsia="仿宋_GB2312" w:cs="TimesNewRoman"/>
          <w:b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仿宋_GB2312" w:cs="TimesNewRoman"/>
          <w:b/>
          <w:sz w:val="32"/>
          <w:szCs w:val="32"/>
        </w:rPr>
        <w:t>部门（单位）预算情况说明</w:t>
      </w:r>
    </w:p>
    <w:p w14:paraId="2E4C67DF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1、关于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收支总表的说明</w:t>
      </w:r>
    </w:p>
    <w:p w14:paraId="0674602A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2、关于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收入总表的说明</w:t>
      </w:r>
    </w:p>
    <w:p w14:paraId="0EA2ABC2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3、关于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支出总表的说明</w:t>
      </w:r>
    </w:p>
    <w:p w14:paraId="7308CB4C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4、关于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财政拨款收支总表的说明</w:t>
      </w:r>
    </w:p>
    <w:p w14:paraId="673A5965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5、关于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一般公共预算支出表的说明</w:t>
      </w:r>
    </w:p>
    <w:p w14:paraId="15D7C434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6、关于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一般公共预算基本支出表的说明</w:t>
      </w:r>
    </w:p>
    <w:p w14:paraId="609FAFBC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7、关于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政府性基金预算支出表的说明</w:t>
      </w:r>
    </w:p>
    <w:p w14:paraId="7CA5FD74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8、关于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国有资本经营预算支出表的说明</w:t>
      </w:r>
    </w:p>
    <w:p w14:paraId="09EEFC25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9、关于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项目支出表的说明</w:t>
      </w:r>
    </w:p>
    <w:p w14:paraId="5F64BB8B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10、关于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政府采购支出表的说明</w:t>
      </w:r>
    </w:p>
    <w:p w14:paraId="5A313331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11、关于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政府购买服务支出表的说明</w:t>
      </w:r>
    </w:p>
    <w:p w14:paraId="13873CF5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12、其他重要事项情况说明</w:t>
      </w:r>
    </w:p>
    <w:p w14:paraId="366DC526">
      <w:pPr>
        <w:pStyle w:val="4"/>
        <w:adjustRightInd w:val="0"/>
        <w:snapToGrid w:val="0"/>
        <w:spacing w:line="40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第四部分 名词解释</w:t>
      </w:r>
    </w:p>
    <w:p w14:paraId="0B7A57FE">
      <w:pPr>
        <w:pStyle w:val="4"/>
        <w:adjustRightInd w:val="0"/>
        <w:snapToGrid w:val="0"/>
        <w:spacing w:line="40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第五部分 其它公开事项</w:t>
      </w:r>
    </w:p>
    <w:p w14:paraId="75CED619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1、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部门预算纳入绩效考评项目表</w:t>
      </w:r>
    </w:p>
    <w:p w14:paraId="09EF3A55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2、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部门预算专项资金管理清单（专栏公开）</w:t>
      </w:r>
    </w:p>
    <w:p w14:paraId="0FE24111">
      <w:pPr>
        <w:pStyle w:val="4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</w:p>
    <w:p w14:paraId="490A05CC">
      <w:pPr>
        <w:pStyle w:val="4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36"/>
          <w:szCs w:val="36"/>
        </w:rPr>
      </w:pPr>
      <w:r>
        <w:rPr>
          <w:rFonts w:hint="eastAsia" w:ascii="TimesNewRoman" w:hAnsi="TimesNewRoman" w:eastAsia="黑体" w:cs="TimesNewRoman"/>
          <w:bCs/>
          <w:sz w:val="36"/>
          <w:szCs w:val="36"/>
        </w:rPr>
        <w:t>第一部分 部门（单位）概况</w:t>
      </w:r>
    </w:p>
    <w:p w14:paraId="70F45E13"/>
    <w:p w14:paraId="7F95B6A9">
      <w:pPr>
        <w:pStyle w:val="4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一、主要职责</w:t>
      </w:r>
    </w:p>
    <w:p w14:paraId="34B23EF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（一）贯彻实施司法行政工作的方针、政策和有关法律法规，编制本地区司法行政中长期规划、年度工作计划并组织实施　　</w:t>
      </w:r>
    </w:p>
    <w:p w14:paraId="0A39140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（二）负责制订法治宣传和普及法律常识规划并组织实施。</w:t>
      </w:r>
    </w:p>
    <w:p w14:paraId="63AEAF8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（三）负责指导监督律师与公证工作。</w:t>
      </w:r>
    </w:p>
    <w:p w14:paraId="43282FD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（四）负责监督管理法律援助工作。</w:t>
      </w:r>
    </w:p>
    <w:p w14:paraId="3FDF5C6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（五）负责指导基层司法行政建设、人民调解、基层法律服务等工作。</w:t>
      </w:r>
    </w:p>
    <w:p w14:paraId="06907F8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（六）负责指导管理、组织实施社区矫正工作；组织、协调开展对刑满释放人员的安置帮教工作。</w:t>
      </w:r>
    </w:p>
    <w:p w14:paraId="2D27B7C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（七）按照权限管理司法行政系统的思想政治等相关工作。</w:t>
      </w:r>
    </w:p>
    <w:p w14:paraId="7EA7391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（八）指导各街道、有关部门及各行业开展司法行政和法治宣传工作。</w:t>
      </w:r>
    </w:p>
    <w:p w14:paraId="5BB9BD2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27" w:firstLineChars="196"/>
        <w:textAlignment w:val="auto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（九）承办区委区政府和上级部门交办的其他事项。</w:t>
      </w:r>
    </w:p>
    <w:p w14:paraId="5408ED82">
      <w:pPr>
        <w:pStyle w:val="4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二、部门（单位）预算构成</w:t>
      </w:r>
    </w:p>
    <w:p w14:paraId="37B0293F">
      <w:pPr>
        <w:pStyle w:val="4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sz w:val="32"/>
          <w:szCs w:val="32"/>
        </w:rPr>
        <w:t>从预算单位构成看，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杜集区司法局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仿宋_GB2312" w:cs="TimesNewRoman"/>
          <w:sz w:val="32"/>
          <w:szCs w:val="32"/>
        </w:rPr>
        <w:t>度部门预算仅包括局本级预算，无其他下属单位预算。</w:t>
      </w:r>
    </w:p>
    <w:p w14:paraId="34B16953">
      <w:pPr>
        <w:pStyle w:val="4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三、</w:t>
      </w:r>
      <w:r>
        <w:rPr>
          <w:rFonts w:hint="eastAsia" w:ascii="TimesNewRoman" w:hAnsi="TimesNewRoman" w:eastAsia="黑体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黑体" w:cs="TimesNewRoman"/>
          <w:bCs/>
          <w:sz w:val="32"/>
          <w:szCs w:val="32"/>
        </w:rPr>
        <w:t>度主要工作任务</w:t>
      </w:r>
    </w:p>
    <w:p w14:paraId="1F08E99F">
      <w:pPr>
        <w:ind w:firstLine="640" w:firstLineChars="200"/>
        <w:rPr>
          <w:rFonts w:hint="eastAsia"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（一）统筹推进法治政府建设。深入学习贯彻习近平法治思想，坚持和加强党对法治政府建设的领导，推动基层法治建设，完善“基层法治观察点+基层法治观察员”制度。突出抓好“一规划两方案”持续推进工作。推动全区行政执法人员线上培训全覆盖，着力提升全区执法人员执法水平。加强合法性审查工作指导力度，充分发挥区合审中心的全覆盖作用。完善重大决策、规范性文件合法性审查机制。健全完善行政执法监督工作体系，开展行政执法突出问题专项整治和监督工作。畅通行政复议渠道，持续推进行政争议实质性化解。</w:t>
      </w:r>
    </w:p>
    <w:p w14:paraId="56D127B2">
      <w:pPr>
        <w:ind w:firstLine="640" w:firstLineChars="200"/>
        <w:rPr>
          <w:rFonts w:hint="eastAsia"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（二）创新开展法治宣传教育。切实做好“八五”普法收官工作，持续加强辖区法治宣传教育，创新普法形式，深入开展“送法进企业”活动，持续擦亮“法治文艺列车”特色普法品牌，持续提升法治文化阵地利用率，进一步增强法治宣传群众参与感、体验感。持续深化“1名村（居）法律顾问+N名法律明白人”行动，加强对村（社区）依法治理工作的指导，进一步抓好“农村学法用法示范户”培育工程。</w:t>
      </w:r>
    </w:p>
    <w:p w14:paraId="6E276C98">
      <w:pPr>
        <w:ind w:firstLine="640" w:firstLineChars="200"/>
        <w:rPr>
          <w:rFonts w:hint="eastAsia"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（三）提升公共法律服务质效。健全覆盖城乡的公共法律服务体系。进一步完善省际毗邻地区法务中心建设，推动重要法务职能在功能区率先落位，实现毗邻区法律事务一次办、马上办、就近办、网上办。加强对基层法律服务所和工作者业务检查，加强安徽日月律师事务所、进境律师事务所“双随机 一公开”检查工作，进一步提升基层法律服务工作质效。</w:t>
      </w:r>
    </w:p>
    <w:p w14:paraId="410F50CC">
      <w:pPr>
        <w:ind w:firstLine="640" w:firstLineChars="200"/>
        <w:rPr>
          <w:rFonts w:hint="eastAsia"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（四）充分发挥多元化解作用。持续推进“一站式”解纷体系建设，充分发挥区、镇（街道）、村（社区）三级社会矛盾纠纷多元化解中心能动作用，有效化解人民内部矛盾纠纷，促进基层和谐稳定。积极推广“一杯茶”调解工作法，加强个人调解工作室建设和管理运营，提升调解实效。</w:t>
      </w:r>
    </w:p>
    <w:p w14:paraId="71D58031">
      <w:pPr>
        <w:ind w:firstLine="640" w:firstLineChars="200"/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（五）持续加强特殊人群监管。扎实做好社区矫正对象监管，坚持分类管理与因人施“矫”相结合，落实日常监管与重要时间节点提级管理措施，不断提升社区矫正监管规范化水平。强化安置帮教工作，加强安置帮教对象的衔接、安置、帮扶教育、系统信息维护等工作，进一步提升帮教效果，确保基层社会和谐稳定。</w:t>
      </w:r>
    </w:p>
    <w:p w14:paraId="2958DF41">
      <w:pPr>
        <w:pStyle w:val="4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36"/>
          <w:szCs w:val="36"/>
        </w:rPr>
      </w:pPr>
      <w:r>
        <w:rPr>
          <w:rFonts w:hint="eastAsia" w:ascii="TimesNewRoman" w:hAnsi="TimesNewRoman" w:eastAsia="黑体" w:cs="TimesNewRoman"/>
          <w:bCs/>
          <w:sz w:val="36"/>
          <w:szCs w:val="36"/>
        </w:rPr>
        <w:t xml:space="preserve">第二部分 </w:t>
      </w:r>
      <w:r>
        <w:rPr>
          <w:rFonts w:hint="eastAsia" w:ascii="TimesNewRoman" w:hAnsi="TimesNewRoman" w:eastAsia="黑体" w:cs="TimesNewRoman"/>
          <w:bCs/>
          <w:sz w:val="36"/>
          <w:szCs w:val="36"/>
          <w:lang w:eastAsia="zh-CN"/>
        </w:rPr>
        <w:t>2025年</w:t>
      </w:r>
      <w:r>
        <w:rPr>
          <w:rFonts w:hint="eastAsia" w:ascii="TimesNewRoman" w:hAnsi="TimesNewRoman" w:eastAsia="黑体" w:cs="TimesNewRoman"/>
          <w:bCs/>
          <w:sz w:val="36"/>
          <w:szCs w:val="36"/>
        </w:rPr>
        <w:t>部门（单位）预算表</w:t>
      </w:r>
    </w:p>
    <w:p w14:paraId="5FD86BC6">
      <w:pPr>
        <w:pStyle w:val="4"/>
        <w:adjustRightInd w:val="0"/>
        <w:snapToGrid w:val="0"/>
        <w:spacing w:line="560" w:lineRule="exact"/>
        <w:ind w:firstLine="627" w:firstLineChars="196"/>
        <w:jc w:val="center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见附件1-2</w:t>
      </w:r>
    </w:p>
    <w:p w14:paraId="2B2A4261">
      <w:r>
        <w:t xml:space="preserve">                                        </w:t>
      </w:r>
    </w:p>
    <w:p w14:paraId="3CBDA5B6">
      <w:pPr>
        <w:pStyle w:val="4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36"/>
          <w:szCs w:val="36"/>
        </w:rPr>
      </w:pPr>
      <w:r>
        <w:rPr>
          <w:rFonts w:hint="eastAsia" w:ascii="TimesNewRoman" w:hAnsi="TimesNewRoman" w:eastAsia="黑体" w:cs="TimesNewRoman"/>
          <w:bCs/>
          <w:sz w:val="36"/>
          <w:szCs w:val="36"/>
        </w:rPr>
        <w:t xml:space="preserve">第三部分 </w:t>
      </w:r>
      <w:r>
        <w:rPr>
          <w:rFonts w:hint="eastAsia" w:ascii="TimesNewRoman" w:hAnsi="TimesNewRoman" w:eastAsia="黑体" w:cs="TimesNewRoman"/>
          <w:bCs/>
          <w:sz w:val="36"/>
          <w:szCs w:val="36"/>
          <w:lang w:eastAsia="zh-CN"/>
        </w:rPr>
        <w:t>2025年</w:t>
      </w:r>
      <w:r>
        <w:rPr>
          <w:rFonts w:hint="eastAsia" w:ascii="TimesNewRoman" w:hAnsi="TimesNewRoman" w:eastAsia="黑体" w:cs="TimesNewRoman"/>
          <w:bCs/>
          <w:sz w:val="36"/>
          <w:szCs w:val="36"/>
        </w:rPr>
        <w:t>部门（单位）预算情况说明</w:t>
      </w:r>
    </w:p>
    <w:p w14:paraId="1C9E42C2"/>
    <w:p w14:paraId="19A0FF3D">
      <w:pPr>
        <w:pStyle w:val="4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一、关于</w:t>
      </w:r>
      <w:r>
        <w:rPr>
          <w:rFonts w:hint="eastAsia" w:ascii="TimesNewRoman" w:hAnsi="TimesNewRoman" w:eastAsia="黑体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黑体" w:cs="TimesNewRoman"/>
          <w:bCs/>
          <w:sz w:val="32"/>
          <w:szCs w:val="32"/>
        </w:rPr>
        <w:t>收支总表的说明</w:t>
      </w:r>
    </w:p>
    <w:p w14:paraId="2AB8782F">
      <w:pPr>
        <w:pStyle w:val="4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sz w:val="32"/>
          <w:szCs w:val="32"/>
        </w:rPr>
        <w:t>按照综合预算的原则，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杜集区司法局</w:t>
      </w:r>
      <w:r>
        <w:rPr>
          <w:rFonts w:hint="eastAsia" w:ascii="TimesNewRoman" w:hAnsi="TimesNewRoman" w:eastAsia="仿宋_GB2312" w:cs="TimesNewRoman"/>
          <w:sz w:val="32"/>
          <w:szCs w:val="32"/>
        </w:rPr>
        <w:t>所有收入和支出均纳入部门（单位）预算管理。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sz w:val="32"/>
          <w:szCs w:val="32"/>
        </w:rPr>
        <w:t>收支总预算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671.65</w:t>
      </w:r>
      <w:r>
        <w:rPr>
          <w:rFonts w:hint="eastAsia" w:ascii="TimesNewRoman" w:hAnsi="TimesNewRoman" w:eastAsia="仿宋_GB2312" w:cs="TimesNewRoman"/>
          <w:sz w:val="32"/>
          <w:szCs w:val="32"/>
        </w:rPr>
        <w:t>万元，收入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全部为</w:t>
      </w:r>
      <w:r>
        <w:rPr>
          <w:rFonts w:hint="eastAsia" w:ascii="TimesNewRoman" w:hAnsi="TimesNewRoman" w:eastAsia="仿宋_GB2312" w:cs="TimesNewRoman"/>
          <w:sz w:val="32"/>
          <w:szCs w:val="32"/>
        </w:rPr>
        <w:t>一般公共预算拨款收入，支出包括：一般公共服务支出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511.81万元</w:t>
      </w:r>
      <w:r>
        <w:rPr>
          <w:rFonts w:hint="eastAsia" w:ascii="TimesNewRoman" w:hAnsi="TimesNewRoman" w:eastAsia="仿宋_GB2312" w:cs="TimesNewRoman"/>
          <w:sz w:val="32"/>
          <w:szCs w:val="32"/>
        </w:rPr>
        <w:t>、社会保障和就业支出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67.95万元</w:t>
      </w:r>
      <w:r>
        <w:rPr>
          <w:rFonts w:hint="eastAsia" w:ascii="TimesNewRoman" w:hAnsi="TimesNewRoman" w:eastAsia="仿宋_GB2312" w:cs="TimesNewRoman"/>
          <w:sz w:val="32"/>
          <w:szCs w:val="32"/>
        </w:rPr>
        <w:t>、卫生健康支出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25.77万元</w:t>
      </w:r>
      <w:r>
        <w:rPr>
          <w:rFonts w:hint="eastAsia" w:ascii="TimesNewRoman" w:hAnsi="TimesNewRoman" w:eastAsia="仿宋_GB2312" w:cs="TimesNewRoman"/>
          <w:sz w:val="32"/>
          <w:szCs w:val="32"/>
        </w:rPr>
        <w:t>、住房保障支出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66.13万元</w:t>
      </w:r>
      <w:r>
        <w:rPr>
          <w:rFonts w:hint="eastAsia" w:ascii="TimesNewRoman" w:hAnsi="TimesNewRoman" w:eastAsia="仿宋_GB2312" w:cs="TimesNewRoman"/>
          <w:sz w:val="32"/>
          <w:szCs w:val="32"/>
        </w:rPr>
        <w:t>。</w:t>
      </w:r>
    </w:p>
    <w:p w14:paraId="1242D045">
      <w:pPr>
        <w:pStyle w:val="4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二、关于</w:t>
      </w:r>
      <w:r>
        <w:rPr>
          <w:rFonts w:hint="eastAsia" w:ascii="TimesNewRoman" w:hAnsi="TimesNewRoman" w:eastAsia="黑体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黑体" w:cs="TimesNewRoman"/>
          <w:bCs/>
          <w:sz w:val="32"/>
          <w:szCs w:val="32"/>
        </w:rPr>
        <w:t>收入总表的说明</w:t>
      </w:r>
    </w:p>
    <w:p w14:paraId="55E9CF3A">
      <w:pPr>
        <w:ind w:firstLine="640" w:firstLineChars="200"/>
        <w:rPr>
          <w:rFonts w:hint="eastAsia"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收入预算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671.65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万元，其中，本年收入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671.65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</w:t>
      </w:r>
    </w:p>
    <w:p w14:paraId="30CE6FFB">
      <w:pPr>
        <w:ind w:firstLine="643" w:firstLineChars="200"/>
        <w:rPr>
          <w:rFonts w:hint="default" w:ascii="TimesNewRoman" w:hAnsi="TimesNewRoman" w:eastAsia="楷体_GB2312" w:cs="TimesNewRoman"/>
          <w:kern w:val="0"/>
          <w:sz w:val="32"/>
          <w:szCs w:val="32"/>
          <w:lang w:val="en-US" w:eastAsia="zh-CN"/>
        </w:rPr>
      </w:pP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</w:rPr>
        <w:t>本年收入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671.65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</w:rPr>
        <w:t>万元，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主要包括：一般公共预算拨款收入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671.65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%，比202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年预算减少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76.55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10.2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%，原因主要是一是人员减少，二是过紧日子、厉行节约；政府性基金预算拨款收入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%，比202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年预算增加（减少）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万元，增长（下降）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%；财政专户管理资金收入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%，比202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年预算增加（减少）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万元，增长（下降）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%。</w:t>
      </w:r>
    </w:p>
    <w:p w14:paraId="2EF8A7A9">
      <w:pPr>
        <w:pStyle w:val="4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三、关于</w:t>
      </w:r>
      <w:r>
        <w:rPr>
          <w:rFonts w:hint="eastAsia" w:ascii="TimesNewRoman" w:hAnsi="TimesNewRoman" w:eastAsia="黑体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黑体" w:cs="TimesNewRoman"/>
          <w:bCs/>
          <w:sz w:val="32"/>
          <w:szCs w:val="32"/>
        </w:rPr>
        <w:t>支出总表的说明</w:t>
      </w:r>
    </w:p>
    <w:p w14:paraId="34924273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支出预算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671.65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万元，比202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年预算减少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76.55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10.2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%，原因主要是一是人员减少，二是过紧日子、厉行节约。其中，基本支出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584.65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87.1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%，主要用于保障机构日常运转、完成日常工作任务；项目支出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87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12.9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%，主要用于</w:t>
      </w:r>
      <w:r>
        <w:rPr>
          <w:rFonts w:hint="eastAsia" w:ascii="仿宋_GB2312" w:hAnsi="仿宋" w:eastAsia="仿宋_GB2312"/>
          <w:sz w:val="32"/>
          <w:szCs w:val="32"/>
        </w:rPr>
        <w:t>社区矫正、人民调解、法律援助、法治宣传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、法治政府建设</w:t>
      </w:r>
      <w:r>
        <w:rPr>
          <w:rFonts w:hint="eastAsia" w:ascii="仿宋_GB2312" w:hAnsi="仿宋" w:eastAsia="仿宋_GB2312"/>
          <w:sz w:val="32"/>
          <w:szCs w:val="32"/>
        </w:rPr>
        <w:t>等业务工作的开支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。</w:t>
      </w:r>
    </w:p>
    <w:p w14:paraId="4F051802">
      <w:pPr>
        <w:pStyle w:val="4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四、关于</w:t>
      </w:r>
      <w:r>
        <w:rPr>
          <w:rFonts w:hint="eastAsia" w:ascii="TimesNewRoman" w:hAnsi="TimesNewRoman" w:eastAsia="黑体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黑体" w:cs="TimesNewRoman"/>
          <w:bCs/>
          <w:sz w:val="32"/>
          <w:szCs w:val="32"/>
        </w:rPr>
        <w:t>财政拨款收支总表的说明</w:t>
      </w:r>
    </w:p>
    <w:p w14:paraId="629E2916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财政拨款收支预算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671.65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万元。收入按资金来源分为：一般公共预算拨款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671.65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万元；按资金年度分为：本年财政拨款收入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671.65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万元。支出按功能分类分为：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公共安全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511.81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76.2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%；社会保障和就业支出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67.95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10.1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%；卫生健康支出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25.77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3.8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%；住房保障支出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66.13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9.9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%。</w:t>
      </w:r>
    </w:p>
    <w:p w14:paraId="48FEBDE7">
      <w:pPr>
        <w:pStyle w:val="4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五、关于</w:t>
      </w:r>
      <w:r>
        <w:rPr>
          <w:rFonts w:hint="eastAsia" w:ascii="TimesNewRoman" w:hAnsi="TimesNewRoman" w:eastAsia="黑体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黑体" w:cs="TimesNewRoman"/>
          <w:bCs/>
          <w:sz w:val="32"/>
          <w:szCs w:val="32"/>
        </w:rPr>
        <w:t>一般公共预算支出表的说明</w:t>
      </w:r>
    </w:p>
    <w:p w14:paraId="215DF757">
      <w:pPr>
        <w:pStyle w:val="4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楷体_GB2312" w:cs="TimesNewRoman"/>
          <w:b/>
          <w:sz w:val="32"/>
          <w:szCs w:val="32"/>
        </w:rPr>
      </w:pPr>
      <w:r>
        <w:rPr>
          <w:rFonts w:hint="eastAsia" w:ascii="TimesNewRoman" w:hAnsi="TimesNewRoman" w:eastAsia="楷体_GB2312" w:cs="TimesNewRoman"/>
          <w:b/>
          <w:sz w:val="32"/>
          <w:szCs w:val="32"/>
        </w:rPr>
        <w:t>（一）一般公共预算支出规模变化情况。</w:t>
      </w:r>
    </w:p>
    <w:p w14:paraId="234B66A4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一般公共预算支出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671.65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万元，比202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年预算减少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76.55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10.2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%，主要原因：一是人员减少，二是过紧日子、厉行节约。</w:t>
      </w:r>
    </w:p>
    <w:p w14:paraId="49DE98C0">
      <w:pPr>
        <w:pStyle w:val="4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楷体_GB2312" w:cs="TimesNewRoman"/>
          <w:b/>
          <w:sz w:val="32"/>
          <w:szCs w:val="32"/>
        </w:rPr>
      </w:pPr>
      <w:r>
        <w:rPr>
          <w:rFonts w:hint="eastAsia" w:ascii="TimesNewRoman" w:hAnsi="TimesNewRoman" w:eastAsia="楷体_GB2312" w:cs="TimesNewRoman"/>
          <w:b/>
          <w:sz w:val="32"/>
          <w:szCs w:val="32"/>
        </w:rPr>
        <w:t>（二）一般公共预算支出结构情况。</w:t>
      </w:r>
    </w:p>
    <w:p w14:paraId="6B579A14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公共安全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511.81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76.2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%；社会保障和就业支出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67.95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10.1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%；卫生健康支出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25.77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3.8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%；住房保障支出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66.13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9.9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%。</w:t>
      </w:r>
    </w:p>
    <w:p w14:paraId="4CCA7076">
      <w:pPr>
        <w:pStyle w:val="4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楷体_GB2312" w:cs="TimesNewRoman"/>
          <w:b/>
          <w:sz w:val="32"/>
          <w:szCs w:val="32"/>
        </w:rPr>
      </w:pPr>
      <w:r>
        <w:rPr>
          <w:rFonts w:hint="eastAsia" w:ascii="TimesNewRoman" w:hAnsi="TimesNewRoman" w:eastAsia="楷体_GB2312" w:cs="TimesNewRoman"/>
          <w:b/>
          <w:sz w:val="32"/>
          <w:szCs w:val="32"/>
        </w:rPr>
        <w:t>（三）一般公共预算支出具体使用情况。</w:t>
      </w:r>
    </w:p>
    <w:p w14:paraId="0955B5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TimesNewRoman" w:hAnsi="TimesNewRoman" w:eastAsia="仿宋_GB2312" w:cs="TimesNewRoman"/>
          <w:color w:val="000000" w:themeColor="text1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</w:rPr>
        <w:t>1、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  <w:lang w:eastAsia="zh-CN"/>
        </w:rPr>
        <w:t>公共安全支出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</w:rPr>
        <w:t>（类）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  <w:lang w:eastAsia="zh-CN"/>
        </w:rPr>
        <w:t>司法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</w:rPr>
        <w:t>（款）行政运行（项）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</w:rPr>
        <w:t>预算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  <w:lang w:val="en-US" w:eastAsia="zh-CN"/>
        </w:rPr>
        <w:t>424.81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</w:rPr>
        <w:t>万元，比202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</w:rPr>
        <w:t>年预算减少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  <w:lang w:val="en-US" w:eastAsia="zh-CN"/>
        </w:rPr>
        <w:t>5.99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  <w:lang w:val="en-US" w:eastAsia="zh-CN"/>
        </w:rPr>
        <w:t>1.4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</w:rPr>
        <w:t>%，原因主要是</w:t>
      </w:r>
      <w:r>
        <w:rPr>
          <w:rFonts w:hint="default" w:ascii="TimesNewRoman" w:hAnsi="TimesNewRoman" w:eastAsia="仿宋_GB2312" w:cs="TimesNewRoman"/>
          <w:sz w:val="32"/>
          <w:szCs w:val="32"/>
        </w:rPr>
        <w:t>人员减少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，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过紧日子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，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厉行节约</w:t>
      </w:r>
      <w:r>
        <w:rPr>
          <w:rFonts w:hint="default" w:ascii="TimesNewRoman" w:hAnsi="TimesNewRoman" w:cs="TimesNewRoman"/>
          <w:szCs w:val="32"/>
        </w:rPr>
        <w:t>。</w:t>
      </w:r>
    </w:p>
    <w:p w14:paraId="4193C8FF">
      <w:pPr>
        <w:ind w:firstLine="640" w:firstLineChars="200"/>
        <w:rPr>
          <w:rFonts w:hint="eastAsia"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</w:rPr>
        <w:t>2、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  <w:lang w:eastAsia="zh-CN"/>
        </w:rPr>
        <w:t>公共服务支出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</w:rPr>
        <w:t>（类）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  <w:lang w:eastAsia="zh-CN"/>
        </w:rPr>
        <w:t>司法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</w:rPr>
        <w:t>（款）一般行政管理事务（项）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</w:rPr>
        <w:t>预算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  <w:lang w:val="en-US" w:eastAsia="zh-CN"/>
        </w:rPr>
        <w:t>57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</w:rPr>
        <w:t>万元，比202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</w:rPr>
        <w:t>年预算减少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  <w:lang w:val="en-US" w:eastAsia="zh-CN"/>
        </w:rPr>
        <w:t>29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  <w:lang w:val="en-US" w:eastAsia="zh-CN"/>
        </w:rPr>
        <w:t>33.7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</w:rPr>
        <w:t>%，原因主要是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  <w:lang w:eastAsia="zh-CN"/>
        </w:rPr>
        <w:t>预算压减，</w:t>
      </w:r>
      <w:r>
        <w:rPr>
          <w:rFonts w:hint="default" w:ascii="TimesNewRoman" w:hAnsi="TimesNewRoman" w:eastAsia="仿宋_GB2312" w:cs="TimesNewRoman"/>
          <w:sz w:val="32"/>
          <w:szCs w:val="32"/>
        </w:rPr>
        <w:t>过紧日子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，</w:t>
      </w:r>
      <w:r>
        <w:rPr>
          <w:rFonts w:hint="default" w:ascii="TimesNewRoman" w:hAnsi="TimesNewRoman" w:eastAsia="仿宋_GB2312" w:cs="TimesNewRoman"/>
          <w:sz w:val="32"/>
          <w:szCs w:val="32"/>
        </w:rPr>
        <w:t>厉行节约</w:t>
      </w:r>
      <w:r>
        <w:rPr>
          <w:rFonts w:hint="eastAsia" w:ascii="TimesNewRoman" w:hAnsi="TimesNewRoman" w:eastAsia="仿宋_GB2312" w:cs="TimesNewRoman"/>
          <w:color w:val="000000" w:themeColor="text1"/>
          <w:kern w:val="0"/>
          <w:sz w:val="32"/>
          <w:szCs w:val="32"/>
        </w:rPr>
        <w:t>。</w:t>
      </w:r>
    </w:p>
    <w:p w14:paraId="051CE6C7">
      <w:pPr>
        <w:ind w:firstLine="640" w:firstLineChars="200"/>
        <w:rPr>
          <w:rFonts w:hint="eastAsia"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3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、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公共安全支出（类）司法（款）公共法律服务（项）202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年预算30万元，较202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年预算无变化。</w:t>
      </w:r>
    </w:p>
    <w:p w14:paraId="74D671D2">
      <w:pPr>
        <w:ind w:firstLine="640" w:firstLineChars="200"/>
        <w:rPr>
          <w:rFonts w:hint="eastAsia"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、社会保障和就业支出（类）行政事业单位养老支出（款）行政单位离退休（项）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7.33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万元，比202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年预算增加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0.23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万元，增长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3.2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%，原因主要是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退休人员增加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。</w:t>
      </w:r>
    </w:p>
    <w:p w14:paraId="1959A86F">
      <w:pPr>
        <w:ind w:firstLine="640" w:firstLineChars="200"/>
        <w:rPr>
          <w:rFonts w:hint="eastAsia"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5、社会保障和就业支出（类）行政事业单位养老支出（款）机关事业单位基本养老保险缴费支出（项）202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年预算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39.51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万元，比202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年预算减少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12.09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23.4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%，原因主要是人员减少。</w:t>
      </w:r>
    </w:p>
    <w:p w14:paraId="211F11F7">
      <w:pPr>
        <w:ind w:firstLine="640" w:firstLineChars="200"/>
        <w:rPr>
          <w:rFonts w:hint="eastAsia"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6、社会保障和就业支出（类）行政事业单位养老支出（款）机关事业单位基本职业年金缴费支出（项）20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年预算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19.75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万元，比202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年预算减少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6.05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23.4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%，原因主要是人员减少。</w:t>
      </w:r>
    </w:p>
    <w:p w14:paraId="11F77ADD">
      <w:pPr>
        <w:ind w:firstLine="640" w:firstLineChars="200"/>
        <w:rPr>
          <w:rFonts w:hint="eastAsia"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、社会保障和就业支出（类）行政事业单位养老支出（款）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其他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行政事业单位养老支出（项）20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年预算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0.8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万元，比202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年预算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0.8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增加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%，原因主要是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2024年未单列此项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。</w:t>
      </w:r>
    </w:p>
    <w:p w14:paraId="23E219A3">
      <w:pPr>
        <w:ind w:firstLine="640" w:firstLineChars="200"/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8、社会保障和就业支出（类）其他社会保障和就业支出（款）其他社会保障和就业支出（项）2025年预算0.55万元，比2024年预算减少0.01万元，减少1.8%，与2024年基本持平。</w:t>
      </w:r>
    </w:p>
    <w:p w14:paraId="074424BF">
      <w:pPr>
        <w:ind w:firstLine="640" w:firstLineChars="200"/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9、卫生健康支出（类）行政事业单位医疗（款）行政单位医疗（项）2025年预算17.78万元，比2024年预算减少3.42万元，下降16.1%，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原因主要是人员减少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。</w:t>
      </w:r>
    </w:p>
    <w:p w14:paraId="333AC761">
      <w:pPr>
        <w:ind w:firstLine="640" w:firstLineChars="200"/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10、卫生健康支出（类）行政事业单位医疗（款）公务员医疗补助（项）2025年预算7.99万元，比2024年预算减少0.16万元，减少2.0%，原因主要是在编人员减少。</w:t>
      </w:r>
    </w:p>
    <w:p w14:paraId="13DE2D5F">
      <w:pPr>
        <w:ind w:firstLine="640" w:firstLineChars="200"/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11、住房保障支出（类）住房改革支出（款）住房公积金（项）2025年预算46.68万元，比2024年预算减少5.12万元，减少9.9%，原因主要是公积金基数调整，在编人员减少。</w:t>
      </w:r>
    </w:p>
    <w:p w14:paraId="206ADD94">
      <w:pPr>
        <w:ind w:firstLine="640" w:firstLineChars="200"/>
        <w:rPr>
          <w:rFonts w:hint="default" w:ascii="TimesNewRoman" w:hAnsi="TimesNewRoman" w:eastAsia="仿宋_GB2312" w:cs="TimesNewRoman"/>
          <w:kern w:val="0"/>
          <w:sz w:val="32"/>
          <w:szCs w:val="32"/>
          <w:lang w:val="en-US" w:eastAsia="zh-CN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12、住房保障支出（类）住房改革支出（款）购房补贴（项）2025年预算19.45万元，比2024年预算减少2.15万元，下降10.0%，原因主要是人员减少。</w:t>
      </w:r>
    </w:p>
    <w:p w14:paraId="61D5E0CF">
      <w:pPr>
        <w:pStyle w:val="4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六、关于</w:t>
      </w:r>
      <w:r>
        <w:rPr>
          <w:rFonts w:hint="eastAsia" w:ascii="TimesNewRoman" w:hAnsi="TimesNewRoman" w:eastAsia="黑体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黑体" w:cs="TimesNewRoman"/>
          <w:bCs/>
          <w:sz w:val="32"/>
          <w:szCs w:val="32"/>
        </w:rPr>
        <w:t>一般公共预算基本支出表的说明</w:t>
      </w:r>
    </w:p>
    <w:p w14:paraId="668DDD25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一般公共预算基本支出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584.65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万元，其中，人员经费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521.20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万元，公用经费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63.45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</w:t>
      </w:r>
    </w:p>
    <w:p w14:paraId="4986EE90">
      <w:pPr>
        <w:numPr>
          <w:ilvl w:val="0"/>
          <w:numId w:val="0"/>
        </w:numPr>
        <w:ind w:firstLine="643" w:firstLineChars="200"/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</w:pPr>
      <w:r>
        <w:rPr>
          <w:rFonts w:hint="eastAsia" w:ascii="TimesNewRoman" w:hAnsi="TimesNewRoman" w:eastAsia="仿宋_GB2312" w:cs="TimesNewRoman"/>
          <w:b/>
          <w:bCs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</w:rPr>
        <w:t>人员经费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  <w:lang w:val="en-US" w:eastAsia="zh-CN"/>
        </w:rPr>
        <w:t>521.20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</w:rPr>
        <w:t>万元，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主要包括:基本工资、津贴补贴、奖金、机关事业单位基本养老保险费、职业年金缴费、职工基本医疗保险缴费、公务员医疗补助缴费、其他社会保障缴费、住房公积金、医疗费、其他工资福利支出、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工会经费、其他商品和服务支出、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退休费、医疗费补助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。</w:t>
      </w:r>
    </w:p>
    <w:p w14:paraId="08EAA732">
      <w:pPr>
        <w:pStyle w:val="4"/>
        <w:numPr>
          <w:ilvl w:val="0"/>
          <w:numId w:val="0"/>
        </w:numPr>
        <w:adjustRightInd w:val="0"/>
        <w:snapToGrid w:val="0"/>
        <w:spacing w:line="560" w:lineRule="exact"/>
        <w:ind w:left="0" w:leftChars="0" w:firstLine="643" w:firstLineChars="200"/>
        <w:rPr>
          <w:rFonts w:hint="eastAsia"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bCs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</w:rPr>
        <w:t>公用经费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  <w:lang w:val="en-US" w:eastAsia="zh-CN"/>
        </w:rPr>
        <w:t>63.45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</w:rPr>
        <w:t>万元，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主要包括：办公费、差旅费、维修（护）费、公务接待费、专用材料费、被装购置费、劳务费、公务用车运行维护费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、其他交通费用、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其他商品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和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服务支出。</w:t>
      </w:r>
    </w:p>
    <w:p w14:paraId="6A6199D7">
      <w:pPr>
        <w:pStyle w:val="4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七、关于</w:t>
      </w:r>
      <w:r>
        <w:rPr>
          <w:rFonts w:hint="eastAsia" w:ascii="TimesNewRoman" w:hAnsi="TimesNewRoman" w:eastAsia="黑体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黑体" w:cs="TimesNewRoman"/>
          <w:bCs/>
          <w:sz w:val="32"/>
          <w:szCs w:val="32"/>
        </w:rPr>
        <w:t>政府性基金预算支出表的说明</w:t>
      </w:r>
    </w:p>
    <w:p w14:paraId="02953604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没有政府性基金预算拨款收入，也没有使用政府性基金预算拨款安排的支出。</w:t>
      </w:r>
    </w:p>
    <w:p w14:paraId="4092E6A2">
      <w:pPr>
        <w:pStyle w:val="4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八、关于</w:t>
      </w:r>
      <w:r>
        <w:rPr>
          <w:rFonts w:hint="eastAsia" w:ascii="TimesNewRoman" w:hAnsi="TimesNewRoman" w:eastAsia="黑体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黑体" w:cs="TimesNewRoman"/>
          <w:bCs/>
          <w:sz w:val="32"/>
          <w:szCs w:val="32"/>
        </w:rPr>
        <w:t>国有资本经营预算支出表的说明</w:t>
      </w:r>
    </w:p>
    <w:p w14:paraId="001B1C6B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没有国有资本经营预算拨款收入，也没有使用国有资本经营预算拨款安排的支出。</w:t>
      </w:r>
    </w:p>
    <w:p w14:paraId="3D29D56C">
      <w:pPr>
        <w:pStyle w:val="4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九、关于</w:t>
      </w:r>
      <w:r>
        <w:rPr>
          <w:rFonts w:hint="eastAsia" w:ascii="TimesNewRoman" w:hAnsi="TimesNewRoman" w:eastAsia="黑体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黑体" w:cs="TimesNewRoman"/>
          <w:bCs/>
          <w:sz w:val="32"/>
          <w:szCs w:val="32"/>
        </w:rPr>
        <w:t>项目支出表的说明</w:t>
      </w:r>
    </w:p>
    <w:p w14:paraId="5BC05A95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预算共安排项目支出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87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万元，比202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年预算减少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29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%，原因主要是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人员减少，厉行节约，对预算项目资金进行压减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。主要包括：本年财政拨款安排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87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万元（其中，一般公共预算拨款安排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87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万元，政府性基金预算拨款安排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万元），</w:t>
      </w:r>
      <w:r>
        <w:rPr>
          <w:rFonts w:hint="default" w:ascii="TimesNewRoman" w:hAnsi="TimesNewRoman" w:eastAsia="仿宋_GB2312" w:cs="TimesNewRoman"/>
          <w:sz w:val="32"/>
          <w:szCs w:val="32"/>
        </w:rPr>
        <w:t>财政拨款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上年</w:t>
      </w:r>
      <w:r>
        <w:rPr>
          <w:rFonts w:hint="default" w:ascii="TimesNewRoman" w:hAnsi="TimesNewRoman" w:eastAsia="仿宋_GB2312" w:cs="TimesNewRoman"/>
          <w:sz w:val="32"/>
          <w:szCs w:val="32"/>
        </w:rPr>
        <w:t>结转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结余</w:t>
      </w:r>
      <w:r>
        <w:rPr>
          <w:rFonts w:hint="default" w:ascii="TimesNewRoman" w:hAnsi="TimesNewRoman" w:eastAsia="仿宋_GB2312" w:cs="TimesNewRoman"/>
          <w:sz w:val="32"/>
          <w:szCs w:val="32"/>
        </w:rPr>
        <w:t xml:space="preserve">安排 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</w:rPr>
        <w:t>万元（其中，一般公共预算拨款安排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</w:rPr>
        <w:t>万元，政府性基金预算拨款安排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</w:rPr>
        <w:t>万元，国有资本经营预算拨款安排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</w:rPr>
        <w:t>万元）、财政专户管理资金安排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</w:rPr>
        <w:t>万元和单位资金安排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</w:rPr>
        <w:t>万元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。</w:t>
      </w:r>
    </w:p>
    <w:p w14:paraId="39297D30">
      <w:pPr>
        <w:pStyle w:val="4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十、关于</w:t>
      </w:r>
      <w:r>
        <w:rPr>
          <w:rFonts w:hint="eastAsia" w:ascii="TimesNewRoman" w:hAnsi="TimesNewRoman" w:eastAsia="黑体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黑体" w:cs="TimesNewRoman"/>
          <w:bCs/>
          <w:sz w:val="32"/>
          <w:szCs w:val="32"/>
        </w:rPr>
        <w:t>政府采购支出表的说明</w:t>
      </w:r>
    </w:p>
    <w:p w14:paraId="6C69DB75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预算安排政府采购支出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万元，比202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年预算增加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0.2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万元，增长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11.1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%，原因主要是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有些办公设备破损老旧，达到更换年限，需进行重新采购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。其中，一般公共预算安排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%；政府性基金预算安排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%；财政专户管理资金安排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%。</w:t>
      </w:r>
    </w:p>
    <w:p w14:paraId="3ECBF4E1">
      <w:pPr>
        <w:pStyle w:val="4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十一、关于</w:t>
      </w:r>
      <w:r>
        <w:rPr>
          <w:rFonts w:hint="eastAsia" w:ascii="TimesNewRoman" w:hAnsi="TimesNewRoman" w:eastAsia="黑体" w:cs="TimesNewRoman"/>
          <w:bCs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黑体" w:cs="TimesNewRoman"/>
          <w:bCs/>
          <w:sz w:val="32"/>
          <w:szCs w:val="32"/>
        </w:rPr>
        <w:t>政府购买服务支出表的说明</w:t>
      </w:r>
    </w:p>
    <w:p w14:paraId="2A3B035A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没有安排政府购买服务支出。</w:t>
      </w:r>
    </w:p>
    <w:p w14:paraId="1A9278C3">
      <w:pPr>
        <w:pStyle w:val="4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十二、其他重要事项情况说明</w:t>
      </w:r>
    </w:p>
    <w:p w14:paraId="2B574C4B">
      <w:pPr>
        <w:adjustRightInd w:val="0"/>
        <w:snapToGrid w:val="0"/>
        <w:spacing w:line="58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（一）项目及绩效目标情况。</w:t>
      </w:r>
    </w:p>
    <w:p w14:paraId="6E033210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1、“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法律援助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”项目。</w:t>
      </w:r>
    </w:p>
    <w:p w14:paraId="4A6E5453">
      <w:pPr>
        <w:spacing w:line="600" w:lineRule="exact"/>
        <w:ind w:firstLine="585" w:firstLineChars="183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（1）项目概述。</w:t>
      </w:r>
      <w:r>
        <w:rPr>
          <w:rFonts w:hint="eastAsia" w:ascii="仿宋_GB2312" w:hAnsi="楷体" w:eastAsia="仿宋_GB2312"/>
          <w:sz w:val="32"/>
          <w:szCs w:val="32"/>
        </w:rPr>
        <w:t>由政府设立的法律援助机构组织法律援助人员，为经济困难或特殊案件的人提供法律服务的一项法律保障制度。</w:t>
      </w:r>
    </w:p>
    <w:p w14:paraId="21367073">
      <w:pPr>
        <w:ind w:firstLine="640" w:firstLineChars="200"/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（2）立项依据。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《安徽省法律援助条例》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《淮北市法律援助经费管理办法》的通知</w:t>
      </w:r>
    </w:p>
    <w:p w14:paraId="5D25AF5B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（3）实施主体。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杜集区司法局法律援助中心</w:t>
      </w:r>
    </w:p>
    <w:p w14:paraId="181A035C">
      <w:pPr>
        <w:adjustRightInd w:val="0"/>
        <w:snapToGrid w:val="0"/>
        <w:spacing w:line="580" w:lineRule="exact"/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（4）起止时间。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年12月31日</w:t>
      </w:r>
    </w:p>
    <w:p w14:paraId="41927499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（5）项目内容。</w:t>
      </w:r>
      <w:r>
        <w:rPr>
          <w:rFonts w:hint="eastAsia" w:ascii="仿宋_GB2312" w:hAnsi="楷体" w:eastAsia="仿宋_GB2312"/>
          <w:sz w:val="32"/>
          <w:szCs w:val="32"/>
        </w:rPr>
        <w:t>受理各类法律援助案件、法律咨询、代拟法律文书、法律宣传等。</w:t>
      </w:r>
    </w:p>
    <w:p w14:paraId="2F5FE1F5">
      <w:pPr>
        <w:ind w:firstLine="640" w:firstLineChars="200"/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（6）年度预算安排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30万元。</w:t>
      </w:r>
    </w:p>
    <w:p w14:paraId="3F9A33D7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（7）绩效目标。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14:paraId="38F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0D384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项目支出绩效目标表</w:t>
            </w:r>
          </w:p>
        </w:tc>
      </w:tr>
      <w:tr w14:paraId="2703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065EBE6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2025年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度）                                </w:t>
            </w:r>
          </w:p>
        </w:tc>
      </w:tr>
      <w:tr w14:paraId="41BE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 w14:paraId="0EB2645F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vAlign w:val="center"/>
          </w:tcPr>
          <w:p w14:paraId="677B60AD">
            <w:pPr>
              <w:jc w:val="center"/>
              <w:rPr>
                <w:rFonts w:hint="eastAsia" w:ascii="宋体" w:cs="宋体" w:eastAsiaTheme="minorEastAsia"/>
                <w:sz w:val="20"/>
                <w:lang w:eastAsia="zh-CN"/>
              </w:rPr>
            </w:pPr>
            <w:r>
              <w:rPr>
                <w:rFonts w:hint="eastAsia" w:ascii="宋体" w:cs="宋体"/>
                <w:sz w:val="20"/>
                <w:lang w:eastAsia="zh-CN"/>
              </w:rPr>
              <w:t>法律援助</w:t>
            </w:r>
          </w:p>
        </w:tc>
      </w:tr>
      <w:tr w14:paraId="70D0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 w14:paraId="3E831076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 w14:paraId="637B224A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杜集区司法局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0CAD09E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 w14:paraId="6FC95FD4"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杜集区法律援中心</w:t>
            </w:r>
          </w:p>
        </w:tc>
      </w:tr>
      <w:tr w14:paraId="36B0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 w14:paraId="057B479A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 w14:paraId="2F18089D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民生工程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1A85441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 w14:paraId="3112334E"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.01.01-202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.12.31</w:t>
            </w:r>
          </w:p>
        </w:tc>
      </w:tr>
      <w:tr w14:paraId="6ABB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339D113F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 w14:paraId="23E2EE45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14:paraId="2056F4AB">
            <w:pPr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30</w:t>
            </w:r>
          </w:p>
        </w:tc>
      </w:tr>
      <w:tr w14:paraId="4D07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2C63A78C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 w14:paraId="3AE844AC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14:paraId="202CE110">
            <w:pPr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30</w:t>
            </w:r>
          </w:p>
        </w:tc>
      </w:tr>
      <w:tr w14:paraId="1233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4678EB55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 w14:paraId="5B457DE1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14:paraId="667F0596">
            <w:pPr>
              <w:jc w:val="center"/>
              <w:rPr>
                <w:rFonts w:hint="eastAsia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 w14:paraId="004D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2A2045DD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 w14:paraId="53C19668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14:paraId="7D34E442">
            <w:pPr>
              <w:jc w:val="center"/>
              <w:rPr>
                <w:rFonts w:hint="eastAsia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 w14:paraId="2B5E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vAlign w:val="center"/>
          </w:tcPr>
          <w:p w14:paraId="41623841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vAlign w:val="center"/>
          </w:tcPr>
          <w:p w14:paraId="77A07A1A">
            <w:pPr>
              <w:jc w:val="left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全年办理案件数量不低于3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案件质量符合中央和省案件质量评查标准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及时、足额发放法律援助案件补贴</w:t>
            </w:r>
          </w:p>
        </w:tc>
      </w:tr>
      <w:tr w14:paraId="11AA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vAlign w:val="center"/>
          </w:tcPr>
          <w:p w14:paraId="3FADAEF6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621D0588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665B229D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14:paraId="71CCC114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14:paraId="1CBD81F1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 w14:paraId="2864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 w14:paraId="50087FA5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01752696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4234471F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14:paraId="10AF9DB5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完成上级下达案件任务量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14:paraId="15FEB72B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380件</w:t>
            </w:r>
          </w:p>
        </w:tc>
      </w:tr>
      <w:tr w14:paraId="40D1E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 w14:paraId="52BB87E9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 w14:paraId="2DA2C399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4C2846BF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14:paraId="76076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案件质量符合中央和省案件质量评查标准合格率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14:paraId="3CCE5033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7BCA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 w14:paraId="49C95675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 w14:paraId="309C15FD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DEC71AA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14:paraId="4B0A8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资金是否及时到位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14:paraId="32A3A4FF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按照年度预算安排，资金拨付到位</w:t>
            </w:r>
          </w:p>
        </w:tc>
      </w:tr>
      <w:tr w14:paraId="71B4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 w14:paraId="785641A1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 w14:paraId="6D174622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ACB93B4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14:paraId="5B7E2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案件补贴发放时效性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14:paraId="42783FD1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及时完成序时进度</w:t>
            </w:r>
          </w:p>
        </w:tc>
      </w:tr>
      <w:tr w14:paraId="02C7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 w14:paraId="7062EE81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 w14:paraId="2B4F2802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3033A055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14:paraId="1D351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是否在预定成本控制范围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14:paraId="1DA2E3F6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严格控制成本，不超年度预算</w:t>
            </w:r>
          </w:p>
        </w:tc>
      </w:tr>
      <w:tr w14:paraId="4D41B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 w14:paraId="6496460E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2A2B03AA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0FE23761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14:paraId="6E980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项目实施是否产生经济价值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14:paraId="54D6A8BB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不产生经济价值</w:t>
            </w:r>
          </w:p>
        </w:tc>
      </w:tr>
      <w:tr w14:paraId="2FE1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 w14:paraId="505EE00B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 w14:paraId="08178630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02FB1E1E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14:paraId="596D4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是否对群众带来积极影响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14:paraId="33B5ECAB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未对周边群众产生消极影响</w:t>
            </w:r>
          </w:p>
        </w:tc>
      </w:tr>
      <w:tr w14:paraId="680C0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 w14:paraId="16E9979A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 w14:paraId="718D3B3B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4C5770E8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14:paraId="709F4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是否对当地生态环境造成影响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14:paraId="5C01DC6B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不对周边环境带来不利影响</w:t>
            </w:r>
          </w:p>
        </w:tc>
      </w:tr>
      <w:tr w14:paraId="300AA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 w14:paraId="1901B836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 w14:paraId="6BCA80E5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024E6F1E"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14:paraId="6827B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项目实施后是一定时期内是否有可持续影响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14:paraId="4212F77A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进一步提升区域司法行政业务工作影响力</w:t>
            </w:r>
          </w:p>
        </w:tc>
      </w:tr>
      <w:tr w14:paraId="02B0F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 w14:paraId="53D9D4DE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3509E197"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062C7AAE"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14:paraId="77FFC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受理对象是否满意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14:paraId="621DBAB6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满意</w:t>
            </w:r>
          </w:p>
        </w:tc>
      </w:tr>
    </w:tbl>
    <w:p w14:paraId="24DFA9BD">
      <w:pPr>
        <w:ind w:firstLine="420" w:firstLineChars="200"/>
      </w:pPr>
    </w:p>
    <w:p w14:paraId="6BFBBA61">
      <w:pPr>
        <w:ind w:firstLine="420" w:firstLineChars="200"/>
      </w:pPr>
    </w:p>
    <w:p w14:paraId="3B3C3B0D">
      <w:pPr>
        <w:adjustRightInd w:val="0"/>
        <w:snapToGrid w:val="0"/>
        <w:spacing w:line="58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（二）机关运行经费。</w:t>
      </w:r>
    </w:p>
    <w:p w14:paraId="6605FB4D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机关运行经费财政拨款预算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63.45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万元，比202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年预算减少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1.95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2.9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%，原因主要是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人员减少，厉行节约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。</w:t>
      </w:r>
    </w:p>
    <w:p w14:paraId="2DEDB5E5">
      <w:pPr>
        <w:adjustRightInd w:val="0"/>
        <w:snapToGrid w:val="0"/>
        <w:spacing w:line="58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（三）政府采购情况。</w:t>
      </w:r>
    </w:p>
    <w:p w14:paraId="49CBAC59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杜集区司法局2025年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政府采购预算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2.0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万元。其中：政府采购货物预算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2.0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万元，政府采购工程预算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万元，政府采购服务预算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</w:t>
      </w:r>
    </w:p>
    <w:p w14:paraId="32A2D6A4">
      <w:pPr>
        <w:adjustRightInd w:val="0"/>
        <w:snapToGrid w:val="0"/>
        <w:spacing w:line="58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（四）国有资产占有使用情况。</w:t>
      </w:r>
    </w:p>
    <w:p w14:paraId="3BAF0100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截至202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年12月31日，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杜集区司法局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共有车辆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辆，其中执法执勤用车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辆。单价50万元以上的通用设备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台（套），单价100万元以上的专用设备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台（套）。</w:t>
      </w:r>
    </w:p>
    <w:p w14:paraId="4A7035B2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部门（单位）预算安排购置公务用车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辆，购置费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万元；安排购置单价50万元以上的通用设备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台（套），购置费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万元；安排购置单价100万元以上专用设备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台（套），购置费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</w:t>
      </w:r>
    </w:p>
    <w:p w14:paraId="64092D7B">
      <w:pPr>
        <w:adjustRightInd w:val="0"/>
        <w:snapToGrid w:val="0"/>
        <w:spacing w:line="58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（五）绩效目标设置情况。</w:t>
      </w:r>
    </w:p>
    <w:p w14:paraId="7004C5ED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2025年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，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杜集区司法局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8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个项目实行了绩效目标管理，涉及一般公共预算当年财政拨款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87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万元、政府性基金预算当年财政拨款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万元、财政专户管理资金当年安排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</w:t>
      </w:r>
    </w:p>
    <w:p w14:paraId="0B7E4FCF">
      <w:pPr>
        <w:pStyle w:val="4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36"/>
          <w:szCs w:val="36"/>
        </w:rPr>
      </w:pPr>
      <w:bookmarkStart w:id="0" w:name="_GoBack"/>
      <w:bookmarkEnd w:id="0"/>
    </w:p>
    <w:p w14:paraId="579EB7F4">
      <w:pPr>
        <w:pStyle w:val="4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36"/>
          <w:szCs w:val="36"/>
        </w:rPr>
      </w:pPr>
      <w:r>
        <w:rPr>
          <w:rFonts w:hint="eastAsia" w:ascii="TimesNewRoman" w:hAnsi="TimesNewRoman" w:eastAsia="黑体" w:cs="TimesNewRoman"/>
          <w:bCs/>
          <w:sz w:val="36"/>
          <w:szCs w:val="36"/>
        </w:rPr>
        <w:t>第四部分 名词解释</w:t>
      </w:r>
    </w:p>
    <w:p w14:paraId="6E26ABD7"/>
    <w:p w14:paraId="1DF92887">
      <w:pPr>
        <w:pStyle w:val="4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一、财政拨款收入：</w:t>
      </w:r>
      <w:r>
        <w:rPr>
          <w:rFonts w:hint="eastAsia" w:ascii="TimesNewRoman" w:hAnsi="TimesNewRoman" w:eastAsia="仿宋_GB2312" w:cs="TimesNewRoman"/>
          <w:sz w:val="32"/>
          <w:szCs w:val="32"/>
        </w:rPr>
        <w:t>指部门或单位从同级财政部门取得的财政预算资金。</w:t>
      </w:r>
    </w:p>
    <w:p w14:paraId="475917B1">
      <w:pPr>
        <w:pStyle w:val="4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二、事业收入：</w:t>
      </w:r>
      <w:r>
        <w:rPr>
          <w:rFonts w:hint="eastAsia" w:ascii="TimesNewRoman" w:hAnsi="TimesNewRoman" w:eastAsia="仿宋_GB2312" w:cs="TimesNewRoman"/>
          <w:sz w:val="32"/>
          <w:szCs w:val="32"/>
        </w:rPr>
        <w:t>指事业单位开展专业业务活动及辅助活动所取得的收入。</w:t>
      </w:r>
    </w:p>
    <w:p w14:paraId="6AF9D09A">
      <w:pPr>
        <w:pStyle w:val="4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三、财政专户管理资金：</w:t>
      </w:r>
      <w:r>
        <w:rPr>
          <w:rFonts w:hint="eastAsia" w:ascii="TimesNewRoman" w:hAnsi="TimesNewRoman" w:eastAsia="仿宋_GB2312" w:cs="TimesNewRoman"/>
          <w:sz w:val="32"/>
          <w:szCs w:val="32"/>
        </w:rPr>
        <w:t>指按照非税收入管理相关规定，纳入财政专户管理的教育收费等。</w:t>
      </w:r>
    </w:p>
    <w:p w14:paraId="1E6F16B6">
      <w:pPr>
        <w:pStyle w:val="4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  <w:lang w:val="en-US" w:eastAsia="zh-CN"/>
        </w:rPr>
        <w:t>四</w:t>
      </w:r>
      <w:r>
        <w:rPr>
          <w:rFonts w:hint="eastAsia" w:ascii="TimesNewRoman" w:hAnsi="TimesNewRoman" w:eastAsia="仿宋_GB2312" w:cs="TimesNewRoman"/>
          <w:b/>
          <w:sz w:val="32"/>
          <w:szCs w:val="32"/>
        </w:rPr>
        <w:t>、基本支出：</w:t>
      </w:r>
      <w:r>
        <w:rPr>
          <w:rFonts w:hint="eastAsia" w:ascii="TimesNewRoman" w:hAnsi="TimesNewRoman" w:eastAsia="仿宋_GB2312" w:cs="TimesNewRoman"/>
          <w:sz w:val="32"/>
          <w:szCs w:val="32"/>
        </w:rPr>
        <w:t>指为保障机构正常运转、完成日常工作任务而发生的人员支出和公用支出。</w:t>
      </w:r>
    </w:p>
    <w:p w14:paraId="0E2FFAC1">
      <w:pPr>
        <w:pStyle w:val="4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  <w:lang w:val="en-US" w:eastAsia="zh-CN"/>
        </w:rPr>
        <w:t>五</w:t>
      </w:r>
      <w:r>
        <w:rPr>
          <w:rFonts w:hint="eastAsia" w:ascii="TimesNewRoman" w:hAnsi="TimesNewRoman" w:eastAsia="仿宋_GB2312" w:cs="TimesNewRoman"/>
          <w:b/>
          <w:sz w:val="32"/>
          <w:szCs w:val="32"/>
        </w:rPr>
        <w:t>、项目支出：</w:t>
      </w:r>
      <w:r>
        <w:rPr>
          <w:rFonts w:hint="eastAsia" w:ascii="TimesNewRoman" w:hAnsi="TimesNewRoman" w:eastAsia="仿宋_GB2312" w:cs="TimesNewRoman"/>
          <w:sz w:val="32"/>
          <w:szCs w:val="32"/>
        </w:rPr>
        <w:t>指在除基本支出之外的支出，主要用于完成特定的工作任务和事业发展目标。</w:t>
      </w:r>
    </w:p>
    <w:p w14:paraId="006A801B">
      <w:pPr>
        <w:pStyle w:val="4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  <w:lang w:val="en-US" w:eastAsia="zh-CN"/>
        </w:rPr>
        <w:t>六</w:t>
      </w:r>
      <w:r>
        <w:rPr>
          <w:rFonts w:hint="eastAsia" w:ascii="TimesNewRoman" w:hAnsi="TimesNewRoman" w:eastAsia="仿宋_GB2312" w:cs="TimesNewRoman"/>
          <w:b/>
          <w:sz w:val="32"/>
          <w:szCs w:val="32"/>
        </w:rPr>
        <w:t xml:space="preserve">、机关运行经费: </w:t>
      </w:r>
      <w:r>
        <w:rPr>
          <w:rFonts w:hint="eastAsia" w:ascii="TimesNewRoman" w:hAnsi="TimesNewRoman" w:eastAsia="仿宋_GB2312" w:cs="TimesNewRoman"/>
          <w:sz w:val="32"/>
          <w:szCs w:val="32"/>
        </w:rPr>
        <w:t>为保障行政单位（包括参照公务员法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 w14:paraId="69C34C62"/>
    <w:p w14:paraId="4670B7B1"/>
    <w:p w14:paraId="3DF39CB9"/>
    <w:sectPr>
      <w:pgSz w:w="11906" w:h="16838"/>
      <w:pgMar w:top="1304" w:right="1134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">
    <w:altName w:val="Arial Unicode MS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秀体简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7C4"/>
    <w:rsid w:val="000E28EE"/>
    <w:rsid w:val="00267E33"/>
    <w:rsid w:val="004A4DC6"/>
    <w:rsid w:val="0057562B"/>
    <w:rsid w:val="006546AF"/>
    <w:rsid w:val="00726D96"/>
    <w:rsid w:val="008F6D1A"/>
    <w:rsid w:val="009A3CA3"/>
    <w:rsid w:val="00AE3242"/>
    <w:rsid w:val="00BD640A"/>
    <w:rsid w:val="00DB2A5C"/>
    <w:rsid w:val="00E907C4"/>
    <w:rsid w:val="00EC7755"/>
    <w:rsid w:val="00F974AD"/>
    <w:rsid w:val="080C1C40"/>
    <w:rsid w:val="082E12FF"/>
    <w:rsid w:val="0A1A3FDB"/>
    <w:rsid w:val="0A6842D0"/>
    <w:rsid w:val="0D3207A3"/>
    <w:rsid w:val="14B22D17"/>
    <w:rsid w:val="1B4072CF"/>
    <w:rsid w:val="1CD1476C"/>
    <w:rsid w:val="1D083E1C"/>
    <w:rsid w:val="1E9B481C"/>
    <w:rsid w:val="1FF40688"/>
    <w:rsid w:val="244B60BF"/>
    <w:rsid w:val="260809E9"/>
    <w:rsid w:val="27750300"/>
    <w:rsid w:val="295D4698"/>
    <w:rsid w:val="2B0379D1"/>
    <w:rsid w:val="2BD915B6"/>
    <w:rsid w:val="2C0775AF"/>
    <w:rsid w:val="2D171678"/>
    <w:rsid w:val="309061AB"/>
    <w:rsid w:val="335D0B51"/>
    <w:rsid w:val="34B23F6B"/>
    <w:rsid w:val="39812257"/>
    <w:rsid w:val="3B6778B1"/>
    <w:rsid w:val="3D3B124C"/>
    <w:rsid w:val="3F1660D7"/>
    <w:rsid w:val="3F2C4D37"/>
    <w:rsid w:val="3FED24A6"/>
    <w:rsid w:val="42EE6786"/>
    <w:rsid w:val="43452E25"/>
    <w:rsid w:val="4C576ECB"/>
    <w:rsid w:val="4EDD4E60"/>
    <w:rsid w:val="51247744"/>
    <w:rsid w:val="51CC4711"/>
    <w:rsid w:val="53A31C49"/>
    <w:rsid w:val="564B515B"/>
    <w:rsid w:val="58353010"/>
    <w:rsid w:val="59172746"/>
    <w:rsid w:val="5A3C1FD1"/>
    <w:rsid w:val="627E6257"/>
    <w:rsid w:val="6AD25AE7"/>
    <w:rsid w:val="6B8E2D0B"/>
    <w:rsid w:val="6C040FAA"/>
    <w:rsid w:val="6CE6053F"/>
    <w:rsid w:val="6F856CD7"/>
    <w:rsid w:val="6F9C52CB"/>
    <w:rsid w:val="720A6C4C"/>
    <w:rsid w:val="72646574"/>
    <w:rsid w:val="728B7844"/>
    <w:rsid w:val="738D3CFE"/>
    <w:rsid w:val="74E41BEE"/>
    <w:rsid w:val="762A6544"/>
    <w:rsid w:val="7EA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6135</Words>
  <Characters>6755</Characters>
  <Lines>46</Lines>
  <Paragraphs>13</Paragraphs>
  <TotalTime>116</TotalTime>
  <ScaleCrop>false</ScaleCrop>
  <LinksUpToDate>false</LinksUpToDate>
  <CharactersWithSpaces>6869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2023-01-30T01:51:00Z</dcterms:created>
  <dc:creator>lenovo</dc:creator>
  <cp:lastModifiedBy>猫咪老师</cp:lastModifiedBy>
  <dcterms:modified xsi:type="dcterms:W3CDTF">2025-02-08T02:55:41Z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eyJoZGlkIjoiYWJkODBiOWMxOWY5YTdkNjBjOGZjOWU3Y2Q2MDRhMjAiLCJ1c2VySWQiOiI4MzI2MTMyODQifQ==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DB3093AB93A143E3A202C4E521EF838A_12</vt:lpwstr>
  </property>
</Properties>
</file>