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5B7F7">
      <w:pPr>
        <w:pStyle w:val="4"/>
        <w:spacing w:before="54"/>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eastAsia="zh-CN"/>
        </w:rPr>
        <w:t>农水局项目支出绩效评价报告</w:t>
      </w:r>
    </w:p>
    <w:p w14:paraId="1D011EFF">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一、项目基本情况</w:t>
      </w:r>
    </w:p>
    <w:p w14:paraId="60E5D6B1">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（一）项目概况。</w:t>
      </w:r>
    </w:p>
    <w:p w14:paraId="66709316">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包括项目背景、主要内容及实施情况等。 </w:t>
      </w:r>
    </w:p>
    <w:p w14:paraId="02AC5A09">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1.项目背景：202</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lang w:eastAsia="zh-CN"/>
        </w:rPr>
        <w:t>年区农业农村水利局在区委区政府正确领导和上级业务部门指导下，对照年度目标任务，全面履行职责职能，积极进取，努力取得较好成效。</w:t>
      </w:r>
    </w:p>
    <w:p w14:paraId="6B66D7AB">
      <w:pPr>
        <w:adjustRightInd w:val="0"/>
        <w:snapToGrid w:val="0"/>
        <w:spacing w:line="600" w:lineRule="exact"/>
        <w:ind w:firstLine="640" w:firstLineChars="200"/>
        <w:rPr>
          <w:rFonts w:hint="default" w:ascii="仿宋_GB2312" w:hAnsi="仿宋_GB2312" w:cs="仿宋_GB2312"/>
          <w:bCs/>
          <w:color w:val="auto"/>
          <w:sz w:val="32"/>
          <w:szCs w:val="32"/>
          <w:lang w:val="en-US" w:eastAsia="zh-CN"/>
        </w:rPr>
      </w:pPr>
      <w:r>
        <w:rPr>
          <w:rFonts w:hint="eastAsia" w:ascii="仿宋_GB2312" w:hAnsi="仿宋_GB2312" w:eastAsia="仿宋_GB2312" w:cs="仿宋_GB2312"/>
          <w:bCs/>
          <w:sz w:val="32"/>
          <w:szCs w:val="32"/>
          <w:lang w:eastAsia="zh-CN"/>
        </w:rPr>
        <w:t>2.项目实施及使用：我局202</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lang w:eastAsia="zh-CN"/>
        </w:rPr>
        <w:t>年绩效评价</w:t>
      </w:r>
      <w:r>
        <w:rPr>
          <w:rFonts w:hint="eastAsia" w:ascii="仿宋_GB2312" w:hAnsi="仿宋_GB2312" w:eastAsia="仿宋_GB2312" w:cs="仿宋_GB2312"/>
          <w:bCs/>
          <w:color w:val="auto"/>
          <w:sz w:val="32"/>
          <w:szCs w:val="32"/>
          <w:lang w:eastAsia="zh-CN"/>
        </w:rPr>
        <w:t>共计3</w:t>
      </w:r>
      <w:r>
        <w:rPr>
          <w:rFonts w:hint="eastAsia" w:ascii="仿宋_GB2312" w:hAnsi="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eastAsia="zh-CN"/>
        </w:rPr>
        <w:t>个项目</w:t>
      </w:r>
      <w:r>
        <w:rPr>
          <w:rFonts w:hint="eastAsia" w:ascii="仿宋_GB2312" w:hAnsi="仿宋_GB2312" w:eastAsia="仿宋_GB2312" w:cs="仿宋_GB2312"/>
          <w:bCs/>
          <w:color w:val="auto"/>
          <w:sz w:val="32"/>
          <w:szCs w:val="32"/>
          <w:lang w:eastAsia="zh-CN"/>
        </w:rPr>
        <w:t>共计</w:t>
      </w:r>
      <w:r>
        <w:rPr>
          <w:rFonts w:hint="eastAsia" w:ascii="仿宋_GB2312" w:hAnsi="仿宋_GB2312" w:cs="仿宋_GB2312"/>
          <w:bCs/>
          <w:color w:val="auto"/>
          <w:sz w:val="32"/>
          <w:szCs w:val="32"/>
          <w:lang w:val="en-US" w:eastAsia="zh-CN"/>
        </w:rPr>
        <w:t>45983.99</w:t>
      </w:r>
      <w:r>
        <w:rPr>
          <w:rFonts w:hint="eastAsia" w:ascii="仿宋_GB2312" w:hAnsi="仿宋_GB2312" w:eastAsia="仿宋_GB2312" w:cs="仿宋_GB2312"/>
          <w:bCs/>
          <w:color w:val="auto"/>
          <w:sz w:val="32"/>
          <w:szCs w:val="32"/>
          <w:lang w:eastAsia="zh-CN"/>
        </w:rPr>
        <w:t>万元，分别为</w:t>
      </w:r>
      <w:r>
        <w:rPr>
          <w:rFonts w:hint="eastAsia" w:ascii="仿宋_GB2312" w:hAnsi="仿宋_GB2312" w:eastAsia="仿宋_GB2312" w:cs="仿宋_GB2312"/>
          <w:bCs/>
          <w:color w:val="auto"/>
          <w:sz w:val="32"/>
          <w:szCs w:val="32"/>
          <w:lang w:eastAsia="zh-CN"/>
        </w:rPr>
        <w:t>:基本支出、</w:t>
      </w:r>
      <w:r>
        <w:rPr>
          <w:rFonts w:hint="eastAsia" w:ascii="仿宋_GB2312" w:hAnsi="仿宋_GB2312" w:eastAsia="仿宋_GB2312" w:cs="仿宋_GB2312"/>
          <w:bCs/>
          <w:color w:val="auto"/>
          <w:sz w:val="32"/>
          <w:szCs w:val="32"/>
          <w:lang w:eastAsia="zh-CN"/>
        </w:rPr>
        <w:t>党建工作、</w:t>
      </w:r>
      <w:r>
        <w:rPr>
          <w:rFonts w:hint="eastAsia" w:ascii="仿宋_GB2312" w:hAnsi="仿宋_GB2312" w:cs="仿宋_GB2312"/>
          <w:bCs/>
          <w:color w:val="auto"/>
          <w:sz w:val="32"/>
          <w:szCs w:val="32"/>
          <w:lang w:val="en-US" w:eastAsia="zh-CN"/>
        </w:rPr>
        <w:t>农业防灾救灾、</w:t>
      </w:r>
      <w:r>
        <w:rPr>
          <w:rFonts w:hint="eastAsia" w:ascii="仿宋_GB2312" w:hAnsi="仿宋_GB2312" w:eastAsia="仿宋_GB2312" w:cs="仿宋_GB2312"/>
          <w:bCs/>
          <w:color w:val="auto"/>
          <w:sz w:val="32"/>
          <w:szCs w:val="32"/>
          <w:lang w:eastAsia="zh-CN"/>
        </w:rPr>
        <w:t>农民教育培训、农业经济管理、秸秆综合利用、农机</w:t>
      </w:r>
      <w:r>
        <w:rPr>
          <w:rFonts w:hint="eastAsia" w:ascii="仿宋_GB2312" w:hAnsi="仿宋_GB2312" w:cs="仿宋_GB2312"/>
          <w:bCs/>
          <w:color w:val="auto"/>
          <w:sz w:val="32"/>
          <w:szCs w:val="32"/>
          <w:lang w:val="en-US" w:eastAsia="zh-CN"/>
        </w:rPr>
        <w:t>工作</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农业生产发展、农产品</w:t>
      </w:r>
      <w:r>
        <w:rPr>
          <w:rFonts w:hint="eastAsia" w:ascii="仿宋_GB2312" w:hAnsi="仿宋_GB2312" w:cs="仿宋_GB2312"/>
          <w:bCs/>
          <w:color w:val="auto"/>
          <w:sz w:val="32"/>
          <w:szCs w:val="32"/>
          <w:lang w:val="en-US" w:eastAsia="zh-CN"/>
        </w:rPr>
        <w:t>质量安全</w:t>
      </w:r>
      <w:bookmarkStart w:id="0" w:name="_GoBack"/>
      <w:bookmarkEnd w:id="0"/>
      <w:r>
        <w:rPr>
          <w:rFonts w:hint="eastAsia" w:ascii="仿宋_GB2312" w:hAnsi="仿宋_GB2312" w:eastAsia="仿宋_GB2312" w:cs="仿宋_GB2312"/>
          <w:bCs/>
          <w:color w:val="auto"/>
          <w:sz w:val="32"/>
          <w:szCs w:val="32"/>
          <w:lang w:eastAsia="zh-CN"/>
        </w:rPr>
        <w:t>、农业</w:t>
      </w:r>
      <w:r>
        <w:rPr>
          <w:rFonts w:hint="eastAsia" w:ascii="仿宋_GB2312" w:hAnsi="仿宋_GB2312" w:cs="仿宋_GB2312"/>
          <w:bCs/>
          <w:color w:val="auto"/>
          <w:sz w:val="32"/>
          <w:szCs w:val="32"/>
          <w:lang w:val="en-US" w:eastAsia="zh-CN"/>
        </w:rPr>
        <w:t>高质高效发展</w:t>
      </w:r>
      <w:r>
        <w:rPr>
          <w:rFonts w:hint="eastAsia" w:ascii="仿宋_GB2312" w:hAnsi="仿宋_GB2312" w:eastAsia="仿宋_GB2312" w:cs="仿宋_GB2312"/>
          <w:bCs/>
          <w:color w:val="auto"/>
          <w:sz w:val="32"/>
          <w:szCs w:val="32"/>
          <w:lang w:eastAsia="zh-CN"/>
        </w:rPr>
        <w:t>、</w:t>
      </w:r>
      <w:r>
        <w:rPr>
          <w:rFonts w:hint="eastAsia" w:ascii="仿宋_GB2312" w:hAnsi="仿宋_GB2312" w:cs="仿宋_GB2312"/>
          <w:bCs/>
          <w:color w:val="auto"/>
          <w:sz w:val="32"/>
          <w:szCs w:val="32"/>
          <w:lang w:val="en-US" w:eastAsia="zh-CN"/>
        </w:rPr>
        <w:t>数字赋农、气象灾害综合普查、葡萄文化节活动、</w:t>
      </w:r>
      <w:r>
        <w:rPr>
          <w:rFonts w:hint="eastAsia" w:ascii="仿宋_GB2312" w:hAnsi="仿宋_GB2312" w:eastAsia="仿宋_GB2312" w:cs="仿宋_GB2312"/>
          <w:bCs/>
          <w:color w:val="auto"/>
          <w:sz w:val="32"/>
          <w:szCs w:val="32"/>
          <w:lang w:eastAsia="zh-CN"/>
        </w:rPr>
        <w:t>农业技术推广、</w:t>
      </w:r>
      <w:r>
        <w:rPr>
          <w:rFonts w:hint="eastAsia" w:ascii="仿宋_GB2312" w:hAnsi="仿宋_GB2312" w:cs="仿宋_GB2312"/>
          <w:bCs/>
          <w:color w:val="auto"/>
          <w:sz w:val="32"/>
          <w:szCs w:val="32"/>
          <w:lang w:val="en-US" w:eastAsia="zh-CN"/>
        </w:rPr>
        <w:t>动物防疫、无害化处理补贴、</w:t>
      </w:r>
      <w:r>
        <w:rPr>
          <w:rFonts w:hint="eastAsia" w:ascii="仿宋_GB2312" w:hAnsi="仿宋_GB2312" w:eastAsia="仿宋_GB2312" w:cs="仿宋_GB2312"/>
          <w:bCs/>
          <w:color w:val="auto"/>
          <w:sz w:val="32"/>
          <w:szCs w:val="32"/>
          <w:lang w:eastAsia="zh-CN"/>
        </w:rPr>
        <w:t>成品油价格调整、</w:t>
      </w:r>
    </w:p>
    <w:p w14:paraId="2A06AAE2">
      <w:pPr>
        <w:adjustRightInd w:val="0"/>
        <w:snapToGrid w:val="0"/>
        <w:spacing w:line="600" w:lineRule="exact"/>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水利薄弱环节、基层防汛预警</w:t>
      </w:r>
      <w:r>
        <w:rPr>
          <w:rFonts w:hint="eastAsia" w:ascii="仿宋_GB2312" w:hAnsi="仿宋_GB2312" w:cs="仿宋_GB2312"/>
          <w:bCs/>
          <w:color w:val="auto"/>
          <w:sz w:val="32"/>
          <w:szCs w:val="32"/>
          <w:lang w:eastAsia="zh-CN"/>
        </w:rPr>
        <w:t>、</w:t>
      </w:r>
      <w:r>
        <w:rPr>
          <w:rFonts w:hint="eastAsia" w:ascii="仿宋_GB2312" w:hAnsi="仿宋_GB2312" w:eastAsia="仿宋_GB2312" w:cs="仿宋_GB2312"/>
          <w:bCs/>
          <w:color w:val="auto"/>
          <w:sz w:val="32"/>
          <w:szCs w:val="32"/>
          <w:lang w:eastAsia="zh-CN"/>
        </w:rPr>
        <w:t>龙岱河及支流治理、</w:t>
      </w:r>
      <w:r>
        <w:rPr>
          <w:rFonts w:hint="eastAsia" w:ascii="仿宋_GB2312" w:hAnsi="仿宋_GB2312" w:cs="仿宋_GB2312"/>
          <w:bCs/>
          <w:color w:val="auto"/>
          <w:sz w:val="32"/>
          <w:szCs w:val="32"/>
          <w:lang w:val="en-US" w:eastAsia="zh-CN"/>
        </w:rPr>
        <w:t>农业水价改革、</w:t>
      </w:r>
      <w:r>
        <w:rPr>
          <w:rFonts w:hint="eastAsia" w:ascii="仿宋_GB2312" w:hAnsi="仿宋_GB2312" w:eastAsia="仿宋_GB2312" w:cs="仿宋_GB2312"/>
          <w:bCs/>
          <w:color w:val="auto"/>
          <w:sz w:val="32"/>
          <w:szCs w:val="32"/>
          <w:lang w:eastAsia="zh-CN"/>
        </w:rPr>
        <w:t>水土保持、</w:t>
      </w:r>
      <w:r>
        <w:rPr>
          <w:rFonts w:hint="eastAsia" w:ascii="仿宋_GB2312" w:hAnsi="仿宋_GB2312" w:eastAsia="仿宋_GB2312" w:cs="仿宋_GB2312"/>
          <w:bCs/>
          <w:color w:val="auto"/>
          <w:sz w:val="32"/>
          <w:szCs w:val="32"/>
          <w:lang w:eastAsia="zh-CN"/>
        </w:rPr>
        <w:t>水利工程管护维修、农村饮水安全工程、水旱灾害防御</w:t>
      </w:r>
      <w:r>
        <w:rPr>
          <w:rFonts w:hint="eastAsia" w:ascii="仿宋_GB2312" w:hAnsi="仿宋_GB2312" w:cs="仿宋_GB2312"/>
          <w:bCs/>
          <w:color w:val="auto"/>
          <w:sz w:val="32"/>
          <w:szCs w:val="32"/>
          <w:lang w:val="en-US" w:eastAsia="zh-CN"/>
        </w:rPr>
        <w:t>和水资源节约保护</w:t>
      </w:r>
      <w:r>
        <w:rPr>
          <w:rFonts w:hint="eastAsia" w:ascii="仿宋_GB2312" w:hAnsi="仿宋_GB2312" w:eastAsia="仿宋_GB2312" w:cs="仿宋_GB2312"/>
          <w:bCs/>
          <w:color w:val="auto"/>
          <w:sz w:val="32"/>
          <w:szCs w:val="32"/>
          <w:lang w:eastAsia="zh-CN"/>
        </w:rPr>
        <w:t>、脱贫攻坚</w:t>
      </w:r>
      <w:r>
        <w:rPr>
          <w:rFonts w:hint="eastAsia" w:ascii="仿宋_GB2312" w:hAnsi="仿宋_GB2312" w:cs="仿宋_GB2312"/>
          <w:bCs/>
          <w:color w:val="auto"/>
          <w:sz w:val="32"/>
          <w:szCs w:val="32"/>
          <w:lang w:val="en-US" w:eastAsia="zh-CN"/>
        </w:rPr>
        <w:t>成果</w:t>
      </w:r>
      <w:r>
        <w:rPr>
          <w:rFonts w:hint="eastAsia" w:ascii="仿宋_GB2312" w:hAnsi="仿宋_GB2312" w:eastAsia="仿宋_GB2312" w:cs="仿宋_GB2312"/>
          <w:bCs/>
          <w:color w:val="auto"/>
          <w:sz w:val="32"/>
          <w:szCs w:val="32"/>
          <w:lang w:eastAsia="zh-CN"/>
        </w:rPr>
        <w:t>、专项债、</w:t>
      </w:r>
      <w:r>
        <w:rPr>
          <w:rFonts w:hint="eastAsia" w:ascii="仿宋_GB2312" w:hAnsi="仿宋_GB2312" w:eastAsia="仿宋_GB2312" w:cs="仿宋_GB2312"/>
          <w:bCs/>
          <w:color w:val="auto"/>
          <w:sz w:val="32"/>
          <w:szCs w:val="32"/>
          <w:lang w:eastAsia="zh-CN"/>
        </w:rPr>
        <w:t>“三老”人员工龄补助、人居环境整治、</w:t>
      </w:r>
      <w:r>
        <w:rPr>
          <w:rFonts w:hint="eastAsia" w:ascii="仿宋_GB2312" w:hAnsi="仿宋_GB2312" w:cs="仿宋_GB2312"/>
          <w:bCs/>
          <w:color w:val="auto"/>
          <w:sz w:val="32"/>
          <w:szCs w:val="32"/>
          <w:lang w:val="en-US" w:eastAsia="zh-CN"/>
        </w:rPr>
        <w:t>壮大村集体经济、招商引资等</w:t>
      </w:r>
      <w:r>
        <w:rPr>
          <w:rFonts w:hint="eastAsia" w:ascii="仿宋_GB2312" w:hAnsi="仿宋_GB2312" w:eastAsia="仿宋_GB2312" w:cs="仿宋_GB2312"/>
          <w:bCs/>
          <w:color w:val="auto"/>
          <w:sz w:val="32"/>
          <w:szCs w:val="32"/>
          <w:lang w:eastAsia="zh-CN"/>
        </w:rPr>
        <w:t>。</w:t>
      </w:r>
    </w:p>
    <w:p w14:paraId="7D0F6271">
      <w:pPr>
        <w:adjustRightInd w:val="0"/>
        <w:snapToGrid w:val="0"/>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保障日常办公正常运转，能够稳定粮食产能，技术集成创新推广促进农业种养效益，农业产业化工作取得新成效，全面加强水利保障作用，畜牧水产工作稳步提升，巩固拓展脱贫攻坚成果同乡村振兴有效衔接，持续推进农村人居环境质量提升，持续推进农村集体产权制度改革和“三变”改革，农产品质量安全不断巩固，不断强化“三资”管理和土地确权延包工作。</w:t>
      </w:r>
    </w:p>
    <w:p w14:paraId="6ECDE6C0">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二、绩效评价工作开展情况</w:t>
      </w:r>
    </w:p>
    <w:p w14:paraId="2C67E678">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（一）绩效评价目的、对象和范围。   </w:t>
      </w:r>
    </w:p>
    <w:p w14:paraId="1AA95A42">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绩效评价目的是通过对本单位项目支出目标、产出指标、效益情况、服务对象满意度情况、资金执行率情况进行分析，全面客观公正科学的评价项目绩效，促进项目按期、高效、健康运行。评价范围是专项资金产生的绩效以及为产生绩效所经历的各环节过程。</w:t>
      </w:r>
    </w:p>
    <w:p w14:paraId="76F314E4">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（二）绩效评价原则、评价指标体系（附表说明）、评价方法、评价标准等。</w:t>
      </w:r>
    </w:p>
    <w:p w14:paraId="6837DA7A">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财政绩效评价应坚持的基本原则：一是科学规范原则，要求绩效评价严格遵循既定程序，科学可行；二是公开公正原则，评价结果应客观公正，并接受社会公开监督；三是分级分类原则，要求根据评价对象特点分类组织实施；四是绩效相关原则，要求支出与其产出之间有紧密相关关系。</w:t>
      </w:r>
    </w:p>
    <w:p w14:paraId="52881C2C">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（三）绩效评价工作过程。</w:t>
      </w:r>
    </w:p>
    <w:p w14:paraId="1990EEC3">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 确定项目，制定计划；依据项目实施；开展绩效评价并及时公开相关信息等。</w:t>
      </w:r>
    </w:p>
    <w:p w14:paraId="2F786842">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三、综合评价情况及评价结论</w:t>
      </w:r>
    </w:p>
    <w:p w14:paraId="1D7E5397">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（一）综合评价情况</w:t>
      </w:r>
    </w:p>
    <w:p w14:paraId="2A4D8C8A">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项目立项依据充分、程序规范，绩效目标设置合理、具体指标明确，资金管理规范，项目产出基本达标，项目实施效益明显。总体而言，单位项目的实施，能够顺利落实目标任务。</w:t>
      </w:r>
    </w:p>
    <w:p w14:paraId="5992C0EE">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（二）综合评价情况</w:t>
      </w:r>
    </w:p>
    <w:p w14:paraId="6706EB18">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经评价发现，202</w:t>
      </w: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lang w:eastAsia="zh-CN"/>
        </w:rPr>
        <w:t>年度杜集区农水局部门预算执行情况为优， 项目整体绩效得分100分。</w:t>
      </w:r>
    </w:p>
    <w:p w14:paraId="1CB16B55">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序号</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指标</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项目决策</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项目过程</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项目产出</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项目效益</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合计</w:t>
      </w:r>
    </w:p>
    <w:p w14:paraId="7B976E83">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1</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权重</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15</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25</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40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p>
    <w:p w14:paraId="73591561">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2</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得分</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15</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25</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20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40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p>
    <w:p w14:paraId="5425FB29">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3</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得分率</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r>
        <w:rPr>
          <w:rFonts w:hint="eastAsia" w:ascii="仿宋_GB2312" w:hAnsi="仿宋_GB2312" w:eastAsia="仿宋_GB2312" w:cs="仿宋_GB2312"/>
          <w:bCs/>
          <w:sz w:val="32"/>
          <w:szCs w:val="32"/>
          <w:lang w:eastAsia="zh-CN"/>
        </w:rPr>
        <w:tab/>
      </w:r>
      <w:r>
        <w:rPr>
          <w:rFonts w:hint="eastAsia" w:ascii="仿宋_GB2312" w:hAnsi="仿宋_GB2312" w:eastAsia="仿宋_GB2312" w:cs="仿宋_GB2312"/>
          <w:bCs/>
          <w:sz w:val="32"/>
          <w:szCs w:val="32"/>
          <w:lang w:eastAsia="zh-CN"/>
        </w:rPr>
        <w:t>100%</w:t>
      </w:r>
    </w:p>
    <w:p w14:paraId="3D6FC3F6">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四、绩效评价指标分析</w:t>
      </w:r>
    </w:p>
    <w:p w14:paraId="0FA99885">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（一）项目决策情况。</w:t>
      </w:r>
    </w:p>
    <w:p w14:paraId="4E1CF24B">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所有项目通过各部门和上级工作要求制定，立项依据充分，通过相关决策产生合理项目指标，规范项目申请和设立。</w:t>
      </w:r>
    </w:p>
    <w:p w14:paraId="0A05BC3C">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（二）项目过程情况。</w:t>
      </w:r>
    </w:p>
    <w:p w14:paraId="40D86523">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项目确定后，明确绩效目标，依据年度工作计划等相关安排，及时完成目标工作任务，合理执行相关项目资金，资金使用符合相关财务管理制度，资金拨付符合审批手续等。</w:t>
      </w:r>
    </w:p>
    <w:p w14:paraId="03632958">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（三）项目产出情况。</w:t>
      </w:r>
    </w:p>
    <w:p w14:paraId="19F43973">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 依据项目实施相关情况，确定项目产出结果。依据</w:t>
      </w:r>
      <w:r>
        <w:rPr>
          <w:rFonts w:hint="eastAsia" w:ascii="仿宋_GB2312" w:hAnsi="仿宋_GB2312" w:cs="仿宋_GB2312"/>
          <w:bCs/>
          <w:sz w:val="32"/>
          <w:szCs w:val="32"/>
          <w:lang w:val="en-US" w:eastAsia="zh-CN"/>
        </w:rPr>
        <w:t>项目</w:t>
      </w:r>
      <w:r>
        <w:rPr>
          <w:rFonts w:hint="eastAsia" w:ascii="仿宋_GB2312" w:hAnsi="仿宋_GB2312" w:eastAsia="仿宋_GB2312" w:cs="仿宋_GB2312"/>
          <w:bCs/>
          <w:sz w:val="32"/>
          <w:szCs w:val="32"/>
          <w:lang w:eastAsia="zh-CN"/>
        </w:rPr>
        <w:t>计划产出相</w:t>
      </w:r>
      <w:r>
        <w:rPr>
          <w:rFonts w:hint="eastAsia" w:ascii="仿宋_GB2312" w:hAnsi="仿宋_GB2312" w:cs="仿宋_GB2312"/>
          <w:bCs/>
          <w:sz w:val="32"/>
          <w:szCs w:val="32"/>
          <w:lang w:val="en-US" w:eastAsia="zh-CN"/>
        </w:rPr>
        <w:t>对</w:t>
      </w:r>
      <w:r>
        <w:rPr>
          <w:rFonts w:hint="eastAsia" w:ascii="仿宋_GB2312" w:hAnsi="仿宋_GB2312" w:eastAsia="仿宋_GB2312" w:cs="仿宋_GB2312"/>
          <w:bCs/>
          <w:sz w:val="32"/>
          <w:szCs w:val="32"/>
          <w:lang w:eastAsia="zh-CN"/>
        </w:rPr>
        <w:t>应</w:t>
      </w:r>
      <w:r>
        <w:rPr>
          <w:rFonts w:hint="eastAsia" w:ascii="仿宋_GB2312" w:hAnsi="仿宋_GB2312" w:cs="仿宋_GB2312"/>
          <w:bCs/>
          <w:sz w:val="32"/>
          <w:szCs w:val="32"/>
          <w:lang w:val="en-US" w:eastAsia="zh-CN"/>
        </w:rPr>
        <w:t>的</w:t>
      </w:r>
      <w:r>
        <w:rPr>
          <w:rFonts w:hint="eastAsia" w:ascii="仿宋_GB2312" w:hAnsi="仿宋_GB2312" w:eastAsia="仿宋_GB2312" w:cs="仿宋_GB2312"/>
          <w:bCs/>
          <w:sz w:val="32"/>
          <w:szCs w:val="32"/>
          <w:lang w:eastAsia="zh-CN"/>
        </w:rPr>
        <w:t>数量、质量，按照计划完成时间及成本完成项目</w:t>
      </w:r>
      <w:r>
        <w:rPr>
          <w:rFonts w:hint="eastAsia" w:ascii="仿宋_GB2312" w:hAnsi="仿宋_GB2312" w:cs="仿宋_GB2312"/>
          <w:bCs/>
          <w:sz w:val="32"/>
          <w:szCs w:val="32"/>
          <w:lang w:val="en-US" w:eastAsia="zh-CN"/>
        </w:rPr>
        <w:t>的产值</w:t>
      </w:r>
      <w:r>
        <w:rPr>
          <w:rFonts w:hint="eastAsia" w:ascii="仿宋_GB2312" w:hAnsi="仿宋_GB2312" w:eastAsia="仿宋_GB2312" w:cs="仿宋_GB2312"/>
          <w:bCs/>
          <w:sz w:val="32"/>
          <w:szCs w:val="32"/>
          <w:lang w:eastAsia="zh-CN"/>
        </w:rPr>
        <w:t>产出。</w:t>
      </w:r>
    </w:p>
    <w:p w14:paraId="2BF93F34">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（四）项目效益情况。</w:t>
      </w:r>
    </w:p>
    <w:p w14:paraId="0AF36421">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对照项目实施所产生的社会效益、经济效益、生态效益、可持续影响等，</w:t>
      </w:r>
      <w:r>
        <w:rPr>
          <w:rFonts w:hint="eastAsia" w:ascii="仿宋_GB2312" w:hAnsi="仿宋_GB2312" w:cs="仿宋_GB2312"/>
          <w:bCs/>
          <w:sz w:val="32"/>
          <w:szCs w:val="32"/>
          <w:lang w:val="en-US" w:eastAsia="zh-CN"/>
        </w:rPr>
        <w:t>完善项目纰漏</w:t>
      </w:r>
      <w:r>
        <w:rPr>
          <w:rFonts w:hint="eastAsia" w:ascii="仿宋_GB2312" w:hAnsi="仿宋_GB2312" w:eastAsia="仿宋_GB2312" w:cs="仿宋_GB2312"/>
          <w:bCs/>
          <w:sz w:val="32"/>
          <w:szCs w:val="32"/>
          <w:lang w:eastAsia="zh-CN"/>
        </w:rPr>
        <w:t>，项目效益产生</w:t>
      </w:r>
      <w:r>
        <w:rPr>
          <w:rFonts w:hint="eastAsia" w:ascii="仿宋_GB2312" w:hAnsi="仿宋_GB2312" w:cs="仿宋_GB2312"/>
          <w:bCs/>
          <w:sz w:val="32"/>
          <w:szCs w:val="32"/>
          <w:lang w:val="en-US" w:eastAsia="zh-CN"/>
        </w:rPr>
        <w:t>之</w:t>
      </w:r>
      <w:r>
        <w:rPr>
          <w:rFonts w:hint="eastAsia" w:ascii="仿宋_GB2312" w:hAnsi="仿宋_GB2312" w:eastAsia="仿宋_GB2312" w:cs="仿宋_GB2312"/>
          <w:bCs/>
          <w:sz w:val="32"/>
          <w:szCs w:val="32"/>
          <w:lang w:eastAsia="zh-CN"/>
        </w:rPr>
        <w:t>后，提高相关满意度</w:t>
      </w:r>
      <w:r>
        <w:rPr>
          <w:rFonts w:hint="eastAsia" w:ascii="仿宋_GB2312" w:hAnsi="仿宋_GB2312" w:cs="仿宋_GB2312"/>
          <w:bCs/>
          <w:sz w:val="32"/>
          <w:szCs w:val="32"/>
          <w:lang w:val="en-US" w:eastAsia="zh-CN"/>
        </w:rPr>
        <w:t>水平</w:t>
      </w:r>
      <w:r>
        <w:rPr>
          <w:rFonts w:hint="eastAsia" w:ascii="仿宋_GB2312" w:hAnsi="仿宋_GB2312" w:eastAsia="仿宋_GB2312" w:cs="仿宋_GB2312"/>
          <w:bCs/>
          <w:sz w:val="32"/>
          <w:szCs w:val="32"/>
          <w:lang w:eastAsia="zh-CN"/>
        </w:rPr>
        <w:t>，将实施效益最大化。</w:t>
      </w:r>
    </w:p>
    <w:p w14:paraId="4F3FCA07">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五、主要经验及做法</w:t>
      </w:r>
    </w:p>
    <w:p w14:paraId="3692A71D">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cs="仿宋_GB2312"/>
          <w:bCs/>
          <w:sz w:val="32"/>
          <w:szCs w:val="32"/>
          <w:lang w:val="en-US" w:eastAsia="zh-CN"/>
        </w:rPr>
        <w:t>单位项目谋划后，</w:t>
      </w:r>
      <w:r>
        <w:rPr>
          <w:rFonts w:hint="eastAsia" w:ascii="仿宋_GB2312" w:hAnsi="仿宋_GB2312" w:eastAsia="仿宋_GB2312" w:cs="仿宋_GB2312"/>
          <w:bCs/>
          <w:sz w:val="32"/>
          <w:szCs w:val="32"/>
          <w:lang w:eastAsia="zh-CN"/>
        </w:rPr>
        <w:t>及时部署相关绩效评价工作，业务部门落实预算绩效管理要求对项目绩效负责</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lang w:eastAsia="zh-CN"/>
        </w:rPr>
        <w:t>加强对绩效评价相关制度的学习，在日常管理中，全过程对预算项目监管，把控全年支付进度。</w:t>
      </w:r>
    </w:p>
    <w:p w14:paraId="18A3D8EA">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六、存在问题及原因分析</w:t>
      </w:r>
    </w:p>
    <w:p w14:paraId="273F9765">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（一）绩效工作组织尚待强化。</w:t>
      </w:r>
    </w:p>
    <w:p w14:paraId="1FCC840B">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由于单位人员紧缺、绩效工作专业性强等因素，缺少专业人员指导培训，虽能保障绩效工作的进行，但影响了绩效工作的时效性以及整体绩效评估的优质性。</w:t>
      </w:r>
    </w:p>
    <w:p w14:paraId="759784AF">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（二）预算绩效体系尚未健全。</w:t>
      </w:r>
    </w:p>
    <w:p w14:paraId="3558EAC8">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由于绩效预算工作</w:t>
      </w:r>
      <w:r>
        <w:rPr>
          <w:rFonts w:hint="eastAsia" w:ascii="仿宋_GB2312" w:hAnsi="仿宋_GB2312" w:cs="仿宋_GB2312"/>
          <w:bCs/>
          <w:sz w:val="32"/>
          <w:szCs w:val="32"/>
          <w:lang w:val="en-US" w:eastAsia="zh-CN"/>
        </w:rPr>
        <w:t>开展时间不长</w:t>
      </w:r>
      <w:r>
        <w:rPr>
          <w:rFonts w:hint="eastAsia" w:ascii="仿宋_GB2312" w:hAnsi="仿宋_GB2312" w:eastAsia="仿宋_GB2312" w:cs="仿宋_GB2312"/>
          <w:bCs/>
          <w:sz w:val="32"/>
          <w:szCs w:val="32"/>
          <w:lang w:eastAsia="zh-CN"/>
        </w:rPr>
        <w:t>，对于该项工作熟悉度不够，我单位在规范绩效目标、绩效跟踪、绩效评价、结果运用等各项管理制度，和财政局对于确保绩效管理与预算编制、执行、监督的有效衔接方面还有待加强。单位建立的预算绩效管理制度和操作流程，与财政局的相关规定要求相比较，还存在一定的差距。</w:t>
      </w:r>
    </w:p>
    <w:p w14:paraId="3BBF752E">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（三）绩效管理运行尚待完善。</w:t>
      </w:r>
    </w:p>
    <w:p w14:paraId="38299496">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尽管制度了一些管理制度来保障预算工作的正常运行，但在实际工作当中仍避免不了出现一些资金拨付提前或滞后等现象。</w:t>
      </w:r>
    </w:p>
    <w:p w14:paraId="3D3A605C">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七、有关建议</w:t>
      </w:r>
    </w:p>
    <w:p w14:paraId="0CD5FDB6">
      <w:pPr>
        <w:adjustRightInd w:val="0"/>
        <w:snapToGrid w:val="0"/>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主要针对项目存在的问题，着眼于项目的总体目标，下一步将继续按照相关工作安排，摸透项目政策、加强部门管理、提高预算管理，确保项目结合实际相关，推动实施发展。</w:t>
      </w:r>
    </w:p>
    <w:p w14:paraId="7E5180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C6071"/>
    <w:multiLevelType w:val="singleLevel"/>
    <w:tmpl w:val="99CC6071"/>
    <w:lvl w:ilvl="0" w:tentative="0">
      <w:start w:val="1"/>
      <w:numFmt w:val="bullet"/>
      <w:pStyle w:val="5"/>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Dc4OTgzMTI4MWU1YjNlYjFmM2ZkNDIyNDJjYmUifQ=="/>
  </w:docVars>
  <w:rsids>
    <w:rsidRoot w:val="00000000"/>
    <w:rsid w:val="01583748"/>
    <w:rsid w:val="03FB660C"/>
    <w:rsid w:val="067640B6"/>
    <w:rsid w:val="09403A2A"/>
    <w:rsid w:val="0D536A2D"/>
    <w:rsid w:val="158264EE"/>
    <w:rsid w:val="1E3429EF"/>
    <w:rsid w:val="21BB0762"/>
    <w:rsid w:val="26EC6D49"/>
    <w:rsid w:val="29956DF3"/>
    <w:rsid w:val="2EC74485"/>
    <w:rsid w:val="34BC59CC"/>
    <w:rsid w:val="3C666012"/>
    <w:rsid w:val="40193CF0"/>
    <w:rsid w:val="43040332"/>
    <w:rsid w:val="4517259F"/>
    <w:rsid w:val="4FCB2904"/>
    <w:rsid w:val="5F47372E"/>
    <w:rsid w:val="68994EF5"/>
    <w:rsid w:val="69877743"/>
    <w:rsid w:val="6A7B317C"/>
    <w:rsid w:val="6D7D0285"/>
    <w:rsid w:val="73C3551C"/>
    <w:rsid w:val="77550B81"/>
    <w:rsid w:val="7B2A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Body Text"/>
    <w:basedOn w:val="1"/>
    <w:next w:val="5"/>
    <w:qFormat/>
    <w:uiPriority w:val="0"/>
    <w:pPr>
      <w:jc w:val="center"/>
    </w:pPr>
    <w:rPr>
      <w:rFonts w:eastAsia="黑体"/>
      <w:sz w:val="36"/>
    </w:rPr>
  </w:style>
  <w:style w:type="paragraph" w:styleId="5">
    <w:name w:val="List Bullet 5"/>
    <w:basedOn w:val="1"/>
    <w:qFormat/>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1973</Words>
  <Characters>2021</Characters>
  <Lines>0</Lines>
  <Paragraphs>0</Paragraphs>
  <TotalTime>55</TotalTime>
  <ScaleCrop>false</ScaleCrop>
  <LinksUpToDate>false</LinksUpToDate>
  <CharactersWithSpaces>2052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2024-09-30T08:43:00Z</dcterms:created>
  <dc:creator>DELL-PC</dc:creator>
  <cp:lastModifiedBy>DELL-PC</cp:lastModifiedBy>
  <dcterms:modified xsi:type="dcterms:W3CDTF">2024-10-29T02:08:36Z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7EE678A38E5846FEA172CAEACD997137_12</vt:lpwstr>
  </property>
</Properties>
</file>