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E4" w:rsidRDefault="00405726">
      <w:pPr>
        <w:widowControl/>
        <w:shd w:val="clear" w:color="auto" w:fill="FFFFFF"/>
        <w:spacing w:line="450" w:lineRule="atLeast"/>
        <w:ind w:firstLine="480"/>
        <w:jc w:val="center"/>
        <w:rPr>
          <w:rFonts w:ascii="微软雅黑" w:eastAsia="微软雅黑" w:hAnsi="微软雅黑" w:cs="宋体"/>
          <w:color w:val="333333"/>
          <w:kern w:val="0"/>
          <w:sz w:val="32"/>
          <w:szCs w:val="26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32"/>
          <w:szCs w:val="26"/>
        </w:rPr>
        <w:t>《杜集区朔里镇葛塘村村庄规划（</w:t>
      </w: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32"/>
          <w:szCs w:val="26"/>
        </w:rPr>
        <w:t>2020-2035</w:t>
      </w: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32"/>
          <w:szCs w:val="26"/>
        </w:rPr>
        <w:t>）》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center"/>
        <w:rPr>
          <w:rFonts w:ascii="微软雅黑" w:eastAsia="微软雅黑" w:hAnsi="微软雅黑" w:cs="宋体"/>
          <w:color w:val="333333"/>
          <w:kern w:val="0"/>
          <w:sz w:val="32"/>
          <w:szCs w:val="26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32"/>
          <w:szCs w:val="26"/>
        </w:rPr>
        <w:t>规划说明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6"/>
        </w:rPr>
        <w:t>一、项目名称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《杜集区朔里镇葛塘村村庄规划（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2020-2035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）》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6"/>
        </w:rPr>
        <w:t>二、村庄类型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葛塘村村属于“城郊融合类”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 xml:space="preserve"> 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村庄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6"/>
        </w:rPr>
        <w:t>三、规划范围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本次规划范围为葛塘村省道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202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以东村域（未划入城镇开发边界内的区域），总面积约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4.78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平方公里。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6"/>
        </w:rPr>
        <w:t>四、规划期限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现状基期年为：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19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年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规划期限为：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2020-2035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年；近期为：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2020-2025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年；远期为：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2026-2035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年。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6"/>
        </w:rPr>
        <w:t>五、规划人口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规划远期至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20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5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年末规划范围内村庄户籍人口约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4863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人；规划范围内村庄常住人口约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5100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人。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6"/>
        </w:rPr>
        <w:lastRenderedPageBreak/>
        <w:t>六、规划方案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1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、规划定位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【总体定位】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集生态旅游、田园康养、休闲度假、文化体验、特色生态农业于一体的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“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农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+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旅”相融合的安徽省乡村振兴样板村、特色生态旅游示范村。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【形象定位】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文明葛塘、湖清花宜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、国土空间管控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葛塘村规划范围内不涉及已划定的《杜集区生态保护红线》，划定一般生态保护区面积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1.58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葛塘村鬼阿虎范围内落实永久基本农田面积为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25.96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葛塘村规划范围内划定建设用地规模为：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131.13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，其中包含村庄建设用地、城镇建设用地、区域基础设施用地（如朔纵路道路拓宽等）、其他建设用地。本次规划范围内划定村庄建用地规模为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88.73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。</w:t>
      </w:r>
    </w:p>
    <w:p w:rsidR="003763E4" w:rsidRDefault="003763E4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6"/>
          <w:szCs w:val="26"/>
        </w:rPr>
      </w:pP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lastRenderedPageBreak/>
        <w:t>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、国土空间总体布局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1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）农业用地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农业用地包括：耕地、园地、林地、草地和农业设施建设用地，用地面积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316.27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公顷，占规划范围总用地面积的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66.21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%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。其中耕地面积为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275.64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2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）建设用地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建设用地包括：城镇建设用地、村庄建设用地、区域基础设施用地、其他建设用地，总面积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131.13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公顷，占规划范围总用地面积的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27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.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4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5%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。其中村庄建设用地面积为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88.73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）陆地水域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陆地水域包括：水库水面、坑塘水面、沟渠。总面积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29.23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公顷，占规划范围总用地面积的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6.12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%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（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4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）其他土地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其他土地包括：田坎、田间道、裸土地。总面积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1.02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公顷，占规划范围总用地面积的</w:t>
      </w:r>
      <w:r>
        <w:rPr>
          <w:rFonts w:ascii="微软雅黑" w:eastAsia="微软雅黑" w:hAnsi="微软雅黑" w:cs="宋体"/>
          <w:color w:val="333333"/>
          <w:kern w:val="0"/>
          <w:sz w:val="28"/>
          <w:szCs w:val="26"/>
        </w:rPr>
        <w:t>0.21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%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。</w:t>
      </w:r>
    </w:p>
    <w:p w:rsidR="003763E4" w:rsidRDefault="003763E4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</w:p>
    <w:p w:rsidR="003763E4" w:rsidRDefault="003763E4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</w:p>
    <w:p w:rsidR="003763E4" w:rsidRDefault="00405726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b/>
          <w:color w:val="333333"/>
          <w:kern w:val="0"/>
          <w:sz w:val="26"/>
          <w:szCs w:val="26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6"/>
          <w:szCs w:val="26"/>
        </w:rPr>
        <w:lastRenderedPageBreak/>
        <w:t>村庄规划必选指标一</w:t>
      </w:r>
      <w:bookmarkStart w:id="0" w:name="_GoBack"/>
      <w:bookmarkEnd w:id="0"/>
      <w:r>
        <w:rPr>
          <w:rFonts w:ascii="微软雅黑" w:eastAsia="微软雅黑" w:hAnsi="微软雅黑" w:cs="宋体" w:hint="eastAsia"/>
          <w:b/>
          <w:color w:val="333333"/>
          <w:kern w:val="0"/>
          <w:sz w:val="26"/>
          <w:szCs w:val="26"/>
        </w:rPr>
        <w:t>览表</w:t>
      </w:r>
    </w:p>
    <w:tbl>
      <w:tblPr>
        <w:tblStyle w:val="a4"/>
        <w:tblW w:w="4972" w:type="pct"/>
        <w:tblLook w:val="04A0"/>
      </w:tblPr>
      <w:tblGrid>
        <w:gridCol w:w="1000"/>
        <w:gridCol w:w="1432"/>
        <w:gridCol w:w="3580"/>
        <w:gridCol w:w="2436"/>
        <w:gridCol w:w="2004"/>
        <w:gridCol w:w="1861"/>
        <w:gridCol w:w="1782"/>
      </w:tblGrid>
      <w:tr w:rsidR="003763E4">
        <w:trPr>
          <w:trHeight w:val="718"/>
        </w:trPr>
        <w:tc>
          <w:tcPr>
            <w:tcW w:w="863" w:type="pct"/>
            <w:gridSpan w:val="2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2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2"/>
                <w:szCs w:val="18"/>
              </w:rPr>
              <w:t>类别</w:t>
            </w: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2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2"/>
                <w:szCs w:val="18"/>
              </w:rPr>
              <w:t>指标单位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2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2"/>
                <w:szCs w:val="18"/>
              </w:rPr>
              <w:t>规划基期年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2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2"/>
                <w:szCs w:val="18"/>
              </w:rPr>
              <w:t>规划目标年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2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2"/>
                <w:szCs w:val="18"/>
              </w:rPr>
              <w:t>变化情况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2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2"/>
                <w:szCs w:val="18"/>
              </w:rPr>
              <w:t>指标属性</w:t>
            </w:r>
          </w:p>
        </w:tc>
      </w:tr>
      <w:tr w:rsidR="003763E4">
        <w:trPr>
          <w:trHeight w:val="567"/>
        </w:trPr>
        <w:tc>
          <w:tcPr>
            <w:tcW w:w="863" w:type="pct"/>
            <w:gridSpan w:val="2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村庄人口规模</w:t>
            </w: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人口规模（人）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5313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5100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-213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预期性</w:t>
            </w:r>
          </w:p>
        </w:tc>
      </w:tr>
      <w:tr w:rsidR="003763E4">
        <w:trPr>
          <w:trHeight w:val="567"/>
        </w:trPr>
        <w:tc>
          <w:tcPr>
            <w:tcW w:w="355" w:type="pct"/>
            <w:vMerge w:val="restar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国土空间开发保护</w:t>
            </w:r>
          </w:p>
        </w:tc>
        <w:tc>
          <w:tcPr>
            <w:tcW w:w="508" w:type="pct"/>
            <w:vMerge w:val="restar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国土空间保护</w:t>
            </w: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耕地保有量（公顷）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216.27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275.64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+59.37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约束性</w:t>
            </w:r>
          </w:p>
        </w:tc>
      </w:tr>
      <w:tr w:rsidR="003763E4">
        <w:trPr>
          <w:trHeight w:val="567"/>
        </w:trPr>
        <w:tc>
          <w:tcPr>
            <w:tcW w:w="355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永久基本农田保护目标（公顷）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25.77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25.96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0.19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约束性</w:t>
            </w:r>
          </w:p>
        </w:tc>
      </w:tr>
      <w:tr w:rsidR="003763E4">
        <w:trPr>
          <w:trHeight w:val="567"/>
        </w:trPr>
        <w:tc>
          <w:tcPr>
            <w:tcW w:w="355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生态保护红线面积（公顷）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约束性</w:t>
            </w:r>
          </w:p>
        </w:tc>
      </w:tr>
      <w:tr w:rsidR="003763E4">
        <w:trPr>
          <w:trHeight w:val="567"/>
        </w:trPr>
        <w:tc>
          <w:tcPr>
            <w:tcW w:w="355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国土空间开发</w:t>
            </w: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建设用地总规模（公顷）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142.42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131.13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-11.29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约束性</w:t>
            </w:r>
          </w:p>
        </w:tc>
      </w:tr>
      <w:tr w:rsidR="003763E4">
        <w:trPr>
          <w:trHeight w:val="567"/>
        </w:trPr>
        <w:tc>
          <w:tcPr>
            <w:tcW w:w="355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村庄建设用地规模（公顷）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108.76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88.73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-20.03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约束性</w:t>
            </w:r>
          </w:p>
        </w:tc>
      </w:tr>
      <w:tr w:rsidR="003763E4">
        <w:trPr>
          <w:trHeight w:val="567"/>
        </w:trPr>
        <w:tc>
          <w:tcPr>
            <w:tcW w:w="355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人均村庄建设用地面积（平方米）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204.71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173.98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-30.73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预期性</w:t>
            </w:r>
          </w:p>
        </w:tc>
      </w:tr>
      <w:tr w:rsidR="003763E4">
        <w:trPr>
          <w:trHeight w:val="567"/>
        </w:trPr>
        <w:tc>
          <w:tcPr>
            <w:tcW w:w="355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户均农村宅基地面积（平方米）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220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约束性</w:t>
            </w:r>
          </w:p>
        </w:tc>
      </w:tr>
      <w:tr w:rsidR="003763E4">
        <w:trPr>
          <w:trHeight w:val="567"/>
        </w:trPr>
        <w:tc>
          <w:tcPr>
            <w:tcW w:w="863" w:type="pct"/>
            <w:gridSpan w:val="2"/>
            <w:vMerge w:val="restar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人居环境整治</w:t>
            </w: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生活垃圾无害化处理率（</w:t>
            </w: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%</w:t>
            </w: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预期性</w:t>
            </w:r>
          </w:p>
        </w:tc>
      </w:tr>
      <w:tr w:rsidR="003763E4">
        <w:trPr>
          <w:trHeight w:val="567"/>
        </w:trPr>
        <w:tc>
          <w:tcPr>
            <w:tcW w:w="863" w:type="pct"/>
            <w:gridSpan w:val="2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生活污水处理率（</w:t>
            </w: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%</w:t>
            </w: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预期性</w:t>
            </w:r>
          </w:p>
        </w:tc>
      </w:tr>
      <w:tr w:rsidR="003763E4">
        <w:trPr>
          <w:trHeight w:val="567"/>
        </w:trPr>
        <w:tc>
          <w:tcPr>
            <w:tcW w:w="863" w:type="pct"/>
            <w:gridSpan w:val="2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饮用水供水率（</w:t>
            </w: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%</w:t>
            </w: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预期性</w:t>
            </w:r>
          </w:p>
        </w:tc>
      </w:tr>
      <w:tr w:rsidR="003763E4">
        <w:trPr>
          <w:trHeight w:val="567"/>
        </w:trPr>
        <w:tc>
          <w:tcPr>
            <w:tcW w:w="863" w:type="pct"/>
            <w:gridSpan w:val="2"/>
            <w:vMerge/>
            <w:vAlign w:val="center"/>
          </w:tcPr>
          <w:p w:rsidR="003763E4" w:rsidRDefault="003763E4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卫生厕所普及率（</w:t>
            </w: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%</w:t>
            </w: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864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660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632" w:type="pct"/>
            <w:vAlign w:val="center"/>
          </w:tcPr>
          <w:p w:rsidR="003763E4" w:rsidRDefault="00405726">
            <w:pPr>
              <w:widowControl/>
              <w:shd w:val="clear" w:color="auto" w:fill="FFFFFF"/>
              <w:spacing w:line="45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预期性</w:t>
            </w:r>
          </w:p>
        </w:tc>
      </w:tr>
    </w:tbl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lastRenderedPageBreak/>
        <w:t>4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、产业发展规划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葛塘村发展将紧密依托高铁片区、杜集经济开发区、朔西湖的建设，充分发挥区位优势，同时借助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S202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便捷的交通优势，促进乡村产业发展，同时依托农业资源和良好的生态环境，开展乡村旅游，打造一二三产融合发展的示范乡村。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朔西湖旅游综合服务区：主要为朔西湖旅游提供旅游服务，结合乡村生活和地方特色习俗，打造体验式深度游片区，包含农家客栈、创意民俗等。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现代农业示范区：以科技农业和高端农产品种植为主，保证粮食安全的基础上展示现代农业种植技术。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特色种植区：在现有葡萄种植基础上，大力发展葡萄种植，作为村庄特色种植业，后期可以发展葡萄采摘，新品研发，葡萄产品加工等延伸产业链。</w:t>
      </w:r>
    </w:p>
    <w:p w:rsidR="003763E4" w:rsidRDefault="00405726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6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6"/>
        </w:rPr>
        <w:t>绿色工业区：积极打造绿色循环经济产业，打造规模企业，形成集聚效应。</w:t>
      </w:r>
    </w:p>
    <w:p w:rsidR="003763E4" w:rsidRDefault="003763E4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6"/>
          <w:szCs w:val="26"/>
        </w:rPr>
      </w:pPr>
    </w:p>
    <w:p w:rsidR="003763E4" w:rsidRDefault="003763E4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6"/>
          <w:szCs w:val="26"/>
        </w:rPr>
      </w:pPr>
    </w:p>
    <w:p w:rsidR="003763E4" w:rsidRDefault="003763E4">
      <w:pPr>
        <w:widowControl/>
        <w:shd w:val="clear" w:color="auto" w:fill="FFFFFF"/>
        <w:spacing w:line="45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6"/>
          <w:szCs w:val="26"/>
        </w:rPr>
      </w:pPr>
    </w:p>
    <w:p w:rsidR="003763E4" w:rsidRDefault="00405726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26"/>
          <w:szCs w:val="26"/>
        </w:rPr>
      </w:pPr>
      <w:r>
        <w:rPr>
          <w:rFonts w:ascii="微软雅黑" w:eastAsia="微软雅黑" w:hAnsi="微软雅黑" w:cs="宋体"/>
          <w:color w:val="333333"/>
          <w:kern w:val="0"/>
          <w:sz w:val="26"/>
          <w:szCs w:val="26"/>
        </w:rPr>
        <w:br w:type="page"/>
      </w:r>
      <w:r>
        <w:rPr>
          <w:rFonts w:ascii="微软雅黑" w:eastAsia="微软雅黑" w:hAnsi="微软雅黑" w:cs="宋体"/>
          <w:color w:val="333333"/>
          <w:kern w:val="0"/>
          <w:sz w:val="26"/>
          <w:szCs w:val="26"/>
        </w:rPr>
        <w:lastRenderedPageBreak/>
        <w:br w:type="page"/>
      </w:r>
    </w:p>
    <w:p w:rsidR="003763E4" w:rsidRDefault="00405726">
      <w:pPr>
        <w:widowControl/>
        <w:jc w:val="center"/>
        <w:rPr>
          <w:rFonts w:ascii="微软雅黑" w:eastAsia="微软雅黑" w:hAnsi="微软雅黑" w:cs="宋体"/>
          <w:color w:val="333333"/>
          <w:kern w:val="0"/>
          <w:sz w:val="36"/>
          <w:szCs w:val="36"/>
        </w:rPr>
      </w:pPr>
      <w:r>
        <w:rPr>
          <w:rFonts w:ascii="微软雅黑" w:eastAsia="微软雅黑" w:hAnsi="微软雅黑" w:cs="Arial" w:hint="eastAsia"/>
          <w:b/>
          <w:bCs/>
          <w:color w:val="000000" w:themeColor="text1"/>
          <w:kern w:val="0"/>
          <w:sz w:val="36"/>
          <w:szCs w:val="36"/>
        </w:rPr>
        <w:lastRenderedPageBreak/>
        <w:t>近期建设项目表</w:t>
      </w:r>
    </w:p>
    <w:tbl>
      <w:tblPr>
        <w:tblStyle w:val="a4"/>
        <w:tblW w:w="4996" w:type="pct"/>
        <w:tblLook w:val="04A0"/>
      </w:tblPr>
      <w:tblGrid>
        <w:gridCol w:w="2324"/>
        <w:gridCol w:w="6284"/>
        <w:gridCol w:w="1514"/>
        <w:gridCol w:w="1457"/>
        <w:gridCol w:w="1292"/>
        <w:gridCol w:w="1292"/>
      </w:tblGrid>
      <w:tr w:rsidR="003763E4">
        <w:trPr>
          <w:trHeight w:val="451"/>
        </w:trPr>
        <w:tc>
          <w:tcPr>
            <w:tcW w:w="820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占地规模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投资估算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建设方式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实施年限</w:t>
            </w:r>
          </w:p>
        </w:tc>
      </w:tr>
      <w:tr w:rsidR="003763E4">
        <w:trPr>
          <w:trHeight w:val="563"/>
        </w:trPr>
        <w:tc>
          <w:tcPr>
            <w:tcW w:w="820" w:type="pct"/>
            <w:vMerge w:val="restar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国土空间综合整治</w:t>
            </w: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淮北市杜集区朔里镇葛塘村园地复垦项目（四）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10.01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166.00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2022</w:t>
            </w:r>
          </w:p>
        </w:tc>
      </w:tr>
      <w:tr w:rsidR="003763E4">
        <w:trPr>
          <w:trHeight w:val="766"/>
        </w:trPr>
        <w:tc>
          <w:tcPr>
            <w:tcW w:w="820" w:type="pct"/>
            <w:vMerge/>
            <w:vAlign w:val="center"/>
          </w:tcPr>
          <w:p w:rsidR="003763E4" w:rsidRDefault="003763E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淮北市杜集区朔里镇葛塘村林地复垦项目（四）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32.66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2022</w:t>
            </w:r>
          </w:p>
        </w:tc>
      </w:tr>
      <w:tr w:rsidR="003763E4">
        <w:trPr>
          <w:trHeight w:val="563"/>
        </w:trPr>
        <w:tc>
          <w:tcPr>
            <w:tcW w:w="820" w:type="pct"/>
            <w:vMerge/>
            <w:vAlign w:val="center"/>
          </w:tcPr>
          <w:p w:rsidR="003763E4" w:rsidRDefault="003763E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淮北市杜集区朔里镇葛塘村园地复垦项目（五）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35.32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2022</w:t>
            </w:r>
          </w:p>
        </w:tc>
      </w:tr>
      <w:tr w:rsidR="003763E4">
        <w:trPr>
          <w:trHeight w:val="505"/>
        </w:trPr>
        <w:tc>
          <w:tcPr>
            <w:tcW w:w="820" w:type="pct"/>
            <w:vMerge/>
            <w:vAlign w:val="center"/>
          </w:tcPr>
          <w:p w:rsidR="003763E4" w:rsidRDefault="003763E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淮北市</w:t>
            </w: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2020</w:t>
            </w: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年第十三批次历史遗留工矿废弃地复垦项目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9.51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69.75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2021</w:t>
            </w:r>
          </w:p>
        </w:tc>
      </w:tr>
      <w:tr w:rsidR="003763E4">
        <w:trPr>
          <w:trHeight w:val="536"/>
        </w:trPr>
        <w:tc>
          <w:tcPr>
            <w:tcW w:w="820" w:type="pct"/>
            <w:vMerge/>
            <w:vAlign w:val="center"/>
          </w:tcPr>
          <w:p w:rsidR="003763E4" w:rsidRDefault="003763E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淮北市杜集区朔里镇葛塘村土地整治项目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全域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2200.00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2022</w:t>
            </w:r>
          </w:p>
        </w:tc>
      </w:tr>
      <w:tr w:rsidR="003763E4">
        <w:trPr>
          <w:trHeight w:val="467"/>
        </w:trPr>
        <w:tc>
          <w:tcPr>
            <w:tcW w:w="820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人居环境整治</w:t>
            </w: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淮北市杜集区朔里镇葛塘村黄楼村人居环境提升工程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5000.00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2023</w:t>
            </w:r>
          </w:p>
        </w:tc>
      </w:tr>
      <w:tr w:rsidR="003763E4">
        <w:trPr>
          <w:trHeight w:val="404"/>
        </w:trPr>
        <w:tc>
          <w:tcPr>
            <w:tcW w:w="820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公用设施</w:t>
            </w: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葛塘村电力设施改造项目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全域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870.00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2021</w:t>
            </w:r>
          </w:p>
        </w:tc>
      </w:tr>
      <w:tr w:rsidR="003763E4">
        <w:trPr>
          <w:trHeight w:val="488"/>
        </w:trPr>
        <w:tc>
          <w:tcPr>
            <w:tcW w:w="820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0"/>
                <w:szCs w:val="21"/>
              </w:rPr>
              <w:t>道路交通设施</w:t>
            </w:r>
          </w:p>
        </w:tc>
        <w:tc>
          <w:tcPr>
            <w:tcW w:w="2217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葛蔡路改造项目</w:t>
            </w:r>
          </w:p>
        </w:tc>
        <w:tc>
          <w:tcPr>
            <w:tcW w:w="53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514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400.00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提升改造</w:t>
            </w:r>
          </w:p>
        </w:tc>
        <w:tc>
          <w:tcPr>
            <w:tcW w:w="456" w:type="pct"/>
            <w:vAlign w:val="center"/>
          </w:tcPr>
          <w:p w:rsidR="003763E4" w:rsidRDefault="00405726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2022</w:t>
            </w:r>
          </w:p>
        </w:tc>
      </w:tr>
    </w:tbl>
    <w:p w:rsidR="003763E4" w:rsidRDefault="003763E4"/>
    <w:p w:rsidR="003763E4" w:rsidRDefault="00405726">
      <w:pPr>
        <w:widowControl/>
        <w:jc w:val="left"/>
      </w:pPr>
      <w:r>
        <w:br w:type="page"/>
      </w:r>
    </w:p>
    <w:p w:rsidR="003763E4" w:rsidRDefault="00405726">
      <w:pPr>
        <w:jc w:val="center"/>
        <w:rPr>
          <w:rFonts w:ascii="微软雅黑" w:eastAsia="微软雅黑" w:hAnsi="微软雅黑"/>
          <w:b/>
          <w:sz w:val="36"/>
        </w:rPr>
      </w:pPr>
      <w:r>
        <w:rPr>
          <w:rFonts w:ascii="微软雅黑" w:eastAsia="微软雅黑" w:hAnsi="微软雅黑" w:hint="eastAsia"/>
          <w:b/>
          <w:sz w:val="36"/>
        </w:rPr>
        <w:lastRenderedPageBreak/>
        <w:t>村庄规划管制规则</w:t>
      </w:r>
    </w:p>
    <w:p w:rsidR="003763E4" w:rsidRDefault="00405726">
      <w:pPr>
        <w:pStyle w:val="a5"/>
        <w:widowControl w:val="0"/>
        <w:numPr>
          <w:ilvl w:val="0"/>
          <w:numId w:val="1"/>
        </w:numPr>
        <w:ind w:firstLineChars="0"/>
        <w:jc w:val="both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村庄发展目标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葛塘村为城郊融合类村庄，保持葛塘村生态空间完整、建设空间总量减少、局部空间用地增加、耕地质量有所提升、永久基本农田不变。以人居环境整治为根本，以“三产融合”为重点，将葛塘村打造成为安徽省乡村振兴样板村、特色生态旅游示范村。</w:t>
      </w:r>
    </w:p>
    <w:p w:rsidR="003763E4" w:rsidRDefault="00405726">
      <w:pPr>
        <w:pStyle w:val="a5"/>
        <w:widowControl w:val="0"/>
        <w:numPr>
          <w:ilvl w:val="0"/>
          <w:numId w:val="1"/>
        </w:numPr>
        <w:ind w:firstLineChars="0"/>
        <w:jc w:val="both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生态保护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1</w:t>
      </w:r>
      <w:r>
        <w:rPr>
          <w:rFonts w:ascii="微软雅黑" w:eastAsia="微软雅黑" w:hAnsi="微软雅黑" w:hint="eastAsia"/>
          <w:sz w:val="28"/>
        </w:rPr>
        <w:t>、规划范围内暂未划定生态保护红线。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 w:hint="eastAsia"/>
          <w:sz w:val="28"/>
        </w:rPr>
        <w:t>、保护村域内水域、自然保留地等生态用地，主要分布在村域东部，不得进行破坏生态景观、污染环境的开发建设活动，做到慎砍树、禁挖山、不填湖。</w:t>
      </w:r>
    </w:p>
    <w:p w:rsidR="003763E4" w:rsidRDefault="00405726">
      <w:pPr>
        <w:pStyle w:val="a5"/>
        <w:widowControl w:val="0"/>
        <w:numPr>
          <w:ilvl w:val="0"/>
          <w:numId w:val="1"/>
        </w:numPr>
        <w:ind w:firstLineChars="0"/>
        <w:jc w:val="both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耕地与永久基本农田保护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1</w:t>
      </w:r>
      <w:r>
        <w:rPr>
          <w:rFonts w:ascii="微软雅黑" w:eastAsia="微软雅黑" w:hAnsi="微软雅黑" w:hint="eastAsia"/>
          <w:sz w:val="28"/>
        </w:rPr>
        <w:t>、规划范围内已划定永久基本农田</w:t>
      </w: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/>
          <w:sz w:val="28"/>
        </w:rPr>
        <w:t>5</w:t>
      </w:r>
      <w:r>
        <w:rPr>
          <w:rFonts w:ascii="微软雅黑" w:eastAsia="微软雅黑" w:hAnsi="微软雅黑" w:hint="eastAsia"/>
          <w:sz w:val="28"/>
        </w:rPr>
        <w:t>.</w:t>
      </w:r>
      <w:r>
        <w:rPr>
          <w:rFonts w:ascii="微软雅黑" w:eastAsia="微软雅黑" w:hAnsi="微软雅黑"/>
          <w:sz w:val="28"/>
        </w:rPr>
        <w:t>96</w:t>
      </w:r>
      <w:r>
        <w:rPr>
          <w:rFonts w:ascii="微软雅黑" w:eastAsia="微软雅黑" w:hAnsi="微软雅黑" w:hint="eastAsia"/>
          <w:sz w:val="28"/>
        </w:rPr>
        <w:t>公顷，主要集中分布在黄楼组西北处，永久基本农田一经划定，任何单位和个人不得擅自占用或改变用途。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 w:hint="eastAsia"/>
          <w:sz w:val="28"/>
        </w:rPr>
        <w:t>、规划范围内耕地保有量</w:t>
      </w:r>
      <w:r>
        <w:rPr>
          <w:rFonts w:ascii="微软雅黑" w:eastAsia="微软雅黑" w:hAnsi="微软雅黑"/>
          <w:sz w:val="28"/>
        </w:rPr>
        <w:t xml:space="preserve">275.64 </w:t>
      </w:r>
      <w:r>
        <w:rPr>
          <w:rFonts w:ascii="微软雅黑" w:eastAsia="微软雅黑" w:hAnsi="微软雅黑" w:hint="eastAsia"/>
          <w:sz w:val="28"/>
        </w:rPr>
        <w:t>公顷，不得随意占用耕地；确实占用的，应经村民小组确认，村委会审查</w:t>
      </w:r>
      <w:r>
        <w:rPr>
          <w:rFonts w:ascii="微软雅黑" w:eastAsia="微软雅黑" w:hAnsi="微软雅黑" w:hint="eastAsia"/>
          <w:sz w:val="28"/>
        </w:rPr>
        <w:lastRenderedPageBreak/>
        <w:t>同意出具书面意见后，由镇政府按程序办理相关报批手续。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3</w:t>
      </w:r>
      <w:r>
        <w:rPr>
          <w:rFonts w:ascii="微软雅黑" w:eastAsia="微软雅黑" w:hAnsi="微软雅黑" w:hint="eastAsia"/>
          <w:sz w:val="28"/>
        </w:rPr>
        <w:t>、未经批准，不得在园地、商品林及其他农用地进行非农建设</w:t>
      </w:r>
      <w:r>
        <w:rPr>
          <w:rFonts w:ascii="微软雅黑" w:eastAsia="微软雅黑" w:hAnsi="微软雅黑" w:hint="eastAsia"/>
          <w:sz w:val="28"/>
        </w:rPr>
        <w:t>活动，不得进行毁林开垦、采石、挖沙、采矿、取土等活动。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4</w:t>
      </w:r>
      <w:r>
        <w:rPr>
          <w:rFonts w:ascii="微软雅黑" w:eastAsia="微软雅黑" w:hAnsi="微软雅黑" w:hint="eastAsia"/>
          <w:sz w:val="28"/>
        </w:rPr>
        <w:t>、本村内如需安排设施农用地的，应按规定要求兴建设施和使用土地，不得擅自或变相将设施农用地用于其他非农建设，并采取措施防止对土壤耕作层破坏和污染。</w:t>
      </w:r>
    </w:p>
    <w:p w:rsidR="003763E4" w:rsidRDefault="00405726">
      <w:pPr>
        <w:pStyle w:val="a5"/>
        <w:widowControl w:val="0"/>
        <w:numPr>
          <w:ilvl w:val="0"/>
          <w:numId w:val="1"/>
        </w:numPr>
        <w:ind w:firstLineChars="0"/>
        <w:jc w:val="both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建设空间管制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规划范围内村庄建设用地规模为</w:t>
      </w:r>
      <w:r>
        <w:rPr>
          <w:rFonts w:ascii="微软雅黑" w:eastAsia="微软雅黑" w:hAnsi="微软雅黑"/>
          <w:sz w:val="28"/>
        </w:rPr>
        <w:t>88.73</w:t>
      </w:r>
      <w:r>
        <w:rPr>
          <w:rFonts w:ascii="微软雅黑" w:eastAsia="微软雅黑" w:hAnsi="微软雅黑" w:hint="eastAsia"/>
          <w:sz w:val="28"/>
        </w:rPr>
        <w:t>公顷。村庄建设活动不得突破本规划划定的村庄建设边界线。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1</w:t>
      </w:r>
      <w:r>
        <w:rPr>
          <w:rFonts w:ascii="微软雅黑" w:eastAsia="微软雅黑" w:hAnsi="微软雅黑" w:hint="eastAsia"/>
          <w:sz w:val="28"/>
        </w:rPr>
        <w:t>、产业发展空间：经营性建设用地调整应经村民小组确认，由村委会审查同意，逐级报村庄规划原审批机关批准。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 w:hint="eastAsia"/>
          <w:sz w:val="28"/>
        </w:rPr>
        <w:t>、农村住房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（</w:t>
      </w:r>
      <w:r>
        <w:rPr>
          <w:rFonts w:ascii="微软雅黑" w:eastAsia="微软雅黑" w:hAnsi="微软雅黑" w:hint="eastAsia"/>
          <w:sz w:val="28"/>
        </w:rPr>
        <w:t>1</w:t>
      </w:r>
      <w:r>
        <w:rPr>
          <w:rFonts w:ascii="微软雅黑" w:eastAsia="微软雅黑" w:hAnsi="微软雅黑" w:hint="eastAsia"/>
          <w:sz w:val="28"/>
        </w:rPr>
        <w:t>）规划范围内划定宅基地</w:t>
      </w:r>
      <w:r>
        <w:rPr>
          <w:rFonts w:ascii="微软雅黑" w:eastAsia="微软雅黑" w:hAnsi="微软雅黑"/>
          <w:sz w:val="28"/>
        </w:rPr>
        <w:t xml:space="preserve">66.73 </w:t>
      </w:r>
      <w:r>
        <w:rPr>
          <w:rFonts w:ascii="微软雅黑" w:eastAsia="微软雅黑" w:hAnsi="微软雅黑" w:hint="eastAsia"/>
          <w:sz w:val="28"/>
        </w:rPr>
        <w:t>公顷。新申请的宅基地，每户建筑基底面积控制在</w:t>
      </w:r>
      <w:r>
        <w:rPr>
          <w:rFonts w:ascii="微软雅黑" w:eastAsia="微软雅黑" w:hAnsi="微软雅黑"/>
          <w:sz w:val="28"/>
        </w:rPr>
        <w:t>220</w:t>
      </w:r>
      <w:r>
        <w:rPr>
          <w:rFonts w:ascii="微软雅黑" w:eastAsia="微软雅黑" w:hAnsi="微软雅黑" w:hint="eastAsia"/>
          <w:sz w:val="28"/>
        </w:rPr>
        <w:t>平方米以内。村民建房应在划定的宅基地建设范围内，且优先利用村内空闲地、闲置宅基地和未利用地。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（</w:t>
      </w: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 w:hint="eastAsia"/>
          <w:sz w:val="28"/>
        </w:rPr>
        <w:t>）村民建房建筑层数不超过</w:t>
      </w:r>
      <w:r>
        <w:rPr>
          <w:rFonts w:ascii="微软雅黑" w:eastAsia="微软雅黑" w:hAnsi="微软雅黑"/>
          <w:sz w:val="28"/>
        </w:rPr>
        <w:t xml:space="preserve">3.5 </w:t>
      </w:r>
      <w:r>
        <w:rPr>
          <w:rFonts w:ascii="微软雅黑" w:eastAsia="微软雅黑" w:hAnsi="微软雅黑" w:hint="eastAsia"/>
          <w:sz w:val="28"/>
        </w:rPr>
        <w:t>层，首层层高不超过</w:t>
      </w:r>
      <w:r>
        <w:rPr>
          <w:rFonts w:ascii="微软雅黑" w:eastAsia="微软雅黑" w:hAnsi="微软雅黑"/>
          <w:sz w:val="28"/>
        </w:rPr>
        <w:t xml:space="preserve">4.2 </w:t>
      </w:r>
      <w:r>
        <w:rPr>
          <w:rFonts w:ascii="微软雅黑" w:eastAsia="微软雅黑" w:hAnsi="微软雅黑" w:hint="eastAsia"/>
          <w:sz w:val="28"/>
        </w:rPr>
        <w:t>米，二层及以上不超过</w:t>
      </w:r>
      <w:r>
        <w:rPr>
          <w:rFonts w:ascii="微软雅黑" w:eastAsia="微软雅黑" w:hAnsi="微软雅黑"/>
          <w:sz w:val="28"/>
        </w:rPr>
        <w:t xml:space="preserve">3.3 </w:t>
      </w:r>
      <w:r>
        <w:rPr>
          <w:rFonts w:ascii="微软雅黑" w:eastAsia="微软雅黑" w:hAnsi="微软雅黑" w:hint="eastAsia"/>
          <w:sz w:val="28"/>
        </w:rPr>
        <w:t>米。相邻建筑的山墙</w:t>
      </w:r>
      <w:r>
        <w:rPr>
          <w:rFonts w:ascii="微软雅黑" w:eastAsia="微软雅黑" w:hAnsi="微软雅黑" w:hint="eastAsia"/>
          <w:sz w:val="28"/>
        </w:rPr>
        <w:lastRenderedPageBreak/>
        <w:t>间距不少于</w:t>
      </w:r>
      <w:r>
        <w:rPr>
          <w:rFonts w:ascii="微软雅黑" w:eastAsia="微软雅黑" w:hAnsi="微软雅黑"/>
          <w:sz w:val="28"/>
        </w:rPr>
        <w:t xml:space="preserve">2 </w:t>
      </w:r>
      <w:r>
        <w:rPr>
          <w:rFonts w:ascii="微软雅黑" w:eastAsia="微软雅黑" w:hAnsi="微软雅黑" w:hint="eastAsia"/>
          <w:sz w:val="28"/>
        </w:rPr>
        <w:t>米（原址改建农房，其基底应在原址边界后退不少于</w:t>
      </w:r>
      <w:r>
        <w:rPr>
          <w:rFonts w:ascii="微软雅黑" w:eastAsia="微软雅黑" w:hAnsi="微软雅黑"/>
          <w:sz w:val="28"/>
        </w:rPr>
        <w:t xml:space="preserve">1 </w:t>
      </w:r>
      <w:r>
        <w:rPr>
          <w:rFonts w:ascii="微软雅黑" w:eastAsia="微软雅黑" w:hAnsi="微软雅黑" w:hint="eastAsia"/>
          <w:sz w:val="28"/>
        </w:rPr>
        <w:t>米，确保相邻建筑山墙间距不少于</w:t>
      </w:r>
      <w:r>
        <w:rPr>
          <w:rFonts w:ascii="微软雅黑" w:eastAsia="微软雅黑" w:hAnsi="微软雅黑"/>
          <w:sz w:val="28"/>
        </w:rPr>
        <w:t xml:space="preserve">2 </w:t>
      </w:r>
      <w:r>
        <w:rPr>
          <w:rFonts w:ascii="微软雅黑" w:eastAsia="微软雅黑" w:hAnsi="微软雅黑" w:hint="eastAsia"/>
          <w:sz w:val="28"/>
        </w:rPr>
        <w:t>米）。新建农房应体现乡村风貌特色，统一采用村民代表大会选定的现代简约风格的农房建筑选型方案，并符合其他村庄整体景观风貌控制性要求。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3</w:t>
      </w:r>
      <w:r>
        <w:rPr>
          <w:rFonts w:ascii="微软雅黑" w:eastAsia="微软雅黑" w:hAnsi="微软雅黑" w:hint="eastAsia"/>
          <w:sz w:val="28"/>
        </w:rPr>
        <w:t>、基础设施和公共服务设施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（</w:t>
      </w:r>
      <w:r>
        <w:rPr>
          <w:rFonts w:ascii="微软雅黑" w:eastAsia="微软雅黑" w:hAnsi="微软雅黑" w:hint="eastAsia"/>
          <w:sz w:val="28"/>
        </w:rPr>
        <w:t>1</w:t>
      </w:r>
      <w:r>
        <w:rPr>
          <w:rFonts w:ascii="微软雅黑" w:eastAsia="微软雅黑" w:hAnsi="微软雅黑" w:hint="eastAsia"/>
          <w:sz w:val="28"/>
        </w:rPr>
        <w:t>）不得占用交通用地建房，沿村内主要村道外缘</w:t>
      </w:r>
      <w:r>
        <w:rPr>
          <w:rFonts w:ascii="微软雅黑" w:eastAsia="微软雅黑" w:hAnsi="微软雅黑" w:hint="eastAsia"/>
          <w:sz w:val="28"/>
        </w:rPr>
        <w:t>退让距离不少于</w:t>
      </w:r>
      <w:r>
        <w:rPr>
          <w:rFonts w:ascii="微软雅黑" w:eastAsia="微软雅黑" w:hAnsi="微软雅黑"/>
          <w:sz w:val="28"/>
        </w:rPr>
        <w:t xml:space="preserve">3 </w:t>
      </w:r>
      <w:r>
        <w:rPr>
          <w:rFonts w:ascii="微软雅黑" w:eastAsia="微软雅黑" w:hAnsi="微软雅黑" w:hint="eastAsia"/>
          <w:sz w:val="28"/>
        </w:rPr>
        <w:t>米。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（</w:t>
      </w: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 w:hint="eastAsia"/>
          <w:sz w:val="28"/>
        </w:rPr>
        <w:t>）村内供水由杜集经济开发区水厂提供。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（</w:t>
      </w:r>
      <w:r>
        <w:rPr>
          <w:rFonts w:ascii="微软雅黑" w:eastAsia="微软雅黑" w:hAnsi="微软雅黑" w:hint="eastAsia"/>
          <w:sz w:val="28"/>
        </w:rPr>
        <w:t>3</w:t>
      </w:r>
      <w:r>
        <w:rPr>
          <w:rFonts w:ascii="微软雅黑" w:eastAsia="微软雅黑" w:hAnsi="微软雅黑" w:hint="eastAsia"/>
          <w:sz w:val="28"/>
        </w:rPr>
        <w:t>）村内共设有党群服务中心、文化活动中心、公厕、篮球场、活动广场、健身器材、停车场、垃圾收集点、污水处理设施。基础设施和公共服务设施用地包括健身广场、卫生室等，村民不得随意占用。</w:t>
      </w:r>
    </w:p>
    <w:p w:rsidR="003763E4" w:rsidRDefault="00405726">
      <w:pPr>
        <w:pStyle w:val="a5"/>
        <w:widowControl w:val="0"/>
        <w:numPr>
          <w:ilvl w:val="0"/>
          <w:numId w:val="1"/>
        </w:numPr>
        <w:ind w:firstLineChars="0"/>
        <w:jc w:val="both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村庄安全和防灾减灾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1</w:t>
      </w:r>
      <w:r>
        <w:rPr>
          <w:rFonts w:ascii="微软雅黑" w:eastAsia="微软雅黑" w:hAnsi="微软雅黑" w:hint="eastAsia"/>
          <w:sz w:val="28"/>
        </w:rPr>
        <w:t>、村民的宅基地选址和农房建设须避开滑坡、崩塌、泥石流、地面塌陷、山洪等自然灾害易发地区。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2</w:t>
      </w:r>
      <w:r>
        <w:rPr>
          <w:rFonts w:ascii="微软雅黑" w:eastAsia="微软雅黑" w:hAnsi="微软雅黑" w:hint="eastAsia"/>
          <w:sz w:val="28"/>
        </w:rPr>
        <w:t>、村庄建筑的间距和通道的设置应符含村庄消防安全的要求，净宽不得少于</w:t>
      </w:r>
      <w:r>
        <w:rPr>
          <w:rFonts w:ascii="微软雅黑" w:eastAsia="微软雅黑" w:hAnsi="微软雅黑"/>
          <w:sz w:val="28"/>
        </w:rPr>
        <w:t xml:space="preserve">4 </w:t>
      </w:r>
      <w:r>
        <w:rPr>
          <w:rFonts w:ascii="微软雅黑" w:eastAsia="微软雅黑" w:hAnsi="微软雅黑" w:hint="eastAsia"/>
          <w:sz w:val="28"/>
        </w:rPr>
        <w:t>米；道路为消防通道，不准长期堆放阻碍交通的杂物。</w:t>
      </w:r>
    </w:p>
    <w:p w:rsidR="003763E4" w:rsidRDefault="00405726">
      <w:pPr>
        <w:spacing w:line="360" w:lineRule="auto"/>
        <w:ind w:firstLineChars="200" w:firstLine="560"/>
        <w:rPr>
          <w:rFonts w:ascii="微软雅黑" w:eastAsia="微软雅黑" w:hAnsi="微软雅黑" w:hint="eastAsia"/>
          <w:sz w:val="28"/>
        </w:rPr>
      </w:pPr>
      <w:r>
        <w:rPr>
          <w:rFonts w:ascii="微软雅黑" w:eastAsia="微软雅黑" w:hAnsi="微软雅黑" w:hint="eastAsia"/>
          <w:sz w:val="28"/>
        </w:rPr>
        <w:t>3</w:t>
      </w:r>
      <w:r>
        <w:rPr>
          <w:rFonts w:ascii="微软雅黑" w:eastAsia="微软雅黑" w:hAnsi="微软雅黑" w:hint="eastAsia"/>
          <w:sz w:val="28"/>
        </w:rPr>
        <w:t>、健身广场、葛塘小学、停车场</w:t>
      </w:r>
      <w:r>
        <w:rPr>
          <w:rFonts w:ascii="微软雅黑" w:eastAsia="微软雅黑" w:hAnsi="微软雅黑" w:hint="eastAsia"/>
          <w:sz w:val="28"/>
        </w:rPr>
        <w:t>等开敞空间均可作为防灾避险场所，紧急情况下可躲避灾害。</w:t>
      </w:r>
    </w:p>
    <w:p w:rsidR="00405726" w:rsidRDefault="00405726">
      <w:pPr>
        <w:spacing w:line="360" w:lineRule="auto"/>
        <w:ind w:firstLineChars="200" w:firstLine="56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  <w:sz w:val="28"/>
        </w:rPr>
        <w:lastRenderedPageBreak/>
        <w:drawing>
          <wp:inline distT="0" distB="0" distL="0" distR="0">
            <wp:extent cx="7467600" cy="5274310"/>
            <wp:effectExtent l="19050" t="0" r="0" b="0"/>
            <wp:docPr id="1" name="图片 0" descr="村域国土空间规划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村域国土空间规划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noProof/>
          <w:sz w:val="28"/>
        </w:rPr>
        <w:lastRenderedPageBreak/>
        <w:drawing>
          <wp:inline distT="0" distB="0" distL="0" distR="0">
            <wp:extent cx="7467600" cy="5274310"/>
            <wp:effectExtent l="19050" t="0" r="0" b="0"/>
            <wp:docPr id="2" name="图片 1" descr="近期建设项目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近期建设项目图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noProof/>
          <w:sz w:val="28"/>
        </w:rPr>
        <w:lastRenderedPageBreak/>
        <w:drawing>
          <wp:inline distT="0" distB="0" distL="0" distR="0">
            <wp:extent cx="7467600" cy="5274310"/>
            <wp:effectExtent l="19050" t="0" r="0" b="0"/>
            <wp:docPr id="3" name="图片 2" descr="重点区域规划总平面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重点区域规划总平面图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noProof/>
          <w:sz w:val="28"/>
        </w:rPr>
        <w:lastRenderedPageBreak/>
        <w:drawing>
          <wp:inline distT="0" distB="0" distL="0" distR="0">
            <wp:extent cx="7467600" cy="5274310"/>
            <wp:effectExtent l="19050" t="0" r="0" b="0"/>
            <wp:docPr id="4" name="图片 3" descr="重点区域鸟瞰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重点区域鸟瞰图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5726" w:rsidSect="003763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E4969"/>
    <w:multiLevelType w:val="multilevel"/>
    <w:tmpl w:val="7C2E4969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316A"/>
    <w:rsid w:val="000C13F2"/>
    <w:rsid w:val="00150093"/>
    <w:rsid w:val="001F4F37"/>
    <w:rsid w:val="002216BB"/>
    <w:rsid w:val="00333E57"/>
    <w:rsid w:val="003763E4"/>
    <w:rsid w:val="00405726"/>
    <w:rsid w:val="004C7A14"/>
    <w:rsid w:val="0063316A"/>
    <w:rsid w:val="00791038"/>
    <w:rsid w:val="00806429"/>
    <w:rsid w:val="00926104"/>
    <w:rsid w:val="00941F19"/>
    <w:rsid w:val="00A2279B"/>
    <w:rsid w:val="00C23D47"/>
    <w:rsid w:val="00CB4B8B"/>
    <w:rsid w:val="00DB0552"/>
    <w:rsid w:val="228744B1"/>
    <w:rsid w:val="305672BC"/>
    <w:rsid w:val="3225128E"/>
    <w:rsid w:val="4CEE58B4"/>
    <w:rsid w:val="55501821"/>
    <w:rsid w:val="57140C0D"/>
    <w:rsid w:val="715705E8"/>
    <w:rsid w:val="7F233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3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376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763E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405726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0572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Administrator</cp:lastModifiedBy>
  <cp:revision>22</cp:revision>
  <dcterms:created xsi:type="dcterms:W3CDTF">2021-09-22T06:45:00Z</dcterms:created>
  <dcterms:modified xsi:type="dcterms:W3CDTF">2021-09-24T02:35:00Z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4C61855BEEF94D088286C599E0C44D02</vt:lpwstr>
  </property>
</Properties>
</file>