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楷体_GB2312" w:eastAsia="楷体_GB2312"/>
          <w:b/>
          <w:sz w:val="32"/>
          <w:szCs w:val="32"/>
        </w:rPr>
      </w:pPr>
      <w:r>
        <w:rPr>
          <w:rFonts w:hint="eastAsia" w:ascii="楷体_GB2312" w:eastAsia="楷体_GB2312"/>
          <w:b/>
          <w:sz w:val="32"/>
          <w:szCs w:val="32"/>
        </w:rPr>
        <w:t>区十一届人大常委会</w:t>
      </w:r>
    </w:p>
    <w:p>
      <w:pPr>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楷体_GB2312" w:eastAsia="楷体_GB2312"/>
          <w:b/>
          <w:spacing w:val="-20"/>
          <w:sz w:val="32"/>
          <w:szCs w:val="32"/>
          <w:lang w:val="en-US" w:eastAsia="zh-CN"/>
        </w:rPr>
      </w:pPr>
      <w:r>
        <w:rPr>
          <w:rFonts w:hint="eastAsia" w:ascii="楷体_GB2312" w:eastAsia="楷体_GB2312"/>
          <w:b/>
          <w:sz w:val="32"/>
          <w:szCs w:val="32"/>
        </w:rPr>
        <w:t>第</w:t>
      </w:r>
      <w:r>
        <w:rPr>
          <w:rFonts w:hint="eastAsia" w:ascii="楷体_GB2312" w:eastAsia="楷体_GB2312"/>
          <w:b/>
          <w:sz w:val="32"/>
          <w:szCs w:val="32"/>
          <w:lang w:val="en-US" w:eastAsia="zh-CN"/>
        </w:rPr>
        <w:t>十三</w:t>
      </w:r>
      <w:r>
        <w:rPr>
          <w:rFonts w:hint="eastAsia" w:ascii="楷体_GB2312" w:eastAsia="楷体_GB2312"/>
          <w:b/>
          <w:sz w:val="32"/>
          <w:szCs w:val="32"/>
        </w:rPr>
        <w:t>次会议材料之</w:t>
      </w:r>
      <w:r>
        <w:rPr>
          <w:rFonts w:hint="eastAsia" w:ascii="楷体_GB2312" w:eastAsia="楷体_GB2312"/>
          <w:b/>
          <w:sz w:val="32"/>
          <w:szCs w:val="32"/>
          <w:lang w:val="en-US" w:eastAsia="zh-CN"/>
        </w:rPr>
        <w:t>六</w:t>
      </w:r>
    </w:p>
    <w:p>
      <w:pPr>
        <w:keepNext w:val="0"/>
        <w:keepLines w:val="0"/>
        <w:pageBreakBefore w:val="0"/>
        <w:kinsoku/>
        <w:wordWrap/>
        <w:overflowPunct/>
        <w:topLinePunct w:val="0"/>
        <w:autoSpaceDE/>
        <w:autoSpaceDN/>
        <w:bidi w:val="0"/>
        <w:adjustRightInd/>
        <w:snapToGrid/>
        <w:spacing w:line="550" w:lineRule="exact"/>
        <w:textAlignment w:val="auto"/>
        <w:rPr>
          <w:rFonts w:hint="eastAsia" w:ascii="方正小标宋简体" w:eastAsia="方正小标宋简体" w:cs="方正小标宋简体"/>
          <w:b/>
          <w:bCs/>
          <w:sz w:val="44"/>
          <w:szCs w:val="44"/>
        </w:rPr>
      </w:pPr>
    </w:p>
    <w:p>
      <w:pPr>
        <w:keepNext w:val="0"/>
        <w:keepLines w:val="0"/>
        <w:pageBreakBefore w:val="0"/>
        <w:widowControl/>
        <w:kinsoku/>
        <w:wordWrap/>
        <w:overflowPunct/>
        <w:topLinePunct w:val="0"/>
        <w:autoSpaceDE/>
        <w:autoSpaceDN/>
        <w:bidi w:val="0"/>
        <w:adjustRightInd/>
        <w:snapToGrid/>
        <w:spacing w:line="55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年区本级财政决算和202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年上半年财政预算执行情况的报告</w:t>
      </w:r>
    </w:p>
    <w:p>
      <w:pPr>
        <w:keepNext w:val="0"/>
        <w:keepLines w:val="0"/>
        <w:pageBreakBefore w:val="0"/>
        <w:widowControl/>
        <w:kinsoku/>
        <w:wordWrap/>
        <w:overflowPunct/>
        <w:topLinePunct w:val="0"/>
        <w:autoSpaceDE/>
        <w:autoSpaceDN/>
        <w:bidi w:val="0"/>
        <w:adjustRightInd/>
        <w:snapToGrid/>
        <w:spacing w:line="550" w:lineRule="exact"/>
        <w:jc w:val="center"/>
        <w:textAlignment w:val="auto"/>
        <w:rPr>
          <w:rFonts w:hint="default" w:ascii="Times New Roman" w:hAnsi="Times New Roman" w:eastAsia="楷体_GB2312" w:cs="Times New Roman"/>
          <w:b/>
          <w:bCs w:val="0"/>
          <w:kern w:val="0"/>
          <w:sz w:val="32"/>
          <w:szCs w:val="32"/>
          <w:highlight w:val="none"/>
        </w:rPr>
      </w:pPr>
      <w:r>
        <w:rPr>
          <w:rFonts w:hint="default" w:ascii="Times New Roman" w:hAnsi="Times New Roman" w:eastAsia="楷体_GB2312" w:cs="Times New Roman"/>
          <w:b/>
          <w:bCs w:val="0"/>
          <w:sz w:val="32"/>
          <w:szCs w:val="32"/>
          <w:highlight w:val="none"/>
        </w:rPr>
        <w:t>（202</w:t>
      </w:r>
      <w:r>
        <w:rPr>
          <w:rFonts w:hint="default" w:ascii="Times New Roman" w:hAnsi="Times New Roman" w:eastAsia="楷体_GB2312" w:cs="Times New Roman"/>
          <w:b/>
          <w:bCs w:val="0"/>
          <w:sz w:val="32"/>
          <w:szCs w:val="32"/>
          <w:highlight w:val="none"/>
          <w:lang w:val="en-US" w:eastAsia="zh-CN"/>
        </w:rPr>
        <w:t>3</w:t>
      </w:r>
      <w:r>
        <w:rPr>
          <w:rFonts w:hint="default" w:ascii="Times New Roman" w:hAnsi="Times New Roman" w:eastAsia="楷体_GB2312" w:cs="Times New Roman"/>
          <w:b/>
          <w:bCs w:val="0"/>
          <w:sz w:val="32"/>
          <w:szCs w:val="32"/>
          <w:highlight w:val="none"/>
        </w:rPr>
        <w:t>年</w:t>
      </w:r>
      <w:r>
        <w:rPr>
          <w:rFonts w:hint="eastAsia" w:ascii="Times New Roman" w:hAnsi="Times New Roman" w:eastAsia="楷体_GB2312" w:cs="Times New Roman"/>
          <w:b/>
          <w:bCs w:val="0"/>
          <w:sz w:val="32"/>
          <w:szCs w:val="32"/>
          <w:highlight w:val="none"/>
          <w:lang w:val="en-US" w:eastAsia="zh-CN"/>
        </w:rPr>
        <w:t>7</w:t>
      </w:r>
      <w:r>
        <w:rPr>
          <w:rFonts w:hint="default" w:ascii="Times New Roman" w:hAnsi="Times New Roman" w:eastAsia="楷体_GB2312" w:cs="Times New Roman"/>
          <w:b/>
          <w:bCs w:val="0"/>
          <w:sz w:val="32"/>
          <w:szCs w:val="32"/>
          <w:highlight w:val="none"/>
        </w:rPr>
        <w:t>月2</w:t>
      </w:r>
      <w:r>
        <w:rPr>
          <w:rFonts w:hint="eastAsia" w:ascii="Times New Roman" w:hAnsi="Times New Roman" w:eastAsia="楷体_GB2312" w:cs="Times New Roman"/>
          <w:b/>
          <w:bCs w:val="0"/>
          <w:sz w:val="32"/>
          <w:szCs w:val="32"/>
          <w:highlight w:val="none"/>
          <w:lang w:val="en-US" w:eastAsia="zh-CN"/>
        </w:rPr>
        <w:t>8</w:t>
      </w:r>
      <w:r>
        <w:rPr>
          <w:rFonts w:hint="default" w:ascii="Times New Roman" w:hAnsi="Times New Roman" w:eastAsia="楷体_GB2312" w:cs="Times New Roman"/>
          <w:b/>
          <w:bCs w:val="0"/>
          <w:sz w:val="32"/>
          <w:szCs w:val="32"/>
          <w:highlight w:val="none"/>
        </w:rPr>
        <w:t>日）</w:t>
      </w:r>
    </w:p>
    <w:p>
      <w:pPr>
        <w:keepNext w:val="0"/>
        <w:keepLines w:val="0"/>
        <w:pageBreakBefore w:val="0"/>
        <w:kinsoku/>
        <w:wordWrap/>
        <w:overflowPunct/>
        <w:topLinePunct w:val="0"/>
        <w:autoSpaceDE/>
        <w:autoSpaceDN/>
        <w:bidi w:val="0"/>
        <w:adjustRightInd/>
        <w:snapToGrid/>
        <w:spacing w:line="550" w:lineRule="exact"/>
        <w:jc w:val="center"/>
        <w:textAlignment w:val="auto"/>
        <w:rPr>
          <w:rFonts w:hint="eastAsia" w:ascii="Times New Roman" w:hAnsi="Times New Roman" w:eastAsia="楷体_GB2312" w:cs="Times New Roman"/>
          <w:b/>
          <w:bCs w:val="0"/>
          <w:lang w:val="en-US" w:eastAsia="zh-CN"/>
        </w:rPr>
      </w:pPr>
      <w:r>
        <w:rPr>
          <w:rFonts w:hint="default" w:ascii="Times New Roman" w:hAnsi="Times New Roman" w:eastAsia="楷体_GB2312" w:cs="Times New Roman"/>
          <w:b/>
          <w:bCs w:val="0"/>
          <w:kern w:val="0"/>
          <w:sz w:val="32"/>
          <w:szCs w:val="32"/>
        </w:rPr>
        <w:t>区</w:t>
      </w:r>
      <w:r>
        <w:rPr>
          <w:rFonts w:hint="eastAsia" w:ascii="Times New Roman" w:hAnsi="Times New Roman" w:eastAsia="楷体_GB2312" w:cs="Times New Roman"/>
          <w:b/>
          <w:bCs w:val="0"/>
          <w:kern w:val="0"/>
          <w:sz w:val="32"/>
          <w:szCs w:val="32"/>
          <w:lang w:val="en-US" w:eastAsia="zh-CN"/>
        </w:rPr>
        <w:t>财政</w:t>
      </w:r>
      <w:r>
        <w:rPr>
          <w:rFonts w:hint="default" w:ascii="Times New Roman" w:hAnsi="Times New Roman" w:eastAsia="楷体_GB2312" w:cs="Times New Roman"/>
          <w:b/>
          <w:bCs w:val="0"/>
          <w:kern w:val="0"/>
          <w:sz w:val="32"/>
          <w:szCs w:val="32"/>
          <w:lang w:val="en-US" w:eastAsia="zh-CN"/>
        </w:rPr>
        <w:t>局局长</w:t>
      </w:r>
      <w:r>
        <w:rPr>
          <w:rFonts w:hint="default" w:ascii="Times New Roman" w:hAnsi="Times New Roman" w:eastAsia="楷体_GB2312" w:cs="Times New Roman"/>
          <w:b/>
          <w:bCs w:val="0"/>
          <w:kern w:val="0"/>
          <w:sz w:val="32"/>
          <w:szCs w:val="32"/>
        </w:rPr>
        <w:t xml:space="preserve"> </w:t>
      </w:r>
      <w:r>
        <w:rPr>
          <w:rFonts w:hint="eastAsia" w:ascii="Times New Roman" w:hAnsi="Times New Roman" w:eastAsia="楷体_GB2312" w:cs="Times New Roman"/>
          <w:b/>
          <w:bCs w:val="0"/>
          <w:kern w:val="0"/>
          <w:sz w:val="32"/>
          <w:szCs w:val="32"/>
          <w:lang w:val="en-US" w:eastAsia="zh-CN"/>
        </w:rPr>
        <w:t xml:space="preserve"> 李  东</w:t>
      </w:r>
    </w:p>
    <w:p>
      <w:pPr>
        <w:keepNext w:val="0"/>
        <w:keepLines w:val="0"/>
        <w:pageBreakBefore w:val="0"/>
        <w:widowControl/>
        <w:kinsoku/>
        <w:wordWrap/>
        <w:overflowPunct/>
        <w:topLinePunct w:val="0"/>
        <w:autoSpaceDE/>
        <w:autoSpaceDN/>
        <w:bidi w:val="0"/>
        <w:adjustRightInd/>
        <w:snapToGrid/>
        <w:spacing w:line="550" w:lineRule="exact"/>
        <w:textAlignment w:val="auto"/>
        <w:rPr>
          <w:rFonts w:hint="default" w:ascii="Times New Roman" w:hAnsi="Times New Roman" w:eastAsia="楷体_GB2312" w:cs="Times New Roman"/>
          <w:b/>
          <w:bCs w:val="0"/>
          <w:sz w:val="32"/>
          <w:szCs w:val="32"/>
          <w:highlight w:val="none"/>
        </w:rPr>
      </w:pPr>
    </w:p>
    <w:p>
      <w:pPr>
        <w:keepNext w:val="0"/>
        <w:keepLines w:val="0"/>
        <w:pageBreakBefore w:val="0"/>
        <w:widowControl/>
        <w:kinsoku/>
        <w:wordWrap/>
        <w:overflowPunct/>
        <w:topLinePunct w:val="0"/>
        <w:autoSpaceDE/>
        <w:autoSpaceDN/>
        <w:bidi w:val="0"/>
        <w:adjustRightInd/>
        <w:snapToGrid/>
        <w:spacing w:line="550" w:lineRule="exact"/>
        <w:textAlignment w:val="auto"/>
        <w:rPr>
          <w:rFonts w:hint="default" w:ascii="Times New Roman" w:hAnsi="Times New Roman" w:eastAsia="仿宋_GB2312" w:cs="Times New Roman"/>
          <w:bCs/>
          <w:kern w:val="0"/>
          <w:sz w:val="32"/>
          <w:szCs w:val="32"/>
          <w:highlight w:val="none"/>
        </w:rPr>
      </w:pPr>
      <w:r>
        <w:rPr>
          <w:rFonts w:hint="default" w:ascii="Times New Roman" w:hAnsi="Times New Roman" w:eastAsia="仿宋_GB2312" w:cs="Times New Roman"/>
          <w:sz w:val="32"/>
          <w:szCs w:val="32"/>
          <w:highlight w:val="none"/>
        </w:rPr>
        <w:t>区人大常委会：</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受区政府委托，我向区人大常委会报告202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年区本级财政决算和202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年上半年财政预算执行情况，请予审议，并请列席会议的同志提出宝贵意见。</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一、202</w:t>
      </w:r>
      <w:r>
        <w:rPr>
          <w:rFonts w:hint="default" w:ascii="Times New Roman" w:hAnsi="Times New Roman" w:eastAsia="黑体" w:cs="Times New Roman"/>
          <w:sz w:val="32"/>
          <w:szCs w:val="32"/>
          <w:highlight w:val="none"/>
          <w:lang w:val="en-US" w:eastAsia="zh-CN"/>
        </w:rPr>
        <w:t>2</w:t>
      </w:r>
      <w:r>
        <w:rPr>
          <w:rFonts w:hint="default" w:ascii="Times New Roman" w:hAnsi="Times New Roman" w:eastAsia="黑体" w:cs="Times New Roman"/>
          <w:sz w:val="32"/>
          <w:szCs w:val="32"/>
          <w:highlight w:val="none"/>
        </w:rPr>
        <w:t>年财政决算和202</w:t>
      </w:r>
      <w:r>
        <w:rPr>
          <w:rFonts w:hint="default" w:ascii="Times New Roman" w:hAnsi="Times New Roman" w:eastAsia="黑体" w:cs="Times New Roman"/>
          <w:sz w:val="32"/>
          <w:szCs w:val="32"/>
          <w:highlight w:val="none"/>
          <w:lang w:val="en-US" w:eastAsia="zh-CN"/>
        </w:rPr>
        <w:t>3</w:t>
      </w:r>
      <w:r>
        <w:rPr>
          <w:rFonts w:hint="default" w:ascii="Times New Roman" w:hAnsi="Times New Roman" w:eastAsia="黑体" w:cs="Times New Roman"/>
          <w:sz w:val="32"/>
          <w:szCs w:val="32"/>
          <w:highlight w:val="none"/>
        </w:rPr>
        <w:t>年上半年预算执行情况</w:t>
      </w:r>
    </w:p>
    <w:p>
      <w:pPr>
        <w:keepNext w:val="0"/>
        <w:keepLines w:val="0"/>
        <w:pageBreakBefore w:val="0"/>
        <w:kinsoku/>
        <w:wordWrap/>
        <w:overflowPunct/>
        <w:topLinePunct w:val="0"/>
        <w:autoSpaceDE/>
        <w:autoSpaceDN/>
        <w:bidi w:val="0"/>
        <w:adjustRightInd/>
        <w:snapToGrid/>
        <w:spacing w:line="550" w:lineRule="exact"/>
        <w:ind w:firstLine="482" w:firstLineChars="150"/>
        <w:textAlignment w:val="auto"/>
        <w:rPr>
          <w:rFonts w:hint="default" w:ascii="Times New Roman" w:hAnsi="Times New Roman" w:eastAsia="楷体_GB2312" w:cs="Times New Roman"/>
          <w:b/>
          <w:kern w:val="0"/>
          <w:sz w:val="32"/>
          <w:szCs w:val="32"/>
          <w:highlight w:val="none"/>
        </w:rPr>
      </w:pPr>
      <w:r>
        <w:rPr>
          <w:rFonts w:hint="default" w:ascii="Times New Roman" w:hAnsi="Times New Roman" w:eastAsia="楷体_GB2312" w:cs="Times New Roman"/>
          <w:b/>
          <w:kern w:val="0"/>
          <w:sz w:val="32"/>
          <w:szCs w:val="32"/>
          <w:highlight w:val="none"/>
        </w:rPr>
        <w:t>（一）</w:t>
      </w:r>
      <w:r>
        <w:rPr>
          <w:rFonts w:hint="default" w:ascii="Times New Roman" w:hAnsi="Times New Roman" w:eastAsia="楷体_GB2312" w:cs="Times New Roman"/>
          <w:b w:val="0"/>
          <w:bCs/>
          <w:kern w:val="0"/>
          <w:sz w:val="32"/>
          <w:szCs w:val="32"/>
          <w:highlight w:val="none"/>
        </w:rPr>
        <w:t>202</w:t>
      </w:r>
      <w:r>
        <w:rPr>
          <w:rFonts w:hint="default" w:ascii="Times New Roman" w:hAnsi="Times New Roman" w:eastAsia="楷体_GB2312" w:cs="Times New Roman"/>
          <w:b w:val="0"/>
          <w:bCs/>
          <w:kern w:val="0"/>
          <w:sz w:val="32"/>
          <w:szCs w:val="32"/>
          <w:highlight w:val="none"/>
          <w:lang w:val="en-US" w:eastAsia="zh-CN"/>
        </w:rPr>
        <w:t>2</w:t>
      </w:r>
      <w:r>
        <w:rPr>
          <w:rFonts w:hint="default" w:ascii="Times New Roman" w:hAnsi="Times New Roman" w:eastAsia="楷体_GB2312" w:cs="Times New Roman"/>
          <w:b/>
          <w:kern w:val="0"/>
          <w:sz w:val="32"/>
          <w:szCs w:val="32"/>
          <w:highlight w:val="none"/>
        </w:rPr>
        <w:t>年全区财政决算情况</w:t>
      </w:r>
    </w:p>
    <w:p>
      <w:pPr>
        <w:keepNext w:val="0"/>
        <w:keepLines w:val="0"/>
        <w:pageBreakBefore w:val="0"/>
        <w:kinsoku/>
        <w:wordWrap/>
        <w:overflowPunct/>
        <w:topLinePunct w:val="0"/>
        <w:autoSpaceDE/>
        <w:autoSpaceDN/>
        <w:bidi w:val="0"/>
        <w:adjustRightInd/>
        <w:snapToGrid/>
        <w:spacing w:line="550" w:lineRule="exact"/>
        <w:ind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kern w:val="0"/>
          <w:sz w:val="32"/>
          <w:szCs w:val="32"/>
          <w:highlight w:val="none"/>
        </w:rPr>
        <w:t>一般公共预算收支决算</w:t>
      </w:r>
      <w:r>
        <w:rPr>
          <w:rFonts w:hint="eastAsia" w:ascii="Times New Roman" w:hAnsi="Times New Roman" w:eastAsia="仿宋_GB2312" w:cs="Times New Roman"/>
          <w:b/>
          <w:kern w:val="0"/>
          <w:sz w:val="32"/>
          <w:szCs w:val="32"/>
          <w:highlight w:val="none"/>
          <w:lang w:val="en-US" w:eastAsia="zh-CN"/>
        </w:rPr>
        <w:t>情况</w:t>
      </w:r>
      <w:r>
        <w:rPr>
          <w:rFonts w:hint="default" w:ascii="Times New Roman" w:hAnsi="Times New Roman" w:eastAsia="仿宋_GB2312" w:cs="Times New Roman"/>
          <w:b/>
          <w:kern w:val="0"/>
          <w:sz w:val="32"/>
          <w:szCs w:val="32"/>
          <w:highlight w:val="none"/>
        </w:rPr>
        <w:t>：</w:t>
      </w:r>
      <w:r>
        <w:rPr>
          <w:rFonts w:hint="default" w:ascii="Times New Roman" w:hAnsi="Times New Roman" w:eastAsia="仿宋_GB2312" w:cs="Times New Roman"/>
          <w:color w:val="auto"/>
          <w:sz w:val="32"/>
          <w:szCs w:val="32"/>
          <w:highlight w:val="none"/>
          <w:lang w:eastAsia="zh-CN"/>
        </w:rPr>
        <w:t>一般公共预算收入</w:t>
      </w:r>
      <w:r>
        <w:rPr>
          <w:rFonts w:hint="default" w:ascii="Times New Roman" w:hAnsi="Times New Roman" w:eastAsia="仿宋_GB2312" w:cs="Times New Roman"/>
          <w:color w:val="auto"/>
          <w:sz w:val="32"/>
          <w:szCs w:val="32"/>
          <w:highlight w:val="none"/>
        </w:rPr>
        <w:t>实现</w:t>
      </w:r>
      <w:r>
        <w:rPr>
          <w:rFonts w:hint="default" w:ascii="Times New Roman" w:hAnsi="Times New Roman" w:eastAsia="仿宋_GB2312" w:cs="Times New Roman"/>
          <w:color w:val="auto"/>
          <w:sz w:val="32"/>
          <w:szCs w:val="32"/>
          <w:highlight w:val="none"/>
          <w:lang w:val="en-US" w:eastAsia="zh-CN"/>
        </w:rPr>
        <w:t>63157</w:t>
      </w:r>
      <w:r>
        <w:rPr>
          <w:rFonts w:hint="default" w:ascii="Times New Roman" w:hAnsi="Times New Roman" w:eastAsia="仿宋_GB2312" w:cs="Times New Roman"/>
          <w:color w:val="auto"/>
          <w:sz w:val="32"/>
          <w:szCs w:val="32"/>
          <w:highlight w:val="none"/>
        </w:rPr>
        <w:t>万元，完成预算（</w:t>
      </w:r>
      <w:r>
        <w:rPr>
          <w:rFonts w:hint="default" w:ascii="Times New Roman" w:hAnsi="Times New Roman" w:eastAsia="仿宋_GB2312" w:cs="Times New Roman"/>
          <w:color w:val="auto"/>
          <w:sz w:val="32"/>
          <w:szCs w:val="32"/>
          <w:highlight w:val="none"/>
          <w:lang w:val="en-US" w:eastAsia="zh-CN"/>
        </w:rPr>
        <w:t>6.3</w:t>
      </w:r>
      <w:r>
        <w:rPr>
          <w:rFonts w:hint="default" w:ascii="Times New Roman" w:hAnsi="Times New Roman" w:eastAsia="仿宋_GB2312" w:cs="Times New Roman"/>
          <w:color w:val="auto"/>
          <w:sz w:val="32"/>
          <w:szCs w:val="32"/>
          <w:highlight w:val="none"/>
        </w:rPr>
        <w:t>亿元）的1</w:t>
      </w:r>
      <w:r>
        <w:rPr>
          <w:rFonts w:hint="default" w:ascii="Times New Roman" w:hAnsi="Times New Roman" w:eastAsia="仿宋_GB2312" w:cs="Times New Roman"/>
          <w:color w:val="auto"/>
          <w:sz w:val="32"/>
          <w:szCs w:val="32"/>
          <w:highlight w:val="none"/>
          <w:lang w:val="en-US" w:eastAsia="zh-CN"/>
        </w:rPr>
        <w:t>00.2</w:t>
      </w:r>
      <w:r>
        <w:rPr>
          <w:rFonts w:hint="default" w:ascii="Times New Roman" w:hAnsi="Times New Roman" w:eastAsia="仿宋_GB2312" w:cs="Times New Roman"/>
          <w:color w:val="auto"/>
          <w:sz w:val="32"/>
          <w:szCs w:val="32"/>
          <w:highlight w:val="none"/>
        </w:rPr>
        <w:t>%，同比增收</w:t>
      </w:r>
      <w:r>
        <w:rPr>
          <w:rFonts w:hint="default" w:ascii="Times New Roman" w:hAnsi="Times New Roman" w:eastAsia="仿宋_GB2312" w:cs="Times New Roman"/>
          <w:color w:val="auto"/>
          <w:sz w:val="32"/>
          <w:szCs w:val="32"/>
          <w:highlight w:val="none"/>
          <w:lang w:val="en-US" w:eastAsia="zh-CN"/>
        </w:rPr>
        <w:t>4583</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val="en-US" w:eastAsia="zh-CN"/>
        </w:rPr>
        <w:t>按同口径</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11.</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%。我区地方财政收入加上上级一般性转移支付收入</w:t>
      </w:r>
      <w:r>
        <w:rPr>
          <w:rFonts w:hint="default" w:ascii="Times New Roman" w:hAnsi="Times New Roman" w:eastAsia="仿宋_GB2312" w:cs="Times New Roman"/>
          <w:color w:val="auto"/>
          <w:sz w:val="32"/>
          <w:szCs w:val="32"/>
          <w:highlight w:val="none"/>
          <w:lang w:val="en-US" w:eastAsia="zh-CN"/>
        </w:rPr>
        <w:t>71708</w:t>
      </w:r>
      <w:r>
        <w:rPr>
          <w:rFonts w:hint="default" w:ascii="Times New Roman" w:hAnsi="Times New Roman" w:eastAsia="仿宋_GB2312" w:cs="Times New Roman"/>
          <w:color w:val="auto"/>
          <w:sz w:val="32"/>
          <w:szCs w:val="32"/>
          <w:highlight w:val="none"/>
        </w:rPr>
        <w:t>万元，专项转移支付收入</w:t>
      </w:r>
      <w:r>
        <w:rPr>
          <w:rFonts w:hint="default" w:ascii="Times New Roman" w:hAnsi="Times New Roman" w:eastAsia="仿宋_GB2312" w:cs="Times New Roman"/>
          <w:color w:val="auto"/>
          <w:sz w:val="32"/>
          <w:szCs w:val="32"/>
          <w:highlight w:val="none"/>
          <w:lang w:val="en-US" w:eastAsia="zh-CN"/>
        </w:rPr>
        <w:t>11723</w:t>
      </w:r>
      <w:r>
        <w:rPr>
          <w:rFonts w:hint="default" w:ascii="Times New Roman" w:hAnsi="Times New Roman" w:eastAsia="仿宋_GB2312" w:cs="Times New Roman"/>
          <w:color w:val="auto"/>
          <w:sz w:val="32"/>
          <w:szCs w:val="32"/>
          <w:highlight w:val="none"/>
        </w:rPr>
        <w:t>万元，调入资金</w:t>
      </w:r>
      <w:r>
        <w:rPr>
          <w:rFonts w:hint="default" w:ascii="Times New Roman" w:hAnsi="Times New Roman" w:eastAsia="仿宋_GB2312" w:cs="Times New Roman"/>
          <w:color w:val="auto"/>
          <w:sz w:val="32"/>
          <w:szCs w:val="32"/>
          <w:highlight w:val="none"/>
          <w:lang w:val="en-US" w:eastAsia="zh-CN"/>
        </w:rPr>
        <w:t>39861</w:t>
      </w:r>
      <w:r>
        <w:rPr>
          <w:rFonts w:hint="default" w:ascii="Times New Roman" w:hAnsi="Times New Roman" w:eastAsia="仿宋_GB2312" w:cs="Times New Roman"/>
          <w:color w:val="auto"/>
          <w:sz w:val="32"/>
          <w:szCs w:val="32"/>
          <w:highlight w:val="none"/>
        </w:rPr>
        <w:t>万元，动用预算稳定调节基金</w:t>
      </w:r>
      <w:r>
        <w:rPr>
          <w:rFonts w:hint="default" w:ascii="Times New Roman" w:hAnsi="Times New Roman" w:eastAsia="仿宋_GB2312" w:cs="Times New Roman"/>
          <w:color w:val="auto"/>
          <w:sz w:val="32"/>
          <w:szCs w:val="32"/>
          <w:highlight w:val="none"/>
          <w:lang w:val="en-US" w:eastAsia="zh-CN"/>
        </w:rPr>
        <w:t>6074</w:t>
      </w:r>
      <w:r>
        <w:rPr>
          <w:rFonts w:hint="default" w:ascii="Times New Roman" w:hAnsi="Times New Roman" w:eastAsia="仿宋_GB2312" w:cs="Times New Roman"/>
          <w:color w:val="auto"/>
          <w:sz w:val="32"/>
          <w:szCs w:val="32"/>
          <w:highlight w:val="none"/>
        </w:rPr>
        <w:t>万元，上年结余</w:t>
      </w:r>
      <w:r>
        <w:rPr>
          <w:rFonts w:hint="default" w:ascii="Times New Roman" w:hAnsi="Times New Roman" w:eastAsia="仿宋_GB2312" w:cs="Times New Roman"/>
          <w:color w:val="auto"/>
          <w:sz w:val="32"/>
          <w:szCs w:val="32"/>
          <w:highlight w:val="none"/>
          <w:lang w:val="en-US" w:eastAsia="zh-CN"/>
        </w:rPr>
        <w:t>3036</w:t>
      </w:r>
      <w:r>
        <w:rPr>
          <w:rFonts w:hint="default" w:ascii="Times New Roman" w:hAnsi="Times New Roman" w:eastAsia="仿宋_GB2312" w:cs="Times New Roman"/>
          <w:color w:val="auto"/>
          <w:sz w:val="32"/>
          <w:szCs w:val="32"/>
          <w:highlight w:val="none"/>
        </w:rPr>
        <w:t>万元，地方政府一般债务转贷收入</w:t>
      </w:r>
      <w:r>
        <w:rPr>
          <w:rFonts w:hint="default" w:ascii="Times New Roman" w:hAnsi="Times New Roman" w:eastAsia="仿宋_GB2312" w:cs="Times New Roman"/>
          <w:color w:val="auto"/>
          <w:sz w:val="32"/>
          <w:szCs w:val="32"/>
          <w:highlight w:val="none"/>
          <w:lang w:val="en-US" w:eastAsia="zh-CN"/>
        </w:rPr>
        <w:t>2200</w:t>
      </w:r>
      <w:r>
        <w:rPr>
          <w:rFonts w:hint="default" w:ascii="Times New Roman" w:hAnsi="Times New Roman" w:eastAsia="仿宋_GB2312" w:cs="Times New Roman"/>
          <w:color w:val="auto"/>
          <w:sz w:val="32"/>
          <w:szCs w:val="32"/>
          <w:highlight w:val="none"/>
        </w:rPr>
        <w:t>万元，当年全区可用财力合计</w:t>
      </w:r>
      <w:r>
        <w:rPr>
          <w:rFonts w:hint="default" w:ascii="Times New Roman" w:hAnsi="Times New Roman" w:eastAsia="仿宋_GB2312" w:cs="Times New Roman"/>
          <w:color w:val="auto"/>
          <w:sz w:val="32"/>
          <w:szCs w:val="32"/>
          <w:highlight w:val="none"/>
          <w:lang w:val="en-US" w:eastAsia="zh-CN"/>
        </w:rPr>
        <w:t>197759</w:t>
      </w:r>
      <w:r>
        <w:rPr>
          <w:rFonts w:hint="default" w:ascii="Times New Roman" w:hAnsi="Times New Roman" w:eastAsia="仿宋_GB2312" w:cs="Times New Roman"/>
          <w:color w:val="auto"/>
          <w:sz w:val="32"/>
          <w:szCs w:val="32"/>
          <w:highlight w:val="none"/>
        </w:rPr>
        <w:t>万元。202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年一般公共预算支出18</w:t>
      </w:r>
      <w:r>
        <w:rPr>
          <w:rFonts w:hint="default" w:ascii="Times New Roman" w:hAnsi="Times New Roman" w:eastAsia="仿宋_GB2312" w:cs="Times New Roman"/>
          <w:color w:val="auto"/>
          <w:sz w:val="32"/>
          <w:szCs w:val="32"/>
          <w:highlight w:val="none"/>
          <w:lang w:val="en-US" w:eastAsia="zh-CN"/>
        </w:rPr>
        <w:t>5586</w:t>
      </w:r>
      <w:r>
        <w:rPr>
          <w:rFonts w:hint="default" w:ascii="Times New Roman" w:hAnsi="Times New Roman" w:eastAsia="仿宋_GB2312" w:cs="Times New Roman"/>
          <w:color w:val="auto"/>
          <w:sz w:val="32"/>
          <w:szCs w:val="32"/>
          <w:highlight w:val="none"/>
        </w:rPr>
        <w:t>万元，同比增支</w:t>
      </w:r>
      <w:r>
        <w:rPr>
          <w:rFonts w:hint="default" w:ascii="Times New Roman" w:hAnsi="Times New Roman" w:eastAsia="仿宋_GB2312" w:cs="Times New Roman"/>
          <w:color w:val="auto"/>
          <w:sz w:val="32"/>
          <w:szCs w:val="32"/>
          <w:highlight w:val="none"/>
          <w:lang w:val="en-US" w:eastAsia="zh-CN"/>
        </w:rPr>
        <w:t>4170</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%（增支主要原因是</w:t>
      </w:r>
      <w:r>
        <w:rPr>
          <w:rFonts w:hint="default" w:ascii="Times New Roman" w:hAnsi="Times New Roman" w:eastAsia="仿宋_GB2312" w:cs="Times New Roman"/>
          <w:color w:val="auto"/>
          <w:sz w:val="32"/>
          <w:szCs w:val="32"/>
          <w:highlight w:val="none"/>
          <w:lang w:eastAsia="zh-CN"/>
        </w:rPr>
        <w:t>加大教育、城乡社区建设等投入</w:t>
      </w:r>
      <w:r>
        <w:rPr>
          <w:rFonts w:hint="default" w:ascii="Times New Roman" w:hAnsi="Times New Roman" w:eastAsia="仿宋_GB2312" w:cs="Times New Roman"/>
          <w:color w:val="auto"/>
          <w:sz w:val="32"/>
          <w:szCs w:val="32"/>
          <w:highlight w:val="none"/>
        </w:rPr>
        <w:t>），上解上级支出</w:t>
      </w:r>
      <w:r>
        <w:rPr>
          <w:rFonts w:hint="default" w:ascii="Times New Roman" w:hAnsi="Times New Roman" w:eastAsia="仿宋_GB2312" w:cs="Times New Roman"/>
          <w:color w:val="auto"/>
          <w:sz w:val="32"/>
          <w:szCs w:val="32"/>
          <w:highlight w:val="none"/>
          <w:lang w:val="en-US" w:eastAsia="zh-CN"/>
        </w:rPr>
        <w:t>6503</w:t>
      </w:r>
      <w:r>
        <w:rPr>
          <w:rFonts w:hint="default" w:ascii="Times New Roman" w:hAnsi="Times New Roman" w:eastAsia="仿宋_GB2312" w:cs="Times New Roman"/>
          <w:color w:val="auto"/>
          <w:sz w:val="32"/>
          <w:szCs w:val="32"/>
          <w:highlight w:val="none"/>
        </w:rPr>
        <w:t>万元，债务还本支出</w:t>
      </w:r>
      <w:r>
        <w:rPr>
          <w:rFonts w:hint="default" w:ascii="Times New Roman" w:hAnsi="Times New Roman" w:eastAsia="仿宋_GB2312" w:cs="Times New Roman"/>
          <w:color w:val="auto"/>
          <w:sz w:val="32"/>
          <w:szCs w:val="32"/>
          <w:highlight w:val="none"/>
          <w:lang w:val="en-US" w:eastAsia="zh-CN"/>
        </w:rPr>
        <w:t>2455</w:t>
      </w:r>
      <w:r>
        <w:rPr>
          <w:rFonts w:hint="default" w:ascii="Times New Roman" w:hAnsi="Times New Roman" w:eastAsia="仿宋_GB2312" w:cs="Times New Roman"/>
          <w:color w:val="auto"/>
          <w:sz w:val="32"/>
          <w:szCs w:val="32"/>
          <w:highlight w:val="none"/>
        </w:rPr>
        <w:t>万元，安排预算稳定调节基金</w:t>
      </w:r>
      <w:r>
        <w:rPr>
          <w:rFonts w:hint="default" w:ascii="Times New Roman" w:hAnsi="Times New Roman" w:eastAsia="仿宋_GB2312" w:cs="Times New Roman"/>
          <w:color w:val="auto"/>
          <w:sz w:val="32"/>
          <w:szCs w:val="32"/>
          <w:highlight w:val="none"/>
          <w:lang w:val="en-US" w:eastAsia="zh-CN"/>
        </w:rPr>
        <w:t>157</w:t>
      </w:r>
      <w:r>
        <w:rPr>
          <w:rFonts w:hint="default" w:ascii="Times New Roman" w:hAnsi="Times New Roman" w:eastAsia="仿宋_GB2312" w:cs="Times New Roman"/>
          <w:color w:val="auto"/>
          <w:sz w:val="32"/>
          <w:szCs w:val="32"/>
          <w:highlight w:val="none"/>
        </w:rPr>
        <w:t>万元，支出合计</w:t>
      </w:r>
      <w:r>
        <w:rPr>
          <w:rFonts w:hint="default" w:ascii="Times New Roman" w:hAnsi="Times New Roman" w:eastAsia="仿宋_GB2312" w:cs="Times New Roman"/>
          <w:color w:val="auto"/>
          <w:sz w:val="32"/>
          <w:szCs w:val="32"/>
          <w:highlight w:val="none"/>
          <w:lang w:val="en-US" w:eastAsia="zh-CN"/>
        </w:rPr>
        <w:t>194701</w:t>
      </w:r>
      <w:r>
        <w:rPr>
          <w:rFonts w:hint="default" w:ascii="Times New Roman" w:hAnsi="Times New Roman" w:eastAsia="仿宋_GB2312" w:cs="Times New Roman"/>
          <w:color w:val="auto"/>
          <w:sz w:val="32"/>
          <w:szCs w:val="32"/>
          <w:highlight w:val="none"/>
        </w:rPr>
        <w:t>万元，收支相抵，结余30</w:t>
      </w:r>
      <w:r>
        <w:rPr>
          <w:rFonts w:hint="default" w:ascii="Times New Roman" w:hAnsi="Times New Roman" w:eastAsia="仿宋_GB2312" w:cs="Times New Roman"/>
          <w:color w:val="auto"/>
          <w:sz w:val="32"/>
          <w:szCs w:val="32"/>
          <w:highlight w:val="none"/>
          <w:lang w:val="en-US" w:eastAsia="zh-CN"/>
        </w:rPr>
        <w:t>58</w:t>
      </w:r>
      <w:r>
        <w:rPr>
          <w:rFonts w:hint="default" w:ascii="Times New Roman" w:hAnsi="Times New Roman" w:eastAsia="仿宋_GB2312" w:cs="Times New Roman"/>
          <w:color w:val="auto"/>
          <w:sz w:val="32"/>
          <w:szCs w:val="32"/>
          <w:highlight w:val="none"/>
        </w:rPr>
        <w:t>万元。（附表一）</w:t>
      </w:r>
    </w:p>
    <w:p>
      <w:pPr>
        <w:keepNext w:val="0"/>
        <w:keepLines w:val="0"/>
        <w:pageBreakBefore w:val="0"/>
        <w:kinsoku/>
        <w:wordWrap/>
        <w:overflowPunct/>
        <w:topLinePunct w:val="0"/>
        <w:autoSpaceDE/>
        <w:autoSpaceDN/>
        <w:bidi w:val="0"/>
        <w:adjustRightInd/>
        <w:snapToGrid/>
        <w:spacing w:line="550" w:lineRule="exact"/>
        <w:ind w:firstLine="630" w:firstLineChars="196"/>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sz w:val="32"/>
          <w:szCs w:val="32"/>
          <w:highlight w:val="none"/>
        </w:rPr>
        <w:t>政府性基金预算收支决算</w:t>
      </w:r>
      <w:r>
        <w:rPr>
          <w:rFonts w:hint="eastAsia" w:ascii="Times New Roman" w:hAnsi="Times New Roman" w:eastAsia="仿宋_GB2312" w:cs="Times New Roman"/>
          <w:b/>
          <w:sz w:val="32"/>
          <w:szCs w:val="32"/>
          <w:highlight w:val="none"/>
          <w:lang w:val="en-US" w:eastAsia="zh-CN"/>
        </w:rPr>
        <w:t>情况</w:t>
      </w:r>
      <w:r>
        <w:rPr>
          <w:rFonts w:hint="default" w:ascii="Times New Roman" w:hAnsi="Times New Roman" w:eastAsia="仿宋_GB2312" w:cs="Times New Roman"/>
          <w:b/>
          <w:sz w:val="32"/>
          <w:szCs w:val="32"/>
          <w:highlight w:val="none"/>
        </w:rPr>
        <w:t>：</w:t>
      </w:r>
      <w:r>
        <w:rPr>
          <w:rFonts w:hint="default" w:ascii="Times New Roman" w:hAnsi="Times New Roman" w:eastAsia="仿宋_GB2312" w:cs="Times New Roman"/>
          <w:color w:val="auto"/>
          <w:sz w:val="32"/>
          <w:szCs w:val="32"/>
          <w:highlight w:val="none"/>
        </w:rPr>
        <w:t>政府性基金上级补助收入</w:t>
      </w:r>
      <w:r>
        <w:rPr>
          <w:rFonts w:hint="default" w:ascii="Times New Roman" w:hAnsi="Times New Roman" w:eastAsia="仿宋_GB2312" w:cs="Times New Roman"/>
          <w:color w:val="auto"/>
          <w:sz w:val="32"/>
          <w:szCs w:val="32"/>
          <w:highlight w:val="none"/>
          <w:lang w:val="en-US" w:eastAsia="zh-CN"/>
        </w:rPr>
        <w:t>724</w:t>
      </w:r>
      <w:r>
        <w:rPr>
          <w:rFonts w:hint="default" w:ascii="Times New Roman" w:hAnsi="Times New Roman" w:eastAsia="仿宋_GB2312" w:cs="Times New Roman"/>
          <w:color w:val="auto"/>
          <w:sz w:val="32"/>
          <w:szCs w:val="32"/>
          <w:highlight w:val="none"/>
        </w:rPr>
        <w:t>万元，调入资金</w:t>
      </w:r>
      <w:r>
        <w:rPr>
          <w:rFonts w:hint="default" w:ascii="Times New Roman" w:hAnsi="Times New Roman" w:eastAsia="仿宋_GB2312" w:cs="Times New Roman"/>
          <w:color w:val="auto"/>
          <w:sz w:val="32"/>
          <w:szCs w:val="32"/>
          <w:highlight w:val="none"/>
          <w:lang w:val="en-US" w:eastAsia="zh-CN"/>
        </w:rPr>
        <w:t>5313</w:t>
      </w:r>
      <w:r>
        <w:rPr>
          <w:rFonts w:hint="default" w:ascii="Times New Roman" w:hAnsi="Times New Roman" w:eastAsia="仿宋_GB2312" w:cs="Times New Roman"/>
          <w:color w:val="auto"/>
          <w:sz w:val="32"/>
          <w:szCs w:val="32"/>
          <w:highlight w:val="none"/>
        </w:rPr>
        <w:t>万元，地方政府专项债务转贷收入</w:t>
      </w:r>
      <w:r>
        <w:rPr>
          <w:rFonts w:hint="default" w:ascii="Times New Roman" w:hAnsi="Times New Roman" w:eastAsia="仿宋_GB2312" w:cs="Times New Roman"/>
          <w:color w:val="auto"/>
          <w:sz w:val="32"/>
          <w:szCs w:val="32"/>
          <w:highlight w:val="none"/>
          <w:lang w:val="en-US" w:eastAsia="zh-CN"/>
        </w:rPr>
        <w:t>59300</w:t>
      </w:r>
      <w:r>
        <w:rPr>
          <w:rFonts w:hint="default" w:ascii="Times New Roman" w:hAnsi="Times New Roman" w:eastAsia="仿宋_GB2312" w:cs="Times New Roman"/>
          <w:color w:val="auto"/>
          <w:sz w:val="32"/>
          <w:szCs w:val="32"/>
          <w:highlight w:val="none"/>
        </w:rPr>
        <w:t>万元，上年结余</w:t>
      </w:r>
      <w:r>
        <w:rPr>
          <w:rFonts w:hint="default" w:ascii="Times New Roman" w:hAnsi="Times New Roman" w:eastAsia="仿宋_GB2312" w:cs="Times New Roman"/>
          <w:color w:val="auto"/>
          <w:sz w:val="32"/>
          <w:szCs w:val="32"/>
          <w:highlight w:val="none"/>
          <w:lang w:val="en-US" w:eastAsia="zh-CN"/>
        </w:rPr>
        <w:t>491</w:t>
      </w:r>
      <w:r>
        <w:rPr>
          <w:rFonts w:hint="default" w:ascii="Times New Roman" w:hAnsi="Times New Roman" w:eastAsia="仿宋_GB2312" w:cs="Times New Roman"/>
          <w:color w:val="auto"/>
          <w:sz w:val="32"/>
          <w:szCs w:val="32"/>
          <w:highlight w:val="none"/>
        </w:rPr>
        <w:t>万元，政府性基金财力合计</w:t>
      </w:r>
      <w:r>
        <w:rPr>
          <w:rFonts w:hint="default" w:ascii="Times New Roman" w:hAnsi="Times New Roman" w:eastAsia="仿宋_GB2312" w:cs="Times New Roman"/>
          <w:color w:val="auto"/>
          <w:sz w:val="32"/>
          <w:szCs w:val="32"/>
          <w:highlight w:val="none"/>
          <w:lang w:val="en-US" w:eastAsia="zh-CN"/>
        </w:rPr>
        <w:t>65828</w:t>
      </w:r>
      <w:r>
        <w:rPr>
          <w:rFonts w:hint="default" w:ascii="Times New Roman" w:hAnsi="Times New Roman" w:eastAsia="仿宋_GB2312" w:cs="Times New Roman"/>
          <w:color w:val="auto"/>
          <w:sz w:val="32"/>
          <w:szCs w:val="32"/>
          <w:highlight w:val="none"/>
        </w:rPr>
        <w:t>万元。政府性基金预算支出6</w:t>
      </w:r>
      <w:r>
        <w:rPr>
          <w:rFonts w:hint="default" w:ascii="Times New Roman" w:hAnsi="Times New Roman" w:eastAsia="仿宋_GB2312" w:cs="Times New Roman"/>
          <w:color w:val="auto"/>
          <w:sz w:val="32"/>
          <w:szCs w:val="32"/>
          <w:highlight w:val="none"/>
          <w:lang w:val="en-US" w:eastAsia="zh-CN"/>
        </w:rPr>
        <w:t>5616</w:t>
      </w:r>
      <w:r>
        <w:rPr>
          <w:rFonts w:hint="default" w:ascii="Times New Roman" w:hAnsi="Times New Roman" w:eastAsia="仿宋_GB2312" w:cs="Times New Roman"/>
          <w:color w:val="auto"/>
          <w:sz w:val="32"/>
          <w:szCs w:val="32"/>
          <w:highlight w:val="none"/>
        </w:rPr>
        <w:t>万元，主要支出项目如下：</w:t>
      </w:r>
      <w:r>
        <w:rPr>
          <w:rFonts w:hint="default" w:ascii="Times New Roman" w:hAnsi="Times New Roman" w:eastAsia="仿宋_GB2312" w:cs="Times New Roman"/>
          <w:bCs/>
          <w:color w:val="auto"/>
          <w:sz w:val="32"/>
          <w:szCs w:val="32"/>
          <w:highlight w:val="none"/>
        </w:rPr>
        <w:t>国有土地使用权出让收入安排支出1</w:t>
      </w:r>
      <w:r>
        <w:rPr>
          <w:rFonts w:hint="default" w:ascii="Times New Roman" w:hAnsi="Times New Roman" w:eastAsia="仿宋_GB2312" w:cs="Times New Roman"/>
          <w:bCs/>
          <w:color w:val="auto"/>
          <w:sz w:val="32"/>
          <w:szCs w:val="32"/>
          <w:highlight w:val="none"/>
          <w:lang w:val="en-US" w:eastAsia="zh-CN"/>
        </w:rPr>
        <w:t>44</w:t>
      </w:r>
      <w:r>
        <w:rPr>
          <w:rFonts w:hint="default" w:ascii="Times New Roman" w:hAnsi="Times New Roman" w:eastAsia="仿宋_GB2312" w:cs="Times New Roman"/>
          <w:bCs/>
          <w:color w:val="auto"/>
          <w:sz w:val="32"/>
          <w:szCs w:val="32"/>
          <w:highlight w:val="none"/>
        </w:rPr>
        <w:t>万元；专项债券收入安排支出</w:t>
      </w:r>
      <w:r>
        <w:rPr>
          <w:rFonts w:hint="default" w:ascii="Times New Roman" w:hAnsi="Times New Roman" w:eastAsia="仿宋_GB2312" w:cs="Times New Roman"/>
          <w:bCs/>
          <w:color w:val="auto"/>
          <w:sz w:val="32"/>
          <w:szCs w:val="32"/>
          <w:highlight w:val="none"/>
          <w:lang w:val="en-US" w:eastAsia="zh-CN"/>
        </w:rPr>
        <w:t>59300</w:t>
      </w:r>
      <w:r>
        <w:rPr>
          <w:rFonts w:hint="default" w:ascii="Times New Roman" w:hAnsi="Times New Roman" w:eastAsia="仿宋_GB2312" w:cs="Times New Roman"/>
          <w:bCs/>
          <w:color w:val="auto"/>
          <w:sz w:val="32"/>
          <w:szCs w:val="32"/>
          <w:highlight w:val="none"/>
        </w:rPr>
        <w:t>万元；专项债券付息支出</w:t>
      </w:r>
      <w:r>
        <w:rPr>
          <w:rFonts w:hint="eastAsia" w:ascii="Times New Roman" w:hAnsi="Times New Roman" w:eastAsia="仿宋_GB2312" w:cs="Times New Roman"/>
          <w:bCs/>
          <w:color w:val="auto"/>
          <w:sz w:val="32"/>
          <w:szCs w:val="32"/>
          <w:highlight w:val="none"/>
          <w:lang w:val="en-US" w:eastAsia="zh-CN"/>
        </w:rPr>
        <w:t>5262</w:t>
      </w:r>
      <w:r>
        <w:rPr>
          <w:rFonts w:hint="default" w:ascii="Times New Roman" w:hAnsi="Times New Roman" w:eastAsia="仿宋_GB2312" w:cs="Times New Roman"/>
          <w:bCs/>
          <w:color w:val="auto"/>
          <w:sz w:val="32"/>
          <w:szCs w:val="32"/>
          <w:highlight w:val="none"/>
        </w:rPr>
        <w:t>万元、专项债券发行费用支出</w:t>
      </w:r>
      <w:r>
        <w:rPr>
          <w:rFonts w:hint="default" w:ascii="Times New Roman" w:hAnsi="Times New Roman" w:eastAsia="仿宋_GB2312" w:cs="Times New Roman"/>
          <w:bCs/>
          <w:color w:val="auto"/>
          <w:sz w:val="32"/>
          <w:szCs w:val="32"/>
          <w:highlight w:val="none"/>
          <w:lang w:val="en-US" w:eastAsia="zh-CN"/>
        </w:rPr>
        <w:t>5</w:t>
      </w:r>
      <w:r>
        <w:rPr>
          <w:rFonts w:hint="default" w:ascii="Times New Roman" w:hAnsi="Times New Roman" w:eastAsia="仿宋_GB2312" w:cs="Times New Roman"/>
          <w:bCs/>
          <w:color w:val="auto"/>
          <w:sz w:val="32"/>
          <w:szCs w:val="32"/>
          <w:highlight w:val="none"/>
        </w:rPr>
        <w:t>1万元；抗疫特别国债安排支出</w:t>
      </w:r>
      <w:r>
        <w:rPr>
          <w:rFonts w:hint="default" w:ascii="Times New Roman" w:hAnsi="Times New Roman" w:eastAsia="仿宋_GB2312" w:cs="Times New Roman"/>
          <w:bCs/>
          <w:color w:val="auto"/>
          <w:sz w:val="32"/>
          <w:szCs w:val="32"/>
          <w:highlight w:val="none"/>
          <w:lang w:val="en-US" w:eastAsia="zh-CN"/>
        </w:rPr>
        <w:t>221</w:t>
      </w:r>
      <w:r>
        <w:rPr>
          <w:rFonts w:hint="default" w:ascii="Times New Roman" w:hAnsi="Times New Roman" w:eastAsia="仿宋_GB2312" w:cs="Times New Roman"/>
          <w:bCs/>
          <w:color w:val="auto"/>
          <w:sz w:val="32"/>
          <w:szCs w:val="32"/>
          <w:highlight w:val="none"/>
        </w:rPr>
        <w:t>万元；彩票公益金安排支出</w:t>
      </w:r>
      <w:r>
        <w:rPr>
          <w:rFonts w:hint="default" w:ascii="Times New Roman" w:hAnsi="Times New Roman" w:eastAsia="仿宋_GB2312" w:cs="Times New Roman"/>
          <w:bCs/>
          <w:color w:val="auto"/>
          <w:sz w:val="32"/>
          <w:szCs w:val="32"/>
          <w:highlight w:val="none"/>
          <w:lang w:val="en-US" w:eastAsia="zh-CN"/>
        </w:rPr>
        <w:t>638</w:t>
      </w:r>
      <w:r>
        <w:rPr>
          <w:rFonts w:hint="default" w:ascii="Times New Roman" w:hAnsi="Times New Roman" w:eastAsia="仿宋_GB2312" w:cs="Times New Roman"/>
          <w:bCs/>
          <w:color w:val="auto"/>
          <w:sz w:val="32"/>
          <w:szCs w:val="32"/>
          <w:highlight w:val="none"/>
        </w:rPr>
        <w:t>万元（其中：社会福利支出3</w:t>
      </w:r>
      <w:r>
        <w:rPr>
          <w:rFonts w:hint="default" w:ascii="Times New Roman" w:hAnsi="Times New Roman" w:eastAsia="仿宋_GB2312" w:cs="Times New Roman"/>
          <w:bCs/>
          <w:color w:val="auto"/>
          <w:sz w:val="32"/>
          <w:szCs w:val="32"/>
          <w:highlight w:val="none"/>
          <w:lang w:val="en-US" w:eastAsia="zh-CN"/>
        </w:rPr>
        <w:t>71</w:t>
      </w:r>
      <w:r>
        <w:rPr>
          <w:rFonts w:hint="default" w:ascii="Times New Roman" w:hAnsi="Times New Roman" w:eastAsia="仿宋_GB2312" w:cs="Times New Roman"/>
          <w:bCs/>
          <w:color w:val="auto"/>
          <w:sz w:val="32"/>
          <w:szCs w:val="32"/>
          <w:highlight w:val="none"/>
        </w:rPr>
        <w:t>万元、体育事业支出</w:t>
      </w:r>
      <w:r>
        <w:rPr>
          <w:rFonts w:hint="default" w:ascii="Times New Roman" w:hAnsi="Times New Roman" w:eastAsia="仿宋_GB2312" w:cs="Times New Roman"/>
          <w:bCs/>
          <w:color w:val="auto"/>
          <w:sz w:val="32"/>
          <w:szCs w:val="32"/>
          <w:highlight w:val="none"/>
          <w:lang w:val="en-US" w:eastAsia="zh-CN"/>
        </w:rPr>
        <w:t>173</w:t>
      </w:r>
      <w:r>
        <w:rPr>
          <w:rFonts w:hint="default" w:ascii="Times New Roman" w:hAnsi="Times New Roman" w:eastAsia="仿宋_GB2312" w:cs="Times New Roman"/>
          <w:bCs/>
          <w:color w:val="auto"/>
          <w:sz w:val="32"/>
          <w:szCs w:val="32"/>
          <w:highlight w:val="none"/>
        </w:rPr>
        <w:t>万元、残疾人事业支出</w:t>
      </w:r>
      <w:r>
        <w:rPr>
          <w:rFonts w:hint="default" w:ascii="Times New Roman" w:hAnsi="Times New Roman" w:eastAsia="仿宋_GB2312" w:cs="Times New Roman"/>
          <w:bCs/>
          <w:color w:val="auto"/>
          <w:sz w:val="32"/>
          <w:szCs w:val="32"/>
          <w:highlight w:val="none"/>
          <w:lang w:val="en-US" w:eastAsia="zh-CN"/>
        </w:rPr>
        <w:t>73</w:t>
      </w:r>
      <w:r>
        <w:rPr>
          <w:rFonts w:hint="default" w:ascii="Times New Roman" w:hAnsi="Times New Roman" w:eastAsia="仿宋_GB2312" w:cs="Times New Roman"/>
          <w:bCs/>
          <w:color w:val="auto"/>
          <w:sz w:val="32"/>
          <w:szCs w:val="32"/>
          <w:highlight w:val="none"/>
        </w:rPr>
        <w:t>万元、城乡医疗救助支出</w:t>
      </w:r>
      <w:r>
        <w:rPr>
          <w:rFonts w:hint="default" w:ascii="Times New Roman" w:hAnsi="Times New Roman" w:eastAsia="仿宋_GB2312" w:cs="Times New Roman"/>
          <w:bCs/>
          <w:color w:val="auto"/>
          <w:sz w:val="32"/>
          <w:szCs w:val="32"/>
          <w:highlight w:val="none"/>
          <w:lang w:val="en-US" w:eastAsia="zh-CN"/>
        </w:rPr>
        <w:t>21</w:t>
      </w:r>
      <w:r>
        <w:rPr>
          <w:rFonts w:hint="default" w:ascii="Times New Roman" w:hAnsi="Times New Roman" w:eastAsia="仿宋_GB2312" w:cs="Times New Roman"/>
          <w:bCs/>
          <w:color w:val="auto"/>
          <w:sz w:val="32"/>
          <w:szCs w:val="32"/>
          <w:highlight w:val="none"/>
        </w:rPr>
        <w:t>万元）。政府性基金财力合计</w:t>
      </w:r>
      <w:r>
        <w:rPr>
          <w:rFonts w:hint="default" w:ascii="Times New Roman" w:hAnsi="Times New Roman" w:eastAsia="仿宋_GB2312" w:cs="Times New Roman"/>
          <w:bCs/>
          <w:color w:val="auto"/>
          <w:sz w:val="32"/>
          <w:szCs w:val="32"/>
          <w:highlight w:val="none"/>
          <w:lang w:val="en-US" w:eastAsia="zh-CN"/>
        </w:rPr>
        <w:t>65828</w:t>
      </w:r>
      <w:r>
        <w:rPr>
          <w:rFonts w:hint="default" w:ascii="Times New Roman" w:hAnsi="Times New Roman" w:eastAsia="仿宋_GB2312" w:cs="Times New Roman"/>
          <w:bCs/>
          <w:color w:val="auto"/>
          <w:sz w:val="32"/>
          <w:szCs w:val="32"/>
          <w:highlight w:val="none"/>
        </w:rPr>
        <w:t>万元，当年支出6</w:t>
      </w:r>
      <w:r>
        <w:rPr>
          <w:rFonts w:hint="default" w:ascii="Times New Roman" w:hAnsi="Times New Roman" w:eastAsia="仿宋_GB2312" w:cs="Times New Roman"/>
          <w:bCs/>
          <w:color w:val="auto"/>
          <w:sz w:val="32"/>
          <w:szCs w:val="32"/>
          <w:highlight w:val="none"/>
          <w:lang w:val="en-US" w:eastAsia="zh-CN"/>
        </w:rPr>
        <w:t>5616</w:t>
      </w:r>
      <w:r>
        <w:rPr>
          <w:rFonts w:hint="default" w:ascii="Times New Roman" w:hAnsi="Times New Roman" w:eastAsia="仿宋_GB2312" w:cs="Times New Roman"/>
          <w:bCs/>
          <w:color w:val="auto"/>
          <w:sz w:val="32"/>
          <w:szCs w:val="32"/>
          <w:highlight w:val="none"/>
        </w:rPr>
        <w:t>万元，</w:t>
      </w:r>
      <w:r>
        <w:rPr>
          <w:rFonts w:hint="default" w:ascii="Times New Roman" w:hAnsi="Times New Roman" w:eastAsia="仿宋_GB2312" w:cs="Times New Roman"/>
          <w:color w:val="auto"/>
          <w:sz w:val="32"/>
          <w:szCs w:val="32"/>
          <w:highlight w:val="none"/>
        </w:rPr>
        <w:t>收支相抵，结余</w:t>
      </w:r>
      <w:r>
        <w:rPr>
          <w:rFonts w:hint="default" w:ascii="Times New Roman" w:hAnsi="Times New Roman" w:eastAsia="仿宋_GB2312" w:cs="Times New Roman"/>
          <w:color w:val="auto"/>
          <w:sz w:val="32"/>
          <w:szCs w:val="32"/>
          <w:highlight w:val="none"/>
          <w:lang w:val="en-US" w:eastAsia="zh-CN"/>
        </w:rPr>
        <w:t>212</w:t>
      </w:r>
      <w:r>
        <w:rPr>
          <w:rFonts w:hint="default" w:ascii="Times New Roman" w:hAnsi="Times New Roman" w:eastAsia="仿宋_GB2312" w:cs="Times New Roman"/>
          <w:color w:val="auto"/>
          <w:sz w:val="32"/>
          <w:szCs w:val="32"/>
          <w:highlight w:val="none"/>
        </w:rPr>
        <w:t>万元。（附表二）</w:t>
      </w:r>
    </w:p>
    <w:p>
      <w:pPr>
        <w:keepNext w:val="0"/>
        <w:keepLines w:val="0"/>
        <w:pageBreakBefore w:val="0"/>
        <w:kinsoku/>
        <w:wordWrap/>
        <w:overflowPunct/>
        <w:topLinePunct w:val="0"/>
        <w:autoSpaceDE/>
        <w:autoSpaceDN/>
        <w:bidi w:val="0"/>
        <w:adjustRightInd/>
        <w:snapToGrid/>
        <w:spacing w:line="550" w:lineRule="exact"/>
        <w:ind w:firstLine="630" w:firstLineChars="196"/>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sz w:val="32"/>
          <w:szCs w:val="32"/>
          <w:highlight w:val="none"/>
        </w:rPr>
        <w:t>国有资本经营预算收支决算</w:t>
      </w:r>
      <w:r>
        <w:rPr>
          <w:rFonts w:hint="eastAsia" w:ascii="Times New Roman" w:hAnsi="Times New Roman" w:eastAsia="仿宋_GB2312" w:cs="Times New Roman"/>
          <w:b/>
          <w:bCs/>
          <w:sz w:val="32"/>
          <w:szCs w:val="32"/>
          <w:highlight w:val="none"/>
          <w:lang w:val="en-US" w:eastAsia="zh-CN"/>
        </w:rPr>
        <w:t>情况</w:t>
      </w:r>
      <w:r>
        <w:rPr>
          <w:rFonts w:hint="default" w:ascii="Times New Roman" w:hAnsi="Times New Roman" w:eastAsia="仿宋_GB2312" w:cs="Times New Roman"/>
          <w:b/>
          <w:bCs/>
          <w:sz w:val="32"/>
          <w:szCs w:val="32"/>
          <w:highlight w:val="none"/>
        </w:rPr>
        <w:t>：</w:t>
      </w:r>
      <w:r>
        <w:rPr>
          <w:rFonts w:hint="default" w:ascii="Times New Roman" w:hAnsi="Times New Roman" w:eastAsia="仿宋_GB2312" w:cs="Times New Roman"/>
          <w:color w:val="auto"/>
          <w:sz w:val="32"/>
          <w:szCs w:val="32"/>
          <w:highlight w:val="none"/>
        </w:rPr>
        <w:t>国有资本经营预算收入2000万元，主要是国有资本经营预算企业利润收入。上级补助收入22</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万元，上年结余</w:t>
      </w:r>
      <w:r>
        <w:rPr>
          <w:rFonts w:hint="default" w:ascii="Times New Roman" w:hAnsi="Times New Roman" w:eastAsia="仿宋_GB2312" w:cs="Times New Roman"/>
          <w:color w:val="auto"/>
          <w:sz w:val="32"/>
          <w:szCs w:val="32"/>
          <w:highlight w:val="none"/>
          <w:lang w:val="en-US" w:eastAsia="zh-CN"/>
        </w:rPr>
        <w:t>267</w:t>
      </w:r>
      <w:r>
        <w:rPr>
          <w:rFonts w:hint="default" w:ascii="Times New Roman" w:hAnsi="Times New Roman" w:eastAsia="仿宋_GB2312" w:cs="Times New Roman"/>
          <w:color w:val="auto"/>
          <w:sz w:val="32"/>
          <w:szCs w:val="32"/>
          <w:highlight w:val="none"/>
        </w:rPr>
        <w:t>万元，当年可用财力</w:t>
      </w:r>
      <w:r>
        <w:rPr>
          <w:rFonts w:hint="default" w:ascii="Times New Roman" w:hAnsi="Times New Roman" w:eastAsia="仿宋_GB2312" w:cs="Times New Roman"/>
          <w:color w:val="auto"/>
          <w:sz w:val="32"/>
          <w:szCs w:val="32"/>
          <w:highlight w:val="none"/>
          <w:lang w:val="en-US" w:eastAsia="zh-CN"/>
        </w:rPr>
        <w:t>2493</w:t>
      </w:r>
      <w:r>
        <w:rPr>
          <w:rFonts w:hint="default" w:ascii="Times New Roman" w:hAnsi="Times New Roman" w:eastAsia="仿宋_GB2312" w:cs="Times New Roman"/>
          <w:color w:val="auto"/>
          <w:sz w:val="32"/>
          <w:szCs w:val="32"/>
          <w:highlight w:val="none"/>
        </w:rPr>
        <w:t>万元。当年支出</w:t>
      </w:r>
      <w:r>
        <w:rPr>
          <w:rFonts w:hint="default" w:ascii="Times New Roman" w:hAnsi="Times New Roman" w:eastAsia="仿宋_GB2312" w:cs="Times New Roman"/>
          <w:color w:val="auto"/>
          <w:sz w:val="32"/>
          <w:szCs w:val="32"/>
          <w:highlight w:val="none"/>
          <w:lang w:val="en-US" w:eastAsia="zh-CN"/>
        </w:rPr>
        <w:t>184</w:t>
      </w:r>
      <w:r>
        <w:rPr>
          <w:rFonts w:hint="default" w:ascii="Times New Roman" w:hAnsi="Times New Roman" w:eastAsia="仿宋_GB2312" w:cs="Times New Roman"/>
          <w:color w:val="auto"/>
          <w:sz w:val="32"/>
          <w:szCs w:val="32"/>
          <w:highlight w:val="none"/>
        </w:rPr>
        <w:t>万元，调出资金2</w:t>
      </w:r>
      <w:r>
        <w:rPr>
          <w:rFonts w:hint="default" w:ascii="Times New Roman" w:hAnsi="Times New Roman" w:eastAsia="仿宋_GB2312" w:cs="Times New Roman"/>
          <w:color w:val="auto"/>
          <w:sz w:val="32"/>
          <w:szCs w:val="32"/>
          <w:highlight w:val="none"/>
          <w:lang w:val="en-US" w:eastAsia="zh-CN"/>
        </w:rPr>
        <w:t>309</w:t>
      </w:r>
      <w:r>
        <w:rPr>
          <w:rFonts w:hint="default" w:ascii="Times New Roman" w:hAnsi="Times New Roman" w:eastAsia="仿宋_GB2312" w:cs="Times New Roman"/>
          <w:color w:val="auto"/>
          <w:sz w:val="32"/>
          <w:szCs w:val="32"/>
          <w:highlight w:val="none"/>
        </w:rPr>
        <w:t>万元，收支相抵，</w:t>
      </w:r>
      <w:r>
        <w:rPr>
          <w:rFonts w:hint="default" w:ascii="Times New Roman" w:hAnsi="Times New Roman" w:eastAsia="仿宋_GB2312" w:cs="Times New Roman"/>
          <w:color w:val="auto"/>
          <w:sz w:val="32"/>
          <w:szCs w:val="32"/>
          <w:highlight w:val="none"/>
          <w:lang w:eastAsia="zh-CN"/>
        </w:rPr>
        <w:t>无</w:t>
      </w:r>
      <w:r>
        <w:rPr>
          <w:rFonts w:hint="default" w:ascii="Times New Roman" w:hAnsi="Times New Roman" w:eastAsia="仿宋_GB2312" w:cs="Times New Roman"/>
          <w:color w:val="auto"/>
          <w:sz w:val="32"/>
          <w:szCs w:val="32"/>
          <w:highlight w:val="none"/>
        </w:rPr>
        <w:t>结余。（附表三）</w:t>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b/>
          <w:kern w:val="0"/>
          <w:sz w:val="32"/>
          <w:szCs w:val="32"/>
          <w:highlight w:val="none"/>
        </w:rPr>
        <w:t>政府性债务情况：</w:t>
      </w:r>
      <w:r>
        <w:rPr>
          <w:rFonts w:hint="default" w:ascii="Times New Roman" w:hAnsi="Times New Roman" w:eastAsia="仿宋_GB2312" w:cs="Times New Roman"/>
          <w:color w:val="auto"/>
          <w:sz w:val="32"/>
          <w:szCs w:val="32"/>
          <w:highlight w:val="none"/>
        </w:rPr>
        <w:t>2021年底我区债务余额为19.2亿元，2022年新增专项债</w:t>
      </w:r>
      <w:r>
        <w:rPr>
          <w:rFonts w:hint="default" w:ascii="Times New Roman" w:hAnsi="Times New Roman" w:eastAsia="仿宋_GB2312" w:cs="Times New Roman"/>
          <w:color w:val="auto"/>
          <w:sz w:val="32"/>
          <w:szCs w:val="32"/>
          <w:highlight w:val="none"/>
          <w:lang w:val="en-US" w:eastAsia="zh-CN"/>
        </w:rPr>
        <w:t>券</w:t>
      </w:r>
      <w:r>
        <w:rPr>
          <w:rFonts w:hint="default" w:ascii="Times New Roman" w:hAnsi="Times New Roman" w:eastAsia="仿宋_GB2312" w:cs="Times New Roman"/>
          <w:color w:val="auto"/>
          <w:sz w:val="32"/>
          <w:szCs w:val="32"/>
          <w:highlight w:val="none"/>
        </w:rPr>
        <w:t>5.93亿元，主要用于乡村振兴、段园产业园建设、医疗卫生等项目。债务风险，总体可控。</w:t>
      </w:r>
    </w:p>
    <w:p>
      <w:pPr>
        <w:keepNext w:val="0"/>
        <w:keepLines w:val="0"/>
        <w:pageBreakBefore w:val="0"/>
        <w:kinsoku/>
        <w:wordWrap/>
        <w:overflowPunct/>
        <w:topLinePunct w:val="0"/>
        <w:autoSpaceDE/>
        <w:autoSpaceDN/>
        <w:bidi w:val="0"/>
        <w:adjustRightInd/>
        <w:snapToGrid/>
        <w:spacing w:line="550" w:lineRule="exact"/>
        <w:ind w:firstLine="630" w:firstLineChars="196"/>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sz w:val="32"/>
          <w:szCs w:val="32"/>
          <w:highlight w:val="none"/>
        </w:rPr>
        <w:t>区本级财政支出决算</w:t>
      </w:r>
      <w:r>
        <w:rPr>
          <w:rFonts w:hint="eastAsia" w:ascii="Times New Roman" w:hAnsi="Times New Roman" w:eastAsia="仿宋_GB2312" w:cs="Times New Roman"/>
          <w:b/>
          <w:sz w:val="32"/>
          <w:szCs w:val="32"/>
          <w:highlight w:val="none"/>
          <w:lang w:val="en-US" w:eastAsia="zh-CN"/>
        </w:rPr>
        <w:t xml:space="preserve">情况 </w:t>
      </w:r>
      <w:r>
        <w:rPr>
          <w:rFonts w:hint="default" w:ascii="Times New Roman" w:hAnsi="Times New Roman" w:eastAsia="仿宋_GB2312" w:cs="Times New Roman"/>
          <w:b/>
          <w:sz w:val="32"/>
          <w:szCs w:val="32"/>
          <w:highlight w:val="none"/>
        </w:rPr>
        <w:t>：</w:t>
      </w:r>
      <w:r>
        <w:rPr>
          <w:rFonts w:hint="default" w:ascii="Times New Roman" w:hAnsi="Times New Roman" w:eastAsia="仿宋_GB2312" w:cs="Times New Roman"/>
          <w:color w:val="auto"/>
          <w:sz w:val="32"/>
          <w:szCs w:val="32"/>
          <w:highlight w:val="none"/>
        </w:rPr>
        <w:t>经区十</w:t>
      </w: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highlight w:val="none"/>
        </w:rPr>
        <w:t>届人大</w:t>
      </w: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highlight w:val="none"/>
        </w:rPr>
        <w:t>次会议批准，202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年区本级财政支出预算</w:t>
      </w:r>
      <w:r>
        <w:rPr>
          <w:rFonts w:hint="default" w:ascii="Times New Roman" w:hAnsi="Times New Roman" w:eastAsia="仿宋_GB2312" w:cs="Times New Roman"/>
          <w:color w:val="auto"/>
          <w:sz w:val="32"/>
          <w:szCs w:val="32"/>
          <w:highlight w:val="none"/>
          <w:lang w:val="en-US" w:eastAsia="zh-CN"/>
        </w:rPr>
        <w:t>102954</w:t>
      </w:r>
      <w:r>
        <w:rPr>
          <w:rFonts w:hint="default" w:ascii="Times New Roman" w:hAnsi="Times New Roman" w:eastAsia="仿宋_GB2312" w:cs="Times New Roman"/>
          <w:color w:val="auto"/>
          <w:sz w:val="32"/>
          <w:szCs w:val="32"/>
          <w:highlight w:val="none"/>
        </w:rPr>
        <w:t>万元。加上在预算执行中市追加、上年结转及调入资金，最后支出预算为1</w:t>
      </w:r>
      <w:r>
        <w:rPr>
          <w:rFonts w:hint="default" w:ascii="Times New Roman" w:hAnsi="Times New Roman" w:eastAsia="仿宋_GB2312" w:cs="Times New Roman"/>
          <w:color w:val="auto"/>
          <w:sz w:val="32"/>
          <w:szCs w:val="32"/>
          <w:highlight w:val="none"/>
          <w:lang w:val="en-US" w:eastAsia="zh-CN"/>
        </w:rPr>
        <w:t>70711</w:t>
      </w:r>
      <w:r>
        <w:rPr>
          <w:rFonts w:hint="default" w:ascii="Times New Roman" w:hAnsi="Times New Roman" w:eastAsia="仿宋_GB2312" w:cs="Times New Roman"/>
          <w:color w:val="auto"/>
          <w:sz w:val="32"/>
          <w:szCs w:val="32"/>
          <w:highlight w:val="none"/>
        </w:rPr>
        <w:t>万元。202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年区本级财政累计支出1</w:t>
      </w:r>
      <w:r>
        <w:rPr>
          <w:rFonts w:hint="default" w:ascii="Times New Roman" w:hAnsi="Times New Roman" w:eastAsia="仿宋_GB2312" w:cs="Times New Roman"/>
          <w:color w:val="auto"/>
          <w:sz w:val="32"/>
          <w:szCs w:val="32"/>
          <w:highlight w:val="none"/>
          <w:lang w:val="en-US" w:eastAsia="zh-CN"/>
        </w:rPr>
        <w:t>67653</w:t>
      </w:r>
      <w:r>
        <w:rPr>
          <w:rFonts w:hint="default" w:ascii="Times New Roman" w:hAnsi="Times New Roman" w:eastAsia="仿宋_GB2312" w:cs="Times New Roman"/>
          <w:color w:val="auto"/>
          <w:sz w:val="32"/>
          <w:szCs w:val="32"/>
          <w:highlight w:val="none"/>
        </w:rPr>
        <w:t>万元，同比增支9</w:t>
      </w:r>
      <w:r>
        <w:rPr>
          <w:rFonts w:hint="default" w:ascii="Times New Roman" w:hAnsi="Times New Roman" w:eastAsia="仿宋_GB2312" w:cs="Times New Roman"/>
          <w:color w:val="auto"/>
          <w:sz w:val="32"/>
          <w:szCs w:val="32"/>
          <w:highlight w:val="none"/>
          <w:lang w:val="en-US" w:eastAsia="zh-CN"/>
        </w:rPr>
        <w:t>726</w:t>
      </w:r>
      <w:r>
        <w:rPr>
          <w:rFonts w:hint="default" w:ascii="Times New Roman" w:hAnsi="Times New Roman" w:eastAsia="仿宋_GB2312" w:cs="Times New Roman"/>
          <w:color w:val="auto"/>
          <w:sz w:val="32"/>
          <w:szCs w:val="32"/>
          <w:highlight w:val="none"/>
        </w:rPr>
        <w:t>万元，增长6.</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%，收支相抵，年末结余30</w:t>
      </w:r>
      <w:r>
        <w:rPr>
          <w:rFonts w:hint="default" w:ascii="Times New Roman" w:hAnsi="Times New Roman" w:eastAsia="仿宋_GB2312" w:cs="Times New Roman"/>
          <w:color w:val="auto"/>
          <w:sz w:val="32"/>
          <w:szCs w:val="32"/>
          <w:highlight w:val="none"/>
          <w:lang w:val="en-US" w:eastAsia="zh-CN"/>
        </w:rPr>
        <w:t>58</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val="en-US" w:eastAsia="zh-CN"/>
        </w:rPr>
        <w:t>具体分类支出情况见</w:t>
      </w:r>
      <w:r>
        <w:rPr>
          <w:rFonts w:hint="default" w:ascii="Times New Roman" w:hAnsi="Times New Roman" w:eastAsia="仿宋_GB2312" w:cs="Times New Roman"/>
          <w:color w:val="auto"/>
          <w:sz w:val="32"/>
          <w:szCs w:val="32"/>
          <w:highlight w:val="none"/>
        </w:rPr>
        <w:t>附表四）</w:t>
      </w:r>
    </w:p>
    <w:p>
      <w:pPr>
        <w:pStyle w:val="14"/>
        <w:keepNext w:val="0"/>
        <w:keepLines w:val="0"/>
        <w:pageBreakBefore w:val="0"/>
        <w:kinsoku/>
        <w:wordWrap/>
        <w:overflowPunct/>
        <w:topLinePunct w:val="0"/>
        <w:autoSpaceDE/>
        <w:autoSpaceDN/>
        <w:bidi w:val="0"/>
        <w:adjustRightInd/>
        <w:snapToGrid/>
        <w:spacing w:before="0" w:beforeAutospacing="0" w:after="0" w:afterAutospacing="0" w:line="55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（二）</w:t>
      </w:r>
      <w:r>
        <w:rPr>
          <w:rFonts w:hint="default" w:ascii="Times New Roman" w:hAnsi="Times New Roman" w:eastAsia="楷体_GB2312" w:cs="Times New Roman"/>
          <w:b w:val="0"/>
          <w:bCs/>
          <w:sz w:val="32"/>
          <w:szCs w:val="32"/>
          <w:highlight w:val="none"/>
        </w:rPr>
        <w:t>202</w:t>
      </w:r>
      <w:r>
        <w:rPr>
          <w:rFonts w:hint="default" w:ascii="Times New Roman" w:hAnsi="Times New Roman" w:eastAsia="楷体_GB2312" w:cs="Times New Roman"/>
          <w:b w:val="0"/>
          <w:bCs/>
          <w:sz w:val="32"/>
          <w:szCs w:val="32"/>
          <w:highlight w:val="none"/>
          <w:lang w:val="en-US" w:eastAsia="zh-CN"/>
        </w:rPr>
        <w:t>3</w:t>
      </w:r>
      <w:r>
        <w:rPr>
          <w:rFonts w:hint="default" w:ascii="Times New Roman" w:hAnsi="Times New Roman" w:eastAsia="楷体_GB2312" w:cs="Times New Roman"/>
          <w:b/>
          <w:sz w:val="32"/>
          <w:szCs w:val="32"/>
          <w:highlight w:val="none"/>
        </w:rPr>
        <w:t>年上半年财政预算执行情况</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经区十一届人大</w:t>
      </w:r>
      <w:r>
        <w:rPr>
          <w:rFonts w:hint="default" w:ascii="Times New Roman" w:hAnsi="Times New Roman" w:eastAsia="仿宋_GB2312" w:cs="Times New Roman"/>
          <w:color w:val="auto"/>
          <w:sz w:val="32"/>
          <w:szCs w:val="32"/>
          <w:highlight w:val="none"/>
          <w:lang w:eastAsia="zh-CN"/>
        </w:rPr>
        <w:t>三</w:t>
      </w:r>
      <w:r>
        <w:rPr>
          <w:rFonts w:hint="default" w:ascii="Times New Roman" w:hAnsi="Times New Roman" w:eastAsia="仿宋_GB2312" w:cs="Times New Roman"/>
          <w:color w:val="auto"/>
          <w:sz w:val="32"/>
          <w:szCs w:val="32"/>
          <w:highlight w:val="none"/>
        </w:rPr>
        <w:t>次会议批准，202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年一般公共预算收入预期6.</w:t>
      </w:r>
      <w:r>
        <w:rPr>
          <w:rFonts w:hint="default" w:ascii="Times New Roman" w:hAnsi="Times New Roman" w:eastAsia="仿宋_GB2312" w:cs="Times New Roman"/>
          <w:color w:val="auto"/>
          <w:sz w:val="32"/>
          <w:szCs w:val="32"/>
          <w:highlight w:val="none"/>
          <w:lang w:val="en-US" w:eastAsia="zh-CN"/>
        </w:rPr>
        <w:t>75</w:t>
      </w:r>
      <w:r>
        <w:rPr>
          <w:rFonts w:hint="default" w:ascii="Times New Roman" w:hAnsi="Times New Roman" w:eastAsia="仿宋_GB2312" w:cs="Times New Roman"/>
          <w:color w:val="auto"/>
          <w:sz w:val="32"/>
          <w:szCs w:val="32"/>
          <w:highlight w:val="none"/>
        </w:rPr>
        <w:t>亿元，增长</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全区财政支出预算1</w:t>
      </w:r>
      <w:r>
        <w:rPr>
          <w:rFonts w:hint="default" w:ascii="Times New Roman" w:hAnsi="Times New Roman" w:eastAsia="仿宋_GB2312" w:cs="Times New Roman"/>
          <w:color w:val="auto"/>
          <w:sz w:val="32"/>
          <w:szCs w:val="32"/>
          <w:highlight w:val="none"/>
          <w:lang w:val="en-US" w:eastAsia="zh-CN"/>
        </w:rPr>
        <w:t>3.28</w:t>
      </w:r>
      <w:r>
        <w:rPr>
          <w:rFonts w:hint="default" w:ascii="Times New Roman" w:hAnsi="Times New Roman" w:eastAsia="仿宋_GB2312" w:cs="Times New Roman"/>
          <w:color w:val="auto"/>
          <w:sz w:val="32"/>
          <w:szCs w:val="32"/>
          <w:highlight w:val="none"/>
        </w:rPr>
        <w:t>亿元，增长1</w:t>
      </w:r>
      <w:r>
        <w:rPr>
          <w:rFonts w:hint="default" w:ascii="Times New Roman" w:hAnsi="Times New Roman" w:eastAsia="仿宋_GB2312" w:cs="Times New Roman"/>
          <w:color w:val="auto"/>
          <w:sz w:val="32"/>
          <w:szCs w:val="32"/>
          <w:highlight w:val="none"/>
          <w:lang w:val="en-US" w:eastAsia="zh-CN"/>
        </w:rPr>
        <w:t>5.5</w:t>
      </w:r>
      <w:r>
        <w:rPr>
          <w:rFonts w:hint="default" w:ascii="Times New Roman" w:hAnsi="Times New Roman" w:eastAsia="仿宋_GB2312" w:cs="Times New Roman"/>
          <w:color w:val="auto"/>
          <w:sz w:val="32"/>
          <w:szCs w:val="32"/>
          <w:highlight w:val="none"/>
        </w:rPr>
        <w:t>%，其中：区本级财政支出预算1</w:t>
      </w:r>
      <w:r>
        <w:rPr>
          <w:rFonts w:hint="default" w:ascii="Times New Roman" w:hAnsi="Times New Roman" w:eastAsia="仿宋_GB2312" w:cs="Times New Roman"/>
          <w:color w:val="auto"/>
          <w:sz w:val="32"/>
          <w:szCs w:val="32"/>
          <w:highlight w:val="none"/>
          <w:lang w:val="en-US" w:eastAsia="zh-CN"/>
        </w:rPr>
        <w:t>2.075</w:t>
      </w:r>
      <w:r>
        <w:rPr>
          <w:rFonts w:hint="default" w:ascii="Times New Roman" w:hAnsi="Times New Roman" w:eastAsia="仿宋_GB2312" w:cs="Times New Roman"/>
          <w:color w:val="auto"/>
          <w:sz w:val="32"/>
          <w:szCs w:val="32"/>
          <w:highlight w:val="none"/>
        </w:rPr>
        <w:t>亿元；区本级国有资本经营预算收入预期1</w:t>
      </w:r>
      <w:r>
        <w:rPr>
          <w:rFonts w:hint="default" w:ascii="Times New Roman" w:hAnsi="Times New Roman" w:eastAsia="仿宋_GB2312" w:cs="Times New Roman"/>
          <w:color w:val="auto"/>
          <w:sz w:val="32"/>
          <w:szCs w:val="32"/>
          <w:highlight w:val="none"/>
          <w:lang w:val="en-US" w:eastAsia="zh-CN"/>
        </w:rPr>
        <w:t>422</w:t>
      </w:r>
      <w:r>
        <w:rPr>
          <w:rFonts w:hint="default" w:ascii="Times New Roman" w:hAnsi="Times New Roman" w:eastAsia="仿宋_GB2312" w:cs="Times New Roman"/>
          <w:color w:val="auto"/>
          <w:sz w:val="32"/>
          <w:szCs w:val="32"/>
          <w:highlight w:val="none"/>
        </w:rPr>
        <w:t>万元，支出</w:t>
      </w:r>
      <w:r>
        <w:rPr>
          <w:rFonts w:hint="default" w:ascii="Times New Roman" w:hAnsi="Times New Roman" w:eastAsia="仿宋_GB2312" w:cs="Times New Roman"/>
          <w:color w:val="auto"/>
          <w:sz w:val="32"/>
          <w:szCs w:val="32"/>
          <w:highlight w:val="none"/>
          <w:lang w:val="en-US" w:eastAsia="zh-CN"/>
        </w:rPr>
        <w:t>1422</w:t>
      </w:r>
      <w:r>
        <w:rPr>
          <w:rFonts w:hint="default" w:ascii="Times New Roman" w:hAnsi="Times New Roman" w:eastAsia="仿宋_GB2312" w:cs="Times New Roman"/>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sz w:val="32"/>
          <w:highlight w:val="none"/>
        </w:rPr>
        <w:t>一般公共预算执行情况：</w:t>
      </w:r>
      <w:r>
        <w:rPr>
          <w:rFonts w:hint="default" w:ascii="Times New Roman" w:hAnsi="Times New Roman" w:eastAsia="仿宋_GB2312" w:cs="Times New Roman"/>
          <w:color w:val="auto"/>
          <w:sz w:val="32"/>
          <w:szCs w:val="32"/>
          <w:highlight w:val="none"/>
        </w:rPr>
        <w:t>上半年</w:t>
      </w:r>
      <w:r>
        <w:rPr>
          <w:rFonts w:hint="default" w:ascii="Times New Roman" w:hAnsi="Times New Roman" w:eastAsia="仿宋_GB2312" w:cs="Times New Roman"/>
          <w:color w:val="auto"/>
          <w:sz w:val="32"/>
          <w:szCs w:val="32"/>
          <w:highlight w:val="none"/>
          <w:lang w:eastAsia="zh-CN"/>
        </w:rPr>
        <w:t>一般公共预算收入</w:t>
      </w:r>
      <w:r>
        <w:rPr>
          <w:rFonts w:hint="default" w:ascii="Times New Roman" w:hAnsi="Times New Roman" w:eastAsia="仿宋_GB2312" w:cs="Times New Roman"/>
          <w:color w:val="auto"/>
          <w:sz w:val="32"/>
          <w:szCs w:val="32"/>
          <w:highlight w:val="none"/>
        </w:rPr>
        <w:t>完成</w:t>
      </w:r>
      <w:r>
        <w:rPr>
          <w:rFonts w:hint="default" w:ascii="Times New Roman" w:hAnsi="Times New Roman" w:eastAsia="仿宋_GB2312" w:cs="Times New Roman"/>
          <w:color w:val="auto"/>
          <w:sz w:val="32"/>
          <w:szCs w:val="32"/>
          <w:highlight w:val="none"/>
          <w:lang w:val="en-US" w:eastAsia="zh-CN"/>
        </w:rPr>
        <w:t>38247</w:t>
      </w:r>
      <w:r>
        <w:rPr>
          <w:rFonts w:hint="default" w:ascii="Times New Roman" w:hAnsi="Times New Roman" w:eastAsia="仿宋_GB2312" w:cs="Times New Roman"/>
          <w:color w:val="auto"/>
          <w:sz w:val="32"/>
          <w:szCs w:val="32"/>
          <w:highlight w:val="none"/>
        </w:rPr>
        <w:t>万元，完成年预算的5</w:t>
      </w:r>
      <w:r>
        <w:rPr>
          <w:rFonts w:hint="default" w:ascii="Times New Roman" w:hAnsi="Times New Roman" w:eastAsia="仿宋_GB2312" w:cs="Times New Roman"/>
          <w:color w:val="auto"/>
          <w:sz w:val="32"/>
          <w:szCs w:val="32"/>
          <w:highlight w:val="none"/>
          <w:lang w:val="en-US" w:eastAsia="zh-CN"/>
        </w:rPr>
        <w:t>6.7</w:t>
      </w:r>
      <w:r>
        <w:rPr>
          <w:rFonts w:hint="default" w:ascii="Times New Roman" w:hAnsi="Times New Roman" w:eastAsia="仿宋_GB2312" w:cs="Times New Roman"/>
          <w:color w:val="auto"/>
          <w:sz w:val="32"/>
          <w:szCs w:val="32"/>
          <w:highlight w:val="none"/>
        </w:rPr>
        <w:t>%，实现时间过半、任务完成过半。全区财政支出累计</w:t>
      </w:r>
      <w:r>
        <w:rPr>
          <w:rFonts w:hint="default" w:ascii="Times New Roman" w:hAnsi="Times New Roman" w:eastAsia="仿宋_GB2312" w:cs="Times New Roman"/>
          <w:color w:val="auto"/>
          <w:sz w:val="32"/>
          <w:szCs w:val="32"/>
          <w:highlight w:val="none"/>
          <w:lang w:val="en-US" w:eastAsia="zh-CN"/>
        </w:rPr>
        <w:t>95111</w:t>
      </w:r>
      <w:r>
        <w:rPr>
          <w:rFonts w:hint="default" w:ascii="Times New Roman" w:hAnsi="Times New Roman" w:eastAsia="仿宋_GB2312" w:cs="Times New Roman"/>
          <w:color w:val="auto"/>
          <w:sz w:val="32"/>
          <w:szCs w:val="32"/>
          <w:highlight w:val="none"/>
        </w:rPr>
        <w:t>万元，完成年预算（1</w:t>
      </w:r>
      <w:r>
        <w:rPr>
          <w:rFonts w:hint="default" w:ascii="Times New Roman" w:hAnsi="Times New Roman" w:eastAsia="仿宋_GB2312" w:cs="Times New Roman"/>
          <w:color w:val="auto"/>
          <w:sz w:val="32"/>
          <w:szCs w:val="32"/>
          <w:highlight w:val="none"/>
          <w:lang w:val="en-US" w:eastAsia="zh-CN"/>
        </w:rPr>
        <w:t>3.28</w:t>
      </w:r>
      <w:r>
        <w:rPr>
          <w:rFonts w:hint="default" w:ascii="Times New Roman" w:hAnsi="Times New Roman" w:eastAsia="仿宋_GB2312" w:cs="Times New Roman"/>
          <w:color w:val="auto"/>
          <w:sz w:val="32"/>
          <w:szCs w:val="32"/>
          <w:highlight w:val="none"/>
        </w:rPr>
        <w:t>亿元）的</w:t>
      </w:r>
      <w:r>
        <w:rPr>
          <w:rFonts w:hint="default" w:ascii="Times New Roman" w:hAnsi="Times New Roman" w:eastAsia="仿宋_GB2312" w:cs="Times New Roman"/>
          <w:color w:val="auto"/>
          <w:sz w:val="32"/>
          <w:szCs w:val="32"/>
          <w:highlight w:val="none"/>
          <w:lang w:val="en-US" w:eastAsia="zh-CN"/>
        </w:rPr>
        <w:t>71.6</w:t>
      </w:r>
      <w:r>
        <w:rPr>
          <w:rFonts w:hint="default" w:ascii="Times New Roman" w:hAnsi="Times New Roman" w:eastAsia="仿宋_GB2312" w:cs="Times New Roman"/>
          <w:color w:val="auto"/>
          <w:sz w:val="32"/>
          <w:szCs w:val="32"/>
          <w:highlight w:val="none"/>
        </w:rPr>
        <w:t>%，同比增支</w:t>
      </w:r>
      <w:r>
        <w:rPr>
          <w:rFonts w:hint="default" w:ascii="Times New Roman" w:hAnsi="Times New Roman" w:eastAsia="仿宋_GB2312" w:cs="Times New Roman"/>
          <w:color w:val="auto"/>
          <w:sz w:val="32"/>
          <w:szCs w:val="32"/>
          <w:highlight w:val="none"/>
          <w:lang w:val="en-US" w:eastAsia="zh-CN"/>
        </w:rPr>
        <w:t>14866</w:t>
      </w:r>
      <w:r>
        <w:rPr>
          <w:rFonts w:hint="default" w:ascii="Times New Roman" w:hAnsi="Times New Roman" w:eastAsia="仿宋_GB2312" w:cs="Times New Roman"/>
          <w:color w:val="auto"/>
          <w:sz w:val="32"/>
          <w:szCs w:val="32"/>
          <w:highlight w:val="none"/>
        </w:rPr>
        <w:t>万元，增幅</w:t>
      </w:r>
      <w:r>
        <w:rPr>
          <w:rFonts w:hint="default" w:ascii="Times New Roman" w:hAnsi="Times New Roman" w:eastAsia="仿宋_GB2312" w:cs="Times New Roman"/>
          <w:color w:val="auto"/>
          <w:sz w:val="32"/>
          <w:szCs w:val="32"/>
          <w:highlight w:val="none"/>
          <w:lang w:val="en-US" w:eastAsia="zh-CN"/>
        </w:rPr>
        <w:t>18.5</w:t>
      </w:r>
      <w:r>
        <w:rPr>
          <w:rFonts w:hint="default" w:ascii="Times New Roman" w:hAnsi="Times New Roman" w:eastAsia="仿宋_GB2312" w:cs="Times New Roman"/>
          <w:color w:val="auto"/>
          <w:sz w:val="32"/>
          <w:szCs w:val="32"/>
          <w:highlight w:val="none"/>
        </w:rPr>
        <w:t>%。其中：民生领域支出</w:t>
      </w:r>
      <w:r>
        <w:rPr>
          <w:rFonts w:hint="default" w:ascii="Times New Roman" w:hAnsi="Times New Roman" w:eastAsia="仿宋_GB2312" w:cs="Times New Roman"/>
          <w:color w:val="auto"/>
          <w:sz w:val="32"/>
          <w:szCs w:val="32"/>
          <w:highlight w:val="none"/>
          <w:lang w:val="en-US" w:eastAsia="zh-CN"/>
        </w:rPr>
        <w:t>87184</w:t>
      </w:r>
      <w:r>
        <w:rPr>
          <w:rFonts w:hint="default" w:ascii="Times New Roman" w:hAnsi="Times New Roman" w:eastAsia="仿宋_GB2312" w:cs="Times New Roman"/>
          <w:color w:val="auto"/>
          <w:sz w:val="32"/>
          <w:szCs w:val="32"/>
          <w:highlight w:val="none"/>
        </w:rPr>
        <w:t>万元，同比增长</w:t>
      </w:r>
      <w:r>
        <w:rPr>
          <w:rFonts w:hint="default" w:ascii="Times New Roman" w:hAnsi="Times New Roman" w:eastAsia="仿宋_GB2312" w:cs="Times New Roman"/>
          <w:color w:val="auto"/>
          <w:sz w:val="32"/>
          <w:szCs w:val="32"/>
          <w:highlight w:val="none"/>
          <w:lang w:val="en-US" w:eastAsia="zh-CN"/>
        </w:rPr>
        <w:t>20.7</w:t>
      </w:r>
      <w:r>
        <w:rPr>
          <w:rFonts w:hint="default" w:ascii="Times New Roman" w:hAnsi="Times New Roman" w:eastAsia="仿宋_GB2312" w:cs="Times New Roman"/>
          <w:color w:val="auto"/>
          <w:sz w:val="32"/>
          <w:szCs w:val="32"/>
          <w:highlight w:val="none"/>
        </w:rPr>
        <w:t>%，占全区公共财政预算支出的9</w:t>
      </w:r>
      <w:r>
        <w:rPr>
          <w:rFonts w:hint="default" w:ascii="Times New Roman" w:hAnsi="Times New Roman" w:eastAsia="仿宋_GB2312" w:cs="Times New Roman"/>
          <w:color w:val="auto"/>
          <w:sz w:val="32"/>
          <w:szCs w:val="32"/>
          <w:highlight w:val="none"/>
          <w:lang w:val="en-US" w:eastAsia="zh-CN"/>
        </w:rPr>
        <w:t>1.7</w:t>
      </w:r>
      <w:r>
        <w:rPr>
          <w:rFonts w:hint="default" w:ascii="Times New Roman" w:hAnsi="Times New Roman" w:eastAsia="仿宋_GB2312" w:cs="Times New Roman"/>
          <w:color w:val="auto"/>
          <w:sz w:val="32"/>
          <w:szCs w:val="32"/>
          <w:highlight w:val="none"/>
        </w:rPr>
        <w:t>%。区本级财政支出</w:t>
      </w:r>
      <w:r>
        <w:rPr>
          <w:rFonts w:hint="default" w:ascii="Times New Roman" w:hAnsi="Times New Roman" w:eastAsia="仿宋_GB2312" w:cs="Times New Roman"/>
          <w:color w:val="auto"/>
          <w:sz w:val="32"/>
          <w:szCs w:val="32"/>
          <w:highlight w:val="none"/>
          <w:lang w:val="en-US" w:eastAsia="zh-CN"/>
        </w:rPr>
        <w:t>87689</w:t>
      </w:r>
      <w:r>
        <w:rPr>
          <w:rFonts w:hint="default" w:ascii="Times New Roman" w:hAnsi="Times New Roman" w:eastAsia="仿宋_GB2312" w:cs="Times New Roman"/>
          <w:color w:val="auto"/>
          <w:sz w:val="32"/>
          <w:szCs w:val="32"/>
          <w:highlight w:val="none"/>
        </w:rPr>
        <w:t>万元，完成年预算（1</w:t>
      </w:r>
      <w:r>
        <w:rPr>
          <w:rFonts w:hint="default" w:ascii="Times New Roman" w:hAnsi="Times New Roman" w:eastAsia="仿宋_GB2312" w:cs="Times New Roman"/>
          <w:color w:val="auto"/>
          <w:sz w:val="32"/>
          <w:szCs w:val="32"/>
          <w:highlight w:val="none"/>
          <w:lang w:val="en-US" w:eastAsia="zh-CN"/>
        </w:rPr>
        <w:t>2.075</w:t>
      </w:r>
      <w:r>
        <w:rPr>
          <w:rFonts w:hint="default" w:ascii="Times New Roman" w:hAnsi="Times New Roman" w:eastAsia="仿宋_GB2312" w:cs="Times New Roman"/>
          <w:color w:val="auto"/>
          <w:sz w:val="32"/>
          <w:szCs w:val="32"/>
          <w:highlight w:val="none"/>
        </w:rPr>
        <w:t>亿元）的</w:t>
      </w:r>
      <w:r>
        <w:rPr>
          <w:rFonts w:hint="default" w:ascii="Times New Roman" w:hAnsi="Times New Roman" w:eastAsia="仿宋_GB2312" w:cs="Times New Roman"/>
          <w:color w:val="auto"/>
          <w:sz w:val="32"/>
          <w:szCs w:val="32"/>
          <w:highlight w:val="none"/>
          <w:lang w:val="en-US" w:eastAsia="zh-CN"/>
        </w:rPr>
        <w:t>72.6</w:t>
      </w:r>
      <w:r>
        <w:rPr>
          <w:rFonts w:hint="default" w:ascii="Times New Roman" w:hAnsi="Times New Roman" w:eastAsia="仿宋_GB2312" w:cs="Times New Roman"/>
          <w:color w:val="auto"/>
          <w:sz w:val="32"/>
          <w:szCs w:val="32"/>
          <w:highlight w:val="none"/>
        </w:rPr>
        <w:t>%，同比增支1</w:t>
      </w:r>
      <w:r>
        <w:rPr>
          <w:rFonts w:hint="default" w:ascii="Times New Roman" w:hAnsi="Times New Roman" w:eastAsia="仿宋_GB2312" w:cs="Times New Roman"/>
          <w:color w:val="auto"/>
          <w:sz w:val="32"/>
          <w:szCs w:val="32"/>
          <w:highlight w:val="none"/>
          <w:lang w:val="en-US" w:eastAsia="zh-CN"/>
        </w:rPr>
        <w:t>5791</w:t>
      </w:r>
      <w:r>
        <w:rPr>
          <w:rFonts w:hint="default" w:ascii="Times New Roman" w:hAnsi="Times New Roman" w:eastAsia="仿宋_GB2312" w:cs="Times New Roman"/>
          <w:color w:val="auto"/>
          <w:sz w:val="32"/>
          <w:szCs w:val="32"/>
          <w:highlight w:val="none"/>
        </w:rPr>
        <w:t>万元，增幅</w:t>
      </w:r>
      <w:r>
        <w:rPr>
          <w:rFonts w:hint="default" w:ascii="Times New Roman" w:hAnsi="Times New Roman"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rPr>
        <w:t>%。补助镇办支出</w:t>
      </w:r>
      <w:r>
        <w:rPr>
          <w:rFonts w:hint="default" w:ascii="Times New Roman" w:hAnsi="Times New Roman" w:eastAsia="仿宋_GB2312" w:cs="Times New Roman"/>
          <w:color w:val="auto"/>
          <w:sz w:val="32"/>
          <w:szCs w:val="32"/>
          <w:highlight w:val="none"/>
          <w:lang w:val="en-US" w:eastAsia="zh-CN"/>
        </w:rPr>
        <w:t>7422</w:t>
      </w:r>
      <w:r>
        <w:rPr>
          <w:rFonts w:hint="default" w:ascii="Times New Roman" w:hAnsi="Times New Roman" w:eastAsia="仿宋_GB2312" w:cs="Times New Roman"/>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kern w:val="0"/>
          <w:sz w:val="32"/>
          <w:szCs w:val="32"/>
          <w:highlight w:val="none"/>
        </w:rPr>
        <w:t>政府性基金预算执行情况：</w:t>
      </w:r>
      <w:r>
        <w:rPr>
          <w:rFonts w:hint="default" w:ascii="Times New Roman" w:hAnsi="Times New Roman" w:eastAsia="仿宋_GB2312" w:cs="Times New Roman"/>
          <w:color w:val="auto"/>
          <w:sz w:val="32"/>
          <w:szCs w:val="32"/>
          <w:highlight w:val="none"/>
        </w:rPr>
        <w:t>上半年</w:t>
      </w:r>
      <w:r>
        <w:rPr>
          <w:rFonts w:hint="default" w:ascii="Times New Roman" w:hAnsi="Times New Roman" w:eastAsia="仿宋_GB2312" w:cs="Times New Roman"/>
          <w:color w:val="auto"/>
          <w:sz w:val="32"/>
          <w:szCs w:val="32"/>
          <w:highlight w:val="none"/>
          <w:lang w:eastAsia="zh-CN"/>
        </w:rPr>
        <w:t>新增</w:t>
      </w:r>
      <w:r>
        <w:rPr>
          <w:rFonts w:hint="default" w:ascii="Times New Roman" w:hAnsi="Times New Roman" w:eastAsia="仿宋_GB2312" w:cs="Times New Roman"/>
          <w:color w:val="auto"/>
          <w:sz w:val="32"/>
          <w:szCs w:val="32"/>
          <w:highlight w:val="none"/>
        </w:rPr>
        <w:t>专项债务（转贷）收入</w:t>
      </w:r>
      <w:r>
        <w:rPr>
          <w:rFonts w:hint="default" w:ascii="Times New Roman" w:hAnsi="Times New Roman" w:eastAsia="仿宋_GB2312" w:cs="Times New Roman"/>
          <w:color w:val="auto"/>
          <w:sz w:val="32"/>
          <w:szCs w:val="32"/>
          <w:highlight w:val="none"/>
          <w:lang w:val="en-US" w:eastAsia="zh-CN"/>
        </w:rPr>
        <w:t>8600</w:t>
      </w:r>
      <w:r>
        <w:rPr>
          <w:rFonts w:hint="default" w:ascii="Times New Roman" w:hAnsi="Times New Roman" w:eastAsia="仿宋_GB2312" w:cs="Times New Roman"/>
          <w:color w:val="auto"/>
          <w:sz w:val="32"/>
          <w:szCs w:val="32"/>
          <w:highlight w:val="none"/>
        </w:rPr>
        <w:t>0万元，</w:t>
      </w:r>
      <w:r>
        <w:rPr>
          <w:rFonts w:hint="default" w:ascii="Times New Roman" w:hAnsi="Times New Roman" w:eastAsia="仿宋_GB2312" w:cs="Times New Roman"/>
          <w:color w:val="auto"/>
          <w:sz w:val="32"/>
          <w:szCs w:val="32"/>
          <w:highlight w:val="none"/>
          <w:lang w:eastAsia="zh-CN"/>
        </w:rPr>
        <w:t>再融资专项债券</w:t>
      </w:r>
      <w:r>
        <w:rPr>
          <w:rFonts w:hint="default" w:ascii="Times New Roman" w:hAnsi="Times New Roman" w:eastAsia="仿宋_GB2312" w:cs="Times New Roman"/>
          <w:color w:val="auto"/>
          <w:sz w:val="32"/>
          <w:szCs w:val="32"/>
          <w:highlight w:val="none"/>
          <w:lang w:val="en-US" w:eastAsia="zh-CN"/>
        </w:rPr>
        <w:t>2500万元，</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en-US" w:eastAsia="zh-CN"/>
        </w:rPr>
        <w:t>2484</w:t>
      </w:r>
      <w:r>
        <w:rPr>
          <w:rFonts w:hint="default" w:ascii="Times New Roman" w:hAnsi="Times New Roman" w:eastAsia="仿宋_GB2312" w:cs="Times New Roman"/>
          <w:color w:val="auto"/>
          <w:sz w:val="32"/>
          <w:szCs w:val="32"/>
          <w:highlight w:val="none"/>
        </w:rPr>
        <w:t>万元，上年结余</w:t>
      </w:r>
      <w:r>
        <w:rPr>
          <w:rFonts w:hint="default" w:ascii="Times New Roman" w:hAnsi="Times New Roman" w:eastAsia="仿宋_GB2312" w:cs="Times New Roman"/>
          <w:color w:val="auto"/>
          <w:sz w:val="32"/>
          <w:szCs w:val="32"/>
          <w:highlight w:val="none"/>
          <w:lang w:val="en-US" w:eastAsia="zh-CN"/>
        </w:rPr>
        <w:t>212</w:t>
      </w:r>
      <w:r>
        <w:rPr>
          <w:rFonts w:hint="default" w:ascii="Times New Roman" w:hAnsi="Times New Roman" w:eastAsia="仿宋_GB2312" w:cs="Times New Roman"/>
          <w:color w:val="auto"/>
          <w:sz w:val="32"/>
          <w:szCs w:val="32"/>
          <w:highlight w:val="none"/>
        </w:rPr>
        <w:t>万元，合计收入</w:t>
      </w:r>
      <w:r>
        <w:rPr>
          <w:rFonts w:hint="default" w:ascii="Times New Roman" w:hAnsi="Times New Roman" w:eastAsia="仿宋_GB2312" w:cs="Times New Roman"/>
          <w:color w:val="auto"/>
          <w:sz w:val="32"/>
          <w:szCs w:val="32"/>
          <w:highlight w:val="none"/>
          <w:lang w:val="en-US" w:eastAsia="zh-CN"/>
        </w:rPr>
        <w:t>91196</w:t>
      </w:r>
      <w:r>
        <w:rPr>
          <w:rFonts w:hint="default" w:ascii="Times New Roman" w:hAnsi="Times New Roman" w:eastAsia="仿宋_GB2312" w:cs="Times New Roman"/>
          <w:color w:val="auto"/>
          <w:sz w:val="32"/>
          <w:szCs w:val="32"/>
          <w:highlight w:val="none"/>
        </w:rPr>
        <w:t>万元。上半年政府性基金预算支出</w:t>
      </w:r>
      <w:r>
        <w:rPr>
          <w:rFonts w:hint="default" w:ascii="Times New Roman" w:hAnsi="Times New Roman" w:eastAsia="仿宋_GB2312" w:cs="Times New Roman"/>
          <w:color w:val="auto"/>
          <w:sz w:val="32"/>
          <w:szCs w:val="32"/>
          <w:highlight w:val="none"/>
          <w:lang w:val="en-US" w:eastAsia="zh-CN"/>
        </w:rPr>
        <w:t>89474</w:t>
      </w:r>
      <w:r>
        <w:rPr>
          <w:rFonts w:hint="default" w:ascii="Times New Roman" w:hAnsi="Times New Roman" w:eastAsia="仿宋_GB2312" w:cs="Times New Roman"/>
          <w:color w:val="auto"/>
          <w:sz w:val="32"/>
          <w:szCs w:val="32"/>
          <w:highlight w:val="none"/>
        </w:rPr>
        <w:t>万元，其中：专项债支出</w:t>
      </w:r>
      <w:r>
        <w:rPr>
          <w:rFonts w:hint="default" w:ascii="Times New Roman" w:hAnsi="Times New Roman" w:eastAsia="仿宋_GB2312" w:cs="Times New Roman"/>
          <w:color w:val="auto"/>
          <w:sz w:val="32"/>
          <w:szCs w:val="32"/>
          <w:highlight w:val="none"/>
          <w:lang w:val="en-US" w:eastAsia="zh-CN"/>
        </w:rPr>
        <w:t>860</w:t>
      </w:r>
      <w:r>
        <w:rPr>
          <w:rFonts w:hint="default" w:ascii="Times New Roman" w:hAnsi="Times New Roman" w:eastAsia="仿宋_GB2312" w:cs="Times New Roman"/>
          <w:color w:val="auto"/>
          <w:sz w:val="32"/>
          <w:szCs w:val="32"/>
          <w:highlight w:val="none"/>
        </w:rPr>
        <w:t>00万元；</w:t>
      </w:r>
      <w:r>
        <w:rPr>
          <w:rFonts w:hint="default" w:ascii="Times New Roman" w:hAnsi="Times New Roman" w:eastAsia="仿宋_GB2312" w:cs="Times New Roman"/>
          <w:color w:val="auto"/>
          <w:sz w:val="32"/>
          <w:szCs w:val="32"/>
          <w:highlight w:val="none"/>
          <w:lang w:eastAsia="zh-CN"/>
        </w:rPr>
        <w:t>土地开发</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1049</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农村基础设施建设支出</w:t>
      </w:r>
      <w:r>
        <w:rPr>
          <w:rFonts w:hint="default" w:ascii="Times New Roman" w:hAnsi="Times New Roman" w:eastAsia="仿宋_GB2312" w:cs="Times New Roman"/>
          <w:color w:val="auto"/>
          <w:sz w:val="32"/>
          <w:szCs w:val="32"/>
          <w:highlight w:val="none"/>
          <w:lang w:val="en-US" w:eastAsia="zh-CN"/>
        </w:rPr>
        <w:t>170万元；</w:t>
      </w:r>
      <w:r>
        <w:rPr>
          <w:rFonts w:hint="default" w:ascii="Times New Roman" w:hAnsi="Times New Roman" w:eastAsia="仿宋_GB2312" w:cs="Times New Roman"/>
          <w:color w:val="auto"/>
          <w:sz w:val="32"/>
          <w:szCs w:val="32"/>
          <w:highlight w:val="none"/>
        </w:rPr>
        <w:t>彩票公益金支出</w:t>
      </w:r>
      <w:r>
        <w:rPr>
          <w:rFonts w:hint="default" w:ascii="Times New Roman" w:hAnsi="Times New Roman" w:eastAsia="仿宋_GB2312" w:cs="Times New Roman"/>
          <w:color w:val="auto"/>
          <w:sz w:val="32"/>
          <w:szCs w:val="32"/>
          <w:highlight w:val="none"/>
          <w:lang w:val="en-US" w:eastAsia="zh-CN"/>
        </w:rPr>
        <w:t>90</w:t>
      </w:r>
      <w:r>
        <w:rPr>
          <w:rFonts w:hint="default" w:ascii="Times New Roman" w:hAnsi="Times New Roman" w:eastAsia="仿宋_GB2312" w:cs="Times New Roman"/>
          <w:color w:val="auto"/>
          <w:sz w:val="32"/>
          <w:szCs w:val="32"/>
          <w:highlight w:val="none"/>
        </w:rPr>
        <w:t>万元（其中：社会福利支出</w:t>
      </w:r>
      <w:r>
        <w:rPr>
          <w:rFonts w:hint="default" w:ascii="Times New Roman" w:hAnsi="Times New Roman" w:eastAsia="仿宋_GB2312" w:cs="Times New Roman"/>
          <w:color w:val="auto"/>
          <w:sz w:val="32"/>
          <w:szCs w:val="32"/>
          <w:highlight w:val="none"/>
          <w:lang w:val="en-US" w:eastAsia="zh-CN"/>
        </w:rPr>
        <w:t>88</w:t>
      </w:r>
      <w:r>
        <w:rPr>
          <w:rFonts w:hint="default" w:ascii="Times New Roman" w:hAnsi="Times New Roman" w:eastAsia="仿宋_GB2312" w:cs="Times New Roman"/>
          <w:color w:val="auto"/>
          <w:sz w:val="32"/>
          <w:szCs w:val="32"/>
          <w:highlight w:val="none"/>
        </w:rPr>
        <w:t>万元、体育事业支出</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上级代扣专项债券付息支出及发行费用</w:t>
      </w:r>
      <w:r>
        <w:rPr>
          <w:rFonts w:hint="default" w:ascii="Times New Roman" w:hAnsi="Times New Roman" w:eastAsia="仿宋_GB2312" w:cs="Times New Roman"/>
          <w:color w:val="auto"/>
          <w:sz w:val="32"/>
          <w:szCs w:val="32"/>
          <w:highlight w:val="none"/>
          <w:lang w:val="en-US" w:eastAsia="zh-CN"/>
        </w:rPr>
        <w:t>2165</w:t>
      </w:r>
      <w:r>
        <w:rPr>
          <w:rFonts w:hint="default" w:ascii="Times New Roman" w:hAnsi="Times New Roman" w:eastAsia="仿宋_GB2312" w:cs="Times New Roman"/>
          <w:color w:val="auto"/>
          <w:sz w:val="32"/>
          <w:szCs w:val="32"/>
          <w:highlight w:val="none"/>
        </w:rPr>
        <w:t>万元。地方政府专项债务还本支出</w:t>
      </w:r>
      <w:r>
        <w:rPr>
          <w:rFonts w:hint="default" w:ascii="Times New Roman" w:hAnsi="Times New Roman" w:eastAsia="仿宋_GB2312" w:cs="Times New Roman"/>
          <w:color w:val="auto"/>
          <w:sz w:val="32"/>
          <w:szCs w:val="32"/>
          <w:highlight w:val="none"/>
          <w:lang w:val="en-US" w:eastAsia="zh-CN"/>
        </w:rPr>
        <w:t>2500万元。</w:t>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仿宋_GB2312" w:cs="Times New Roman"/>
          <w:b/>
          <w:bCs/>
          <w:sz w:val="32"/>
          <w:szCs w:val="32"/>
          <w:highlight w:val="none"/>
        </w:rPr>
        <w:t>国有资本经营预算执行情况：</w:t>
      </w:r>
      <w:r>
        <w:rPr>
          <w:rFonts w:hint="default" w:ascii="Times New Roman" w:hAnsi="Times New Roman" w:eastAsia="仿宋_GB2312" w:cs="Times New Roman"/>
          <w:color w:val="auto"/>
          <w:sz w:val="32"/>
          <w:szCs w:val="32"/>
          <w:highlight w:val="none"/>
        </w:rPr>
        <w:t>上半年</w:t>
      </w:r>
      <w:r>
        <w:rPr>
          <w:rFonts w:hint="default" w:ascii="Times New Roman" w:hAnsi="Times New Roman" w:eastAsia="仿宋_GB2312" w:cs="Times New Roman"/>
          <w:color w:val="auto"/>
          <w:sz w:val="32"/>
          <w:szCs w:val="32"/>
          <w:highlight w:val="none"/>
          <w:lang w:eastAsia="zh-CN"/>
        </w:rPr>
        <w:t>上级补助收入</w:t>
      </w:r>
      <w:r>
        <w:rPr>
          <w:rFonts w:hint="default" w:ascii="Times New Roman" w:hAnsi="Times New Roman" w:eastAsia="仿宋_GB2312" w:cs="Times New Roman"/>
          <w:color w:val="auto"/>
          <w:sz w:val="32"/>
          <w:szCs w:val="32"/>
          <w:highlight w:val="none"/>
          <w:lang w:val="en-US" w:eastAsia="zh-CN"/>
        </w:rPr>
        <w:t>206万元；</w:t>
      </w:r>
      <w:r>
        <w:rPr>
          <w:rFonts w:hint="default" w:ascii="Times New Roman" w:hAnsi="Times New Roman" w:eastAsia="仿宋_GB2312" w:cs="Times New Roman"/>
          <w:color w:val="auto"/>
          <w:sz w:val="32"/>
          <w:szCs w:val="32"/>
          <w:highlight w:val="none"/>
        </w:rPr>
        <w:t>国有资本经营预算支出1</w:t>
      </w:r>
      <w:r>
        <w:rPr>
          <w:rFonts w:hint="default"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rPr>
        <w:t>万元，主要用于国有企业退休人员社会化管理补助支出。</w:t>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color w:val="FF0000"/>
          <w:sz w:val="32"/>
          <w:szCs w:val="32"/>
          <w:highlight w:val="none"/>
          <w:lang w:eastAsia="zh-CN"/>
        </w:rPr>
      </w:pPr>
      <w:r>
        <w:rPr>
          <w:rFonts w:hint="default" w:ascii="Times New Roman" w:hAnsi="Times New Roman" w:eastAsia="仿宋_GB2312" w:cs="Times New Roman"/>
          <w:b/>
          <w:kern w:val="0"/>
          <w:sz w:val="32"/>
          <w:szCs w:val="32"/>
          <w:highlight w:val="none"/>
        </w:rPr>
        <w:t>政府性债务情况：</w:t>
      </w:r>
      <w:r>
        <w:rPr>
          <w:rFonts w:hint="default" w:ascii="Times New Roman" w:hAnsi="Times New Roman" w:eastAsia="仿宋_GB2312" w:cs="Times New Roman"/>
          <w:color w:val="auto"/>
          <w:sz w:val="32"/>
          <w:szCs w:val="32"/>
          <w:highlight w:val="none"/>
        </w:rPr>
        <w:t>上半年积极争取专项债券资金</w:t>
      </w:r>
      <w:r>
        <w:rPr>
          <w:rFonts w:hint="default" w:ascii="Times New Roman" w:hAnsi="Times New Roman" w:eastAsia="仿宋_GB2312" w:cs="Times New Roman"/>
          <w:color w:val="auto"/>
          <w:sz w:val="32"/>
          <w:szCs w:val="32"/>
          <w:highlight w:val="none"/>
          <w:lang w:val="en-US" w:eastAsia="zh-CN"/>
        </w:rPr>
        <w:t>8.6</w:t>
      </w:r>
      <w:r>
        <w:rPr>
          <w:rFonts w:hint="default" w:ascii="Times New Roman" w:hAnsi="Times New Roman" w:eastAsia="仿宋_GB2312" w:cs="Times New Roman"/>
          <w:color w:val="auto"/>
          <w:sz w:val="32"/>
          <w:szCs w:val="32"/>
          <w:highlight w:val="none"/>
        </w:rPr>
        <w:t>亿元。</w:t>
      </w:r>
      <w:r>
        <w:rPr>
          <w:rFonts w:hint="default" w:ascii="Times New Roman" w:hAnsi="Times New Roman" w:eastAsia="仿宋_GB2312" w:cs="Times New Roman"/>
          <w:color w:val="auto"/>
          <w:sz w:val="32"/>
          <w:szCs w:val="32"/>
          <w:highlight w:val="none"/>
          <w:lang w:eastAsia="zh-CN"/>
        </w:rPr>
        <w:t>其中</w:t>
      </w:r>
      <w:r>
        <w:rPr>
          <w:rFonts w:hint="default" w:ascii="Times New Roman" w:hAnsi="Times New Roman" w:eastAsia="仿宋_GB2312" w:cs="Times New Roman"/>
          <w:color w:val="auto"/>
          <w:sz w:val="32"/>
          <w:szCs w:val="32"/>
          <w:highlight w:val="none"/>
        </w:rPr>
        <w:t>包括乡村振兴建设项目</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亿元、杜集经济开发区装备制造产业园项目</w:t>
      </w:r>
      <w:r>
        <w:rPr>
          <w:rFonts w:hint="default" w:ascii="Times New Roman" w:hAnsi="Times New Roman" w:eastAsia="仿宋_GB2312" w:cs="Times New Roman"/>
          <w:color w:val="auto"/>
          <w:sz w:val="32"/>
          <w:szCs w:val="32"/>
          <w:highlight w:val="none"/>
          <w:lang w:val="en-US" w:eastAsia="zh-CN"/>
        </w:rPr>
        <w:t>3亿</w:t>
      </w:r>
      <w:r>
        <w:rPr>
          <w:rFonts w:hint="default" w:ascii="Times New Roman" w:hAnsi="Times New Roman" w:eastAsia="仿宋_GB2312" w:cs="Times New Roman"/>
          <w:color w:val="auto"/>
          <w:sz w:val="32"/>
          <w:szCs w:val="32"/>
          <w:highlight w:val="none"/>
        </w:rPr>
        <w:t>元、段园产业园基础设施建设项目</w:t>
      </w:r>
      <w:r>
        <w:rPr>
          <w:rFonts w:hint="default"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rPr>
        <w:t>亿元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淮北市杜集区群众喝上引调水工程</w:t>
      </w:r>
      <w:r>
        <w:rPr>
          <w:rFonts w:hint="default" w:ascii="Times New Roman" w:hAnsi="Times New Roman" w:eastAsia="仿宋_GB2312" w:cs="Times New Roman"/>
          <w:color w:val="auto"/>
          <w:sz w:val="32"/>
          <w:szCs w:val="32"/>
          <w:highlight w:val="none"/>
          <w:lang w:val="en-US" w:eastAsia="zh-CN"/>
        </w:rPr>
        <w:t>5000万元</w:t>
      </w:r>
      <w:r>
        <w:rPr>
          <w:rFonts w:hint="default" w:ascii="Times New Roman" w:hAnsi="Times New Roman" w:eastAsia="仿宋_GB2312" w:cs="Times New Roman"/>
          <w:color w:val="auto"/>
          <w:sz w:val="32"/>
          <w:szCs w:val="32"/>
          <w:highlight w:val="none"/>
        </w:rPr>
        <w:t>、杜集区人民医院南院区项目</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000万元、科创园基础设施建设项目</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000万元。上半年偿还到期债券本金</w:t>
      </w:r>
      <w:r>
        <w:rPr>
          <w:rFonts w:hint="default" w:ascii="Times New Roman" w:hAnsi="Times New Roman" w:eastAsia="仿宋_GB2312" w:cs="Times New Roman"/>
          <w:color w:val="auto"/>
          <w:sz w:val="32"/>
          <w:szCs w:val="32"/>
          <w:highlight w:val="none"/>
          <w:lang w:val="en-US" w:eastAsia="zh-CN"/>
        </w:rPr>
        <w:t>19588.36</w:t>
      </w:r>
      <w:r>
        <w:rPr>
          <w:rFonts w:hint="default" w:ascii="Times New Roman" w:hAnsi="Times New Roman" w:eastAsia="仿宋_GB2312" w:cs="Times New Roman"/>
          <w:color w:val="auto"/>
          <w:sz w:val="32"/>
          <w:szCs w:val="32"/>
          <w:highlight w:val="none"/>
        </w:rPr>
        <w:t>万元，其中置换债券偿还</w:t>
      </w:r>
      <w:r>
        <w:rPr>
          <w:rFonts w:hint="default" w:ascii="Times New Roman" w:hAnsi="Times New Roman" w:eastAsia="仿宋_GB2312" w:cs="Times New Roman"/>
          <w:color w:val="auto"/>
          <w:sz w:val="32"/>
          <w:szCs w:val="32"/>
          <w:highlight w:val="none"/>
          <w:lang w:val="en-US" w:eastAsia="zh-CN"/>
        </w:rPr>
        <w:t>19305</w:t>
      </w:r>
      <w:r>
        <w:rPr>
          <w:rFonts w:hint="default" w:ascii="Times New Roman" w:hAnsi="Times New Roman" w:eastAsia="仿宋_GB2312" w:cs="Times New Roman"/>
          <w:color w:val="auto"/>
          <w:sz w:val="32"/>
          <w:szCs w:val="32"/>
          <w:highlight w:val="none"/>
        </w:rPr>
        <w:t>万元，财政资金偿还</w:t>
      </w:r>
      <w:r>
        <w:rPr>
          <w:rFonts w:hint="default" w:ascii="Times New Roman" w:hAnsi="Times New Roman" w:eastAsia="仿宋_GB2312" w:cs="Times New Roman"/>
          <w:color w:val="auto"/>
          <w:sz w:val="32"/>
          <w:szCs w:val="32"/>
          <w:highlight w:val="none"/>
          <w:lang w:val="en-US" w:eastAsia="zh-CN"/>
        </w:rPr>
        <w:t>283.36</w:t>
      </w:r>
      <w:r>
        <w:rPr>
          <w:rFonts w:hint="default" w:ascii="Times New Roman" w:hAnsi="Times New Roman" w:eastAsia="仿宋_GB2312" w:cs="Times New Roman"/>
          <w:color w:val="auto"/>
          <w:sz w:val="32"/>
          <w:szCs w:val="32"/>
          <w:highlight w:val="none"/>
        </w:rPr>
        <w:t>万元。下半年计划申请5.94亿元专项债</w:t>
      </w:r>
      <w:r>
        <w:rPr>
          <w:rFonts w:hint="default" w:ascii="Times New Roman" w:hAnsi="Times New Roman" w:eastAsia="仿宋_GB2312" w:cs="Times New Roman"/>
          <w:color w:val="auto"/>
          <w:sz w:val="32"/>
          <w:szCs w:val="32"/>
          <w:highlight w:val="none"/>
          <w:lang w:val="en-US" w:eastAsia="zh-CN"/>
        </w:rPr>
        <w:t>券</w:t>
      </w:r>
      <w:r>
        <w:rPr>
          <w:rFonts w:hint="default" w:ascii="Times New Roman" w:hAnsi="Times New Roman" w:eastAsia="仿宋_GB2312" w:cs="Times New Roman"/>
          <w:color w:val="auto"/>
          <w:sz w:val="32"/>
          <w:szCs w:val="32"/>
          <w:highlight w:val="none"/>
        </w:rPr>
        <w:t>资金，主要用于段园基础设施建设、开发区基础设施建设、引调水等项目</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50" w:lineRule="exact"/>
        <w:ind w:firstLine="630" w:firstLineChars="196"/>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sz w:val="32"/>
          <w:szCs w:val="32"/>
          <w:highlight w:val="none"/>
        </w:rPr>
        <w:t>区本级财政预算执行情况</w:t>
      </w:r>
      <w:r>
        <w:rPr>
          <w:rFonts w:hint="default" w:ascii="Times New Roman" w:hAnsi="Times New Roman" w:eastAsia="仿宋_GB2312" w:cs="Times New Roman"/>
          <w:b/>
          <w:bCs/>
          <w:kern w:val="0"/>
          <w:sz w:val="32"/>
          <w:szCs w:val="32"/>
          <w:highlight w:val="none"/>
          <w:lang w:bidi="ar"/>
        </w:rPr>
        <w:t>：</w:t>
      </w:r>
      <w:r>
        <w:rPr>
          <w:rFonts w:hint="default" w:ascii="Times New Roman" w:hAnsi="Times New Roman" w:eastAsia="仿宋_GB2312" w:cs="Times New Roman"/>
          <w:color w:val="auto"/>
          <w:sz w:val="32"/>
          <w:highlight w:val="none"/>
        </w:rPr>
        <w:t>上半年区本级财政累计支出</w:t>
      </w:r>
      <w:r>
        <w:rPr>
          <w:rFonts w:hint="default" w:ascii="Times New Roman" w:hAnsi="Times New Roman" w:eastAsia="仿宋_GB2312" w:cs="Times New Roman"/>
          <w:color w:val="auto"/>
          <w:sz w:val="32"/>
          <w:highlight w:val="none"/>
          <w:lang w:val="en-US" w:eastAsia="zh-CN"/>
        </w:rPr>
        <w:t>87689</w:t>
      </w:r>
      <w:r>
        <w:rPr>
          <w:rFonts w:hint="default" w:ascii="Times New Roman" w:hAnsi="Times New Roman" w:eastAsia="仿宋_GB2312" w:cs="Times New Roman"/>
          <w:color w:val="auto"/>
          <w:sz w:val="32"/>
          <w:highlight w:val="none"/>
        </w:rPr>
        <w:t>万元，完成年预算的</w:t>
      </w:r>
      <w:r>
        <w:rPr>
          <w:rFonts w:hint="default" w:ascii="Times New Roman" w:hAnsi="Times New Roman" w:eastAsia="仿宋_GB2312" w:cs="Times New Roman"/>
          <w:color w:val="auto"/>
          <w:sz w:val="32"/>
          <w:highlight w:val="none"/>
          <w:lang w:val="en-US" w:eastAsia="zh-CN"/>
        </w:rPr>
        <w:t>72.6</w:t>
      </w:r>
      <w:r>
        <w:rPr>
          <w:rFonts w:hint="default" w:ascii="Times New Roman" w:hAnsi="Times New Roman" w:eastAsia="仿宋_GB2312" w:cs="Times New Roman"/>
          <w:color w:val="auto"/>
          <w:sz w:val="32"/>
          <w:highlight w:val="none"/>
        </w:rPr>
        <w:t>%，同比增支</w:t>
      </w:r>
      <w:r>
        <w:rPr>
          <w:rFonts w:hint="default" w:ascii="Times New Roman" w:hAnsi="Times New Roman" w:eastAsia="仿宋_GB2312" w:cs="Times New Roman"/>
          <w:color w:val="auto"/>
          <w:sz w:val="32"/>
          <w:szCs w:val="32"/>
          <w:highlight w:val="none"/>
          <w:lang w:val="en-US" w:eastAsia="zh-CN"/>
        </w:rPr>
        <w:t>15791</w:t>
      </w:r>
      <w:r>
        <w:rPr>
          <w:rFonts w:hint="default" w:ascii="Times New Roman" w:hAnsi="Times New Roman" w:eastAsia="仿宋_GB2312" w:cs="Times New Roman"/>
          <w:color w:val="auto"/>
          <w:sz w:val="32"/>
          <w:highlight w:val="none"/>
        </w:rPr>
        <w:t>万元，</w:t>
      </w:r>
      <w:r>
        <w:rPr>
          <w:rFonts w:hint="default" w:ascii="Times New Roman" w:hAnsi="Times New Roman" w:eastAsia="仿宋_GB2312" w:cs="Times New Roman"/>
          <w:color w:val="auto"/>
          <w:sz w:val="32"/>
          <w:szCs w:val="32"/>
          <w:highlight w:val="none"/>
        </w:rPr>
        <w:t>增幅</w:t>
      </w:r>
      <w:r>
        <w:rPr>
          <w:rFonts w:hint="default" w:ascii="Times New Roman" w:hAnsi="Times New Roman"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highlight w:val="none"/>
        </w:rPr>
        <w:t>。增支主要原因：一是</w:t>
      </w:r>
      <w:r>
        <w:rPr>
          <w:rFonts w:hint="default" w:ascii="Times New Roman" w:hAnsi="Times New Roman" w:eastAsia="仿宋_GB2312" w:cs="Times New Roman"/>
          <w:color w:val="auto"/>
          <w:sz w:val="32"/>
          <w:highlight w:val="none"/>
          <w:lang w:eastAsia="zh-CN"/>
        </w:rPr>
        <w:t>偿还棚改项目</w:t>
      </w:r>
      <w:r>
        <w:rPr>
          <w:rFonts w:hint="eastAsia" w:ascii="Times New Roman" w:hAnsi="Times New Roman" w:eastAsia="仿宋_GB2312" w:cs="Times New Roman"/>
          <w:color w:val="auto"/>
          <w:sz w:val="32"/>
          <w:highlight w:val="none"/>
          <w:lang w:val="en-US" w:eastAsia="zh-CN"/>
        </w:rPr>
        <w:t>本息</w:t>
      </w:r>
      <w:r>
        <w:rPr>
          <w:rFonts w:hint="default" w:ascii="Times New Roman" w:hAnsi="Times New Roman" w:eastAsia="仿宋_GB2312" w:cs="Times New Roman"/>
          <w:color w:val="auto"/>
          <w:sz w:val="32"/>
          <w:highlight w:val="none"/>
        </w:rPr>
        <w:t>；二是</w:t>
      </w:r>
      <w:r>
        <w:rPr>
          <w:rFonts w:hint="default" w:ascii="Times New Roman" w:hAnsi="Times New Roman" w:eastAsia="仿宋_GB2312" w:cs="Times New Roman"/>
          <w:color w:val="auto"/>
          <w:sz w:val="32"/>
          <w:highlight w:val="none"/>
          <w:lang w:eastAsia="zh-CN"/>
        </w:rPr>
        <w:t>拨付高</w:t>
      </w:r>
      <w:r>
        <w:rPr>
          <w:rFonts w:hint="default" w:ascii="Times New Roman" w:hAnsi="Times New Roman" w:eastAsia="仿宋_GB2312" w:cs="Times New Roman"/>
          <w:color w:val="auto"/>
          <w:sz w:val="32"/>
          <w:highlight w:val="none"/>
        </w:rPr>
        <w:t>岳九年一贯制学校工程资金；三是增加</w:t>
      </w:r>
      <w:r>
        <w:rPr>
          <w:rFonts w:hint="default" w:ascii="Times New Roman" w:hAnsi="Times New Roman" w:eastAsia="仿宋_GB2312" w:cs="Times New Roman"/>
          <w:color w:val="auto"/>
          <w:sz w:val="32"/>
          <w:highlight w:val="none"/>
          <w:lang w:eastAsia="zh-CN"/>
        </w:rPr>
        <w:t>农村引调水工程投入</w:t>
      </w:r>
      <w:r>
        <w:rPr>
          <w:rFonts w:hint="default" w:ascii="Times New Roman" w:hAnsi="Times New Roman" w:eastAsia="仿宋_GB2312" w:cs="Times New Roman"/>
          <w:color w:val="auto"/>
          <w:sz w:val="32"/>
          <w:highlight w:val="none"/>
        </w:rPr>
        <w:t>；四是</w:t>
      </w:r>
      <w:r>
        <w:rPr>
          <w:rFonts w:hint="default" w:ascii="Times New Roman" w:hAnsi="Times New Roman" w:eastAsia="仿宋_GB2312" w:cs="Times New Roman"/>
          <w:color w:val="auto"/>
          <w:sz w:val="32"/>
          <w:highlight w:val="none"/>
          <w:lang w:eastAsia="zh-CN"/>
        </w:rPr>
        <w:t>拨付采煤沉陷区综合治理资金</w:t>
      </w:r>
      <w:r>
        <w:rPr>
          <w:rFonts w:hint="default" w:ascii="Times New Roman" w:hAnsi="Times New Roman" w:eastAsia="仿宋_GB2312" w:cs="Times New Roman"/>
          <w:color w:val="auto"/>
          <w:sz w:val="32"/>
          <w:highlight w:val="none"/>
        </w:rPr>
        <w:t>。（</w:t>
      </w:r>
      <w:r>
        <w:rPr>
          <w:rFonts w:hint="default" w:ascii="Times New Roman" w:hAnsi="Times New Roman" w:eastAsia="仿宋_GB2312" w:cs="Times New Roman"/>
          <w:color w:val="auto"/>
          <w:sz w:val="32"/>
          <w:highlight w:val="none"/>
          <w:lang w:val="en-US" w:eastAsia="zh-CN"/>
        </w:rPr>
        <w:t>具体分类支出情况见</w:t>
      </w:r>
      <w:r>
        <w:rPr>
          <w:rFonts w:hint="default" w:ascii="Times New Roman" w:hAnsi="Times New Roman" w:eastAsia="仿宋_GB2312" w:cs="Times New Roman"/>
          <w:color w:val="auto"/>
          <w:sz w:val="32"/>
          <w:highlight w:val="none"/>
        </w:rPr>
        <w:t>附表五）</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auto"/>
          <w:sz w:val="32"/>
          <w:highlight w:val="none"/>
        </w:rPr>
        <w:t>从202</w:t>
      </w:r>
      <w:r>
        <w:rPr>
          <w:rFonts w:hint="default" w:ascii="Times New Roman" w:hAnsi="Times New Roman" w:eastAsia="仿宋_GB2312" w:cs="Times New Roman"/>
          <w:color w:val="auto"/>
          <w:sz w:val="32"/>
          <w:highlight w:val="none"/>
          <w:lang w:val="en-US" w:eastAsia="zh-CN"/>
        </w:rPr>
        <w:t>2</w:t>
      </w:r>
      <w:r>
        <w:rPr>
          <w:rFonts w:hint="default" w:ascii="Times New Roman" w:hAnsi="Times New Roman" w:eastAsia="仿宋_GB2312" w:cs="Times New Roman"/>
          <w:color w:val="auto"/>
          <w:sz w:val="32"/>
          <w:highlight w:val="none"/>
        </w:rPr>
        <w:t>年财政决算和202</w:t>
      </w:r>
      <w:r>
        <w:rPr>
          <w:rFonts w:hint="default" w:ascii="Times New Roman" w:hAnsi="Times New Roman" w:eastAsia="仿宋_GB2312" w:cs="Times New Roman"/>
          <w:color w:val="auto"/>
          <w:sz w:val="32"/>
          <w:highlight w:val="none"/>
          <w:lang w:val="en-US" w:eastAsia="zh-CN"/>
        </w:rPr>
        <w:t>3</w:t>
      </w:r>
      <w:r>
        <w:rPr>
          <w:rFonts w:hint="default" w:ascii="Times New Roman" w:hAnsi="Times New Roman" w:eastAsia="仿宋_GB2312" w:cs="Times New Roman"/>
          <w:color w:val="auto"/>
          <w:sz w:val="32"/>
          <w:highlight w:val="none"/>
        </w:rPr>
        <w:t>年上半年财政预算执行情况来看，</w:t>
      </w:r>
      <w:r>
        <w:rPr>
          <w:rFonts w:hint="default" w:ascii="Times New Roman" w:hAnsi="Times New Roman" w:eastAsia="仿宋_GB2312" w:cs="Times New Roman"/>
          <w:color w:val="auto"/>
          <w:sz w:val="32"/>
          <w:szCs w:val="32"/>
          <w:highlight w:val="none"/>
        </w:rPr>
        <w:t>财政部门</w:t>
      </w:r>
      <w:r>
        <w:rPr>
          <w:rFonts w:hint="default" w:ascii="Times New Roman" w:hAnsi="Times New Roman" w:eastAsia="仿宋_GB2312" w:cs="Times New Roman"/>
          <w:sz w:val="32"/>
          <w:szCs w:val="32"/>
          <w:highlight w:val="none"/>
        </w:rPr>
        <w:t>在区委的正确领导下，在区人大及其常委会的监督支持下，</w:t>
      </w:r>
      <w:r>
        <w:rPr>
          <w:rFonts w:hint="default" w:ascii="Times New Roman" w:hAnsi="Times New Roman" w:eastAsia="仿宋_GB2312" w:cs="Times New Roman"/>
          <w:sz w:val="32"/>
          <w:szCs w:val="32"/>
          <w:highlight w:val="none"/>
          <w:lang w:val="en-US" w:eastAsia="zh-CN"/>
        </w:rPr>
        <w:t>始终</w:t>
      </w:r>
      <w:r>
        <w:rPr>
          <w:rFonts w:hint="default" w:ascii="Times New Roman" w:hAnsi="Times New Roman" w:eastAsia="仿宋_GB2312" w:cs="Times New Roman"/>
          <w:sz w:val="32"/>
          <w:szCs w:val="32"/>
          <w:highlight w:val="none"/>
        </w:rPr>
        <w:t>以习近平新时代中国特色社会主义思想为</w:t>
      </w:r>
      <w:r>
        <w:rPr>
          <w:rFonts w:hint="default" w:ascii="Times New Roman" w:hAnsi="Times New Roman" w:eastAsia="仿宋_GB2312" w:cs="Times New Roman"/>
          <w:sz w:val="32"/>
          <w:szCs w:val="32"/>
          <w:highlight w:val="none"/>
          <w:lang w:val="en-US" w:eastAsia="zh-CN"/>
        </w:rPr>
        <w:t>引领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深入贯彻党的二十大精神，全面贯彻落实中央及省、市、区委决策部署</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认真履行区人大及其常委会决议，强化主体责任，积极担当作为，组织实施好积极的财政政策，扎实组织税收收入，千方百计增加各项收入和专项债券资金，统筹配置财政资金，优化支出结构，提高财政资金绩效，保持经济运行在合理区间，为杜集高质量发展提供了坚强的财政保障。</w:t>
      </w:r>
    </w:p>
    <w:p>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550" w:lineRule="exact"/>
        <w:ind w:firstLine="584"/>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二、202</w:t>
      </w:r>
      <w:r>
        <w:rPr>
          <w:rFonts w:hint="default" w:ascii="Times New Roman" w:hAnsi="Times New Roman" w:eastAsia="黑体" w:cs="Times New Roman"/>
          <w:sz w:val="32"/>
          <w:szCs w:val="32"/>
          <w:highlight w:val="none"/>
          <w:lang w:val="en-US" w:eastAsia="zh-CN"/>
        </w:rPr>
        <w:t>3</w:t>
      </w:r>
      <w:r>
        <w:rPr>
          <w:rFonts w:hint="default" w:ascii="Times New Roman" w:hAnsi="Times New Roman" w:eastAsia="黑体" w:cs="Times New Roman"/>
          <w:sz w:val="32"/>
          <w:szCs w:val="32"/>
          <w:highlight w:val="none"/>
        </w:rPr>
        <w:t>年上半年财政主要工作</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cs="Times New Roman"/>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（一）财政收入逐步增加。</w:t>
      </w:r>
      <w:r>
        <w:rPr>
          <w:rFonts w:hint="default" w:ascii="Times New Roman" w:hAnsi="Times New Roman" w:eastAsia="仿宋_GB2312" w:cs="Times New Roman"/>
          <w:sz w:val="32"/>
          <w:szCs w:val="32"/>
          <w:highlight w:val="none"/>
        </w:rPr>
        <w:t>今年</w:t>
      </w:r>
      <w:r>
        <w:rPr>
          <w:rFonts w:hint="default" w:ascii="Times New Roman" w:hAnsi="Times New Roman" w:eastAsia="仿宋_GB2312" w:cs="Times New Roman"/>
          <w:sz w:val="32"/>
          <w:szCs w:val="32"/>
          <w:highlight w:val="none"/>
          <w:lang w:val="en-US" w:eastAsia="zh-CN"/>
        </w:rPr>
        <w:t>上半年</w:t>
      </w:r>
      <w:r>
        <w:rPr>
          <w:rFonts w:hint="default" w:ascii="Times New Roman" w:hAnsi="Times New Roman" w:eastAsia="仿宋_GB2312" w:cs="Times New Roman"/>
          <w:sz w:val="32"/>
          <w:szCs w:val="32"/>
          <w:highlight w:val="none"/>
        </w:rPr>
        <w:t>以来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财政部门努力</w:t>
      </w:r>
      <w:r>
        <w:rPr>
          <w:rFonts w:hint="default" w:ascii="Times New Roman" w:hAnsi="Times New Roman" w:eastAsia="仿宋_GB2312" w:cs="Times New Roman"/>
          <w:sz w:val="32"/>
          <w:szCs w:val="32"/>
          <w:highlight w:val="none"/>
        </w:rPr>
        <w:t>克服</w:t>
      </w:r>
      <w:r>
        <w:rPr>
          <w:rFonts w:hint="default" w:ascii="Times New Roman" w:hAnsi="Times New Roman" w:eastAsia="仿宋_GB2312" w:cs="Times New Roman"/>
          <w:sz w:val="32"/>
          <w:szCs w:val="32"/>
          <w:highlight w:val="none"/>
          <w:lang w:val="en-US" w:eastAsia="zh-CN"/>
        </w:rPr>
        <w:t>减税降费政策、</w:t>
      </w:r>
      <w:r>
        <w:rPr>
          <w:rFonts w:hint="default" w:ascii="Times New Roman" w:hAnsi="Times New Roman" w:eastAsia="仿宋_GB2312" w:cs="Times New Roman"/>
          <w:sz w:val="32"/>
          <w:szCs w:val="32"/>
          <w:highlight w:val="none"/>
        </w:rPr>
        <w:t>新增税源匮乏、</w:t>
      </w:r>
      <w:r>
        <w:rPr>
          <w:rFonts w:hint="default" w:ascii="Times New Roman" w:hAnsi="Times New Roman" w:eastAsia="仿宋_GB2312" w:cs="Times New Roman"/>
          <w:sz w:val="32"/>
          <w:szCs w:val="32"/>
          <w:highlight w:val="none"/>
          <w:lang w:val="en-US" w:eastAsia="zh-CN"/>
        </w:rPr>
        <w:t>非税收入减少</w:t>
      </w:r>
      <w:r>
        <w:rPr>
          <w:rFonts w:hint="default" w:ascii="Times New Roman" w:hAnsi="Times New Roman" w:eastAsia="仿宋_GB2312" w:cs="Times New Roman"/>
          <w:sz w:val="32"/>
          <w:szCs w:val="32"/>
          <w:highlight w:val="none"/>
        </w:rPr>
        <w:t>等因素影响，</w:t>
      </w:r>
      <w:r>
        <w:rPr>
          <w:rFonts w:hint="default" w:ascii="Times New Roman" w:hAnsi="Times New Roman" w:eastAsia="仿宋_GB2312" w:cs="Times New Roman"/>
          <w:sz w:val="32"/>
          <w:szCs w:val="32"/>
          <w:highlight w:val="none"/>
          <w:lang w:val="en-US" w:eastAsia="zh-CN"/>
        </w:rPr>
        <w:t>切实</w:t>
      </w:r>
      <w:r>
        <w:rPr>
          <w:rFonts w:hint="default" w:ascii="Times New Roman" w:hAnsi="Times New Roman" w:eastAsia="仿宋_GB2312" w:cs="Times New Roman"/>
          <w:sz w:val="32"/>
          <w:szCs w:val="32"/>
          <w:highlight w:val="none"/>
        </w:rPr>
        <w:t>提质增效，创新财源建设思路</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狠抓重点</w:t>
      </w:r>
      <w:r>
        <w:rPr>
          <w:rFonts w:hint="default" w:ascii="Times New Roman" w:hAnsi="Times New Roman" w:eastAsia="仿宋_GB2312" w:cs="Times New Roman"/>
          <w:sz w:val="32"/>
          <w:szCs w:val="32"/>
          <w:highlight w:val="none"/>
        </w:rPr>
        <w:t>项目税收</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始终</w:t>
      </w:r>
      <w:r>
        <w:rPr>
          <w:rFonts w:hint="default" w:ascii="Times New Roman" w:hAnsi="Times New Roman" w:eastAsia="仿宋_GB2312" w:cs="Times New Roman"/>
          <w:sz w:val="32"/>
          <w:szCs w:val="32"/>
          <w:highlight w:val="none"/>
        </w:rPr>
        <w:t>关注重点税源</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及时</w:t>
      </w:r>
      <w:r>
        <w:rPr>
          <w:rFonts w:hint="default" w:ascii="Times New Roman" w:hAnsi="Times New Roman" w:eastAsia="仿宋_GB2312" w:cs="Times New Roman"/>
          <w:sz w:val="32"/>
          <w:szCs w:val="32"/>
          <w:highlight w:val="none"/>
        </w:rPr>
        <w:t>跟踪分析，确保</w:t>
      </w:r>
      <w:r>
        <w:rPr>
          <w:rFonts w:hint="default" w:ascii="Times New Roman" w:hAnsi="Times New Roman" w:eastAsia="仿宋_GB2312" w:cs="Times New Roman"/>
          <w:sz w:val="32"/>
          <w:szCs w:val="32"/>
          <w:highlight w:val="none"/>
          <w:lang w:val="en-US" w:eastAsia="zh-CN"/>
        </w:rPr>
        <w:t>税收及时入库</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1-6月份全区一般公共预算收入完成38247万元，同比增长12.8%。</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jc w:val="left"/>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（二）支出结构不断优化。</w:t>
      </w:r>
      <w:r>
        <w:rPr>
          <w:rFonts w:hint="default" w:ascii="Times New Roman" w:hAnsi="Times New Roman" w:eastAsia="仿宋_GB2312" w:cs="Times New Roman"/>
          <w:b w:val="0"/>
          <w:bCs w:val="0"/>
          <w:sz w:val="32"/>
          <w:szCs w:val="32"/>
          <w:highlight w:val="none"/>
          <w:lang w:val="en-US" w:eastAsia="zh-CN"/>
        </w:rPr>
        <w:t>上半年全区财政支出95111万元，同比增长18.5%。其中民生支出87184万元，占比91.7%。</w:t>
      </w:r>
      <w:r>
        <w:rPr>
          <w:rFonts w:hint="eastAsia" w:ascii="Times New Roman" w:hAnsi="Times New Roman" w:eastAsia="仿宋_GB2312" w:cs="Times New Roman"/>
          <w:b w:val="0"/>
          <w:bCs w:val="0"/>
          <w:sz w:val="32"/>
          <w:szCs w:val="32"/>
          <w:highlight w:val="none"/>
          <w:lang w:val="en-US" w:eastAsia="zh-CN"/>
        </w:rPr>
        <w:t>在“三保”基础上，重点保障</w:t>
      </w:r>
      <w:r>
        <w:rPr>
          <w:rFonts w:hint="default" w:ascii="Times New Roman" w:hAnsi="Times New Roman" w:eastAsia="仿宋_GB2312" w:cs="Times New Roman"/>
          <w:b w:val="0"/>
          <w:bCs w:val="0"/>
          <w:sz w:val="32"/>
          <w:szCs w:val="32"/>
          <w:highlight w:val="none"/>
          <w:lang w:val="en-US" w:eastAsia="zh-CN"/>
        </w:rPr>
        <w:t>教育、卫生医疗等项目顺利实施，上半年全力保障九年一贯制学校建设资金需求，确保高岳九年一贯制学校9月份如期开学。严格落实刚性支出，按照省津补贴改革要求，已全面落实按月发放。统筹1.2亿资金，有力保障中清、伊特纳等一大批重点招商引资项目落地。</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（三）财政改革稳步推进。</w:t>
      </w:r>
      <w:r>
        <w:rPr>
          <w:rFonts w:hint="default" w:ascii="Times New Roman" w:hAnsi="Times New Roman" w:eastAsia="仿宋_GB2312" w:cs="Times New Roman"/>
          <w:color w:val="auto"/>
          <w:sz w:val="32"/>
          <w:szCs w:val="32"/>
          <w:highlight w:val="none"/>
          <w:lang w:val="en-US" w:eastAsia="zh-CN"/>
        </w:rPr>
        <w:t>深入推进留抵退税政策落地见效，确保政策红利直达快享，上半年累计落实留抵退税5084.8万元。持续深化零基预算改革，兜牢“三保”底线，切实提高预算执行质量。坚持党政机关过紧日子，严控一般性支出，深化预算绩效管理，提高财政资金配置效益和使用效率。</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楷体_GB2312" w:cs="Times New Roman"/>
          <w:b w:val="0"/>
          <w:bCs w:val="0"/>
          <w:kern w:val="0"/>
          <w:sz w:val="32"/>
          <w:szCs w:val="32"/>
          <w:highlight w:val="none"/>
          <w:lang w:val="en-US" w:eastAsia="zh-CN" w:bidi="ar-SA"/>
        </w:rPr>
      </w:pPr>
      <w:r>
        <w:rPr>
          <w:rFonts w:hint="default" w:ascii="Times New Roman" w:hAnsi="Times New Roman" w:eastAsia="楷体_GB2312" w:cs="Times New Roman"/>
          <w:b/>
          <w:bCs/>
          <w:kern w:val="0"/>
          <w:sz w:val="32"/>
          <w:szCs w:val="32"/>
          <w:highlight w:val="none"/>
          <w:lang w:val="en-US" w:eastAsia="zh-CN" w:bidi="ar-SA"/>
        </w:rPr>
        <w:t>（四）财会监督落实到位。</w:t>
      </w:r>
      <w:r>
        <w:rPr>
          <w:rFonts w:hint="default" w:ascii="Times New Roman" w:hAnsi="Times New Roman" w:eastAsia="仿宋_GB2312" w:cs="Times New Roman"/>
          <w:sz w:val="32"/>
          <w:szCs w:val="32"/>
          <w:highlight w:val="none"/>
          <w:lang w:val="en-US" w:eastAsia="zh-CN"/>
        </w:rPr>
        <w:t>严格维护财经秩序，</w:t>
      </w:r>
      <w:r>
        <w:rPr>
          <w:rFonts w:hint="default" w:ascii="Times New Roman" w:hAnsi="Times New Roman" w:eastAsia="仿宋_GB2312" w:cs="Times New Roman"/>
          <w:b w:val="0"/>
          <w:bCs w:val="0"/>
          <w:sz w:val="32"/>
          <w:szCs w:val="32"/>
          <w:highlight w:val="none"/>
          <w:lang w:val="en-US" w:eastAsia="zh-CN"/>
        </w:rPr>
        <w:t>优化财会监督方式方法，完善预算管理一体化系统、中央直达资金系统、乡镇财政资金系统、国有资产管理系统等信息化建设管理。务实开展财会监督检查，1月份开展“小金库”情况专项清查，5月份开展财经秩序专项整治行动。</w:t>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highlight w:val="none"/>
          <w:lang w:val="en-US"/>
        </w:rPr>
      </w:pPr>
      <w:r>
        <w:rPr>
          <w:rFonts w:hint="default" w:ascii="Times New Roman" w:hAnsi="Times New Roman" w:eastAsia="楷体_GB2312" w:cs="Times New Roman"/>
          <w:b/>
          <w:bCs/>
          <w:kern w:val="0"/>
          <w:sz w:val="32"/>
          <w:szCs w:val="32"/>
          <w:highlight w:val="none"/>
          <w:lang w:val="en-US" w:eastAsia="zh-CN" w:bidi="ar-SA"/>
        </w:rPr>
        <w:t>（五）专项债券助力发展。</w:t>
      </w:r>
      <w:r>
        <w:rPr>
          <w:rFonts w:hint="default" w:ascii="Times New Roman" w:hAnsi="Times New Roman" w:eastAsia="仿宋_GB2312" w:cs="Times New Roman"/>
          <w:sz w:val="32"/>
          <w:szCs w:val="32"/>
          <w:highlight w:val="none"/>
          <w:lang w:val="en-US" w:eastAsia="zh-CN"/>
        </w:rPr>
        <w:t>今年上半年共发行专项债券8.6亿元，重点支持乡村振兴、开发区产业园区基础设施建</w:t>
      </w:r>
      <w:r>
        <w:rPr>
          <w:rFonts w:hint="default" w:ascii="Times New Roman" w:hAnsi="Times New Roman" w:eastAsia="仿宋_GB2312" w:cs="Times New Roman"/>
          <w:color w:val="auto"/>
          <w:sz w:val="32"/>
          <w:szCs w:val="32"/>
          <w:highlight w:val="none"/>
          <w:lang w:val="en-US" w:eastAsia="zh-CN"/>
        </w:rPr>
        <w:t>设、段园省际毗邻地区新型功能区建设、</w:t>
      </w:r>
      <w:r>
        <w:rPr>
          <w:rFonts w:hint="default" w:ascii="Times New Roman" w:hAnsi="Times New Roman" w:eastAsia="仿宋_GB2312" w:cs="Times New Roman"/>
          <w:sz w:val="32"/>
          <w:szCs w:val="32"/>
          <w:highlight w:val="none"/>
          <w:lang w:val="en-US" w:eastAsia="zh-CN"/>
        </w:rPr>
        <w:t>医疗卫生</w:t>
      </w:r>
      <w:r>
        <w:rPr>
          <w:rFonts w:hint="default" w:ascii="Times New Roman" w:hAnsi="Times New Roman" w:eastAsia="仿宋_GB2312" w:cs="Times New Roman"/>
          <w:color w:val="auto"/>
          <w:sz w:val="32"/>
          <w:szCs w:val="32"/>
          <w:highlight w:val="none"/>
          <w:lang w:val="en-US" w:eastAsia="zh-CN"/>
        </w:rPr>
        <w:t>等项目，有力保障开发区、众邦产业园、电子产业园、物流园等项目建设。</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（六）营商环境持续提升。</w:t>
      </w:r>
      <w:r>
        <w:rPr>
          <w:rFonts w:hint="default" w:ascii="Times New Roman" w:hAnsi="Times New Roman" w:eastAsia="仿宋_GB2312" w:cs="Times New Roman"/>
          <w:sz w:val="32"/>
          <w:szCs w:val="32"/>
          <w:highlight w:val="none"/>
          <w:lang w:val="en-US" w:eastAsia="zh-CN"/>
        </w:rPr>
        <w:t>成立助企便民融资服务专班，搭建政银企平台，组织开展“五进”活动，目前已走访9603个市场主体。通过淮北市综合金融服务平台为517家企业线上授信50.18亿元。充分发挥政府性融资担保机构作用，新型政银担业务新增3.87亿元。创新推广“人才贷”“园区贷”等新型贷款业务，累计发放6867.9万元信用贷款。推进企业上市挂牌工作，修订完善《杜集区促进企业上市（挂牌）及直接融资若干政策》，今年已完成四板挂牌企业3家，推进股改企业1家。</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bCs w:val="0"/>
          <w:color w:val="auto"/>
          <w:sz w:val="32"/>
          <w:szCs w:val="32"/>
          <w:highlight w:val="none"/>
          <w:shd w:val="clear" w:color="auto" w:fill="FFFFFF"/>
          <w:lang w:val="en-US" w:eastAsia="zh-CN"/>
        </w:rPr>
        <w:t>（七）国资国企高效运行。</w:t>
      </w:r>
      <w:r>
        <w:rPr>
          <w:rFonts w:hint="default" w:ascii="Times New Roman" w:hAnsi="Times New Roman" w:eastAsia="仿宋_GB2312" w:cs="Times New Roman"/>
          <w:sz w:val="32"/>
          <w:szCs w:val="32"/>
        </w:rPr>
        <w:t>高度重视低效闲置资产清查盘活，最大限度发挥资产使用价值，推动资源高质高效利用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上半年</w:t>
      </w:r>
      <w:r>
        <w:rPr>
          <w:rFonts w:hint="eastAsia" w:ascii="Times New Roman" w:hAnsi="Times New Roman" w:eastAsia="仿宋_GB2312" w:cs="Times New Roman"/>
          <w:sz w:val="32"/>
          <w:szCs w:val="32"/>
          <w:lang w:val="en-US" w:eastAsia="zh-CN"/>
        </w:rPr>
        <w:t>全区累计</w:t>
      </w:r>
      <w:r>
        <w:rPr>
          <w:rFonts w:hint="default" w:ascii="Times New Roman" w:hAnsi="Times New Roman" w:eastAsia="仿宋_GB2312" w:cs="Times New Roman"/>
          <w:sz w:val="32"/>
          <w:szCs w:val="32"/>
          <w:lang w:val="en-US" w:eastAsia="zh-CN"/>
        </w:rPr>
        <w:t>盘活闲置资产730.35万元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区法院拆除闲置危房716平方米，实现旧貌换新颜，盘活土地</w:t>
      </w:r>
      <w:r>
        <w:rPr>
          <w:rFonts w:hint="eastAsia" w:ascii="Times New Roman" w:hAnsi="Times New Roman" w:eastAsia="仿宋_GB2312" w:cs="Times New Roman"/>
          <w:sz w:val="32"/>
          <w:szCs w:val="32"/>
          <w:lang w:val="en-US" w:eastAsia="zh-CN"/>
        </w:rPr>
        <w:t>资源；</w:t>
      </w:r>
      <w:r>
        <w:rPr>
          <w:rFonts w:hint="default" w:ascii="Times New Roman" w:hAnsi="Times New Roman" w:eastAsia="仿宋_GB2312" w:cs="Times New Roman"/>
          <w:sz w:val="32"/>
          <w:szCs w:val="32"/>
          <w:lang w:val="en-US" w:eastAsia="zh-CN"/>
        </w:rPr>
        <w:t>矿山集中心校调拨680余万元闲置图</w:t>
      </w:r>
      <w:r>
        <w:rPr>
          <w:rFonts w:hint="default" w:ascii="Times New Roman" w:hAnsi="Times New Roman" w:eastAsia="仿宋_GB2312" w:cs="Times New Roman"/>
          <w:sz w:val="32"/>
          <w:szCs w:val="32"/>
          <w:highlight w:val="none"/>
          <w:lang w:val="en-US" w:eastAsia="zh-CN"/>
        </w:rPr>
        <w:t>书、办公设备家具等至新成立幼儿园使用，合理盘活闲置资产。</w:t>
      </w:r>
      <w:r>
        <w:rPr>
          <w:rFonts w:hint="eastAsia" w:ascii="Times New Roman" w:hAnsi="Times New Roman" w:eastAsia="仿宋_GB2312" w:cs="Times New Roman"/>
          <w:sz w:val="32"/>
          <w:szCs w:val="32"/>
          <w:highlight w:val="none"/>
          <w:lang w:val="en-US" w:eastAsia="zh-CN"/>
        </w:rPr>
        <w:t>切实</w:t>
      </w:r>
      <w:r>
        <w:rPr>
          <w:rFonts w:hint="default" w:ascii="Times New Roman" w:hAnsi="Times New Roman" w:eastAsia="仿宋_GB2312" w:cs="Times New Roman"/>
          <w:sz w:val="32"/>
          <w:szCs w:val="32"/>
          <w:highlight w:val="none"/>
          <w:lang w:val="en-US" w:eastAsia="zh-CN"/>
        </w:rPr>
        <w:t>加强对国有企业监管与指导，</w:t>
      </w:r>
      <w:r>
        <w:rPr>
          <w:rFonts w:hint="default" w:ascii="Times New Roman" w:hAnsi="Times New Roman" w:eastAsia="仿宋_GB2312" w:cs="Times New Roman"/>
          <w:sz w:val="32"/>
          <w:szCs w:val="32"/>
          <w:highlight w:val="none"/>
        </w:rPr>
        <w:t>截至6月底东昱建投集团公司总资产196.04亿元，同比增长9.08%；营业收入6.02亿元，同比增长56.77%。有力地促进国有资产保值增值。</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bCs/>
          <w:sz w:val="32"/>
          <w:szCs w:val="32"/>
          <w:highlight w:val="none"/>
          <w:lang w:val="en-US" w:eastAsia="zh-CN"/>
        </w:rPr>
        <w:t>（八）惠民政策落地见效。</w:t>
      </w:r>
      <w:r>
        <w:rPr>
          <w:rFonts w:hint="default" w:ascii="Times New Roman" w:hAnsi="Times New Roman" w:eastAsia="仿宋_GB2312" w:cs="Times New Roman"/>
          <w:sz w:val="32"/>
          <w:szCs w:val="32"/>
          <w:highlight w:val="none"/>
          <w:lang w:val="en-US" w:eastAsia="zh-CN"/>
        </w:rPr>
        <w:t>全区共通过惠农补贴“一卡通.”平台发放3357.49万元，惠及2.43万农户。投入财政奖补资金380万元实施12个农村公益事业项目，改善农村基础设施和人居生活环境。引导地方金融机构扩大涉农领域信贷投放，上半年全区涉农贷款余额15.54亿元。持续深化党建引领信用村建设，累计授信7.91亿元；同时累计向官庄村、纵楼村等20家党支部引领合作集体授信4000万元。积极推进“劝耕贷”工作，上半年累计发放1318万元。着力推进政策性农业保险，</w:t>
      </w:r>
      <w:r>
        <w:rPr>
          <w:rFonts w:hint="eastAsia" w:ascii="Times New Roman" w:hAnsi="Times New Roman" w:eastAsia="仿宋_GB2312" w:cs="Times New Roman"/>
          <w:sz w:val="32"/>
          <w:szCs w:val="32"/>
          <w:highlight w:val="none"/>
          <w:lang w:val="en-US" w:eastAsia="zh-CN"/>
        </w:rPr>
        <w:t>上半年累计</w:t>
      </w:r>
      <w:r>
        <w:rPr>
          <w:rFonts w:hint="default" w:ascii="Times New Roman" w:hAnsi="Times New Roman" w:eastAsia="仿宋_GB2312" w:cs="Times New Roman"/>
          <w:sz w:val="32"/>
          <w:szCs w:val="32"/>
          <w:highlight w:val="none"/>
          <w:lang w:val="en-US" w:eastAsia="zh-CN"/>
        </w:rPr>
        <w:t>承保214.13万元，理赔43.82万元；为村集体经济组织设施财产投保3500万元</w:t>
      </w:r>
      <w:r>
        <w:rPr>
          <w:rFonts w:hint="eastAsia" w:ascii="Times New Roman" w:hAnsi="Times New Roman" w:eastAsia="仿宋_GB2312" w:cs="Times New Roman"/>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三、面临的困难和问题</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bCs/>
          <w:color w:val="auto"/>
          <w:kern w:val="0"/>
          <w:sz w:val="32"/>
          <w:szCs w:val="32"/>
          <w:highlight w:val="none"/>
          <w:u w:val="none"/>
          <w:lang w:val="en-US" w:eastAsia="zh-CN"/>
        </w:rPr>
      </w:pPr>
      <w:r>
        <w:rPr>
          <w:rFonts w:hint="default" w:ascii="Times New Roman" w:hAnsi="Times New Roman" w:eastAsia="楷体_GB2312" w:cs="Times New Roman"/>
          <w:b/>
          <w:bCs/>
          <w:kern w:val="2"/>
          <w:sz w:val="32"/>
          <w:szCs w:val="32"/>
          <w:highlight w:val="none"/>
          <w:lang w:val="en-US" w:eastAsia="zh-CN" w:bidi="ar-SA"/>
        </w:rPr>
        <w:t>（一）重点企业税收大幅下降。</w:t>
      </w:r>
      <w:r>
        <w:rPr>
          <w:rFonts w:hint="default" w:ascii="Times New Roman" w:hAnsi="Times New Roman" w:eastAsia="仿宋_GB2312" w:cs="Times New Roman"/>
          <w:b w:val="0"/>
          <w:bCs w:val="0"/>
          <w:sz w:val="32"/>
          <w:szCs w:val="32"/>
          <w:highlight w:val="none"/>
          <w:lang w:val="en-US" w:eastAsia="zh-CN"/>
        </w:rPr>
        <w:t>重点行业税收降幅明显，因水泥成本上升，水泥行业税收大幅下滑。随着辖区内煤矿企业逐步关停，煤炭行业税收也在减少；</w:t>
      </w:r>
      <w:r>
        <w:rPr>
          <w:rFonts w:hint="default" w:ascii="Times New Roman" w:hAnsi="Times New Roman" w:eastAsia="仿宋_GB2312" w:cs="Times New Roman"/>
          <w:bCs/>
          <w:color w:val="auto"/>
          <w:kern w:val="0"/>
          <w:sz w:val="32"/>
          <w:szCs w:val="32"/>
          <w:highlight w:val="none"/>
          <w:u w:val="none"/>
          <w:lang w:val="en-US" w:eastAsia="zh-CN"/>
        </w:rPr>
        <w:t>房地产、建筑行业也呈低迷状态，造成我区主体税源大幅下降。同时，辖区非税收入增长乏力，无法形成有效财力。</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楷体_GB2312" w:cs="Times New Roman"/>
          <w:b/>
          <w:bCs/>
          <w:kern w:val="2"/>
          <w:sz w:val="32"/>
          <w:szCs w:val="32"/>
          <w:highlight w:val="none"/>
          <w:lang w:val="en-US" w:eastAsia="zh-CN" w:bidi="ar-SA"/>
        </w:rPr>
        <w:t>（二）财政支出压力显著加大。</w:t>
      </w:r>
      <w:r>
        <w:rPr>
          <w:rFonts w:hint="default" w:ascii="Times New Roman" w:hAnsi="Times New Roman" w:eastAsia="仿宋_GB2312" w:cs="Times New Roman"/>
          <w:sz w:val="32"/>
          <w:szCs w:val="32"/>
          <w:highlight w:val="none"/>
          <w:lang w:val="en-US" w:eastAsia="zh-CN"/>
        </w:rPr>
        <w:t>支持稳岗就业、民生保障、助企纾困、乡村振兴等刚性支出加大。基层保运转压力加大，财政收入难以满足支出增长需求，收支矛盾空前加剧。</w:t>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楷体_GB2312" w:cs="Times New Roman"/>
          <w:b/>
          <w:bCs/>
          <w:kern w:val="2"/>
          <w:sz w:val="32"/>
          <w:szCs w:val="32"/>
          <w:highlight w:val="none"/>
          <w:lang w:val="en-US" w:eastAsia="zh-CN" w:bidi="ar-SA"/>
        </w:rPr>
      </w:pPr>
      <w:r>
        <w:rPr>
          <w:rFonts w:hint="default" w:ascii="Times New Roman" w:hAnsi="Times New Roman" w:eastAsia="楷体_GB2312" w:cs="Times New Roman"/>
          <w:b/>
          <w:bCs/>
          <w:kern w:val="2"/>
          <w:sz w:val="32"/>
          <w:szCs w:val="32"/>
          <w:highlight w:val="none"/>
          <w:lang w:val="en-US" w:eastAsia="zh-CN" w:bidi="ar-SA"/>
        </w:rPr>
        <w:t>（三）零基预算改革仍需加强。</w:t>
      </w:r>
      <w:r>
        <w:rPr>
          <w:rFonts w:hint="default" w:ascii="Times New Roman" w:hAnsi="Times New Roman" w:eastAsia="仿宋_GB2312" w:cs="Times New Roman"/>
          <w:b w:val="0"/>
          <w:bCs w:val="0"/>
          <w:color w:val="000000"/>
          <w:sz w:val="32"/>
          <w:szCs w:val="32"/>
          <w:highlight w:val="none"/>
          <w:lang w:val="en-US" w:eastAsia="zh-CN"/>
        </w:rPr>
        <w:t>一些领域支出固化现象仍然存在；预算执行刚性有待加强；预算绩效评价结果反馈应用不够，与预算安排挂钩不够紧，一些项目设置不够科学严谨，还有压缩空间。</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四、下一步工作重点</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下一步，我们</w:t>
      </w:r>
      <w:r>
        <w:rPr>
          <w:rFonts w:hint="default" w:ascii="Times New Roman" w:hAnsi="Times New Roman" w:eastAsia="仿宋_GB2312" w:cs="Times New Roman"/>
          <w:sz w:val="32"/>
          <w:szCs w:val="32"/>
          <w:highlight w:val="none"/>
          <w:lang w:val="en-US" w:eastAsia="zh-CN"/>
        </w:rPr>
        <w:t>将在区委的坚强领导下，</w:t>
      </w:r>
      <w:r>
        <w:rPr>
          <w:rFonts w:hint="default" w:ascii="Times New Roman" w:hAnsi="Times New Roman" w:eastAsia="仿宋_GB2312" w:cs="Times New Roman"/>
          <w:sz w:val="32"/>
          <w:szCs w:val="32"/>
          <w:highlight w:val="none"/>
        </w:rPr>
        <w:t>在区人大及其常委会的监督支持下，全面贯彻党的二十大精神，认真落实中央</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省市</w:t>
      </w:r>
      <w:r>
        <w:rPr>
          <w:rFonts w:hint="default" w:ascii="Times New Roman" w:hAnsi="Times New Roman" w:eastAsia="仿宋_GB2312" w:cs="Times New Roman"/>
          <w:sz w:val="32"/>
          <w:szCs w:val="32"/>
          <w:highlight w:val="none"/>
        </w:rPr>
        <w:t>经济工作会议精神，严格执行</w:t>
      </w:r>
      <w:r>
        <w:rPr>
          <w:rFonts w:hint="default" w:ascii="Times New Roman" w:hAnsi="Times New Roman" w:eastAsia="仿宋_GB2312" w:cs="Times New Roman"/>
          <w:sz w:val="32"/>
          <w:szCs w:val="32"/>
          <w:highlight w:val="none"/>
          <w:lang w:val="en-US" w:eastAsia="zh-CN"/>
        </w:rPr>
        <w:t>区</w:t>
      </w:r>
      <w:r>
        <w:rPr>
          <w:rFonts w:hint="default" w:ascii="Times New Roman" w:hAnsi="Times New Roman" w:eastAsia="仿宋_GB2312" w:cs="Times New Roman"/>
          <w:sz w:val="32"/>
          <w:szCs w:val="32"/>
          <w:highlight w:val="none"/>
        </w:rPr>
        <w:t>人大批准的预算，坚持稳字当头、稳中求进，实施好积极的财政政策，着力推动经济运行整体好转</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推动财政改革发展行稳致远。重点做好以下工作：</w:t>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cs="Times New Roman"/>
          <w:b w:val="0"/>
          <w:bCs w:val="0"/>
          <w:highlight w:val="none"/>
          <w:lang w:val="en-US" w:eastAsia="zh-CN"/>
        </w:rPr>
      </w:pPr>
      <w:r>
        <w:rPr>
          <w:rFonts w:hint="default" w:ascii="Times New Roman" w:hAnsi="Times New Roman" w:eastAsia="楷体_GB2312" w:cs="Times New Roman"/>
          <w:b/>
          <w:bCs/>
          <w:i w:val="0"/>
          <w:iCs w:val="0"/>
          <w:caps w:val="0"/>
          <w:color w:val="auto"/>
          <w:spacing w:val="0"/>
          <w:sz w:val="32"/>
          <w:szCs w:val="32"/>
          <w:highlight w:val="none"/>
          <w:shd w:val="clear" w:color="auto" w:fill="FFFFFF"/>
          <w:lang w:val="en-US" w:eastAsia="zh-CN"/>
        </w:rPr>
        <w:t>（一）千方百计增加收入。</w:t>
      </w:r>
      <w:r>
        <w:rPr>
          <w:rFonts w:hint="default" w:ascii="Times New Roman" w:hAnsi="Times New Roman" w:eastAsia="仿宋_GB2312" w:cs="Times New Roman"/>
          <w:b/>
          <w:bCs/>
          <w:kern w:val="2"/>
          <w:sz w:val="32"/>
          <w:szCs w:val="32"/>
          <w:highlight w:val="none"/>
          <w:lang w:val="en-US" w:eastAsia="zh-CN" w:bidi="ar-SA"/>
        </w:rPr>
        <w:t>一是</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eastAsia="zh-CN"/>
        </w:rPr>
        <w:t>加强</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val="en-US" w:eastAsia="zh-CN"/>
        </w:rPr>
        <w:t>税收</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eastAsia="zh-CN"/>
        </w:rPr>
        <w:t>收入工作，排查</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val="en-US" w:eastAsia="zh-CN"/>
        </w:rPr>
        <w:t>重点领域</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eastAsia="zh-CN"/>
        </w:rPr>
        <w:t>新的</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val="en-US" w:eastAsia="zh-CN"/>
        </w:rPr>
        <w:t>税源</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eastAsia="zh-CN"/>
        </w:rPr>
        <w:t>增长点，</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val="en-US" w:eastAsia="zh-CN"/>
        </w:rPr>
        <w:t>特别是房地产领域，协同税务机关加大摸排力度，强化举措，</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eastAsia="zh-CN"/>
        </w:rPr>
        <w:t>确保</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val="en-US" w:eastAsia="zh-CN"/>
        </w:rPr>
        <w:t>辖区税收</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eastAsia="zh-CN"/>
        </w:rPr>
        <w:t>应收尽收；</w:t>
      </w:r>
      <w:r>
        <w:rPr>
          <w:rFonts w:hint="default" w:ascii="Times New Roman" w:hAnsi="Times New Roman" w:eastAsia="仿宋_GB2312" w:cs="Times New Roman"/>
          <w:b/>
          <w:bCs/>
          <w:i w:val="0"/>
          <w:iCs w:val="0"/>
          <w:caps w:val="0"/>
          <w:color w:val="auto"/>
          <w:spacing w:val="0"/>
          <w:sz w:val="32"/>
          <w:szCs w:val="32"/>
          <w:highlight w:val="none"/>
          <w:shd w:val="clear" w:color="auto" w:fill="FFFFFF"/>
          <w:lang w:val="en-US" w:eastAsia="zh-CN"/>
        </w:rPr>
        <w:t>二是</w:t>
      </w:r>
      <w:r>
        <w:rPr>
          <w:rFonts w:hint="default" w:ascii="Times New Roman" w:hAnsi="Times New Roman" w:eastAsia="仿宋_GB2312" w:cs="Times New Roman"/>
          <w:b w:val="0"/>
          <w:bCs w:val="0"/>
          <w:kern w:val="2"/>
          <w:sz w:val="32"/>
          <w:szCs w:val="32"/>
          <w:highlight w:val="none"/>
          <w:lang w:val="en-US" w:eastAsia="zh-CN" w:bidi="ar-SA"/>
        </w:rPr>
        <w:t>加强对</w:t>
      </w:r>
      <w:r>
        <w:rPr>
          <w:rFonts w:hint="default" w:ascii="Times New Roman" w:hAnsi="Times New Roman" w:eastAsia="仿宋_GB2312" w:cs="Times New Roman"/>
          <w:b w:val="0"/>
          <w:bCs w:val="0"/>
          <w:sz w:val="32"/>
          <w:szCs w:val="32"/>
          <w:highlight w:val="none"/>
          <w:lang w:val="en-US" w:eastAsia="zh-CN"/>
        </w:rPr>
        <w:t>水泥行业、装备制造业、煤炭和建筑行业等的监控，及时了解运营状况，适时</w:t>
      </w:r>
      <w:r>
        <w:rPr>
          <w:rFonts w:hint="default" w:ascii="Times New Roman" w:hAnsi="Times New Roman" w:eastAsia="仿宋_GB2312" w:cs="Times New Roman"/>
          <w:sz w:val="32"/>
          <w:szCs w:val="32"/>
          <w:highlight w:val="none"/>
          <w:lang w:val="en-US" w:eastAsia="zh-CN"/>
        </w:rPr>
        <w:t>做出分析研判，保障税收及时入库；</w:t>
      </w:r>
      <w:r>
        <w:rPr>
          <w:rFonts w:hint="default" w:ascii="Times New Roman" w:hAnsi="Times New Roman" w:eastAsia="仿宋_GB2312" w:cs="Times New Roman"/>
          <w:b/>
          <w:bCs/>
          <w:sz w:val="32"/>
          <w:szCs w:val="32"/>
          <w:highlight w:val="none"/>
          <w:lang w:val="en-US" w:eastAsia="zh-CN"/>
        </w:rPr>
        <w:t>三是</w:t>
      </w:r>
      <w:r>
        <w:rPr>
          <w:rFonts w:hint="default" w:ascii="Times New Roman" w:hAnsi="Times New Roman" w:eastAsia="仿宋_GB2312" w:cs="Times New Roman"/>
          <w:b w:val="0"/>
          <w:bCs w:val="0"/>
          <w:color w:val="auto"/>
          <w:kern w:val="2"/>
          <w:sz w:val="32"/>
          <w:szCs w:val="32"/>
          <w:highlight w:val="none"/>
          <w:lang w:val="en-US" w:eastAsia="zh-CN" w:bidi="ar-SA"/>
        </w:rPr>
        <w:t>积极培育新税源，</w:t>
      </w:r>
      <w:r>
        <w:rPr>
          <w:rFonts w:hint="default" w:ascii="Times New Roman" w:hAnsi="Times New Roman" w:eastAsia="仿宋_GB2312" w:cs="Times New Roman"/>
          <w:b w:val="0"/>
          <w:bCs w:val="0"/>
          <w:kern w:val="2"/>
          <w:sz w:val="32"/>
          <w:szCs w:val="32"/>
          <w:highlight w:val="none"/>
          <w:lang w:val="en-US" w:eastAsia="zh-CN" w:bidi="ar-SA"/>
        </w:rPr>
        <w:t>加大对新入规企业和新招商引资企业税收服务和保障，全区重大项目建立台账化管理，明确责任人和管理责任，确保一次性税源应收尽收</w:t>
      </w:r>
      <w:r>
        <w:rPr>
          <w:rFonts w:hint="default" w:ascii="Times New Roman" w:hAnsi="Times New Roman"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bCs/>
          <w:color w:val="auto"/>
          <w:kern w:val="2"/>
          <w:sz w:val="32"/>
          <w:szCs w:val="32"/>
          <w:highlight w:val="none"/>
          <w:lang w:val="en-US" w:eastAsia="zh-CN" w:bidi="ar-SA"/>
        </w:rPr>
        <w:t>四</w:t>
      </w:r>
      <w:r>
        <w:rPr>
          <w:rFonts w:hint="default" w:ascii="Times New Roman" w:hAnsi="Times New Roman" w:eastAsia="仿宋_GB2312" w:cs="Times New Roman"/>
          <w:b/>
          <w:bCs/>
          <w:color w:val="auto"/>
          <w:sz w:val="32"/>
          <w:szCs w:val="32"/>
          <w:highlight w:val="none"/>
          <w:lang w:val="en-US" w:eastAsia="zh-CN"/>
        </w:rPr>
        <w:t>是</w:t>
      </w:r>
      <w:r>
        <w:rPr>
          <w:rFonts w:hint="default" w:ascii="Times New Roman" w:hAnsi="Times New Roman" w:eastAsia="仿宋_GB2312" w:cs="Times New Roman"/>
          <w:b w:val="0"/>
          <w:bCs w:val="0"/>
          <w:sz w:val="32"/>
          <w:szCs w:val="32"/>
          <w:highlight w:val="none"/>
          <w:lang w:val="en-US" w:eastAsia="zh-CN"/>
        </w:rPr>
        <w:t>统筹保障非税收入，</w:t>
      </w:r>
      <w:r>
        <w:rPr>
          <w:rFonts w:hint="default" w:ascii="Times New Roman" w:hAnsi="Times New Roman" w:eastAsia="仿宋_GB2312" w:cs="Times New Roman"/>
          <w:sz w:val="32"/>
          <w:szCs w:val="32"/>
          <w:highlight w:val="none"/>
          <w:lang w:val="en-US" w:eastAsia="zh-CN"/>
        </w:rPr>
        <w:t>确保资源税、罚没款、国有资产处置收入足额上缴国库；</w:t>
      </w:r>
      <w:r>
        <w:rPr>
          <w:rFonts w:hint="default" w:ascii="Times New Roman" w:hAnsi="Times New Roman" w:eastAsia="仿宋_GB2312" w:cs="Times New Roman"/>
          <w:b/>
          <w:bCs/>
          <w:sz w:val="32"/>
          <w:szCs w:val="32"/>
          <w:highlight w:val="none"/>
          <w:lang w:val="en-US" w:eastAsia="zh-CN"/>
        </w:rPr>
        <w:t>五是</w:t>
      </w:r>
      <w:r>
        <w:rPr>
          <w:rFonts w:hint="default" w:ascii="Times New Roman" w:hAnsi="Times New Roman" w:eastAsia="仿宋_GB2312" w:cs="Times New Roman"/>
          <w:b w:val="0"/>
          <w:bCs w:val="0"/>
          <w:sz w:val="32"/>
          <w:szCs w:val="32"/>
          <w:highlight w:val="none"/>
          <w:lang w:val="en-US" w:eastAsia="zh-CN"/>
        </w:rPr>
        <w:t>落实皖北“两个加快”，加大向省市协调，争取更多项目和资金；积极处理与市财政局遗留问题，挖掘更多财力。</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b/>
          <w:bCs/>
          <w:i w:val="0"/>
          <w:iCs w:val="0"/>
          <w:caps w:val="0"/>
          <w:color w:val="auto"/>
          <w:spacing w:val="0"/>
          <w:sz w:val="32"/>
          <w:szCs w:val="32"/>
          <w:highlight w:val="none"/>
          <w:shd w:val="clear" w:color="auto" w:fill="FFFFFF"/>
          <w:lang w:val="en-US" w:eastAsia="zh-CN"/>
        </w:rPr>
        <w:t>（二）切实提高支出效率。</w:t>
      </w:r>
      <w:r>
        <w:rPr>
          <w:rFonts w:hint="default" w:ascii="Times New Roman" w:hAnsi="Times New Roman" w:eastAsia="仿宋_GB2312" w:cs="Times New Roman"/>
          <w:bCs/>
          <w:color w:val="auto"/>
          <w:kern w:val="0"/>
          <w:sz w:val="32"/>
          <w:szCs w:val="32"/>
          <w:highlight w:val="none"/>
          <w:u w:val="none"/>
          <w:lang w:val="en-US" w:eastAsia="zh-CN"/>
        </w:rPr>
        <w:t>加大财政支出强度，保障基层政府正常运转、各项民生支出“不打折扣”。</w:t>
      </w:r>
      <w:r>
        <w:rPr>
          <w:rFonts w:hint="default" w:ascii="Times New Roman" w:hAnsi="Times New Roman" w:eastAsia="仿宋_GB2312" w:cs="Times New Roman"/>
          <w:b w:val="0"/>
          <w:bCs w:val="0"/>
          <w:i w:val="0"/>
          <w:iCs w:val="0"/>
          <w:caps w:val="0"/>
          <w:color w:val="auto"/>
          <w:spacing w:val="0"/>
          <w:sz w:val="32"/>
          <w:szCs w:val="32"/>
          <w:highlight w:val="none"/>
          <w:shd w:val="clear" w:color="auto" w:fill="FFFFFF"/>
          <w:lang w:val="en-US" w:eastAsia="zh-CN"/>
        </w:rPr>
        <w:t>优先足额保障“三保”支出，着力保障教育、医疗、科技、就业等民生领域的资金需求，不断增进民生福祉，提升财政资源配置效率和资金使用效益。</w:t>
      </w:r>
      <w:r>
        <w:rPr>
          <w:rFonts w:hint="default" w:ascii="Times New Roman" w:hAnsi="Times New Roman" w:eastAsia="仿宋_GB2312" w:cs="Times New Roman"/>
          <w:spacing w:val="8"/>
          <w:sz w:val="32"/>
          <w:szCs w:val="32"/>
          <w:highlight w:val="none"/>
          <w:lang w:val="en-US" w:eastAsia="zh-CN"/>
        </w:rPr>
        <w:t>进一步坚持党政机关过紧日子要求，</w:t>
      </w:r>
      <w:r>
        <w:rPr>
          <w:rFonts w:hint="default" w:ascii="Times New Roman" w:hAnsi="Times New Roman" w:eastAsia="仿宋_GB2312" w:cs="Times New Roman"/>
          <w:b w:val="0"/>
          <w:bCs w:val="0"/>
          <w:kern w:val="2"/>
          <w:sz w:val="32"/>
          <w:szCs w:val="32"/>
          <w:highlight w:val="none"/>
          <w:lang w:val="en-US" w:eastAsia="zh-CN" w:bidi="ar-SA"/>
        </w:rPr>
        <w:t>从严控制一般性支出，强化“三公”经费预算管理，进一步完善优化项目，把更多财政资源腾出来用于</w:t>
      </w:r>
      <w:r>
        <w:rPr>
          <w:rFonts w:hint="default" w:ascii="Times New Roman" w:hAnsi="Times New Roman" w:eastAsia="仿宋_GB2312" w:cs="Times New Roman"/>
          <w:b w:val="0"/>
          <w:bCs w:val="0"/>
          <w:color w:val="auto"/>
          <w:kern w:val="2"/>
          <w:sz w:val="32"/>
          <w:szCs w:val="32"/>
          <w:highlight w:val="none"/>
          <w:lang w:val="en-US" w:eastAsia="zh-CN" w:bidi="ar-SA"/>
        </w:rPr>
        <w:t>保障区委、区政府重点项目建设上来。</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3" w:firstLineChars="200"/>
        <w:jc w:val="both"/>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（三）深入开展财会监督。</w:t>
      </w:r>
      <w:r>
        <w:rPr>
          <w:rFonts w:hint="default" w:ascii="Times New Roman" w:hAnsi="Times New Roman" w:eastAsia="仿宋_GB2312" w:cs="Times New Roman"/>
          <w:color w:val="auto"/>
          <w:sz w:val="32"/>
          <w:szCs w:val="32"/>
          <w:highlight w:val="none"/>
          <w:lang w:val="en-US" w:eastAsia="zh-CN"/>
        </w:rPr>
        <w:t>严格贯彻落实中共中央办公厅、国务院办公厅《关于进一步加强财会监督工作的意见》精神，主动承担起规范财政财务管理、提高会计信息质量、维护财经纪律和市场经济秩序等方面的重要保障作用。将财政工作</w:t>
      </w:r>
      <w:r>
        <w:rPr>
          <w:rFonts w:hint="default" w:ascii="Times New Roman" w:hAnsi="Times New Roman" w:eastAsia="仿宋_GB2312" w:cs="Times New Roman"/>
          <w:b w:val="0"/>
          <w:bCs w:val="0"/>
          <w:color w:val="auto"/>
          <w:sz w:val="32"/>
          <w:szCs w:val="32"/>
          <w:highlight w:val="none"/>
          <w:lang w:val="en-US" w:eastAsia="zh-CN"/>
        </w:rPr>
        <w:t>各领域、范围都纳入财会监督对象，充分发挥财政监督在预防风险和规范管理上的作用，</w:t>
      </w:r>
      <w:r>
        <w:rPr>
          <w:rFonts w:hint="default" w:ascii="Times New Roman" w:hAnsi="Times New Roman" w:eastAsia="仿宋_GB2312" w:cs="Times New Roman"/>
          <w:color w:val="auto"/>
          <w:sz w:val="32"/>
          <w:szCs w:val="32"/>
          <w:highlight w:val="none"/>
          <w:lang w:val="en-US" w:eastAsia="zh-CN"/>
        </w:rPr>
        <w:t>特别是在中央直达资金、乡镇财政资金、惠农补贴资金、财务管理、三公经费管理等方面。健全奖惩机制，真正起到财会监督作用。</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3" w:firstLineChars="200"/>
        <w:jc w:val="both"/>
        <w:textAlignment w:val="auto"/>
        <w:outlineLvl w:val="9"/>
        <w:rPr>
          <w:rFonts w:hint="default" w:ascii="Times New Roman" w:hAnsi="Times New Roman" w:cs="Times New Roman"/>
          <w:highlight w:val="yellow"/>
          <w:lang w:val="en-US" w:eastAsia="zh-CN"/>
        </w:rPr>
      </w:pPr>
      <w:r>
        <w:rPr>
          <w:rFonts w:hint="default" w:ascii="Times New Roman" w:hAnsi="Times New Roman" w:eastAsia="楷体_GB2312" w:cs="Times New Roman"/>
          <w:b/>
          <w:bCs/>
          <w:sz w:val="32"/>
          <w:szCs w:val="32"/>
          <w:highlight w:val="none"/>
          <w:shd w:val="clear" w:color="auto" w:fill="FFFFFF"/>
          <w:lang w:eastAsia="zh-CN"/>
        </w:rPr>
        <w:t>（</w:t>
      </w:r>
      <w:r>
        <w:rPr>
          <w:rFonts w:hint="default" w:ascii="Times New Roman" w:hAnsi="Times New Roman" w:eastAsia="楷体_GB2312" w:cs="Times New Roman"/>
          <w:b/>
          <w:bCs/>
          <w:sz w:val="32"/>
          <w:szCs w:val="32"/>
          <w:highlight w:val="none"/>
          <w:shd w:val="clear" w:color="auto" w:fill="FFFFFF"/>
          <w:lang w:val="en-US" w:eastAsia="zh-CN"/>
        </w:rPr>
        <w:t>四</w:t>
      </w:r>
      <w:r>
        <w:rPr>
          <w:rFonts w:hint="default" w:ascii="Times New Roman" w:hAnsi="Times New Roman" w:eastAsia="楷体_GB2312" w:cs="Times New Roman"/>
          <w:b/>
          <w:bCs/>
          <w:sz w:val="32"/>
          <w:szCs w:val="32"/>
          <w:highlight w:val="none"/>
          <w:shd w:val="clear" w:color="auto" w:fill="FFFFFF"/>
          <w:lang w:eastAsia="zh-CN"/>
        </w:rPr>
        <w:t>）</w:t>
      </w:r>
      <w:r>
        <w:rPr>
          <w:rFonts w:hint="default" w:ascii="Times New Roman" w:hAnsi="Times New Roman" w:eastAsia="楷体_GB2312" w:cs="Times New Roman"/>
          <w:b/>
          <w:bCs/>
          <w:sz w:val="32"/>
          <w:szCs w:val="32"/>
          <w:highlight w:val="none"/>
          <w:shd w:val="clear" w:color="auto" w:fill="FFFFFF"/>
        </w:rPr>
        <w:t>规范政府债务管理</w:t>
      </w:r>
      <w:r>
        <w:rPr>
          <w:rFonts w:hint="default" w:ascii="Times New Roman" w:hAnsi="Times New Roman" w:eastAsia="楷体_GB2312" w:cs="Times New Roman"/>
          <w:b/>
          <w:bCs/>
          <w:sz w:val="32"/>
          <w:szCs w:val="32"/>
          <w:highlight w:val="none"/>
          <w:shd w:val="clear" w:color="auto" w:fill="FFFFFF"/>
          <w:lang w:eastAsia="zh-CN"/>
        </w:rPr>
        <w:t>。</w:t>
      </w:r>
      <w:r>
        <w:rPr>
          <w:rFonts w:hint="default" w:ascii="Times New Roman" w:hAnsi="Times New Roman" w:eastAsia="仿宋_GB2312" w:cs="Times New Roman"/>
          <w:b w:val="0"/>
          <w:bCs w:val="0"/>
          <w:color w:val="auto"/>
          <w:sz w:val="32"/>
          <w:szCs w:val="32"/>
          <w:highlight w:val="none"/>
          <w:lang w:val="en-US" w:eastAsia="zh-CN"/>
        </w:rPr>
        <w:t>强化债</w:t>
      </w:r>
      <w:r>
        <w:rPr>
          <w:rFonts w:hint="eastAsia" w:ascii="Times New Roman" w:hAnsi="Times New Roman" w:eastAsia="仿宋_GB2312" w:cs="Times New Roman"/>
          <w:b w:val="0"/>
          <w:bCs w:val="0"/>
          <w:color w:val="auto"/>
          <w:sz w:val="32"/>
          <w:szCs w:val="32"/>
          <w:highlight w:val="none"/>
          <w:lang w:val="en-US" w:eastAsia="zh-CN"/>
        </w:rPr>
        <w:t>券</w:t>
      </w:r>
      <w:r>
        <w:rPr>
          <w:rFonts w:hint="default" w:ascii="Times New Roman" w:hAnsi="Times New Roman" w:eastAsia="仿宋_GB2312" w:cs="Times New Roman"/>
          <w:b w:val="0"/>
          <w:bCs w:val="0"/>
          <w:color w:val="auto"/>
          <w:sz w:val="32"/>
          <w:szCs w:val="32"/>
          <w:highlight w:val="none"/>
          <w:lang w:val="en-US" w:eastAsia="zh-CN"/>
        </w:rPr>
        <w:t>资金使用监管，提高专项债券资金使用效益，紧盯债券资金使用方向，建立</w:t>
      </w:r>
      <w:r>
        <w:rPr>
          <w:rFonts w:hint="eastAsia" w:ascii="Times New Roman" w:hAnsi="Times New Roman" w:eastAsia="仿宋_GB2312" w:cs="Times New Roman"/>
          <w:b w:val="0"/>
          <w:bCs w:val="0"/>
          <w:color w:val="auto"/>
          <w:sz w:val="32"/>
          <w:szCs w:val="32"/>
          <w:highlight w:val="none"/>
          <w:lang w:val="en-US" w:eastAsia="zh-CN"/>
        </w:rPr>
        <w:t>专项</w:t>
      </w:r>
      <w:r>
        <w:rPr>
          <w:rFonts w:hint="default" w:ascii="Times New Roman" w:hAnsi="Times New Roman" w:eastAsia="仿宋_GB2312" w:cs="Times New Roman"/>
          <w:b w:val="0"/>
          <w:bCs w:val="0"/>
          <w:color w:val="auto"/>
          <w:sz w:val="32"/>
          <w:szCs w:val="32"/>
          <w:highlight w:val="none"/>
          <w:lang w:val="en-US" w:eastAsia="zh-CN"/>
        </w:rPr>
        <w:t>债券项目动态监测机制，确保</w:t>
      </w:r>
      <w:r>
        <w:rPr>
          <w:rFonts w:hint="eastAsia" w:ascii="Times New Roman" w:hAnsi="Times New Roman" w:eastAsia="仿宋_GB2312" w:cs="Times New Roman"/>
          <w:b w:val="0"/>
          <w:bCs w:val="0"/>
          <w:color w:val="auto"/>
          <w:sz w:val="32"/>
          <w:szCs w:val="32"/>
          <w:highlight w:val="none"/>
          <w:lang w:val="en-US" w:eastAsia="zh-CN"/>
        </w:rPr>
        <w:t>专项</w:t>
      </w:r>
      <w:r>
        <w:rPr>
          <w:rFonts w:hint="default" w:ascii="Times New Roman" w:hAnsi="Times New Roman" w:eastAsia="仿宋_GB2312" w:cs="Times New Roman"/>
          <w:b w:val="0"/>
          <w:bCs w:val="0"/>
          <w:color w:val="auto"/>
          <w:sz w:val="32"/>
          <w:szCs w:val="32"/>
          <w:highlight w:val="none"/>
          <w:lang w:val="en-US" w:eastAsia="zh-CN"/>
        </w:rPr>
        <w:t>债券资金使用合法合规。强化债务风险管理，高度关注政府债务率、利息支出等各项指标运行情况，提前做好风险预测评估工作，及时排查风险点，坚守政府债务</w:t>
      </w:r>
      <w:r>
        <w:rPr>
          <w:rFonts w:hint="eastAsia" w:ascii="Times New Roman" w:hAnsi="Times New Roman" w:eastAsia="仿宋_GB2312" w:cs="Times New Roman"/>
          <w:b w:val="0"/>
          <w:bCs w:val="0"/>
          <w:color w:val="auto"/>
          <w:sz w:val="32"/>
          <w:szCs w:val="32"/>
          <w:highlight w:val="none"/>
          <w:lang w:val="en-US" w:eastAsia="zh-CN"/>
        </w:rPr>
        <w:t>风险</w:t>
      </w:r>
      <w:r>
        <w:rPr>
          <w:rFonts w:hint="default" w:ascii="Times New Roman" w:hAnsi="Times New Roman" w:eastAsia="仿宋_GB2312" w:cs="Times New Roman"/>
          <w:b w:val="0"/>
          <w:bCs w:val="0"/>
          <w:color w:val="auto"/>
          <w:sz w:val="32"/>
          <w:szCs w:val="32"/>
          <w:highlight w:val="none"/>
          <w:lang w:val="en-US" w:eastAsia="zh-CN"/>
        </w:rPr>
        <w:t>防范底线。</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3" w:firstLineChars="200"/>
        <w:jc w:val="both"/>
        <w:textAlignment w:val="auto"/>
        <w:outlineLvl w:val="9"/>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（五）不断优化营商环境。</w:t>
      </w:r>
      <w:r>
        <w:rPr>
          <w:rFonts w:hint="default" w:ascii="Times New Roman" w:hAnsi="Times New Roman" w:eastAsia="仿宋_GB2312" w:cs="Times New Roman"/>
          <w:b w:val="0"/>
          <w:bCs w:val="0"/>
          <w:color w:val="auto"/>
          <w:sz w:val="32"/>
          <w:szCs w:val="32"/>
          <w:highlight w:val="none"/>
          <w:lang w:val="en-US" w:eastAsia="zh-CN"/>
        </w:rPr>
        <w:t>严格落实各种财政税收政策，及时兑现奖补资金。扎实开展“五进”活动，搭建政银企平台，用好政府性融资担保政策，畅通中小微企业、个体工商户融资渠道。加大小微贷款支持力度，深入推进“园区贷”“科技贷”“人才贷”“商会贷”等新型贷款业务，切实解决企业融资难题。推进企业上市挂牌工作，加强对接帮扶，做到一企一策，持续做好跟踪服务，提高企业上市挂牌意愿，拓宽企业融资渠道。</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（六）加强国资国企监管。</w:t>
      </w:r>
      <w:r>
        <w:rPr>
          <w:rFonts w:hint="default" w:ascii="Times New Roman" w:hAnsi="Times New Roman" w:eastAsia="仿宋_GB2312" w:cs="Times New Roman"/>
          <w:sz w:val="32"/>
          <w:szCs w:val="32"/>
          <w:highlight w:val="none"/>
          <w:lang w:val="en-US" w:eastAsia="zh-CN"/>
        </w:rPr>
        <w:t>促进国有资产提质增效，健全各项规章制度，对国有资产进行公开透明运作。持续开展资产信息化管理，整合各项闲置资源。继续强化部门管理职责，深化人大监督、社会监督，使国有资产管理在阳光下运行。继续深化国有企业改革，加快优化国有经济布局结构，增强服务功能作用。加快完善特色国有企业现代化公司治理，深化国企改革三年行动成果，推动国有企业做大做强。</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楷体_GB2312" w:cs="Times New Roman"/>
          <w:b/>
          <w:bCs/>
          <w:kern w:val="2"/>
          <w:sz w:val="32"/>
          <w:szCs w:val="32"/>
          <w:highlight w:val="none"/>
          <w:lang w:val="en-US" w:eastAsia="zh-CN" w:bidi="ar-SA"/>
        </w:rPr>
        <w:t>（七）加强机关作风建设。</w:t>
      </w:r>
      <w:r>
        <w:rPr>
          <w:rFonts w:hint="default" w:ascii="Times New Roman" w:hAnsi="Times New Roman" w:eastAsia="仿宋_GB2312" w:cs="Times New Roman"/>
          <w:b w:val="0"/>
          <w:bCs w:val="0"/>
          <w:kern w:val="2"/>
          <w:sz w:val="32"/>
          <w:szCs w:val="32"/>
          <w:highlight w:val="none"/>
          <w:lang w:val="en-US" w:eastAsia="zh-CN" w:bidi="ar-SA"/>
        </w:rPr>
        <w:t>坚持以习近平新时代中国特色社会主义思想为指导，深刻领会习近平总书记关于财会监督的重要论述，把学习贯彻落实党的二十大精神和落实中央、省市区经济会议精神</w:t>
      </w:r>
      <w:r>
        <w:rPr>
          <w:rFonts w:hint="default" w:ascii="Times New Roman" w:hAnsi="Times New Roman" w:eastAsia="仿宋_GB2312" w:cs="Times New Roman"/>
          <w:color w:val="000000"/>
          <w:sz w:val="32"/>
          <w:szCs w:val="32"/>
          <w:highlight w:val="none"/>
          <w:lang w:val="en-US" w:eastAsia="zh-CN"/>
        </w:rPr>
        <w:t>与财政工作有机结合，</w:t>
      </w:r>
      <w:r>
        <w:rPr>
          <w:rFonts w:hint="default" w:ascii="Times New Roman" w:hAnsi="Times New Roman" w:eastAsia="仿宋_GB2312" w:cs="Times New Roman"/>
          <w:color w:val="auto"/>
          <w:kern w:val="0"/>
          <w:sz w:val="32"/>
          <w:szCs w:val="32"/>
          <w:highlight w:val="none"/>
          <w:lang w:val="en-US" w:eastAsia="zh-CN" w:bidi="ar-SA"/>
        </w:rPr>
        <w:t>强化主体责任，主动担当作为，加强财会监督，规范财务管理，严肃财经纪律，不断提高财政资金使用效益，为杜集区高质量发展提供有力财政保障</w:t>
      </w:r>
      <w:r>
        <w:rPr>
          <w:rFonts w:hint="default" w:ascii="Times New Roman" w:hAnsi="Times New Roman" w:eastAsia="仿宋_GB2312" w:cs="Times New Roman"/>
          <w:color w:val="auto"/>
          <w:sz w:val="32"/>
          <w:szCs w:val="32"/>
          <w:highlight w:val="none"/>
          <w:lang w:val="en-US" w:eastAsia="zh-CN"/>
        </w:rPr>
        <w:t>。</w:t>
      </w:r>
    </w:p>
    <w:p>
      <w:pPr>
        <w:pStyle w:val="5"/>
        <w:keepNext w:val="0"/>
        <w:keepLines w:val="0"/>
        <w:pageBreakBefore w:val="0"/>
        <w:kinsoku/>
        <w:wordWrap/>
        <w:overflowPunct/>
        <w:topLinePunct w:val="0"/>
        <w:autoSpaceDE/>
        <w:autoSpaceDN/>
        <w:bidi w:val="0"/>
        <w:adjustRightInd/>
        <w:snapToGrid/>
        <w:spacing w:after="0" w:line="550" w:lineRule="exact"/>
        <w:textAlignment w:val="auto"/>
        <w:rPr>
          <w:rFonts w:hint="default" w:ascii="Times New Roman" w:hAnsi="Times New Roman" w:eastAsia="仿宋_GB2312" w:cs="Times New Roman"/>
          <w:sz w:val="32"/>
          <w:szCs w:val="32"/>
          <w:highlight w:val="none"/>
        </w:rPr>
      </w:pPr>
    </w:p>
    <w:p>
      <w:pPr>
        <w:pStyle w:val="5"/>
        <w:keepNext w:val="0"/>
        <w:keepLines w:val="0"/>
        <w:pageBreakBefore w:val="0"/>
        <w:kinsoku/>
        <w:wordWrap/>
        <w:overflowPunct/>
        <w:topLinePunct w:val="0"/>
        <w:autoSpaceDE/>
        <w:autoSpaceDN/>
        <w:bidi w:val="0"/>
        <w:adjustRightInd/>
        <w:snapToGrid/>
        <w:spacing w:after="0" w:line="55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附件：1. 报告相关表格</w:t>
      </w:r>
    </w:p>
    <w:p>
      <w:pPr>
        <w:pStyle w:val="5"/>
        <w:keepNext w:val="0"/>
        <w:keepLines w:val="0"/>
        <w:pageBreakBefore w:val="0"/>
        <w:numPr>
          <w:ilvl w:val="0"/>
          <w:numId w:val="2"/>
        </w:numPr>
        <w:kinsoku/>
        <w:wordWrap/>
        <w:overflowPunct/>
        <w:topLinePunct w:val="0"/>
        <w:autoSpaceDE/>
        <w:autoSpaceDN/>
        <w:bidi w:val="0"/>
        <w:adjustRightInd/>
        <w:snapToGrid/>
        <w:spacing w:after="0" w:line="550"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报告相关名词解释</w:t>
      </w:r>
    </w:p>
    <w:p>
      <w:pPr>
        <w:pStyle w:val="5"/>
        <w:keepNext w:val="0"/>
        <w:keepLines w:val="0"/>
        <w:pageBreakBefore w:val="0"/>
        <w:kinsoku/>
        <w:wordWrap/>
        <w:overflowPunct/>
        <w:topLinePunct w:val="0"/>
        <w:autoSpaceDE/>
        <w:autoSpaceDN/>
        <w:bidi w:val="0"/>
        <w:adjustRightInd/>
        <w:snapToGrid/>
        <w:spacing w:after="0" w:line="576" w:lineRule="exact"/>
        <w:textAlignment w:val="auto"/>
        <w:rPr>
          <w:rStyle w:val="19"/>
          <w:rFonts w:hint="default" w:ascii="Times New Roman" w:hAnsi="Times New Roman" w:eastAsia="黑体" w:cs="Times New Roman"/>
          <w:kern w:val="0"/>
          <w:sz w:val="32"/>
          <w:szCs w:val="32"/>
          <w:highlight w:val="none"/>
        </w:rPr>
      </w:pPr>
      <w:r>
        <w:rPr>
          <w:rFonts w:hint="default" w:ascii="Times New Roman" w:hAnsi="Times New Roman" w:eastAsia="仿宋_GB2312" w:cs="Times New Roman"/>
          <w:sz w:val="32"/>
          <w:szCs w:val="32"/>
          <w:highlight w:val="none"/>
        </w:rPr>
        <w:br w:type="page"/>
      </w:r>
      <w:r>
        <w:rPr>
          <w:rStyle w:val="19"/>
          <w:rFonts w:hint="default" w:ascii="Times New Roman" w:hAnsi="Times New Roman" w:eastAsia="黑体" w:cs="Times New Roman"/>
          <w:kern w:val="0"/>
          <w:sz w:val="32"/>
          <w:szCs w:val="32"/>
          <w:highlight w:val="none"/>
        </w:rPr>
        <w:t>附件1：</w:t>
      </w:r>
    </w:p>
    <w:p>
      <w:pPr>
        <w:spacing w:line="540" w:lineRule="exact"/>
        <w:rPr>
          <w:rFonts w:hint="default" w:ascii="Times New Roman" w:hAnsi="Times New Roman" w:eastAsia="仿宋_GB2312" w:cs="Times New Roman"/>
          <w:sz w:val="32"/>
          <w:highlight w:val="none"/>
        </w:rPr>
      </w:pPr>
    </w:p>
    <w:tbl>
      <w:tblPr>
        <w:tblStyle w:val="16"/>
        <w:tblW w:w="8874" w:type="dxa"/>
        <w:jc w:val="center"/>
        <w:tblLayout w:type="fixed"/>
        <w:tblCellMar>
          <w:top w:w="0" w:type="dxa"/>
          <w:left w:w="0" w:type="dxa"/>
          <w:bottom w:w="0" w:type="dxa"/>
          <w:right w:w="0" w:type="dxa"/>
        </w:tblCellMar>
      </w:tblPr>
      <w:tblGrid>
        <w:gridCol w:w="3410"/>
        <w:gridCol w:w="1236"/>
        <w:gridCol w:w="2885"/>
        <w:gridCol w:w="1343"/>
      </w:tblGrid>
      <w:tr>
        <w:tblPrEx>
          <w:tblCellMar>
            <w:top w:w="0" w:type="dxa"/>
            <w:left w:w="0" w:type="dxa"/>
            <w:bottom w:w="0" w:type="dxa"/>
            <w:right w:w="0" w:type="dxa"/>
          </w:tblCellMar>
        </w:tblPrEx>
        <w:trPr>
          <w:trHeight w:val="270" w:hRule="atLeast"/>
          <w:jc w:val="center"/>
        </w:trPr>
        <w:tc>
          <w:tcPr>
            <w:tcW w:w="8874" w:type="dxa"/>
            <w:gridSpan w:val="4"/>
            <w:tcBorders>
              <w:top w:val="nil"/>
              <w:left w:val="nil"/>
              <w:bottom w:val="nil"/>
              <w:right w:val="nil"/>
            </w:tcBorders>
            <w:noWrap/>
            <w:tcMar>
              <w:top w:w="15" w:type="dxa"/>
              <w:left w:w="15" w:type="dxa"/>
              <w:right w:w="15" w:type="dxa"/>
            </w:tcMar>
            <w:vAlign w:val="center"/>
          </w:tcPr>
          <w:p>
            <w:pPr>
              <w:widowControl/>
              <w:jc w:val="center"/>
              <w:textAlignment w:val="center"/>
              <w:rPr>
                <w:rFonts w:hint="default" w:ascii="Times New Roman" w:hAnsi="Times New Roman" w:cs="Times New Roman"/>
                <w:b/>
                <w:sz w:val="22"/>
                <w:szCs w:val="22"/>
                <w:highlight w:val="none"/>
              </w:rPr>
            </w:pPr>
            <w:r>
              <w:rPr>
                <w:rFonts w:hint="default" w:ascii="Times New Roman" w:hAnsi="Times New Roman" w:eastAsia="方正小标宋简体" w:cs="Times New Roman"/>
                <w:bCs/>
                <w:kern w:val="0"/>
                <w:sz w:val="32"/>
                <w:szCs w:val="32"/>
                <w:highlight w:val="none"/>
                <w:lang w:bidi="ar"/>
              </w:rPr>
              <w:t>202</w:t>
            </w:r>
            <w:r>
              <w:rPr>
                <w:rFonts w:hint="default" w:ascii="Times New Roman" w:hAnsi="Times New Roman" w:eastAsia="方正小标宋简体" w:cs="Times New Roman"/>
                <w:bCs/>
                <w:kern w:val="0"/>
                <w:sz w:val="32"/>
                <w:szCs w:val="32"/>
                <w:highlight w:val="none"/>
                <w:lang w:val="en-US" w:eastAsia="zh-CN" w:bidi="ar"/>
              </w:rPr>
              <w:t>2</w:t>
            </w:r>
            <w:r>
              <w:rPr>
                <w:rFonts w:hint="default" w:ascii="Times New Roman" w:hAnsi="Times New Roman" w:eastAsia="方正小标宋简体" w:cs="Times New Roman"/>
                <w:bCs/>
                <w:kern w:val="0"/>
                <w:sz w:val="32"/>
                <w:szCs w:val="32"/>
                <w:highlight w:val="none"/>
                <w:lang w:bidi="ar"/>
              </w:rPr>
              <w:t>年度一般公共预算收支决算总表（表一）</w:t>
            </w:r>
          </w:p>
        </w:tc>
      </w:tr>
      <w:tr>
        <w:tblPrEx>
          <w:tblCellMar>
            <w:top w:w="0" w:type="dxa"/>
            <w:left w:w="0" w:type="dxa"/>
            <w:bottom w:w="0" w:type="dxa"/>
            <w:right w:w="0" w:type="dxa"/>
          </w:tblCellMar>
        </w:tblPrEx>
        <w:trPr>
          <w:trHeight w:val="270" w:hRule="atLeast"/>
          <w:jc w:val="center"/>
        </w:trPr>
        <w:tc>
          <w:tcPr>
            <w:tcW w:w="8874" w:type="dxa"/>
            <w:gridSpan w:val="4"/>
            <w:tcBorders>
              <w:top w:val="nil"/>
              <w:left w:val="nil"/>
              <w:bottom w:val="nil"/>
              <w:right w:val="nil"/>
            </w:tcBorders>
            <w:noWrap/>
            <w:tcMar>
              <w:top w:w="15" w:type="dxa"/>
              <w:left w:w="15" w:type="dxa"/>
              <w:right w:w="15" w:type="dxa"/>
            </w:tcMar>
            <w:vAlign w:val="center"/>
          </w:tcPr>
          <w:p>
            <w:pPr>
              <w:widowControl/>
              <w:jc w:val="righ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单位:万元</w:t>
            </w:r>
          </w:p>
        </w:tc>
      </w:tr>
      <w:tr>
        <w:tblPrEx>
          <w:tblCellMar>
            <w:top w:w="0" w:type="dxa"/>
            <w:left w:w="0" w:type="dxa"/>
            <w:bottom w:w="0" w:type="dxa"/>
            <w:right w:w="0" w:type="dxa"/>
          </w:tblCellMar>
        </w:tblPrEx>
        <w:trPr>
          <w:trHeight w:val="585"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项目</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决算数</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项目</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决算数</w:t>
            </w:r>
          </w:p>
        </w:tc>
      </w:tr>
      <w:tr>
        <w:tblPrEx>
          <w:tblCellMar>
            <w:top w:w="0" w:type="dxa"/>
            <w:left w:w="0" w:type="dxa"/>
            <w:bottom w:w="0" w:type="dxa"/>
            <w:right w:w="0" w:type="dxa"/>
          </w:tblCellMar>
        </w:tblPrEx>
        <w:trPr>
          <w:trHeight w:val="537"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textAlignment w:val="center"/>
              <w:rPr>
                <w:rFonts w:hint="default" w:ascii="Times New Roman" w:hAnsi="Times New Roman" w:eastAsia="宋体" w:cs="Times New Roman"/>
                <w:sz w:val="24"/>
                <w:highlight w:val="none"/>
                <w:lang w:eastAsia="zh-CN"/>
              </w:rPr>
            </w:pPr>
            <w:r>
              <w:rPr>
                <w:rFonts w:hint="default" w:ascii="Times New Roman" w:hAnsi="Times New Roman" w:cs="Times New Roman"/>
                <w:kern w:val="0"/>
                <w:sz w:val="24"/>
                <w:highlight w:val="none"/>
                <w:lang w:eastAsia="zh-CN" w:bidi="ar"/>
              </w:rPr>
              <w:t>一般公共预算收入</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63157</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一般公共预算支出</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bidi="ar"/>
              </w:rPr>
              <w:t>18</w:t>
            </w:r>
            <w:r>
              <w:rPr>
                <w:rFonts w:hint="default" w:ascii="Times New Roman" w:hAnsi="Times New Roman" w:cs="Times New Roman"/>
                <w:kern w:val="0"/>
                <w:sz w:val="24"/>
                <w:highlight w:val="none"/>
                <w:lang w:val="en-US" w:eastAsia="zh-CN" w:bidi="ar"/>
              </w:rPr>
              <w:t>5586</w:t>
            </w:r>
          </w:p>
        </w:tc>
      </w:tr>
      <w:tr>
        <w:tblPrEx>
          <w:tblCellMar>
            <w:top w:w="0" w:type="dxa"/>
            <w:left w:w="0" w:type="dxa"/>
            <w:bottom w:w="0" w:type="dxa"/>
            <w:right w:w="0" w:type="dxa"/>
          </w:tblCellMar>
        </w:tblPrEx>
        <w:trPr>
          <w:trHeight w:val="545"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上级补助收入</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83431</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上解支出</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6503</w:t>
            </w:r>
          </w:p>
        </w:tc>
      </w:tr>
      <w:tr>
        <w:tblPrEx>
          <w:tblCellMar>
            <w:top w:w="0" w:type="dxa"/>
            <w:left w:w="0" w:type="dxa"/>
            <w:bottom w:w="0" w:type="dxa"/>
            <w:right w:w="0" w:type="dxa"/>
          </w:tblCellMar>
        </w:tblPrEx>
        <w:trPr>
          <w:trHeight w:val="539"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 xml:space="preserve">    其中：一般性转移支付收入</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71708</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bottom"/>
          </w:tcPr>
          <w:p>
            <w:pPr>
              <w:rPr>
                <w:rFonts w:hint="default" w:ascii="Times New Roman" w:hAnsi="Times New Roman" w:cs="Times New Roman"/>
                <w:sz w:val="24"/>
                <w:highlight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547"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 xml:space="preserve">         专项转移支付收入</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11723</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default" w:ascii="Times New Roman" w:hAnsi="Times New Roman" w:cs="Times New Roman"/>
                <w:sz w:val="24"/>
                <w:highlight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399"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上年结余</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3036</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default" w:ascii="Times New Roman" w:hAnsi="Times New Roman" w:cs="Times New Roman"/>
                <w:sz w:val="24"/>
                <w:highlight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404"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调入资金</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39861</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调出资金</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538"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地方政府一般债务转贷收入</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2200</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地方政府一般债务还本支出</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2455</w:t>
            </w:r>
          </w:p>
        </w:tc>
      </w:tr>
      <w:tr>
        <w:tblPrEx>
          <w:tblCellMar>
            <w:top w:w="0" w:type="dxa"/>
            <w:left w:w="0" w:type="dxa"/>
            <w:bottom w:w="0" w:type="dxa"/>
            <w:right w:w="0" w:type="dxa"/>
          </w:tblCellMar>
        </w:tblPrEx>
        <w:trPr>
          <w:trHeight w:val="546"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default" w:ascii="Times New Roman" w:hAnsi="Times New Roman" w:cs="Times New Roman"/>
                <w:sz w:val="24"/>
                <w:highlight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补充预算周转金</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824"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国债转贷收入、上年结余及转补助数</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国债转贷拨付数及年终结余</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539"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动用预算稳定调节基金</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6074</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安排预算稳定调节基金</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157</w:t>
            </w:r>
          </w:p>
        </w:tc>
      </w:tr>
      <w:tr>
        <w:tblPrEx>
          <w:tblCellMar>
            <w:top w:w="0" w:type="dxa"/>
            <w:left w:w="0" w:type="dxa"/>
            <w:bottom w:w="0" w:type="dxa"/>
            <w:right w:w="0" w:type="dxa"/>
          </w:tblCellMar>
        </w:tblPrEx>
        <w:trPr>
          <w:trHeight w:val="547"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default" w:ascii="Times New Roman" w:hAnsi="Times New Roman" w:cs="Times New Roman"/>
                <w:b/>
                <w:bCs/>
                <w:sz w:val="24"/>
                <w:highlight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年终结余</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3058</w:t>
            </w:r>
          </w:p>
        </w:tc>
      </w:tr>
      <w:tr>
        <w:tblPrEx>
          <w:tblCellMar>
            <w:top w:w="0" w:type="dxa"/>
            <w:left w:w="0" w:type="dxa"/>
            <w:bottom w:w="0" w:type="dxa"/>
            <w:right w:w="0" w:type="dxa"/>
          </w:tblCellMar>
        </w:tblPrEx>
        <w:trPr>
          <w:trHeight w:val="541"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default" w:ascii="Times New Roman" w:hAnsi="Times New Roman" w:cs="Times New Roman"/>
                <w:b/>
                <w:bCs/>
                <w:sz w:val="24"/>
                <w:highlight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减:结转下年的支出</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rPr>
              <w:t>30</w:t>
            </w:r>
            <w:r>
              <w:rPr>
                <w:rFonts w:hint="default" w:ascii="Times New Roman" w:hAnsi="Times New Roman" w:cs="Times New Roman"/>
                <w:sz w:val="24"/>
                <w:highlight w:val="none"/>
                <w:lang w:val="en-US" w:eastAsia="zh-CN"/>
              </w:rPr>
              <w:t>58</w:t>
            </w:r>
          </w:p>
        </w:tc>
      </w:tr>
      <w:tr>
        <w:tblPrEx>
          <w:tblCellMar>
            <w:top w:w="0" w:type="dxa"/>
            <w:left w:w="0" w:type="dxa"/>
            <w:bottom w:w="0" w:type="dxa"/>
            <w:right w:w="0" w:type="dxa"/>
          </w:tblCellMar>
        </w:tblPrEx>
        <w:trPr>
          <w:trHeight w:val="393"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default" w:ascii="Times New Roman" w:hAnsi="Times New Roman" w:cs="Times New Roman"/>
                <w:b/>
                <w:bCs/>
                <w:sz w:val="24"/>
                <w:highlight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净结余</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540" w:hRule="atLeast"/>
          <w:jc w:val="center"/>
        </w:trPr>
        <w:tc>
          <w:tcPr>
            <w:tcW w:w="34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收  入  总  计</w:t>
            </w:r>
          </w:p>
        </w:tc>
        <w:tc>
          <w:tcPr>
            <w:tcW w:w="123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197759</w:t>
            </w:r>
          </w:p>
        </w:tc>
        <w:tc>
          <w:tcPr>
            <w:tcW w:w="288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支  出  总  计</w:t>
            </w:r>
          </w:p>
        </w:tc>
        <w:tc>
          <w:tcPr>
            <w:tcW w:w="134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197759</w:t>
            </w:r>
          </w:p>
        </w:tc>
      </w:tr>
    </w:tbl>
    <w:p>
      <w:pPr>
        <w:spacing w:line="560" w:lineRule="exact"/>
        <w:rPr>
          <w:rStyle w:val="19"/>
          <w:rFonts w:hint="default" w:ascii="Times New Roman" w:hAnsi="Times New Roman" w:eastAsia="黑体" w:cs="Times New Roman"/>
          <w:kern w:val="0"/>
          <w:sz w:val="32"/>
          <w:szCs w:val="32"/>
          <w:highlight w:val="none"/>
        </w:rPr>
      </w:pPr>
    </w:p>
    <w:p>
      <w:pPr>
        <w:pStyle w:val="10"/>
        <w:rPr>
          <w:rStyle w:val="19"/>
          <w:rFonts w:hint="default" w:ascii="Times New Roman" w:hAnsi="Times New Roman" w:eastAsia="黑体" w:cs="Times New Roman"/>
          <w:kern w:val="0"/>
          <w:sz w:val="32"/>
          <w:szCs w:val="32"/>
          <w:highlight w:val="none"/>
        </w:rPr>
      </w:pPr>
    </w:p>
    <w:p>
      <w:pPr>
        <w:rPr>
          <w:rStyle w:val="19"/>
          <w:rFonts w:hint="default" w:ascii="Times New Roman" w:hAnsi="Times New Roman" w:eastAsia="黑体" w:cs="Times New Roman"/>
          <w:kern w:val="0"/>
          <w:sz w:val="32"/>
          <w:szCs w:val="32"/>
          <w:highlight w:val="none"/>
        </w:rPr>
      </w:pPr>
    </w:p>
    <w:tbl>
      <w:tblPr>
        <w:tblStyle w:val="16"/>
        <w:tblW w:w="9363" w:type="dxa"/>
        <w:jc w:val="center"/>
        <w:tblLayout w:type="fixed"/>
        <w:tblCellMar>
          <w:top w:w="0" w:type="dxa"/>
          <w:left w:w="0" w:type="dxa"/>
          <w:bottom w:w="0" w:type="dxa"/>
          <w:right w:w="0" w:type="dxa"/>
        </w:tblCellMar>
      </w:tblPr>
      <w:tblGrid>
        <w:gridCol w:w="3203"/>
        <w:gridCol w:w="1427"/>
        <w:gridCol w:w="3032"/>
        <w:gridCol w:w="1701"/>
      </w:tblGrid>
      <w:tr>
        <w:tblPrEx>
          <w:tblCellMar>
            <w:top w:w="0" w:type="dxa"/>
            <w:left w:w="0" w:type="dxa"/>
            <w:bottom w:w="0" w:type="dxa"/>
            <w:right w:w="0" w:type="dxa"/>
          </w:tblCellMar>
        </w:tblPrEx>
        <w:trPr>
          <w:trHeight w:val="615" w:hRule="atLeast"/>
          <w:jc w:val="center"/>
        </w:trPr>
        <w:tc>
          <w:tcPr>
            <w:tcW w:w="9363" w:type="dxa"/>
            <w:gridSpan w:val="4"/>
            <w:tcBorders>
              <w:top w:val="nil"/>
              <w:left w:val="nil"/>
              <w:bottom w:val="nil"/>
              <w:right w:val="nil"/>
            </w:tcBorders>
            <w:noWrap/>
            <w:tcMar>
              <w:top w:w="15" w:type="dxa"/>
              <w:left w:w="15" w:type="dxa"/>
              <w:right w:w="15" w:type="dxa"/>
            </w:tcMar>
            <w:vAlign w:val="center"/>
          </w:tcPr>
          <w:p>
            <w:pPr>
              <w:widowControl/>
              <w:jc w:val="center"/>
              <w:textAlignment w:val="center"/>
              <w:rPr>
                <w:rFonts w:hint="default" w:ascii="Times New Roman" w:hAnsi="Times New Roman" w:cs="Times New Roman"/>
                <w:b/>
                <w:sz w:val="28"/>
                <w:szCs w:val="28"/>
                <w:highlight w:val="none"/>
              </w:rPr>
            </w:pPr>
            <w:r>
              <w:rPr>
                <w:rFonts w:hint="default" w:ascii="Times New Roman" w:hAnsi="Times New Roman" w:eastAsia="方正小标宋简体" w:cs="Times New Roman"/>
                <w:bCs/>
                <w:kern w:val="0"/>
                <w:sz w:val="32"/>
                <w:szCs w:val="32"/>
                <w:highlight w:val="none"/>
                <w:lang w:bidi="ar"/>
              </w:rPr>
              <w:t>202</w:t>
            </w:r>
            <w:r>
              <w:rPr>
                <w:rFonts w:hint="default" w:ascii="Times New Roman" w:hAnsi="Times New Roman" w:eastAsia="方正小标宋简体" w:cs="Times New Roman"/>
                <w:bCs/>
                <w:kern w:val="0"/>
                <w:sz w:val="32"/>
                <w:szCs w:val="32"/>
                <w:highlight w:val="none"/>
                <w:lang w:val="en-US" w:eastAsia="zh-CN" w:bidi="ar"/>
              </w:rPr>
              <w:t>2</w:t>
            </w:r>
            <w:r>
              <w:rPr>
                <w:rFonts w:hint="default" w:ascii="Times New Roman" w:hAnsi="Times New Roman" w:eastAsia="方正小标宋简体" w:cs="Times New Roman"/>
                <w:bCs/>
                <w:kern w:val="0"/>
                <w:sz w:val="32"/>
                <w:szCs w:val="32"/>
                <w:highlight w:val="none"/>
                <w:lang w:bidi="ar"/>
              </w:rPr>
              <w:t>年度政府性基金预算收支决算总表（表二）</w:t>
            </w:r>
          </w:p>
        </w:tc>
      </w:tr>
      <w:tr>
        <w:tblPrEx>
          <w:tblCellMar>
            <w:top w:w="0" w:type="dxa"/>
            <w:left w:w="0" w:type="dxa"/>
            <w:bottom w:w="0" w:type="dxa"/>
            <w:right w:w="0" w:type="dxa"/>
          </w:tblCellMar>
        </w:tblPrEx>
        <w:trPr>
          <w:trHeight w:val="315" w:hRule="atLeast"/>
          <w:jc w:val="center"/>
        </w:trPr>
        <w:tc>
          <w:tcPr>
            <w:tcW w:w="9363" w:type="dxa"/>
            <w:gridSpan w:val="4"/>
            <w:tcBorders>
              <w:top w:val="nil"/>
              <w:left w:val="nil"/>
              <w:bottom w:val="nil"/>
              <w:right w:val="nil"/>
            </w:tcBorders>
            <w:noWrap/>
            <w:tcMar>
              <w:top w:w="15" w:type="dxa"/>
              <w:left w:w="15" w:type="dxa"/>
              <w:right w:w="15" w:type="dxa"/>
            </w:tcMar>
            <w:vAlign w:val="center"/>
          </w:tcPr>
          <w:p>
            <w:pPr>
              <w:widowControl/>
              <w:jc w:val="righ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4"/>
                <w:highlight w:val="none"/>
                <w:lang w:bidi="ar"/>
              </w:rPr>
              <w:t>单位:万元</w:t>
            </w:r>
          </w:p>
        </w:tc>
      </w:tr>
      <w:tr>
        <w:tblPrEx>
          <w:tblCellMar>
            <w:top w:w="0" w:type="dxa"/>
            <w:left w:w="0" w:type="dxa"/>
            <w:bottom w:w="0" w:type="dxa"/>
            <w:right w:w="0" w:type="dxa"/>
          </w:tblCellMar>
        </w:tblPrEx>
        <w:trPr>
          <w:trHeight w:val="570" w:hRule="atLeast"/>
          <w:jc w:val="center"/>
        </w:trPr>
        <w:tc>
          <w:tcPr>
            <w:tcW w:w="320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项目</w:t>
            </w:r>
          </w:p>
        </w:tc>
        <w:tc>
          <w:tcPr>
            <w:tcW w:w="1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决算数</w:t>
            </w:r>
          </w:p>
        </w:tc>
        <w:tc>
          <w:tcPr>
            <w:tcW w:w="303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项目</w:t>
            </w:r>
          </w:p>
        </w:tc>
        <w:tc>
          <w:tcPr>
            <w:tcW w:w="17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决算数</w:t>
            </w:r>
          </w:p>
        </w:tc>
      </w:tr>
      <w:tr>
        <w:tblPrEx>
          <w:tblCellMar>
            <w:top w:w="0" w:type="dxa"/>
            <w:left w:w="0" w:type="dxa"/>
            <w:bottom w:w="0" w:type="dxa"/>
            <w:right w:w="0" w:type="dxa"/>
          </w:tblCellMar>
        </w:tblPrEx>
        <w:trPr>
          <w:trHeight w:val="536" w:hRule="atLeast"/>
          <w:jc w:val="center"/>
        </w:trPr>
        <w:tc>
          <w:tcPr>
            <w:tcW w:w="320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政府性基金预算收入</w:t>
            </w:r>
          </w:p>
        </w:tc>
        <w:tc>
          <w:tcPr>
            <w:tcW w:w="1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eastAsia="zh-CN"/>
              </w:rPr>
            </w:pPr>
          </w:p>
        </w:tc>
        <w:tc>
          <w:tcPr>
            <w:tcW w:w="303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政府性基金预算支出</w:t>
            </w:r>
          </w:p>
        </w:tc>
        <w:tc>
          <w:tcPr>
            <w:tcW w:w="17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65616</w:t>
            </w:r>
          </w:p>
        </w:tc>
      </w:tr>
      <w:tr>
        <w:tblPrEx>
          <w:tblCellMar>
            <w:top w:w="0" w:type="dxa"/>
            <w:left w:w="0" w:type="dxa"/>
            <w:bottom w:w="0" w:type="dxa"/>
            <w:right w:w="0" w:type="dxa"/>
          </w:tblCellMar>
        </w:tblPrEx>
        <w:trPr>
          <w:trHeight w:val="486" w:hRule="atLeast"/>
          <w:jc w:val="center"/>
        </w:trPr>
        <w:tc>
          <w:tcPr>
            <w:tcW w:w="320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上级补助收入</w:t>
            </w:r>
          </w:p>
        </w:tc>
        <w:tc>
          <w:tcPr>
            <w:tcW w:w="1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724</w:t>
            </w:r>
          </w:p>
        </w:tc>
        <w:tc>
          <w:tcPr>
            <w:tcW w:w="303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上解上级支出</w:t>
            </w:r>
          </w:p>
        </w:tc>
        <w:tc>
          <w:tcPr>
            <w:tcW w:w="17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464" w:hRule="atLeast"/>
          <w:jc w:val="center"/>
        </w:trPr>
        <w:tc>
          <w:tcPr>
            <w:tcW w:w="320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上年结余</w:t>
            </w:r>
          </w:p>
        </w:tc>
        <w:tc>
          <w:tcPr>
            <w:tcW w:w="1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491</w:t>
            </w:r>
          </w:p>
        </w:tc>
        <w:tc>
          <w:tcPr>
            <w:tcW w:w="303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default" w:ascii="Times New Roman" w:hAnsi="Times New Roman" w:cs="Times New Roman"/>
                <w:sz w:val="24"/>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542" w:hRule="atLeast"/>
          <w:jc w:val="center"/>
        </w:trPr>
        <w:tc>
          <w:tcPr>
            <w:tcW w:w="320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调入资金</w:t>
            </w:r>
          </w:p>
        </w:tc>
        <w:tc>
          <w:tcPr>
            <w:tcW w:w="1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5313</w:t>
            </w:r>
          </w:p>
        </w:tc>
        <w:tc>
          <w:tcPr>
            <w:tcW w:w="303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调出资金</w:t>
            </w:r>
          </w:p>
        </w:tc>
        <w:tc>
          <w:tcPr>
            <w:tcW w:w="17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536" w:hRule="atLeast"/>
          <w:jc w:val="center"/>
        </w:trPr>
        <w:tc>
          <w:tcPr>
            <w:tcW w:w="320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地方政府专项债务转贷收入</w:t>
            </w:r>
          </w:p>
        </w:tc>
        <w:tc>
          <w:tcPr>
            <w:tcW w:w="1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59300</w:t>
            </w:r>
          </w:p>
        </w:tc>
        <w:tc>
          <w:tcPr>
            <w:tcW w:w="303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sz w:val="24"/>
                <w:highlight w:val="none"/>
              </w:rPr>
              <w:t>地方政府专项债务还本支出</w:t>
            </w:r>
          </w:p>
        </w:tc>
        <w:tc>
          <w:tcPr>
            <w:tcW w:w="17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530" w:hRule="atLeast"/>
          <w:jc w:val="center"/>
        </w:trPr>
        <w:tc>
          <w:tcPr>
            <w:tcW w:w="320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default" w:ascii="Times New Roman" w:hAnsi="Times New Roman" w:cs="Times New Roman"/>
                <w:sz w:val="24"/>
                <w:highlight w:val="none"/>
              </w:rPr>
            </w:pPr>
          </w:p>
        </w:tc>
        <w:tc>
          <w:tcPr>
            <w:tcW w:w="1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年终结余</w:t>
            </w:r>
          </w:p>
        </w:tc>
        <w:tc>
          <w:tcPr>
            <w:tcW w:w="17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212</w:t>
            </w:r>
          </w:p>
        </w:tc>
      </w:tr>
      <w:tr>
        <w:tblPrEx>
          <w:tblCellMar>
            <w:top w:w="0" w:type="dxa"/>
            <w:left w:w="0" w:type="dxa"/>
            <w:bottom w:w="0" w:type="dxa"/>
            <w:right w:w="0" w:type="dxa"/>
          </w:tblCellMar>
        </w:tblPrEx>
        <w:trPr>
          <w:trHeight w:val="496" w:hRule="atLeast"/>
          <w:jc w:val="center"/>
        </w:trPr>
        <w:tc>
          <w:tcPr>
            <w:tcW w:w="320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收 入 总 计</w:t>
            </w:r>
          </w:p>
        </w:tc>
        <w:tc>
          <w:tcPr>
            <w:tcW w:w="142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65828</w:t>
            </w:r>
          </w:p>
        </w:tc>
        <w:tc>
          <w:tcPr>
            <w:tcW w:w="303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支 出 总 计</w:t>
            </w:r>
          </w:p>
        </w:tc>
        <w:tc>
          <w:tcPr>
            <w:tcW w:w="170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65828</w:t>
            </w:r>
          </w:p>
        </w:tc>
      </w:tr>
      <w:tr>
        <w:tblPrEx>
          <w:tblCellMar>
            <w:top w:w="0" w:type="dxa"/>
            <w:left w:w="0" w:type="dxa"/>
            <w:bottom w:w="0" w:type="dxa"/>
            <w:right w:w="0" w:type="dxa"/>
          </w:tblCellMar>
        </w:tblPrEx>
        <w:trPr>
          <w:trHeight w:val="90" w:hRule="atLeast"/>
          <w:jc w:val="center"/>
        </w:trPr>
        <w:tc>
          <w:tcPr>
            <w:tcW w:w="9363" w:type="dxa"/>
            <w:gridSpan w:val="4"/>
            <w:tcBorders>
              <w:top w:val="nil"/>
              <w:left w:val="nil"/>
              <w:bottom w:val="nil"/>
              <w:right w:val="nil"/>
            </w:tcBorders>
            <w:noWrap/>
            <w:tcMar>
              <w:top w:w="15" w:type="dxa"/>
              <w:left w:w="15" w:type="dxa"/>
              <w:right w:w="15" w:type="dxa"/>
            </w:tcMar>
            <w:vAlign w:val="center"/>
          </w:tcPr>
          <w:p>
            <w:pPr>
              <w:widowControl/>
              <w:textAlignment w:val="center"/>
              <w:rPr>
                <w:rFonts w:hint="default" w:ascii="Times New Roman" w:hAnsi="Times New Roman" w:eastAsia="方正小标宋简体" w:cs="Times New Roman"/>
                <w:kern w:val="0"/>
                <w:sz w:val="32"/>
                <w:szCs w:val="32"/>
                <w:highlight w:val="none"/>
                <w:lang w:bidi="ar"/>
              </w:rPr>
            </w:pPr>
          </w:p>
          <w:p>
            <w:pPr>
              <w:widowControl/>
              <w:textAlignment w:val="center"/>
              <w:rPr>
                <w:rFonts w:hint="default" w:ascii="Times New Roman" w:hAnsi="Times New Roman" w:eastAsia="方正小标宋简体" w:cs="Times New Roman"/>
                <w:kern w:val="0"/>
                <w:sz w:val="32"/>
                <w:szCs w:val="32"/>
                <w:highlight w:val="none"/>
                <w:lang w:bidi="ar"/>
              </w:rPr>
            </w:pPr>
          </w:p>
          <w:tbl>
            <w:tblPr>
              <w:tblStyle w:val="16"/>
              <w:tblW w:w="9132" w:type="dxa"/>
              <w:tblInd w:w="0" w:type="dxa"/>
              <w:tblLayout w:type="fixed"/>
              <w:tblCellMar>
                <w:top w:w="0" w:type="dxa"/>
                <w:left w:w="0" w:type="dxa"/>
                <w:bottom w:w="0" w:type="dxa"/>
                <w:right w:w="0" w:type="dxa"/>
              </w:tblCellMar>
            </w:tblPr>
            <w:tblGrid>
              <w:gridCol w:w="3012"/>
              <w:gridCol w:w="1418"/>
              <w:gridCol w:w="3012"/>
              <w:gridCol w:w="1690"/>
            </w:tblGrid>
            <w:tr>
              <w:tblPrEx>
                <w:tblCellMar>
                  <w:top w:w="0" w:type="dxa"/>
                  <w:left w:w="0" w:type="dxa"/>
                  <w:bottom w:w="0" w:type="dxa"/>
                  <w:right w:w="0" w:type="dxa"/>
                </w:tblCellMar>
              </w:tblPrEx>
              <w:trPr>
                <w:trHeight w:val="615" w:hRule="atLeast"/>
              </w:trPr>
              <w:tc>
                <w:tcPr>
                  <w:tcW w:w="9132" w:type="dxa"/>
                  <w:gridSpan w:val="4"/>
                  <w:tcBorders>
                    <w:top w:val="nil"/>
                    <w:left w:val="nil"/>
                    <w:bottom w:val="nil"/>
                    <w:right w:val="nil"/>
                  </w:tcBorders>
                  <w:noWrap/>
                  <w:tcMar>
                    <w:top w:w="15" w:type="dxa"/>
                    <w:left w:w="15" w:type="dxa"/>
                    <w:right w:w="15" w:type="dxa"/>
                  </w:tcMar>
                  <w:vAlign w:val="center"/>
                </w:tcPr>
                <w:p>
                  <w:pPr>
                    <w:widowControl/>
                    <w:jc w:val="center"/>
                    <w:textAlignment w:val="center"/>
                    <w:rPr>
                      <w:rFonts w:hint="default" w:ascii="Times New Roman" w:hAnsi="Times New Roman" w:cs="Times New Roman"/>
                      <w:b/>
                      <w:sz w:val="28"/>
                      <w:szCs w:val="28"/>
                      <w:highlight w:val="none"/>
                    </w:rPr>
                  </w:pPr>
                  <w:r>
                    <w:rPr>
                      <w:rFonts w:hint="default" w:ascii="Times New Roman" w:hAnsi="Times New Roman" w:eastAsia="方正小标宋简体" w:cs="Times New Roman"/>
                      <w:bCs/>
                      <w:kern w:val="0"/>
                      <w:sz w:val="32"/>
                      <w:szCs w:val="32"/>
                      <w:highlight w:val="none"/>
                      <w:lang w:bidi="ar"/>
                    </w:rPr>
                    <w:t>202</w:t>
                  </w:r>
                  <w:r>
                    <w:rPr>
                      <w:rFonts w:hint="default" w:ascii="Times New Roman" w:hAnsi="Times New Roman" w:eastAsia="方正小标宋简体" w:cs="Times New Roman"/>
                      <w:bCs/>
                      <w:kern w:val="0"/>
                      <w:sz w:val="32"/>
                      <w:szCs w:val="32"/>
                      <w:highlight w:val="none"/>
                      <w:lang w:val="en-US" w:eastAsia="zh-CN" w:bidi="ar"/>
                    </w:rPr>
                    <w:t>2</w:t>
                  </w:r>
                  <w:r>
                    <w:rPr>
                      <w:rFonts w:hint="default" w:ascii="Times New Roman" w:hAnsi="Times New Roman" w:eastAsia="方正小标宋简体" w:cs="Times New Roman"/>
                      <w:bCs/>
                      <w:kern w:val="0"/>
                      <w:sz w:val="32"/>
                      <w:szCs w:val="32"/>
                      <w:highlight w:val="none"/>
                      <w:lang w:bidi="ar"/>
                    </w:rPr>
                    <w:t>年度国有资本经营预算收支决算总表（表三）</w:t>
                  </w:r>
                </w:p>
              </w:tc>
            </w:tr>
            <w:tr>
              <w:tblPrEx>
                <w:tblCellMar>
                  <w:top w:w="0" w:type="dxa"/>
                  <w:left w:w="0" w:type="dxa"/>
                  <w:bottom w:w="0" w:type="dxa"/>
                  <w:right w:w="0" w:type="dxa"/>
                </w:tblCellMar>
              </w:tblPrEx>
              <w:trPr>
                <w:trHeight w:val="315" w:hRule="atLeast"/>
              </w:trPr>
              <w:tc>
                <w:tcPr>
                  <w:tcW w:w="9132" w:type="dxa"/>
                  <w:gridSpan w:val="4"/>
                  <w:tcBorders>
                    <w:top w:val="nil"/>
                    <w:left w:val="nil"/>
                    <w:bottom w:val="nil"/>
                    <w:right w:val="nil"/>
                  </w:tcBorders>
                  <w:noWrap/>
                  <w:tcMar>
                    <w:top w:w="15" w:type="dxa"/>
                    <w:left w:w="15" w:type="dxa"/>
                    <w:right w:w="15" w:type="dxa"/>
                  </w:tcMar>
                  <w:vAlign w:val="center"/>
                </w:tcPr>
                <w:p>
                  <w:pPr>
                    <w:widowControl/>
                    <w:jc w:val="righ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4"/>
                      <w:highlight w:val="none"/>
                      <w:lang w:bidi="ar"/>
                    </w:rPr>
                    <w:t>单位:万元</w:t>
                  </w:r>
                </w:p>
              </w:tc>
            </w:tr>
            <w:tr>
              <w:tblPrEx>
                <w:tblCellMar>
                  <w:top w:w="0" w:type="dxa"/>
                  <w:left w:w="0" w:type="dxa"/>
                  <w:bottom w:w="0" w:type="dxa"/>
                  <w:right w:w="0" w:type="dxa"/>
                </w:tblCellMar>
              </w:tblPrEx>
              <w:trPr>
                <w:trHeight w:val="554" w:hRule="atLeast"/>
              </w:trPr>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项目</w:t>
                  </w:r>
                </w:p>
              </w:tc>
              <w:tc>
                <w:tcPr>
                  <w:tcW w:w="141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决算数</w:t>
                  </w:r>
                </w:p>
              </w:tc>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项目</w:t>
                  </w:r>
                </w:p>
              </w:tc>
              <w:tc>
                <w:tcPr>
                  <w:tcW w:w="16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b/>
                      <w:bCs/>
                      <w:sz w:val="24"/>
                      <w:highlight w:val="none"/>
                    </w:rPr>
                  </w:pPr>
                  <w:r>
                    <w:rPr>
                      <w:rFonts w:hint="default" w:ascii="Times New Roman" w:hAnsi="Times New Roman" w:cs="Times New Roman"/>
                      <w:b/>
                      <w:bCs/>
                      <w:kern w:val="0"/>
                      <w:sz w:val="24"/>
                      <w:highlight w:val="none"/>
                      <w:lang w:bidi="ar"/>
                    </w:rPr>
                    <w:t>决算数</w:t>
                  </w:r>
                </w:p>
              </w:tc>
            </w:tr>
            <w:tr>
              <w:tblPrEx>
                <w:tblCellMar>
                  <w:top w:w="0" w:type="dxa"/>
                  <w:left w:w="0" w:type="dxa"/>
                  <w:bottom w:w="0" w:type="dxa"/>
                  <w:right w:w="0" w:type="dxa"/>
                </w:tblCellMar>
              </w:tblPrEx>
              <w:trPr>
                <w:trHeight w:val="534" w:hRule="atLeast"/>
              </w:trPr>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国有资本经营预算收入</w:t>
                  </w:r>
                </w:p>
              </w:tc>
              <w:tc>
                <w:tcPr>
                  <w:tcW w:w="141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2000</w:t>
                  </w:r>
                </w:p>
              </w:tc>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国有资本经营预算支出</w:t>
                  </w:r>
                </w:p>
              </w:tc>
              <w:tc>
                <w:tcPr>
                  <w:tcW w:w="16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184</w:t>
                  </w:r>
                </w:p>
              </w:tc>
            </w:tr>
            <w:tr>
              <w:tblPrEx>
                <w:tblCellMar>
                  <w:top w:w="0" w:type="dxa"/>
                  <w:left w:w="0" w:type="dxa"/>
                  <w:bottom w:w="0" w:type="dxa"/>
                  <w:right w:w="0" w:type="dxa"/>
                </w:tblCellMar>
              </w:tblPrEx>
              <w:trPr>
                <w:trHeight w:val="486" w:hRule="atLeast"/>
              </w:trPr>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上级补助收入</w:t>
                  </w:r>
                </w:p>
              </w:tc>
              <w:tc>
                <w:tcPr>
                  <w:tcW w:w="141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eastAsia="zh-CN"/>
                    </w:rPr>
                  </w:pPr>
                  <w:r>
                    <w:rPr>
                      <w:rFonts w:hint="default" w:ascii="Times New Roman" w:hAnsi="Times New Roman" w:cs="Times New Roman"/>
                      <w:kern w:val="0"/>
                      <w:sz w:val="24"/>
                      <w:highlight w:val="none"/>
                      <w:lang w:bidi="ar"/>
                    </w:rPr>
                    <w:t>22</w:t>
                  </w:r>
                  <w:r>
                    <w:rPr>
                      <w:rFonts w:hint="default" w:ascii="Times New Roman" w:hAnsi="Times New Roman" w:cs="Times New Roman"/>
                      <w:kern w:val="0"/>
                      <w:sz w:val="24"/>
                      <w:highlight w:val="none"/>
                      <w:lang w:val="en-US" w:eastAsia="zh-CN" w:bidi="ar"/>
                    </w:rPr>
                    <w:t>6</w:t>
                  </w:r>
                </w:p>
              </w:tc>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上解上级支出</w:t>
                  </w:r>
                </w:p>
              </w:tc>
              <w:tc>
                <w:tcPr>
                  <w:tcW w:w="16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450" w:hRule="atLeast"/>
              </w:trPr>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上年结余</w:t>
                  </w:r>
                </w:p>
              </w:tc>
              <w:tc>
                <w:tcPr>
                  <w:tcW w:w="141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267</w:t>
                  </w:r>
                </w:p>
              </w:tc>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default" w:ascii="Times New Roman" w:hAnsi="Times New Roman" w:cs="Times New Roman"/>
                      <w:sz w:val="24"/>
                      <w:highlight w:val="none"/>
                    </w:rPr>
                  </w:pPr>
                </w:p>
              </w:tc>
              <w:tc>
                <w:tcPr>
                  <w:tcW w:w="16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542" w:hRule="atLeast"/>
              </w:trPr>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调入资金</w:t>
                  </w:r>
                </w:p>
              </w:tc>
              <w:tc>
                <w:tcPr>
                  <w:tcW w:w="141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调出资金</w:t>
                  </w:r>
                </w:p>
              </w:tc>
              <w:tc>
                <w:tcPr>
                  <w:tcW w:w="16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2309</w:t>
                  </w:r>
                </w:p>
              </w:tc>
            </w:tr>
            <w:tr>
              <w:tblPrEx>
                <w:tblCellMar>
                  <w:top w:w="0" w:type="dxa"/>
                  <w:left w:w="0" w:type="dxa"/>
                  <w:bottom w:w="0" w:type="dxa"/>
                  <w:right w:w="0" w:type="dxa"/>
                </w:tblCellMar>
              </w:tblPrEx>
              <w:trPr>
                <w:trHeight w:val="551" w:hRule="atLeast"/>
              </w:trPr>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default" w:ascii="Times New Roman" w:hAnsi="Times New Roman" w:cs="Times New Roman"/>
                      <w:sz w:val="24"/>
                      <w:highlight w:val="none"/>
                    </w:rPr>
                  </w:pPr>
                </w:p>
              </w:tc>
              <w:tc>
                <w:tcPr>
                  <w:tcW w:w="141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default" w:ascii="Times New Roman" w:hAnsi="Times New Roman" w:cs="Times New Roman"/>
                      <w:sz w:val="24"/>
                      <w:highlight w:val="none"/>
                    </w:rPr>
                  </w:pPr>
                </w:p>
              </w:tc>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年终结余</w:t>
                  </w:r>
                </w:p>
              </w:tc>
              <w:tc>
                <w:tcPr>
                  <w:tcW w:w="16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cs="Times New Roman"/>
                      <w:sz w:val="24"/>
                      <w:highlight w:val="none"/>
                    </w:rPr>
                  </w:pPr>
                </w:p>
              </w:tc>
            </w:tr>
            <w:tr>
              <w:tblPrEx>
                <w:tblCellMar>
                  <w:top w:w="0" w:type="dxa"/>
                  <w:left w:w="0" w:type="dxa"/>
                  <w:bottom w:w="0" w:type="dxa"/>
                  <w:right w:w="0" w:type="dxa"/>
                </w:tblCellMar>
              </w:tblPrEx>
              <w:trPr>
                <w:trHeight w:val="686" w:hRule="atLeast"/>
              </w:trPr>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收 入 总 计</w:t>
                  </w:r>
                </w:p>
              </w:tc>
              <w:tc>
                <w:tcPr>
                  <w:tcW w:w="141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val="en-US" w:eastAsia="zh-CN" w:bidi="ar"/>
                    </w:rPr>
                    <w:t>2493</w:t>
                  </w:r>
                </w:p>
              </w:tc>
              <w:tc>
                <w:tcPr>
                  <w:tcW w:w="301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rPr>
                      <w:rFonts w:hint="default" w:ascii="Times New Roman" w:hAnsi="Times New Roman" w:cs="Times New Roman"/>
                      <w:sz w:val="24"/>
                      <w:highlight w:val="none"/>
                    </w:rPr>
                  </w:pPr>
                  <w:r>
                    <w:rPr>
                      <w:rFonts w:hint="default" w:ascii="Times New Roman" w:hAnsi="Times New Roman" w:cs="Times New Roman"/>
                      <w:kern w:val="0"/>
                      <w:sz w:val="24"/>
                      <w:highlight w:val="none"/>
                      <w:lang w:bidi="ar"/>
                    </w:rPr>
                    <w:t>支 出 总 计</w:t>
                  </w:r>
                </w:p>
              </w:tc>
              <w:tc>
                <w:tcPr>
                  <w:tcW w:w="169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center"/>
                    <w:textAlignment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kern w:val="0"/>
                      <w:sz w:val="24"/>
                      <w:highlight w:val="none"/>
                      <w:lang w:bidi="ar"/>
                    </w:rPr>
                    <w:t>2</w:t>
                  </w:r>
                  <w:r>
                    <w:rPr>
                      <w:rFonts w:hint="default" w:ascii="Times New Roman" w:hAnsi="Times New Roman" w:cs="Times New Roman"/>
                      <w:kern w:val="0"/>
                      <w:sz w:val="24"/>
                      <w:highlight w:val="none"/>
                      <w:lang w:val="en-US" w:eastAsia="zh-CN" w:bidi="ar"/>
                    </w:rPr>
                    <w:t>493</w:t>
                  </w:r>
                </w:p>
              </w:tc>
            </w:tr>
          </w:tbl>
          <w:p>
            <w:pPr>
              <w:spacing w:line="576" w:lineRule="exact"/>
              <w:rPr>
                <w:rFonts w:hint="default" w:ascii="Times New Roman" w:hAnsi="Times New Roman" w:cs="Times New Roman"/>
                <w:kern w:val="0"/>
                <w:sz w:val="32"/>
                <w:szCs w:val="32"/>
                <w:highlight w:val="none"/>
                <w:lang w:bidi="ar"/>
              </w:rPr>
            </w:pPr>
          </w:p>
        </w:tc>
      </w:tr>
    </w:tbl>
    <w:p>
      <w:pPr>
        <w:spacing w:line="540" w:lineRule="exact"/>
        <w:rPr>
          <w:rFonts w:hint="default" w:ascii="Times New Roman" w:hAnsi="Times New Roman" w:eastAsia="仿宋_GB2312" w:cs="Times New Roman"/>
          <w:sz w:val="32"/>
          <w:highlight w:val="none"/>
        </w:rPr>
        <w:sectPr>
          <w:headerReference r:id="rId3" w:type="default"/>
          <w:footerReference r:id="rId5" w:type="default"/>
          <w:headerReference r:id="rId4" w:type="even"/>
          <w:footerReference r:id="rId6" w:type="even"/>
          <w:pgSz w:w="11906" w:h="16838"/>
          <w:pgMar w:top="2098" w:right="1417" w:bottom="1984" w:left="1701" w:header="1701" w:footer="1417" w:gutter="0"/>
          <w:paperSrc/>
          <w:pgNumType w:fmt="decimal"/>
          <w:cols w:space="0" w:num="1"/>
          <w:rtlGutter w:val="0"/>
          <w:docGrid w:type="lines" w:linePitch="312" w:charSpace="0"/>
        </w:sectPr>
      </w:pPr>
    </w:p>
    <w:tbl>
      <w:tblPr>
        <w:tblStyle w:val="16"/>
        <w:tblW w:w="93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
        <w:gridCol w:w="510"/>
        <w:gridCol w:w="1666"/>
        <w:gridCol w:w="810"/>
        <w:gridCol w:w="168"/>
        <w:gridCol w:w="762"/>
        <w:gridCol w:w="248"/>
        <w:gridCol w:w="684"/>
        <w:gridCol w:w="534"/>
        <w:gridCol w:w="1086"/>
        <w:gridCol w:w="984"/>
        <w:gridCol w:w="1516"/>
        <w:gridCol w:w="3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660" w:hRule="atLeast"/>
          <w:jc w:val="center"/>
        </w:trPr>
        <w:tc>
          <w:tcPr>
            <w:tcW w:w="8970" w:type="dxa"/>
            <w:gridSpan w:val="12"/>
            <w:tcBorders>
              <w:top w:val="nil"/>
              <w:left w:val="nil"/>
              <w:bottom w:val="nil"/>
              <w:right w:val="nil"/>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方正小标宋简体" w:cs="Times New Roman"/>
                <w:b w:val="0"/>
                <w:bCs w:val="0"/>
                <w:i w:val="0"/>
                <w:iCs w:val="0"/>
                <w:color w:val="000000"/>
                <w:kern w:val="0"/>
                <w:sz w:val="32"/>
                <w:szCs w:val="32"/>
                <w:highlight w:val="none"/>
                <w:u w:val="none"/>
                <w:lang w:val="en-US" w:eastAsia="zh-CN" w:bidi="ar"/>
              </w:rPr>
            </w:pPr>
            <w:r>
              <w:rPr>
                <w:rFonts w:hint="default" w:ascii="Times New Roman" w:hAnsi="Times New Roman" w:eastAsia="方正小标宋简体" w:cs="Times New Roman"/>
                <w:b w:val="0"/>
                <w:bCs w:val="0"/>
                <w:i w:val="0"/>
                <w:iCs w:val="0"/>
                <w:color w:val="000000"/>
                <w:kern w:val="0"/>
                <w:sz w:val="32"/>
                <w:szCs w:val="32"/>
                <w:highlight w:val="none"/>
                <w:u w:val="none"/>
                <w:lang w:val="en-US" w:eastAsia="zh-CN" w:bidi="ar"/>
              </w:rPr>
              <w:t>杜集区2022年区本级一般公共预算支出</w:t>
            </w:r>
          </w:p>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华文中宋" w:cs="Times New Roman"/>
                <w:b/>
                <w:bCs/>
                <w:i w:val="0"/>
                <w:iCs w:val="0"/>
                <w:color w:val="000000"/>
                <w:sz w:val="36"/>
                <w:szCs w:val="36"/>
                <w:highlight w:val="none"/>
                <w:u w:val="none"/>
              </w:rPr>
            </w:pPr>
            <w:r>
              <w:rPr>
                <w:rFonts w:hint="default" w:ascii="Times New Roman" w:hAnsi="Times New Roman" w:eastAsia="方正小标宋简体" w:cs="Times New Roman"/>
                <w:b w:val="0"/>
                <w:bCs w:val="0"/>
                <w:i w:val="0"/>
                <w:iCs w:val="0"/>
                <w:color w:val="000000"/>
                <w:kern w:val="0"/>
                <w:sz w:val="32"/>
                <w:szCs w:val="32"/>
                <w:highlight w:val="none"/>
                <w:u w:val="none"/>
                <w:lang w:val="en-US" w:eastAsia="zh-CN" w:bidi="ar"/>
              </w:rPr>
              <w:t>分科目完成情况表（表四）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45" w:hRule="atLeast"/>
          <w:jc w:val="center"/>
        </w:trPr>
        <w:tc>
          <w:tcPr>
            <w:tcW w:w="3156" w:type="dxa"/>
            <w:gridSpan w:val="5"/>
            <w:tcBorders>
              <w:top w:val="nil"/>
              <w:left w:val="nil"/>
              <w:bottom w:val="single" w:color="auto" w:sz="4" w:space="0"/>
              <w:right w:val="nil"/>
            </w:tcBorders>
            <w:shd w:val="clear" w:color="auto" w:fill="FFFFFF"/>
            <w:noWrap/>
            <w:vAlign w:val="center"/>
          </w:tcPr>
          <w:p>
            <w:pPr>
              <w:rPr>
                <w:rFonts w:hint="default" w:ascii="Times New Roman" w:hAnsi="Times New Roman" w:eastAsia="宋体" w:cs="Times New Roman"/>
                <w:i w:val="0"/>
                <w:iCs w:val="0"/>
                <w:color w:val="000000"/>
                <w:sz w:val="22"/>
                <w:szCs w:val="22"/>
                <w:highlight w:val="none"/>
                <w:u w:val="none"/>
              </w:rPr>
            </w:pPr>
          </w:p>
        </w:tc>
        <w:tc>
          <w:tcPr>
            <w:tcW w:w="1010" w:type="dxa"/>
            <w:gridSpan w:val="2"/>
            <w:tcBorders>
              <w:top w:val="nil"/>
              <w:left w:val="nil"/>
              <w:bottom w:val="single" w:color="auto" w:sz="4" w:space="0"/>
              <w:right w:val="nil"/>
            </w:tcBorders>
            <w:shd w:val="clear" w:color="auto" w:fill="FFFFFF"/>
            <w:noWrap/>
            <w:vAlign w:val="center"/>
          </w:tcPr>
          <w:p>
            <w:pPr>
              <w:jc w:val="center"/>
              <w:rPr>
                <w:rFonts w:hint="default" w:ascii="Times New Roman" w:hAnsi="Times New Roman" w:eastAsia="宋体" w:cs="Times New Roman"/>
                <w:i w:val="0"/>
                <w:iCs w:val="0"/>
                <w:color w:val="000000"/>
                <w:sz w:val="22"/>
                <w:szCs w:val="22"/>
                <w:highlight w:val="none"/>
                <w:u w:val="none"/>
              </w:rPr>
            </w:pPr>
          </w:p>
        </w:tc>
        <w:tc>
          <w:tcPr>
            <w:tcW w:w="1218" w:type="dxa"/>
            <w:gridSpan w:val="2"/>
            <w:tcBorders>
              <w:top w:val="nil"/>
              <w:left w:val="nil"/>
              <w:bottom w:val="single" w:color="auto" w:sz="4" w:space="0"/>
              <w:right w:val="nil"/>
            </w:tcBorders>
            <w:shd w:val="clear" w:color="auto" w:fill="FFFFFF"/>
            <w:noWrap/>
            <w:vAlign w:val="center"/>
          </w:tcPr>
          <w:p>
            <w:pPr>
              <w:jc w:val="center"/>
              <w:rPr>
                <w:rFonts w:hint="default" w:ascii="Times New Roman" w:hAnsi="Times New Roman" w:eastAsia="宋体" w:cs="Times New Roman"/>
                <w:i w:val="0"/>
                <w:iCs w:val="0"/>
                <w:color w:val="000000"/>
                <w:sz w:val="22"/>
                <w:szCs w:val="22"/>
                <w:highlight w:val="none"/>
                <w:u w:val="none"/>
              </w:rPr>
            </w:pPr>
          </w:p>
        </w:tc>
        <w:tc>
          <w:tcPr>
            <w:tcW w:w="1086" w:type="dxa"/>
            <w:tcBorders>
              <w:top w:val="nil"/>
              <w:left w:val="nil"/>
              <w:bottom w:val="single" w:color="auto" w:sz="4" w:space="0"/>
              <w:right w:val="nil"/>
            </w:tcBorders>
            <w:shd w:val="clear" w:color="auto" w:fill="auto"/>
            <w:noWrap/>
            <w:vAlign w:val="bottom"/>
          </w:tcPr>
          <w:p>
            <w:pPr>
              <w:jc w:val="center"/>
              <w:rPr>
                <w:rFonts w:hint="default" w:ascii="Times New Roman" w:hAnsi="Times New Roman" w:eastAsia="宋体" w:cs="Times New Roman"/>
                <w:i w:val="0"/>
                <w:iCs w:val="0"/>
                <w:color w:val="000000"/>
                <w:sz w:val="22"/>
                <w:szCs w:val="22"/>
                <w:highlight w:val="none"/>
                <w:u w:val="none"/>
              </w:rPr>
            </w:pPr>
          </w:p>
        </w:tc>
        <w:tc>
          <w:tcPr>
            <w:tcW w:w="984" w:type="dxa"/>
            <w:tcBorders>
              <w:top w:val="nil"/>
              <w:left w:val="nil"/>
              <w:bottom w:val="single" w:color="auto" w:sz="4" w:space="0"/>
              <w:right w:val="nil"/>
            </w:tcBorders>
            <w:shd w:val="clear" w:color="auto" w:fill="FFFFFF"/>
            <w:noWrap/>
            <w:vAlign w:val="center"/>
          </w:tcPr>
          <w:p>
            <w:pPr>
              <w:jc w:val="center"/>
              <w:rPr>
                <w:rFonts w:hint="default" w:ascii="Times New Roman" w:hAnsi="Times New Roman" w:eastAsia="宋体" w:cs="Times New Roman"/>
                <w:i w:val="0"/>
                <w:iCs w:val="0"/>
                <w:color w:val="000000"/>
                <w:sz w:val="22"/>
                <w:szCs w:val="22"/>
                <w:highlight w:val="none"/>
                <w:u w:val="none"/>
              </w:rPr>
            </w:pPr>
          </w:p>
        </w:tc>
        <w:tc>
          <w:tcPr>
            <w:tcW w:w="1516" w:type="dxa"/>
            <w:tcBorders>
              <w:top w:val="nil"/>
              <w:left w:val="nil"/>
              <w:bottom w:val="single" w:color="auto" w:sz="4" w:space="0"/>
              <w:right w:val="nil"/>
            </w:tcBorders>
            <w:shd w:val="clear" w:color="auto" w:fill="FFFFFF"/>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highlight w:val="none"/>
                <w:u w:val="none"/>
              </w:rPr>
            </w:pPr>
            <w:r>
              <w:rPr>
                <w:rFonts w:hint="default" w:ascii="Times New Roman" w:hAnsi="Times New Roman" w:eastAsia="宋体" w:cs="Times New Roman"/>
                <w:i w:val="0"/>
                <w:iCs w:val="0"/>
                <w:color w:val="000000"/>
                <w:kern w:val="0"/>
                <w:sz w:val="24"/>
                <w:szCs w:val="24"/>
                <w:highlight w:val="none"/>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highlight w:val="none"/>
                <w:u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支   出  项  目</w:t>
            </w:r>
          </w:p>
        </w:tc>
        <w:tc>
          <w:tcPr>
            <w:tcW w:w="101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highlight w:val="none"/>
                <w:u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2022年预算数</w:t>
            </w:r>
          </w:p>
        </w:tc>
        <w:tc>
          <w:tcPr>
            <w:tcW w:w="121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highlight w:val="none"/>
                <w:u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2022年调整预算数</w:t>
            </w: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highlight w:val="none"/>
                <w:u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2022年决算数</w:t>
            </w:r>
          </w:p>
        </w:tc>
        <w:tc>
          <w:tcPr>
            <w:tcW w:w="98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highlight w:val="none"/>
                <w:u w:val="none"/>
              </w:rPr>
            </w:pPr>
            <w:r>
              <w:rPr>
                <w:rStyle w:val="27"/>
                <w:rFonts w:hint="default" w:ascii="Times New Roman" w:hAnsi="Times New Roman" w:eastAsia="宋体" w:cs="Times New Roman"/>
                <w:b/>
                <w:bCs/>
                <w:sz w:val="24"/>
                <w:szCs w:val="24"/>
                <w:highlight w:val="none"/>
                <w:lang w:val="en-US" w:eastAsia="zh-CN" w:bidi="ar"/>
              </w:rPr>
              <w:t>为预算的</w:t>
            </w:r>
            <w:r>
              <w:rPr>
                <w:rStyle w:val="26"/>
                <w:rFonts w:hint="default" w:ascii="Times New Roman" w:hAnsi="Times New Roman" w:eastAsia="宋体" w:cs="Times New Roman"/>
                <w:b/>
                <w:bCs/>
                <w:sz w:val="24"/>
                <w:szCs w:val="24"/>
                <w:highlight w:val="none"/>
                <w:lang w:val="en-US" w:eastAsia="zh-CN" w:bidi="ar"/>
              </w:rPr>
              <w:t>%</w:t>
            </w:r>
          </w:p>
        </w:tc>
        <w:tc>
          <w:tcPr>
            <w:tcW w:w="151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highlight w:val="none"/>
                <w:u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为上年决算的%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i w:val="0"/>
                <w:iCs w:val="0"/>
                <w:color w:val="000000"/>
                <w:sz w:val="22"/>
                <w:szCs w:val="22"/>
                <w:highlight w:val="none"/>
                <w:u w:val="none"/>
              </w:rPr>
            </w:pPr>
          </w:p>
        </w:tc>
        <w:tc>
          <w:tcPr>
            <w:tcW w:w="10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i w:val="0"/>
                <w:iCs w:val="0"/>
                <w:color w:val="000000"/>
                <w:sz w:val="20"/>
                <w:szCs w:val="20"/>
                <w:highlight w:val="none"/>
                <w:u w:val="none"/>
              </w:rPr>
            </w:pPr>
          </w:p>
        </w:tc>
        <w:tc>
          <w:tcPr>
            <w:tcW w:w="121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i w:val="0"/>
                <w:iCs w:val="0"/>
                <w:color w:val="000000"/>
                <w:sz w:val="20"/>
                <w:szCs w:val="20"/>
                <w:highlight w:val="none"/>
                <w:u w:val="none"/>
              </w:rPr>
            </w:pPr>
          </w:p>
        </w:tc>
        <w:tc>
          <w:tcPr>
            <w:tcW w:w="108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i w:val="0"/>
                <w:iCs w:val="0"/>
                <w:color w:val="000000"/>
                <w:sz w:val="20"/>
                <w:szCs w:val="20"/>
                <w:highlight w:val="none"/>
                <w:u w:val="none"/>
              </w:rPr>
            </w:pPr>
          </w:p>
        </w:tc>
        <w:tc>
          <w:tcPr>
            <w:tcW w:w="984"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i w:val="0"/>
                <w:iCs w:val="0"/>
                <w:color w:val="000000"/>
                <w:sz w:val="20"/>
                <w:szCs w:val="20"/>
                <w:highlight w:val="none"/>
                <w:u w:val="none"/>
              </w:rPr>
            </w:pPr>
          </w:p>
        </w:tc>
        <w:tc>
          <w:tcPr>
            <w:tcW w:w="15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黑体" w:cs="Times New Roman"/>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一、一般公共服务支出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9920</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8068</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8068</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二、国防支出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三、公共安全支出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3649</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4219</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4219</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四、教育支出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29438</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44502</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43703</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98.2%</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五、科学技术支出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2437</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3355</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3355</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六、文化旅游体育与传媒支出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325</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442</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424</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95.9%</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七、社会保障和就业支出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20733</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23105</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22948</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99.3%</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八、卫生健康支出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8993</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12727</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12559</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98.7%</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九、节能环保支出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435</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1009</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1009</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十、城乡社区支出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2881</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47062</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46912</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99.7%</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十一、农林水支出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7373</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10013</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9047</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90.4%</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十二、交通运输支出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250</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214</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85.6%</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十三、资源勘探工业信息等支出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86</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509</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509</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1131.1%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十四、商业服务业等支出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231</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231</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十五、金融支出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26</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26</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十六、援助其他地区支出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十七、自然资源海洋气象等支出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311</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311</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十八、住房保障支出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8250</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10819</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10270</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94.9%</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十九、粮油物资储备支出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二十、灾害防治及应急管理支出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1245</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1064</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1034</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97.2%</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二十一、预备费</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二十二、其他支出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4377</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185</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highlight w:val="none"/>
                <w:u w:val="none"/>
              </w:rPr>
            </w:pP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二十三、债务付息支出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lang w:val="en-US"/>
              </w:rPr>
            </w:pPr>
            <w:r>
              <w:rPr>
                <w:rFonts w:hint="default" w:ascii="Times New Roman" w:hAnsi="Times New Roman" w:eastAsia="宋体" w:cs="Times New Roman"/>
                <w:i w:val="0"/>
                <w:iCs w:val="0"/>
                <w:color w:val="000000"/>
                <w:kern w:val="0"/>
                <w:sz w:val="21"/>
                <w:szCs w:val="21"/>
                <w:highlight w:val="none"/>
                <w:u w:val="none"/>
                <w:lang w:val="en-US" w:eastAsia="zh-CN" w:bidi="ar"/>
              </w:rPr>
              <w:t>2812</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2812</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2812</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二十四、债务发行费用支出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100.0%</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3" w:type="dxa"/>
          <w:trHeight w:val="397" w:hRule="atLeast"/>
          <w:jc w:val="center"/>
        </w:trPr>
        <w:tc>
          <w:tcPr>
            <w:tcW w:w="3156" w:type="dxa"/>
            <w:gridSpan w:val="5"/>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一般公共预算支出</w:t>
            </w:r>
          </w:p>
        </w:tc>
        <w:tc>
          <w:tcPr>
            <w:tcW w:w="101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highlight w:val="none"/>
                <w:u w:val="none"/>
                <w:lang w:val="en-US"/>
              </w:rPr>
            </w:pPr>
            <w:r>
              <w:rPr>
                <w:rFonts w:hint="default" w:ascii="Times New Roman" w:hAnsi="Times New Roman" w:eastAsia="宋体" w:cs="Times New Roman"/>
                <w:b/>
                <w:bCs/>
                <w:i w:val="0"/>
                <w:iCs w:val="0"/>
                <w:color w:val="000000"/>
                <w:kern w:val="0"/>
                <w:sz w:val="21"/>
                <w:szCs w:val="21"/>
                <w:highlight w:val="none"/>
                <w:u w:val="none"/>
                <w:lang w:val="en-US" w:eastAsia="zh-CN" w:bidi="ar"/>
              </w:rPr>
              <w:t>102954</w:t>
            </w:r>
          </w:p>
        </w:tc>
        <w:tc>
          <w:tcPr>
            <w:tcW w:w="12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170711</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167653</w:t>
            </w:r>
          </w:p>
        </w:tc>
        <w:tc>
          <w:tcPr>
            <w:tcW w:w="98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98.2%</w:t>
            </w:r>
          </w:p>
        </w:tc>
        <w:tc>
          <w:tcPr>
            <w:tcW w:w="1516" w:type="dxa"/>
            <w:tcBorders>
              <w:top w:val="single" w:color="auto" w:sz="4" w:space="0"/>
              <w:left w:val="single" w:color="auto" w:sz="4" w:space="0"/>
              <w:bottom w:val="single" w:color="auto" w:sz="4" w:space="0"/>
              <w:right w:val="single" w:color="auto" w:sz="4" w:space="0"/>
            </w:tcBorders>
            <w:shd w:val="clear" w:color="auto" w:fill="FFFFFF"/>
            <w:noWrap/>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000000"/>
                <w:sz w:val="21"/>
                <w:szCs w:val="21"/>
                <w:highlight w:val="none"/>
                <w:u w:val="none"/>
              </w:rPr>
            </w:pPr>
            <w:r>
              <w:rPr>
                <w:rFonts w:hint="default" w:ascii="Times New Roman" w:hAnsi="Times New Roman" w:eastAsia="宋体" w:cs="Times New Roman"/>
                <w:b/>
                <w:bCs/>
                <w:i w:val="0"/>
                <w:iCs w:val="0"/>
                <w:color w:val="000000"/>
                <w:kern w:val="0"/>
                <w:sz w:val="21"/>
                <w:szCs w:val="21"/>
                <w:highlight w:val="none"/>
                <w:u w:val="none"/>
                <w:lang w:val="en-US" w:eastAsia="zh-CN" w:bidi="ar"/>
              </w:rPr>
              <w:t>106.2%</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617" w:hRule="atLeast"/>
          <w:jc w:val="center"/>
        </w:trPr>
        <w:tc>
          <w:tcPr>
            <w:tcW w:w="9331" w:type="dxa"/>
            <w:gridSpan w:val="12"/>
            <w:tcBorders>
              <w:top w:val="nil"/>
              <w:left w:val="nil"/>
              <w:bottom w:val="nil"/>
              <w:right w:val="nil"/>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hint="default" w:ascii="Times New Roman" w:hAnsi="Times New Roman" w:eastAsia="方正小标宋简体" w:cs="Times New Roman"/>
                <w:kern w:val="0"/>
                <w:sz w:val="32"/>
                <w:szCs w:val="32"/>
                <w:highlight w:val="none"/>
                <w:lang w:bidi="ar"/>
              </w:rPr>
            </w:pPr>
            <w:r>
              <w:rPr>
                <w:rFonts w:hint="default" w:ascii="Times New Roman" w:hAnsi="Times New Roman" w:eastAsia="方正小标宋简体" w:cs="Times New Roman"/>
                <w:kern w:val="0"/>
                <w:sz w:val="32"/>
                <w:szCs w:val="32"/>
                <w:highlight w:val="none"/>
                <w:lang w:bidi="ar"/>
              </w:rPr>
              <w:t>202</w:t>
            </w:r>
            <w:r>
              <w:rPr>
                <w:rFonts w:hint="default" w:ascii="Times New Roman" w:hAnsi="Times New Roman" w:eastAsia="方正小标宋简体" w:cs="Times New Roman"/>
                <w:kern w:val="0"/>
                <w:sz w:val="32"/>
                <w:szCs w:val="32"/>
                <w:highlight w:val="none"/>
                <w:lang w:val="en-US" w:eastAsia="zh-CN" w:bidi="ar"/>
              </w:rPr>
              <w:t>3</w:t>
            </w:r>
            <w:r>
              <w:rPr>
                <w:rFonts w:hint="default" w:ascii="Times New Roman" w:hAnsi="Times New Roman" w:eastAsia="方正小标宋简体" w:cs="Times New Roman"/>
                <w:kern w:val="0"/>
                <w:sz w:val="32"/>
                <w:szCs w:val="32"/>
                <w:highlight w:val="none"/>
                <w:lang w:bidi="ar"/>
              </w:rPr>
              <w:t>年上半年区本级一般公共预算支出</w:t>
            </w:r>
          </w:p>
          <w:p>
            <w:pPr>
              <w:keepNext w:val="0"/>
              <w:keepLines w:val="0"/>
              <w:pageBreakBefore w:val="0"/>
              <w:widowControl/>
              <w:kinsoku/>
              <w:wordWrap/>
              <w:overflowPunct/>
              <w:topLinePunct w:val="0"/>
              <w:autoSpaceDE/>
              <w:autoSpaceDN/>
              <w:bidi w:val="0"/>
              <w:adjustRightInd/>
              <w:snapToGrid/>
              <w:spacing w:line="0" w:lineRule="atLeast"/>
              <w:jc w:val="center"/>
              <w:textAlignment w:val="center"/>
              <w:rPr>
                <w:rFonts w:hint="default" w:ascii="Times New Roman" w:hAnsi="Times New Roman" w:eastAsia="方正小标宋简体" w:cs="Times New Roman"/>
                <w:kern w:val="0"/>
                <w:sz w:val="32"/>
                <w:szCs w:val="32"/>
                <w:highlight w:val="none"/>
                <w:lang w:bidi="ar"/>
              </w:rPr>
            </w:pPr>
            <w:r>
              <w:rPr>
                <w:rFonts w:hint="default" w:ascii="Times New Roman" w:hAnsi="Times New Roman" w:eastAsia="方正小标宋简体" w:cs="Times New Roman"/>
                <w:kern w:val="0"/>
                <w:sz w:val="32"/>
                <w:szCs w:val="32"/>
                <w:highlight w:val="none"/>
                <w:lang w:bidi="ar"/>
              </w:rPr>
              <w:t>分科目完成情况表（表五）</w:t>
            </w:r>
          </w:p>
          <w:p>
            <w:pPr>
              <w:widowControl/>
              <w:jc w:val="right"/>
              <w:textAlignment w:val="center"/>
              <w:rPr>
                <w:rFonts w:hint="default" w:ascii="Times New Roman" w:hAnsi="Times New Roman" w:cs="Times New Roman"/>
                <w:kern w:val="0"/>
                <w:sz w:val="32"/>
                <w:szCs w:val="32"/>
                <w:highlight w:val="none"/>
                <w:lang w:bidi="ar"/>
              </w:rPr>
            </w:pPr>
            <w:r>
              <w:rPr>
                <w:rFonts w:hint="default" w:ascii="Times New Roman" w:hAnsi="Times New Roman" w:cs="Times New Roman"/>
                <w:kern w:val="0"/>
                <w:sz w:val="32"/>
                <w:szCs w:val="32"/>
                <w:highlight w:val="none"/>
                <w:lang w:bidi="ar"/>
              </w:rPr>
              <w:t>　　　　　　　</w:t>
            </w:r>
            <w:r>
              <w:rPr>
                <w:rFonts w:hint="default" w:ascii="Times New Roman" w:hAnsi="Times New Roman" w:cs="Times New Roman"/>
                <w:kern w:val="0"/>
                <w:sz w:val="24"/>
                <w:highlight w:val="none"/>
                <w:lang w:bidi="ar"/>
              </w:rPr>
              <w:t>　　　　　　　　　　　　　　　　　　　单位：万元</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690" w:hRule="atLeast"/>
          <w:jc w:val="center"/>
        </w:trPr>
        <w:tc>
          <w:tcPr>
            <w:tcW w:w="51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b/>
                <w:bCs/>
                <w:sz w:val="22"/>
                <w:szCs w:val="22"/>
                <w:highlight w:val="none"/>
              </w:rPr>
            </w:pPr>
            <w:r>
              <w:rPr>
                <w:rFonts w:hint="default" w:ascii="Times New Roman" w:hAnsi="Times New Roman" w:cs="Times New Roman"/>
                <w:b/>
                <w:bCs/>
                <w:kern w:val="0"/>
                <w:sz w:val="22"/>
                <w:szCs w:val="22"/>
                <w:highlight w:val="none"/>
                <w:lang w:bidi="ar"/>
              </w:rPr>
              <w:t>序号</w:t>
            </w:r>
          </w:p>
        </w:tc>
        <w:tc>
          <w:tcPr>
            <w:tcW w:w="1666"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b/>
                <w:bCs/>
                <w:sz w:val="22"/>
                <w:szCs w:val="22"/>
                <w:highlight w:val="none"/>
              </w:rPr>
            </w:pPr>
            <w:r>
              <w:rPr>
                <w:rFonts w:hint="default" w:ascii="Times New Roman" w:hAnsi="Times New Roman" w:cs="Times New Roman"/>
                <w:b/>
                <w:bCs/>
                <w:kern w:val="0"/>
                <w:sz w:val="22"/>
                <w:szCs w:val="22"/>
                <w:highlight w:val="none"/>
                <w:lang w:bidi="ar"/>
              </w:rPr>
              <w:t>科目</w:t>
            </w:r>
          </w:p>
        </w:tc>
        <w:tc>
          <w:tcPr>
            <w:tcW w:w="81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b/>
                <w:bCs/>
                <w:sz w:val="22"/>
                <w:szCs w:val="22"/>
                <w:highlight w:val="none"/>
              </w:rPr>
            </w:pPr>
            <w:r>
              <w:rPr>
                <w:rFonts w:hint="default" w:ascii="Times New Roman" w:hAnsi="Times New Roman" w:cs="Times New Roman"/>
                <w:b/>
                <w:bCs/>
                <w:kern w:val="0"/>
                <w:sz w:val="22"/>
                <w:szCs w:val="22"/>
                <w:highlight w:val="none"/>
                <w:lang w:bidi="ar"/>
              </w:rPr>
              <w:t>金额</w:t>
            </w:r>
          </w:p>
        </w:tc>
        <w:tc>
          <w:tcPr>
            <w:tcW w:w="93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b/>
                <w:bCs/>
                <w:sz w:val="22"/>
                <w:szCs w:val="22"/>
                <w:highlight w:val="none"/>
              </w:rPr>
            </w:pPr>
            <w:r>
              <w:rPr>
                <w:rFonts w:hint="default" w:ascii="Times New Roman" w:hAnsi="Times New Roman" w:cs="Times New Roman"/>
                <w:b/>
                <w:bCs/>
                <w:kern w:val="0"/>
                <w:sz w:val="22"/>
                <w:szCs w:val="22"/>
                <w:highlight w:val="none"/>
                <w:lang w:bidi="ar"/>
              </w:rPr>
              <w:t>增减情况</w:t>
            </w:r>
          </w:p>
        </w:tc>
        <w:tc>
          <w:tcPr>
            <w:tcW w:w="932"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b/>
                <w:bCs/>
                <w:sz w:val="22"/>
                <w:szCs w:val="22"/>
                <w:highlight w:val="none"/>
              </w:rPr>
            </w:pPr>
            <w:r>
              <w:rPr>
                <w:rFonts w:hint="default" w:ascii="Times New Roman" w:hAnsi="Times New Roman" w:cs="Times New Roman"/>
                <w:b/>
                <w:bCs/>
                <w:kern w:val="0"/>
                <w:sz w:val="22"/>
                <w:szCs w:val="22"/>
                <w:highlight w:val="none"/>
                <w:lang w:bidi="ar"/>
              </w:rPr>
              <w:t>增减比例</w:t>
            </w:r>
          </w:p>
        </w:tc>
        <w:tc>
          <w:tcPr>
            <w:tcW w:w="4483" w:type="dxa"/>
            <w:gridSpan w:val="5"/>
            <w:tcBorders>
              <w:top w:val="single" w:color="auto" w:sz="4" w:space="0"/>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b/>
                <w:bCs/>
                <w:sz w:val="22"/>
                <w:szCs w:val="22"/>
                <w:highlight w:val="none"/>
              </w:rPr>
            </w:pPr>
            <w:r>
              <w:rPr>
                <w:rFonts w:hint="default" w:ascii="Times New Roman" w:hAnsi="Times New Roman" w:cs="Times New Roman"/>
                <w:b/>
                <w:bCs/>
                <w:kern w:val="0"/>
                <w:sz w:val="22"/>
                <w:szCs w:val="22"/>
                <w:highlight w:val="none"/>
                <w:lang w:bidi="ar"/>
              </w:rPr>
              <w:t>增减变化的主要原因</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493"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1</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一般公共服务</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3489</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352</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11.2</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cs="Times New Roman"/>
                <w:sz w:val="22"/>
                <w:szCs w:val="22"/>
                <w:highlight w:val="none"/>
                <w:lang w:eastAsia="zh-CN"/>
              </w:rPr>
              <w:t>预发基础性绩效奖</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42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2</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公共安全</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bidi="ar"/>
              </w:rPr>
              <w:t>18</w:t>
            </w:r>
            <w:r>
              <w:rPr>
                <w:rFonts w:hint="default" w:ascii="Times New Roman" w:hAnsi="Times New Roman" w:cs="Times New Roman"/>
                <w:kern w:val="0"/>
                <w:sz w:val="22"/>
                <w:szCs w:val="22"/>
                <w:highlight w:val="none"/>
                <w:lang w:val="en-US" w:eastAsia="zh-CN" w:bidi="ar"/>
              </w:rPr>
              <w:t>97</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cs="Times New Roman"/>
                <w:kern w:val="0"/>
                <w:sz w:val="22"/>
                <w:szCs w:val="22"/>
                <w:highlight w:val="none"/>
                <w:lang w:val="en-US" w:eastAsia="zh-CN" w:bidi="ar"/>
              </w:rPr>
              <w:t>8</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0.4</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42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3</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教育</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22370</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2154</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10.7</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bidi="ar"/>
              </w:rPr>
              <w:t>拨付高岳中心校九年一贯制学校工程资金</w:t>
            </w:r>
            <w:r>
              <w:rPr>
                <w:rFonts w:hint="default" w:ascii="Times New Roman" w:hAnsi="Times New Roman" w:cs="Times New Roman"/>
                <w:kern w:val="0"/>
                <w:sz w:val="22"/>
                <w:szCs w:val="22"/>
                <w:highlight w:val="none"/>
                <w:lang w:eastAsia="zh-CN" w:bidi="ar"/>
              </w:rPr>
              <w:t>和</w:t>
            </w:r>
            <w:r>
              <w:rPr>
                <w:rFonts w:hint="default" w:ascii="Times New Roman" w:hAnsi="Times New Roman" w:cs="Times New Roman"/>
                <w:kern w:val="0"/>
                <w:sz w:val="22"/>
                <w:szCs w:val="22"/>
                <w:highlight w:val="none"/>
                <w:lang w:val="en-US" w:eastAsia="zh-CN" w:bidi="ar"/>
              </w:rPr>
              <w:t>龙湖九年一贯制学校建设资金</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530"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4</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科学技术</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116</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-2103</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-94.8</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sz w:val="22"/>
                <w:szCs w:val="22"/>
                <w:highlight w:val="none"/>
                <w:lang w:val="en-US" w:eastAsia="zh-CN"/>
              </w:rPr>
              <w:t>不可比因素，</w:t>
            </w:r>
            <w:r>
              <w:rPr>
                <w:rFonts w:hint="default" w:ascii="Times New Roman" w:hAnsi="Times New Roman" w:cs="Times New Roman"/>
                <w:sz w:val="22"/>
                <w:szCs w:val="22"/>
                <w:highlight w:val="none"/>
                <w:lang w:eastAsia="zh-CN"/>
              </w:rPr>
              <w:t>去年同期</w:t>
            </w:r>
            <w:r>
              <w:rPr>
                <w:rFonts w:hint="default" w:ascii="Times New Roman" w:hAnsi="Times New Roman" w:cs="Times New Roman"/>
                <w:sz w:val="22"/>
                <w:szCs w:val="22"/>
                <w:highlight w:val="none"/>
              </w:rPr>
              <w:t>拨付</w:t>
            </w:r>
            <w:r>
              <w:rPr>
                <w:rFonts w:hint="default" w:ascii="Times New Roman" w:hAnsi="Times New Roman" w:cs="Times New Roman"/>
                <w:sz w:val="22"/>
                <w:szCs w:val="22"/>
                <w:highlight w:val="none"/>
                <w:lang w:eastAsia="zh-CN"/>
              </w:rPr>
              <w:t>支持</w:t>
            </w:r>
            <w:r>
              <w:rPr>
                <w:rFonts w:hint="default" w:ascii="Times New Roman" w:hAnsi="Times New Roman" w:cs="Times New Roman"/>
                <w:sz w:val="22"/>
                <w:szCs w:val="22"/>
                <w:highlight w:val="none"/>
              </w:rPr>
              <w:t>民营经济</w:t>
            </w:r>
            <w:r>
              <w:rPr>
                <w:rFonts w:hint="default" w:ascii="Times New Roman" w:hAnsi="Times New Roman" w:cs="Times New Roman"/>
                <w:sz w:val="22"/>
                <w:szCs w:val="22"/>
                <w:highlight w:val="none"/>
                <w:lang w:eastAsia="zh-CN"/>
              </w:rPr>
              <w:t>发展等</w:t>
            </w:r>
            <w:r>
              <w:rPr>
                <w:rFonts w:hint="default" w:ascii="Times New Roman" w:hAnsi="Times New Roman" w:cs="Times New Roman"/>
                <w:sz w:val="22"/>
                <w:szCs w:val="22"/>
                <w:highlight w:val="none"/>
              </w:rPr>
              <w:t>政策资金</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390"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5</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文化旅游体育与传媒</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244</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73</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42.7</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sz w:val="22"/>
                <w:szCs w:val="22"/>
                <w:highlight w:val="none"/>
                <w:lang w:val="en-US" w:eastAsia="zh-CN"/>
              </w:rPr>
              <w:t>拨付应急广播和城市阅读空间建设维护费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52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6</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社会保障和就业</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12845</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1784</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16.1</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kern w:val="0"/>
                <w:sz w:val="22"/>
                <w:szCs w:val="22"/>
                <w:highlight w:val="none"/>
                <w:lang w:eastAsia="zh-CN" w:bidi="ar"/>
              </w:rPr>
            </w:pPr>
            <w:r>
              <w:rPr>
                <w:rFonts w:hint="default" w:ascii="Times New Roman" w:hAnsi="Times New Roman" w:cs="Times New Roman"/>
                <w:kern w:val="0"/>
                <w:sz w:val="22"/>
                <w:szCs w:val="22"/>
                <w:highlight w:val="none"/>
                <w:lang w:bidi="ar"/>
              </w:rPr>
              <w:t>上级追加了就业补助资金</w:t>
            </w:r>
            <w:r>
              <w:rPr>
                <w:rFonts w:hint="default" w:ascii="Times New Roman" w:hAnsi="Times New Roman" w:cs="Times New Roman"/>
                <w:kern w:val="0"/>
                <w:sz w:val="22"/>
                <w:szCs w:val="22"/>
                <w:highlight w:val="none"/>
                <w:lang w:eastAsia="zh-CN" w:bidi="ar"/>
              </w:rPr>
              <w:t>；加大了对残疾人就业、养老服务等社会福利方面的投入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421"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7</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卫生健康</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6163</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1016</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19.7</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kern w:val="0"/>
                <w:sz w:val="22"/>
                <w:szCs w:val="22"/>
                <w:highlight w:val="none"/>
                <w:lang w:eastAsia="zh-CN" w:bidi="ar"/>
              </w:rPr>
            </w:pPr>
            <w:r>
              <w:rPr>
                <w:rFonts w:hint="default" w:ascii="Times New Roman" w:hAnsi="Times New Roman" w:cs="Times New Roman"/>
                <w:kern w:val="0"/>
                <w:sz w:val="22"/>
                <w:szCs w:val="22"/>
                <w:highlight w:val="none"/>
                <w:lang w:eastAsia="zh-CN" w:bidi="ar"/>
              </w:rPr>
              <w:t>不可比因素，去年同期因</w:t>
            </w:r>
            <w:r>
              <w:rPr>
                <w:rFonts w:hint="default" w:ascii="Times New Roman" w:hAnsi="Times New Roman" w:cs="Times New Roman"/>
                <w:kern w:val="0"/>
                <w:sz w:val="22"/>
                <w:szCs w:val="22"/>
                <w:highlight w:val="none"/>
                <w:lang w:bidi="ar"/>
              </w:rPr>
              <w:t>支付方式变化，卫生项目资金</w:t>
            </w:r>
            <w:r>
              <w:rPr>
                <w:rFonts w:hint="default" w:ascii="Times New Roman" w:hAnsi="Times New Roman" w:cs="Times New Roman"/>
                <w:kern w:val="0"/>
                <w:sz w:val="22"/>
                <w:szCs w:val="22"/>
                <w:highlight w:val="none"/>
                <w:lang w:eastAsia="zh-CN" w:bidi="ar"/>
              </w:rPr>
              <w:t>在上半年</w:t>
            </w:r>
            <w:r>
              <w:rPr>
                <w:rFonts w:hint="default" w:ascii="Times New Roman" w:hAnsi="Times New Roman" w:cs="Times New Roman"/>
                <w:kern w:val="0"/>
                <w:sz w:val="22"/>
                <w:szCs w:val="22"/>
                <w:highlight w:val="none"/>
                <w:lang w:bidi="ar"/>
              </w:rPr>
              <w:t>未实际结算</w:t>
            </w:r>
            <w:r>
              <w:rPr>
                <w:rFonts w:hint="default" w:ascii="Times New Roman" w:hAnsi="Times New Roman" w:cs="Times New Roman"/>
                <w:kern w:val="0"/>
                <w:sz w:val="22"/>
                <w:szCs w:val="22"/>
                <w:highlight w:val="none"/>
                <w:lang w:eastAsia="zh-CN" w:bidi="ar"/>
              </w:rPr>
              <w:t>；清算往年疫情防控经费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439"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8</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节能环保</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387</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-598</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-60.7</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cs="Times New Roman"/>
                <w:kern w:val="0"/>
                <w:sz w:val="22"/>
                <w:szCs w:val="22"/>
                <w:highlight w:val="none"/>
                <w:lang w:eastAsia="zh-CN" w:bidi="ar"/>
              </w:rPr>
              <w:t>去年同期</w:t>
            </w:r>
            <w:r>
              <w:rPr>
                <w:rFonts w:hint="default" w:ascii="Times New Roman" w:hAnsi="Times New Roman" w:cs="Times New Roman"/>
                <w:kern w:val="0"/>
                <w:sz w:val="22"/>
                <w:szCs w:val="22"/>
                <w:highlight w:val="none"/>
                <w:lang w:bidi="ar"/>
              </w:rPr>
              <w:t>拨付秸秆</w:t>
            </w:r>
            <w:r>
              <w:rPr>
                <w:rFonts w:hint="default" w:ascii="Times New Roman" w:hAnsi="Times New Roman" w:cs="Times New Roman"/>
                <w:kern w:val="0"/>
                <w:sz w:val="22"/>
                <w:szCs w:val="22"/>
                <w:highlight w:val="none"/>
                <w:lang w:val="en-US" w:eastAsia="zh-CN" w:bidi="ar"/>
              </w:rPr>
              <w:t>发电财政奖补资金</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510"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9</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城乡社区</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24898</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13542</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119.3</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eastAsia="宋体" w:cs="Times New Roman"/>
                <w:kern w:val="0"/>
                <w:sz w:val="22"/>
                <w:szCs w:val="22"/>
                <w:highlight w:val="none"/>
                <w:lang w:val="en-US" w:eastAsia="zh-CN" w:bidi="ar"/>
              </w:rPr>
              <w:t>偿还棚改项目</w:t>
            </w:r>
            <w:r>
              <w:rPr>
                <w:rFonts w:hint="eastAsia" w:ascii="Times New Roman" w:hAnsi="Times New Roman" w:eastAsia="宋体" w:cs="Times New Roman"/>
                <w:kern w:val="0"/>
                <w:sz w:val="22"/>
                <w:szCs w:val="22"/>
                <w:highlight w:val="none"/>
                <w:lang w:val="en-US" w:eastAsia="zh-CN" w:bidi="ar"/>
              </w:rPr>
              <w:t>本息</w:t>
            </w:r>
            <w:r>
              <w:rPr>
                <w:rFonts w:hint="default" w:ascii="Times New Roman" w:hAnsi="Times New Roman" w:eastAsia="宋体" w:cs="Times New Roman"/>
                <w:kern w:val="0"/>
                <w:sz w:val="22"/>
                <w:szCs w:val="22"/>
                <w:highlight w:val="none"/>
                <w:lang w:val="en-US" w:eastAsia="zh-CN" w:bidi="ar"/>
              </w:rPr>
              <w:t>；拨付采煤沉陷区综合治理资金</w:t>
            </w:r>
            <w:r>
              <w:rPr>
                <w:rFonts w:hint="eastAsia" w:ascii="Times New Roman" w:hAnsi="Times New Roman" w:eastAsia="宋体" w:cs="Times New Roman"/>
                <w:kern w:val="0"/>
                <w:sz w:val="22"/>
                <w:szCs w:val="22"/>
                <w:highlight w:val="none"/>
                <w:lang w:val="en-US" w:eastAsia="zh-CN" w:bidi="ar"/>
              </w:rPr>
              <w:t xml:space="preserve">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51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10</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农林水</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8088</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2107</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35.2</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kern w:val="0"/>
                <w:sz w:val="22"/>
                <w:szCs w:val="22"/>
                <w:highlight w:val="none"/>
                <w:lang w:eastAsia="zh-CN" w:bidi="ar"/>
              </w:rPr>
            </w:pPr>
            <w:r>
              <w:rPr>
                <w:rFonts w:hint="default" w:ascii="Times New Roman" w:hAnsi="Times New Roman" w:cs="Times New Roman"/>
                <w:kern w:val="0"/>
                <w:sz w:val="22"/>
                <w:szCs w:val="22"/>
                <w:highlight w:val="none"/>
                <w:lang w:eastAsia="zh-CN" w:bidi="ar"/>
              </w:rPr>
              <w:t>拨付程蒋山项目建设资金；</w:t>
            </w:r>
            <w:r>
              <w:rPr>
                <w:rFonts w:hint="default" w:ascii="Times New Roman" w:hAnsi="Times New Roman" w:cs="Times New Roman"/>
                <w:kern w:val="0"/>
                <w:sz w:val="22"/>
                <w:szCs w:val="22"/>
                <w:highlight w:val="none"/>
                <w:lang w:bidi="ar"/>
              </w:rPr>
              <w:t>增加</w:t>
            </w:r>
            <w:r>
              <w:rPr>
                <w:rFonts w:hint="default" w:ascii="Times New Roman" w:hAnsi="Times New Roman" w:cs="Times New Roman"/>
                <w:kern w:val="0"/>
                <w:sz w:val="22"/>
                <w:szCs w:val="22"/>
                <w:highlight w:val="none"/>
                <w:lang w:eastAsia="zh-CN" w:bidi="ar"/>
              </w:rPr>
              <w:t>农村引调水工程资金投入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410"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11</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交通运输</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230</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177</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334</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eastAsia="zh-CN" w:bidi="ar"/>
              </w:rPr>
              <w:t>拨付</w:t>
            </w:r>
            <w:r>
              <w:rPr>
                <w:rFonts w:hint="default" w:ascii="Times New Roman" w:hAnsi="Times New Roman" w:cs="Times New Roman"/>
                <w:kern w:val="0"/>
                <w:sz w:val="22"/>
                <w:szCs w:val="22"/>
                <w:highlight w:val="none"/>
                <w:lang w:bidi="ar"/>
              </w:rPr>
              <w:t>农村公</w:t>
            </w:r>
            <w:r>
              <w:rPr>
                <w:rFonts w:hint="default" w:ascii="Times New Roman" w:hAnsi="Times New Roman" w:cs="Times New Roman"/>
                <w:kern w:val="0"/>
                <w:sz w:val="22"/>
                <w:szCs w:val="22"/>
                <w:highlight w:val="none"/>
                <w:lang w:eastAsia="zh-CN" w:bidi="ar"/>
              </w:rPr>
              <w:t>路养护</w:t>
            </w:r>
            <w:r>
              <w:rPr>
                <w:rFonts w:hint="default" w:ascii="Times New Roman" w:hAnsi="Times New Roman" w:cs="Times New Roman"/>
                <w:kern w:val="0"/>
                <w:sz w:val="22"/>
                <w:szCs w:val="22"/>
                <w:highlight w:val="none"/>
                <w:lang w:bidi="ar"/>
              </w:rPr>
              <w:t>补助资金</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540"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12</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资源勘探工业信息等</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36</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-443</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-92.5</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val="en-US" w:eastAsia="zh-CN" w:bidi="ar"/>
              </w:rPr>
              <w:t>不可比因素，</w:t>
            </w:r>
            <w:r>
              <w:rPr>
                <w:rFonts w:hint="default" w:ascii="Times New Roman" w:hAnsi="Times New Roman" w:cs="Times New Roman"/>
                <w:kern w:val="0"/>
                <w:sz w:val="22"/>
                <w:szCs w:val="22"/>
                <w:highlight w:val="none"/>
                <w:lang w:eastAsia="zh-CN" w:bidi="ar"/>
              </w:rPr>
              <w:t>去年同期</w:t>
            </w:r>
            <w:r>
              <w:rPr>
                <w:rFonts w:hint="default" w:ascii="Times New Roman" w:hAnsi="Times New Roman" w:cs="Times New Roman"/>
                <w:kern w:val="0"/>
                <w:sz w:val="22"/>
                <w:szCs w:val="22"/>
                <w:highlight w:val="none"/>
                <w:lang w:bidi="ar"/>
              </w:rPr>
              <w:t>上级追加支持制造强省建设政策资金</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35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bidi="ar"/>
              </w:rPr>
              <w:t>13</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bidi="ar"/>
              </w:rPr>
              <w:t>商业服务业等</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kern w:val="0"/>
                <w:sz w:val="22"/>
                <w:szCs w:val="22"/>
                <w:highlight w:val="none"/>
                <w:lang w:eastAsia="zh-CN" w:bidi="ar"/>
              </w:rPr>
            </w:pPr>
            <w:r>
              <w:rPr>
                <w:rFonts w:hint="default" w:ascii="Times New Roman" w:hAnsi="Times New Roman" w:cs="Times New Roman"/>
                <w:kern w:val="0"/>
                <w:sz w:val="22"/>
                <w:szCs w:val="22"/>
                <w:highlight w:val="none"/>
                <w:lang w:val="en-US" w:eastAsia="zh-CN" w:bidi="ar"/>
              </w:rPr>
              <w:t>2</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cs="Times New Roman"/>
                <w:kern w:val="0"/>
                <w:sz w:val="22"/>
                <w:szCs w:val="22"/>
                <w:highlight w:val="none"/>
                <w:lang w:val="en-US" w:eastAsia="zh-CN" w:bidi="ar"/>
              </w:rPr>
              <w:t>-422</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val="en-US" w:eastAsia="zh-CN" w:bidi="ar"/>
              </w:rPr>
              <w:t>-99.5</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val="en-US" w:eastAsia="zh-CN" w:bidi="ar"/>
              </w:rPr>
              <w:t>不可比因素，</w:t>
            </w:r>
            <w:r>
              <w:rPr>
                <w:rFonts w:hint="default" w:ascii="Times New Roman" w:hAnsi="Times New Roman" w:cs="Times New Roman"/>
                <w:kern w:val="0"/>
                <w:sz w:val="22"/>
                <w:szCs w:val="22"/>
                <w:highlight w:val="none"/>
                <w:lang w:eastAsia="zh-CN" w:bidi="ar"/>
              </w:rPr>
              <w:t>去年同期</w:t>
            </w:r>
            <w:r>
              <w:rPr>
                <w:rFonts w:hint="default" w:ascii="Times New Roman" w:hAnsi="Times New Roman" w:cs="Times New Roman"/>
                <w:kern w:val="0"/>
                <w:sz w:val="22"/>
                <w:szCs w:val="22"/>
                <w:highlight w:val="none"/>
                <w:lang w:bidi="ar"/>
              </w:rPr>
              <w:t>拨付</w:t>
            </w:r>
            <w:r>
              <w:rPr>
                <w:rFonts w:hint="default" w:ascii="Times New Roman" w:hAnsi="Times New Roman" w:cs="Times New Roman"/>
                <w:kern w:val="0"/>
                <w:sz w:val="22"/>
                <w:szCs w:val="22"/>
                <w:highlight w:val="none"/>
                <w:lang w:eastAsia="zh-CN" w:bidi="ar"/>
              </w:rPr>
              <w:t>支持</w:t>
            </w:r>
            <w:r>
              <w:rPr>
                <w:rFonts w:hint="default" w:ascii="Times New Roman" w:hAnsi="Times New Roman" w:cs="Times New Roman"/>
                <w:kern w:val="0"/>
                <w:sz w:val="22"/>
                <w:szCs w:val="22"/>
                <w:highlight w:val="none"/>
                <w:lang w:bidi="ar"/>
              </w:rPr>
              <w:t>电子商务发展</w:t>
            </w:r>
            <w:r>
              <w:rPr>
                <w:rFonts w:hint="default" w:ascii="Times New Roman" w:hAnsi="Times New Roman" w:cs="Times New Roman"/>
                <w:kern w:val="0"/>
                <w:sz w:val="22"/>
                <w:szCs w:val="22"/>
                <w:highlight w:val="none"/>
                <w:lang w:eastAsia="zh-CN" w:bidi="ar"/>
              </w:rPr>
              <w:t>专项</w:t>
            </w:r>
            <w:r>
              <w:rPr>
                <w:rFonts w:hint="default" w:ascii="Times New Roman" w:hAnsi="Times New Roman" w:cs="Times New Roman"/>
                <w:kern w:val="0"/>
                <w:sz w:val="22"/>
                <w:szCs w:val="22"/>
                <w:highlight w:val="none"/>
                <w:lang w:bidi="ar"/>
              </w:rPr>
              <w:t>资金</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27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bidi="ar"/>
              </w:rPr>
              <w:t>14</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bidi="ar"/>
              </w:rPr>
              <w:t>金融</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cs="Times New Roman"/>
                <w:kern w:val="0"/>
                <w:sz w:val="22"/>
                <w:szCs w:val="22"/>
                <w:highlight w:val="none"/>
                <w:lang w:val="en-US" w:eastAsia="zh-CN" w:bidi="ar"/>
              </w:rPr>
              <w:t>49</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cs="Times New Roman"/>
                <w:kern w:val="0"/>
                <w:sz w:val="22"/>
                <w:szCs w:val="22"/>
                <w:highlight w:val="none"/>
                <w:lang w:val="en-US" w:eastAsia="zh-CN" w:bidi="ar"/>
              </w:rPr>
              <w:t>49</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kern w:val="0"/>
                <w:sz w:val="22"/>
                <w:szCs w:val="22"/>
                <w:highlight w:val="none"/>
                <w:lang w:bidi="ar"/>
              </w:rPr>
            </w:pP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kern w:val="0"/>
                <w:sz w:val="22"/>
                <w:szCs w:val="22"/>
                <w:highlight w:val="none"/>
                <w:lang w:eastAsia="zh-CN" w:bidi="ar"/>
              </w:rPr>
            </w:pPr>
            <w:r>
              <w:rPr>
                <w:rFonts w:hint="default" w:ascii="Times New Roman" w:hAnsi="Times New Roman" w:cs="Times New Roman"/>
                <w:kern w:val="0"/>
                <w:sz w:val="22"/>
                <w:szCs w:val="22"/>
                <w:highlight w:val="none"/>
                <w:lang w:eastAsia="zh-CN" w:bidi="ar"/>
              </w:rPr>
              <w:t>拨付新三板挂牌奖励金</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25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15</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住房保障</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sz w:val="22"/>
                <w:szCs w:val="22"/>
                <w:highlight w:val="none"/>
                <w:lang w:val="en-US" w:eastAsia="zh-CN"/>
              </w:rPr>
              <w:t>4507</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-1562</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val="en-US" w:eastAsia="zh-CN" w:bidi="ar"/>
              </w:rPr>
              <w:t>-25.8</w:t>
            </w:r>
            <w:r>
              <w:rPr>
                <w:rFonts w:hint="default" w:ascii="Times New Roman" w:hAnsi="Times New Roman" w:cs="Times New Roman"/>
                <w:kern w:val="0"/>
                <w:sz w:val="22"/>
                <w:szCs w:val="22"/>
                <w:highlight w:val="none"/>
                <w:lang w:bidi="ar"/>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eastAsia="zh-CN" w:bidi="ar"/>
              </w:rPr>
              <w:t>去年同期</w:t>
            </w:r>
            <w:r>
              <w:rPr>
                <w:rFonts w:hint="default" w:ascii="Times New Roman" w:hAnsi="Times New Roman" w:cs="Times New Roman"/>
                <w:kern w:val="0"/>
                <w:sz w:val="22"/>
                <w:szCs w:val="22"/>
                <w:highlight w:val="none"/>
                <w:lang w:bidi="ar"/>
              </w:rPr>
              <w:t>补发2021年度提租补贴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28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bidi="ar"/>
              </w:rPr>
              <w:t>16</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bidi="ar"/>
              </w:rPr>
              <w:t>自然资源海洋气象等</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kern w:val="0"/>
                <w:sz w:val="22"/>
                <w:szCs w:val="22"/>
                <w:highlight w:val="none"/>
                <w:lang w:eastAsia="zh-CN" w:bidi="ar"/>
              </w:rPr>
            </w:pP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cs="Times New Roman"/>
                <w:kern w:val="0"/>
                <w:sz w:val="22"/>
                <w:szCs w:val="22"/>
                <w:highlight w:val="none"/>
                <w:lang w:val="en-US" w:eastAsia="zh-CN" w:bidi="ar"/>
              </w:rPr>
              <w:t>-283</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kern w:val="0"/>
                <w:sz w:val="22"/>
                <w:szCs w:val="22"/>
                <w:highlight w:val="none"/>
                <w:lang w:bidi="ar"/>
              </w:rPr>
            </w:pP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cs="Times New Roman"/>
                <w:kern w:val="0"/>
                <w:sz w:val="22"/>
                <w:szCs w:val="22"/>
                <w:highlight w:val="none"/>
                <w:lang w:eastAsia="zh-CN" w:bidi="ar"/>
              </w:rPr>
              <w:t>去年同期</w:t>
            </w:r>
            <w:r>
              <w:rPr>
                <w:rFonts w:hint="default" w:ascii="Times New Roman" w:hAnsi="Times New Roman" w:cs="Times New Roman"/>
                <w:kern w:val="0"/>
                <w:sz w:val="22"/>
                <w:szCs w:val="22"/>
                <w:highlight w:val="none"/>
                <w:lang w:bidi="ar"/>
              </w:rPr>
              <w:t>拨付自然资源</w:t>
            </w:r>
            <w:r>
              <w:rPr>
                <w:rFonts w:hint="default" w:ascii="Times New Roman" w:hAnsi="Times New Roman" w:cs="Times New Roman"/>
                <w:kern w:val="0"/>
                <w:sz w:val="22"/>
                <w:szCs w:val="22"/>
                <w:highlight w:val="none"/>
                <w:lang w:val="en-US" w:eastAsia="zh-CN" w:bidi="ar"/>
              </w:rPr>
              <w:t>和</w:t>
            </w:r>
            <w:r>
              <w:rPr>
                <w:rFonts w:hint="default" w:ascii="Times New Roman" w:hAnsi="Times New Roman" w:cs="Times New Roman"/>
                <w:kern w:val="0"/>
                <w:sz w:val="22"/>
                <w:szCs w:val="22"/>
                <w:highlight w:val="none"/>
                <w:lang w:bidi="ar"/>
              </w:rPr>
              <w:t>规划</w:t>
            </w:r>
            <w:r>
              <w:rPr>
                <w:rFonts w:hint="default" w:ascii="Times New Roman" w:hAnsi="Times New Roman" w:cs="Times New Roman"/>
                <w:kern w:val="0"/>
                <w:sz w:val="22"/>
                <w:szCs w:val="22"/>
                <w:highlight w:val="none"/>
                <w:lang w:val="en-US" w:eastAsia="zh-CN" w:bidi="ar"/>
              </w:rPr>
              <w:t>分</w:t>
            </w:r>
            <w:r>
              <w:rPr>
                <w:rFonts w:hint="default" w:ascii="Times New Roman" w:hAnsi="Times New Roman" w:cs="Times New Roman"/>
                <w:kern w:val="0"/>
                <w:sz w:val="22"/>
                <w:szCs w:val="22"/>
                <w:highlight w:val="none"/>
                <w:lang w:bidi="ar"/>
              </w:rPr>
              <w:t>局</w:t>
            </w:r>
            <w:r>
              <w:rPr>
                <w:rFonts w:hint="default" w:ascii="Times New Roman" w:hAnsi="Times New Roman" w:cs="Times New Roman"/>
                <w:kern w:val="0"/>
                <w:sz w:val="22"/>
                <w:szCs w:val="22"/>
                <w:highlight w:val="none"/>
                <w:lang w:val="en-US" w:eastAsia="zh-CN" w:bidi="ar"/>
              </w:rPr>
              <w:t>经费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28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17</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textAlignment w:val="center"/>
              <w:rPr>
                <w:rFonts w:hint="default" w:ascii="Times New Roman" w:hAnsi="Times New Roman" w:cs="Times New Roman"/>
                <w:sz w:val="22"/>
                <w:szCs w:val="22"/>
                <w:highlight w:val="none"/>
              </w:rPr>
            </w:pPr>
            <w:r>
              <w:rPr>
                <w:rFonts w:hint="default" w:ascii="Times New Roman" w:hAnsi="Times New Roman" w:cs="Times New Roman"/>
                <w:kern w:val="0"/>
                <w:sz w:val="22"/>
                <w:szCs w:val="22"/>
                <w:highlight w:val="none"/>
                <w:lang w:bidi="ar"/>
              </w:rPr>
              <w:t>灾害防治及应急管理</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274</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sz w:val="22"/>
                <w:szCs w:val="22"/>
                <w:highlight w:val="none"/>
                <w:lang w:val="en-US" w:eastAsia="zh-CN"/>
              </w:rPr>
            </w:pPr>
            <w:r>
              <w:rPr>
                <w:rFonts w:hint="default" w:ascii="Times New Roman" w:hAnsi="Times New Roman" w:cs="Times New Roman"/>
                <w:kern w:val="0"/>
                <w:sz w:val="22"/>
                <w:szCs w:val="22"/>
                <w:highlight w:val="none"/>
                <w:lang w:val="en-US" w:eastAsia="zh-CN" w:bidi="ar"/>
              </w:rPr>
              <w:t>-50</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sz w:val="22"/>
                <w:szCs w:val="22"/>
                <w:highlight w:val="none"/>
              </w:rPr>
              <w:t>-</w:t>
            </w:r>
            <w:r>
              <w:rPr>
                <w:rFonts w:hint="default" w:ascii="Times New Roman" w:hAnsi="Times New Roman" w:cs="Times New Roman"/>
                <w:sz w:val="22"/>
                <w:szCs w:val="22"/>
                <w:highlight w:val="none"/>
                <w:lang w:val="en-US" w:eastAsia="zh-CN"/>
              </w:rPr>
              <w:t>15.4</w:t>
            </w:r>
            <w:r>
              <w:rPr>
                <w:rFonts w:hint="default" w:ascii="Times New Roman" w:hAnsi="Times New Roman" w:cs="Times New Roman"/>
                <w:sz w:val="22"/>
                <w:szCs w:val="22"/>
                <w:highlight w:val="none"/>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eastAsia="宋体" w:cs="Times New Roman"/>
                <w:kern w:val="0"/>
                <w:sz w:val="22"/>
                <w:szCs w:val="22"/>
                <w:highlight w:val="none"/>
                <w:lang w:eastAsia="zh-CN" w:bidi="ar"/>
              </w:rPr>
            </w:pPr>
            <w:r>
              <w:rPr>
                <w:rFonts w:hint="default" w:ascii="Times New Roman" w:hAnsi="Times New Roman" w:cs="Times New Roman"/>
                <w:kern w:val="0"/>
                <w:sz w:val="22"/>
                <w:szCs w:val="22"/>
                <w:highlight w:val="none"/>
                <w:lang w:eastAsia="zh-CN" w:bidi="ar"/>
              </w:rPr>
              <w:t>去年同期拨付自然灾害风险普查经费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285" w:hRule="atLeast"/>
          <w:jc w:val="center"/>
        </w:trPr>
        <w:tc>
          <w:tcPr>
            <w:tcW w:w="510"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sz w:val="22"/>
                <w:szCs w:val="22"/>
                <w:highlight w:val="none"/>
              </w:rPr>
              <w:t>19</w:t>
            </w:r>
          </w:p>
        </w:tc>
        <w:tc>
          <w:tcPr>
            <w:tcW w:w="166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textAlignment w:val="center"/>
              <w:rPr>
                <w:rFonts w:hint="default" w:ascii="Times New Roman" w:hAnsi="Times New Roman" w:cs="Times New Roman"/>
                <w:kern w:val="0"/>
                <w:sz w:val="22"/>
                <w:szCs w:val="22"/>
                <w:highlight w:val="none"/>
                <w:lang w:bidi="ar"/>
              </w:rPr>
            </w:pPr>
            <w:r>
              <w:rPr>
                <w:rFonts w:hint="default" w:ascii="Times New Roman" w:hAnsi="Times New Roman" w:cs="Times New Roman"/>
                <w:kern w:val="0"/>
                <w:sz w:val="22"/>
                <w:szCs w:val="22"/>
                <w:highlight w:val="none"/>
                <w:lang w:bidi="ar"/>
              </w:rPr>
              <w:t>债务付息及发行费用</w:t>
            </w:r>
          </w:p>
        </w:tc>
        <w:tc>
          <w:tcPr>
            <w:tcW w:w="810" w:type="dxa"/>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cs="Times New Roman"/>
                <w:kern w:val="0"/>
                <w:sz w:val="22"/>
                <w:szCs w:val="22"/>
                <w:highlight w:val="none"/>
                <w:lang w:val="en-US" w:eastAsia="zh-CN" w:bidi="ar"/>
              </w:rPr>
              <w:t>2094</w:t>
            </w:r>
          </w:p>
        </w:tc>
        <w:tc>
          <w:tcPr>
            <w:tcW w:w="930"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cs="Times New Roman"/>
                <w:kern w:val="0"/>
                <w:sz w:val="22"/>
                <w:szCs w:val="22"/>
                <w:highlight w:val="none"/>
                <w:lang w:val="en-US" w:eastAsia="zh-CN" w:bidi="ar"/>
              </w:rPr>
              <w:t>-10</w:t>
            </w:r>
          </w:p>
        </w:tc>
        <w:tc>
          <w:tcPr>
            <w:tcW w:w="932" w:type="dxa"/>
            <w:gridSpan w:val="2"/>
            <w:tcBorders>
              <w:top w:val="nil"/>
              <w:left w:val="nil"/>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sz w:val="22"/>
                <w:szCs w:val="22"/>
                <w:highlight w:val="none"/>
              </w:rPr>
            </w:pPr>
            <w:r>
              <w:rPr>
                <w:rFonts w:hint="default" w:ascii="Times New Roman" w:hAnsi="Times New Roman" w:cs="Times New Roman"/>
                <w:sz w:val="22"/>
                <w:szCs w:val="22"/>
                <w:highlight w:val="none"/>
              </w:rPr>
              <w:t>-</w:t>
            </w:r>
            <w:r>
              <w:rPr>
                <w:rFonts w:hint="default" w:ascii="Times New Roman" w:hAnsi="Times New Roman" w:cs="Times New Roman"/>
                <w:sz w:val="22"/>
                <w:szCs w:val="22"/>
                <w:highlight w:val="none"/>
                <w:lang w:val="en-US" w:eastAsia="zh-CN"/>
              </w:rPr>
              <w:t>4.8</w:t>
            </w:r>
            <w:r>
              <w:rPr>
                <w:rFonts w:hint="default" w:ascii="Times New Roman" w:hAnsi="Times New Roman" w:cs="Times New Roman"/>
                <w:sz w:val="22"/>
                <w:szCs w:val="22"/>
                <w:highlight w:val="none"/>
              </w:rPr>
              <w:t>%</w:t>
            </w:r>
          </w:p>
        </w:tc>
        <w:tc>
          <w:tcPr>
            <w:tcW w:w="4483" w:type="dxa"/>
            <w:gridSpan w:val="5"/>
            <w:tcBorders>
              <w:top w:val="nil"/>
              <w:left w:val="nil"/>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kern w:val="0"/>
                <w:sz w:val="22"/>
                <w:szCs w:val="22"/>
                <w:highlight w:val="none"/>
                <w:lang w:bidi="ar"/>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gridBefore w:val="1"/>
          <w:wBefore w:w="2" w:type="dxa"/>
          <w:trHeight w:val="569" w:hRule="atLeast"/>
          <w:jc w:val="center"/>
        </w:trPr>
        <w:tc>
          <w:tcPr>
            <w:tcW w:w="2176"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b/>
                <w:bCs/>
                <w:sz w:val="22"/>
                <w:szCs w:val="22"/>
                <w:highlight w:val="none"/>
              </w:rPr>
            </w:pPr>
            <w:r>
              <w:rPr>
                <w:rFonts w:hint="default" w:ascii="Times New Roman" w:hAnsi="Times New Roman" w:cs="Times New Roman"/>
                <w:b/>
                <w:bCs/>
                <w:kern w:val="0"/>
                <w:sz w:val="22"/>
                <w:szCs w:val="22"/>
                <w:highlight w:val="none"/>
                <w:lang w:bidi="ar"/>
              </w:rPr>
              <w:t>合计</w:t>
            </w:r>
          </w:p>
        </w:tc>
        <w:tc>
          <w:tcPr>
            <w:tcW w:w="81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0" w:lineRule="atLeast"/>
              <w:jc w:val="center"/>
              <w:rPr>
                <w:rFonts w:hint="default" w:ascii="Times New Roman" w:hAnsi="Times New Roman" w:eastAsia="宋体" w:cs="Times New Roman"/>
                <w:b/>
                <w:bCs/>
                <w:sz w:val="22"/>
                <w:szCs w:val="22"/>
                <w:highlight w:val="none"/>
                <w:lang w:val="en-US" w:eastAsia="zh-CN"/>
              </w:rPr>
            </w:pPr>
            <w:r>
              <w:rPr>
                <w:rFonts w:hint="default" w:ascii="Times New Roman" w:hAnsi="Times New Roman" w:cs="Times New Roman"/>
                <w:b/>
                <w:bCs/>
                <w:sz w:val="22"/>
                <w:szCs w:val="22"/>
                <w:highlight w:val="none"/>
                <w:lang w:val="en-US" w:eastAsia="zh-CN"/>
              </w:rPr>
              <w:t>87689</w:t>
            </w:r>
          </w:p>
        </w:tc>
        <w:tc>
          <w:tcPr>
            <w:tcW w:w="93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spacing w:line="0" w:lineRule="atLeast"/>
              <w:jc w:val="center"/>
              <w:rPr>
                <w:rFonts w:hint="default" w:ascii="Times New Roman" w:hAnsi="Times New Roman" w:eastAsia="宋体" w:cs="Times New Roman"/>
                <w:b/>
                <w:bCs/>
                <w:sz w:val="22"/>
                <w:szCs w:val="22"/>
                <w:highlight w:val="none"/>
                <w:lang w:val="en-US" w:eastAsia="zh-CN"/>
              </w:rPr>
            </w:pPr>
            <w:r>
              <w:rPr>
                <w:rFonts w:hint="default" w:ascii="Times New Roman" w:hAnsi="Times New Roman" w:cs="Times New Roman"/>
                <w:b/>
                <w:bCs/>
                <w:sz w:val="22"/>
                <w:szCs w:val="22"/>
                <w:highlight w:val="none"/>
                <w:lang w:val="en-US" w:eastAsia="zh-CN"/>
              </w:rPr>
              <w:t>15791</w:t>
            </w:r>
          </w:p>
        </w:tc>
        <w:tc>
          <w:tcPr>
            <w:tcW w:w="932"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0" w:lineRule="atLeast"/>
              <w:jc w:val="center"/>
              <w:textAlignment w:val="center"/>
              <w:rPr>
                <w:rFonts w:hint="default" w:ascii="Times New Roman" w:hAnsi="Times New Roman" w:cs="Times New Roman"/>
                <w:b/>
                <w:bCs/>
                <w:sz w:val="22"/>
                <w:szCs w:val="22"/>
                <w:highlight w:val="none"/>
              </w:rPr>
            </w:pPr>
            <w:r>
              <w:rPr>
                <w:rFonts w:hint="default" w:ascii="Times New Roman" w:hAnsi="Times New Roman" w:cs="Times New Roman"/>
                <w:b/>
                <w:bCs/>
                <w:sz w:val="22"/>
                <w:szCs w:val="22"/>
                <w:highlight w:val="none"/>
                <w:lang w:val="en-US" w:eastAsia="zh-CN"/>
              </w:rPr>
              <w:t>22</w:t>
            </w:r>
            <w:r>
              <w:rPr>
                <w:rFonts w:hint="default" w:ascii="Times New Roman" w:hAnsi="Times New Roman" w:cs="Times New Roman"/>
                <w:b/>
                <w:bCs/>
                <w:kern w:val="0"/>
                <w:sz w:val="22"/>
                <w:szCs w:val="22"/>
                <w:highlight w:val="none"/>
                <w:lang w:bidi="ar"/>
              </w:rPr>
              <w:t>%</w:t>
            </w:r>
          </w:p>
        </w:tc>
        <w:tc>
          <w:tcPr>
            <w:tcW w:w="4483" w:type="dxa"/>
            <w:gridSpan w:val="5"/>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0" w:lineRule="atLeast"/>
              <w:jc w:val="left"/>
              <w:textAlignment w:val="center"/>
              <w:rPr>
                <w:rFonts w:hint="default" w:ascii="Times New Roman" w:hAnsi="Times New Roman" w:cs="Times New Roman"/>
                <w:b/>
                <w:bCs/>
                <w:sz w:val="22"/>
                <w:szCs w:val="22"/>
                <w:highlight w:val="none"/>
              </w:rPr>
            </w:pPr>
            <w:r>
              <w:rPr>
                <w:rFonts w:hint="default" w:ascii="Times New Roman" w:hAnsi="Times New Roman" w:cs="Times New Roman"/>
                <w:b/>
                <w:bCs/>
                <w:kern w:val="0"/>
                <w:sz w:val="22"/>
                <w:szCs w:val="22"/>
                <w:highlight w:val="none"/>
                <w:lang w:bidi="ar"/>
              </w:rPr>
              <w:t>　</w:t>
            </w:r>
          </w:p>
        </w:tc>
      </w:tr>
    </w:tbl>
    <w:p>
      <w:pPr>
        <w:pStyle w:val="2"/>
        <w:ind w:left="0" w:leftChars="0" w:firstLine="0" w:firstLineChars="0"/>
        <w:rPr>
          <w:rFonts w:hint="default" w:ascii="Times New Roman" w:hAnsi="Times New Roman" w:cs="Times New Roman"/>
          <w:highlight w:val="none"/>
        </w:rPr>
        <w:sectPr>
          <w:headerReference r:id="rId7" w:type="default"/>
          <w:footerReference r:id="rId9" w:type="default"/>
          <w:headerReference r:id="rId8" w:type="even"/>
          <w:footerReference r:id="rId10" w:type="even"/>
          <w:pgSz w:w="11906" w:h="16838"/>
          <w:pgMar w:top="1757" w:right="1474" w:bottom="1984" w:left="1587" w:header="1701" w:footer="1701" w:gutter="0"/>
          <w:pgNumType w:fmt="decimal"/>
          <w:cols w:space="720" w:num="1"/>
          <w:docGrid w:type="lines" w:linePitch="312" w:charSpace="0"/>
        </w:sectPr>
      </w:pPr>
    </w:p>
    <w:p>
      <w:pPr>
        <w:keepNext w:val="0"/>
        <w:keepLines w:val="0"/>
        <w:pageBreakBefore w:val="0"/>
        <w:widowControl/>
        <w:kinsoku/>
        <w:wordWrap w:val="0"/>
        <w:overflowPunct/>
        <w:topLinePunct w:val="0"/>
        <w:autoSpaceDE/>
        <w:autoSpaceDN/>
        <w:bidi w:val="0"/>
        <w:spacing w:line="576" w:lineRule="exact"/>
        <w:jc w:val="left"/>
        <w:textAlignment w:val="auto"/>
        <w:rPr>
          <w:rFonts w:hint="default" w:ascii="Times New Roman" w:hAnsi="Times New Roman" w:eastAsia="黑体" w:cs="Times New Roman"/>
          <w:kern w:val="0"/>
          <w:sz w:val="32"/>
          <w:szCs w:val="32"/>
          <w:highlight w:val="none"/>
        </w:rPr>
      </w:pPr>
      <w:r>
        <w:rPr>
          <w:rFonts w:hint="default" w:ascii="Times New Roman" w:hAnsi="Times New Roman" w:eastAsia="黑体" w:cs="Times New Roman"/>
          <w:kern w:val="0"/>
          <w:sz w:val="32"/>
          <w:szCs w:val="32"/>
          <w:highlight w:val="none"/>
        </w:rPr>
        <w:t>附件2：</w:t>
      </w:r>
    </w:p>
    <w:p>
      <w:pPr>
        <w:keepNext w:val="0"/>
        <w:keepLines w:val="0"/>
        <w:pageBreakBefore w:val="0"/>
        <w:widowControl/>
        <w:kinsoku/>
        <w:wordWrap w:val="0"/>
        <w:overflowPunct/>
        <w:topLinePunct w:val="0"/>
        <w:autoSpaceDE/>
        <w:autoSpaceDN/>
        <w:bidi w:val="0"/>
        <w:spacing w:line="576" w:lineRule="exact"/>
        <w:jc w:val="center"/>
        <w:textAlignment w:val="auto"/>
        <w:rPr>
          <w:rFonts w:hint="default" w:ascii="Times New Roman" w:hAnsi="Times New Roman" w:eastAsia="方正小标宋简体" w:cs="Times New Roman"/>
          <w:bCs/>
          <w:sz w:val="44"/>
          <w:szCs w:val="44"/>
          <w:highlight w:val="none"/>
        </w:rPr>
      </w:pPr>
      <w:r>
        <w:rPr>
          <w:rFonts w:hint="default" w:ascii="Times New Roman" w:hAnsi="Times New Roman" w:eastAsia="方正小标宋简体" w:cs="Times New Roman"/>
          <w:kern w:val="0"/>
          <w:sz w:val="44"/>
          <w:szCs w:val="44"/>
          <w:highlight w:val="none"/>
        </w:rPr>
        <w:t>名词解释</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bCs/>
          <w:sz w:val="32"/>
          <w:szCs w:val="32"/>
          <w:highlight w:val="none"/>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黑体" w:cs="Times New Roman"/>
          <w:bCs/>
          <w:sz w:val="32"/>
          <w:szCs w:val="32"/>
          <w:highlight w:val="none"/>
        </w:rPr>
        <w:t>1.民生支出：</w:t>
      </w:r>
      <w:r>
        <w:rPr>
          <w:rFonts w:hint="default" w:ascii="Times New Roman" w:hAnsi="Times New Roman" w:eastAsia="仿宋_GB2312" w:cs="Times New Roman"/>
          <w:bCs/>
          <w:sz w:val="32"/>
          <w:szCs w:val="32"/>
          <w:highlight w:val="none"/>
        </w:rPr>
        <w:t>为保证和财政部统计口径衔接，科学衡量安徽财政民生投入，我省将教育、科学技术、文化旅游体育与传媒、社会保障和就业、卫生健康、节能环保、城乡社区、农林水、交通运输、商业服务业等事务、自然资源海洋气象等事务、住房保障、粮油物资储备等13个方面确定为财政民生支出统计范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黑体" w:cs="Times New Roman"/>
          <w:bCs/>
          <w:sz w:val="32"/>
          <w:szCs w:val="32"/>
          <w:highlight w:val="none"/>
        </w:rPr>
        <w:t>2.政府性债务：</w:t>
      </w:r>
      <w:r>
        <w:rPr>
          <w:rFonts w:hint="default" w:ascii="Times New Roman" w:hAnsi="Times New Roman" w:eastAsia="仿宋_GB2312" w:cs="Times New Roman"/>
          <w:bCs/>
          <w:sz w:val="32"/>
          <w:szCs w:val="32"/>
          <w:highlight w:val="none"/>
        </w:rPr>
        <w:t>是指机关事业单位及政府专门成立的机构为提供基础性、公益性服务直接借入和债务和政府机关提供担保形成的债务和政府机关提供担保形成的债务。包括负有直接偿还责任债务（一类债务）、负有担保责任债务（二类债务）和承担一定救助责任债务（三类债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default" w:ascii="Times New Roman" w:hAnsi="Times New Roman" w:eastAsia="仿宋_GB2312" w:cs="Times New Roman"/>
          <w:bCs/>
          <w:sz w:val="32"/>
          <w:szCs w:val="32"/>
          <w:highlight w:val="none"/>
        </w:rPr>
      </w:pPr>
      <w:r>
        <w:rPr>
          <w:rFonts w:hint="default" w:ascii="Times New Roman" w:hAnsi="Times New Roman" w:eastAsia="黑体" w:cs="Times New Roman"/>
          <w:bCs/>
          <w:sz w:val="32"/>
          <w:szCs w:val="32"/>
          <w:highlight w:val="none"/>
        </w:rPr>
        <w:t>3.政府债券置换：</w:t>
      </w:r>
      <w:r>
        <w:rPr>
          <w:rFonts w:hint="default" w:ascii="Times New Roman" w:hAnsi="Times New Roman" w:eastAsia="仿宋_GB2312" w:cs="Times New Roman"/>
          <w:bCs/>
          <w:sz w:val="32"/>
          <w:szCs w:val="32"/>
          <w:highlight w:val="none"/>
        </w:rPr>
        <w:t>是指为延长债务期限，降低存量债务成本，缓释系统性金融风险，以省政府代发地方置换债券方式置换符合规定的各级政府存量债务本金的一种方式。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黑体" w:cs="Times New Roman"/>
          <w:bCs/>
          <w:sz w:val="32"/>
          <w:szCs w:val="32"/>
          <w:highlight w:val="none"/>
        </w:rPr>
        <w:t>4.专项债券：</w:t>
      </w:r>
      <w:r>
        <w:rPr>
          <w:rFonts w:hint="default" w:ascii="Times New Roman" w:hAnsi="Times New Roman" w:eastAsia="仿宋_GB2312" w:cs="Times New Roman"/>
          <w:bCs/>
          <w:sz w:val="32"/>
          <w:szCs w:val="32"/>
          <w:highlight w:val="none"/>
        </w:rPr>
        <w:t>是地方政府债券的一种，指</w:t>
      </w:r>
      <w:bookmarkStart w:id="0" w:name="_GoBack"/>
      <w:bookmarkEnd w:id="0"/>
      <w:r>
        <w:rPr>
          <w:rFonts w:hint="default" w:ascii="Times New Roman" w:hAnsi="Times New Roman" w:eastAsia="仿宋_GB2312" w:cs="Times New Roman"/>
          <w:bCs/>
          <w:sz w:val="32"/>
          <w:szCs w:val="32"/>
          <w:highlight w:val="none"/>
        </w:rPr>
        <w:t>为了筹集资金建设某专项具体工程而发行的债券。专项债券（收益债券）和一般债券（普通债券）的区别是：前者是指为了筹集资金建设某专项具体工程而发行的债券，后者是指地方政府为了缓解资金紧张或解决临时经费不足而发行的债券。</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黑体" w:cs="Times New Roman"/>
          <w:bCs/>
          <w:sz w:val="32"/>
          <w:szCs w:val="32"/>
          <w:highlight w:val="none"/>
          <w:lang w:val="en-US" w:eastAsia="zh-CN"/>
        </w:rPr>
        <w:t>5</w:t>
      </w:r>
      <w:r>
        <w:rPr>
          <w:rFonts w:hint="default" w:ascii="Times New Roman" w:hAnsi="Times New Roman" w:eastAsia="黑体" w:cs="Times New Roman"/>
          <w:bCs/>
          <w:sz w:val="32"/>
          <w:szCs w:val="32"/>
          <w:highlight w:val="none"/>
        </w:rPr>
        <w:t>.零基预算：</w:t>
      </w:r>
      <w:r>
        <w:rPr>
          <w:rFonts w:hint="default" w:ascii="Times New Roman" w:hAnsi="Times New Roman" w:eastAsia="仿宋_GB2312" w:cs="Times New Roman"/>
          <w:sz w:val="32"/>
          <w:szCs w:val="32"/>
          <w:highlight w:val="none"/>
        </w:rPr>
        <w:t>是指不考虑过去的预算项目和收支水平，以零为基点编制的预算，具体指不受以往预算安排情况的影响，一切从实际需要出发，逐项审议预算年度内各项费用的内容及其开支标准，结合财力状况，在综合平衡的基础上编制预算的一种科学的现代预算编制方法。</w:t>
      </w:r>
    </w:p>
    <w:p>
      <w:pPr>
        <w:spacing w:line="576" w:lineRule="exact"/>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黑体" w:cs="Times New Roman"/>
          <w:bCs/>
          <w:sz w:val="32"/>
          <w:szCs w:val="32"/>
          <w:highlight w:val="none"/>
          <w:lang w:val="en-US" w:eastAsia="zh-CN"/>
        </w:rPr>
        <w:t>6</w:t>
      </w:r>
      <w:r>
        <w:rPr>
          <w:rFonts w:hint="default" w:ascii="Times New Roman" w:hAnsi="Times New Roman" w:eastAsia="黑体" w:cs="Times New Roman"/>
          <w:bCs/>
          <w:sz w:val="32"/>
          <w:szCs w:val="32"/>
          <w:highlight w:val="none"/>
        </w:rPr>
        <w:t>.预算管理一体化：</w:t>
      </w:r>
      <w:r>
        <w:rPr>
          <w:rFonts w:hint="default" w:ascii="Times New Roman" w:hAnsi="Times New Roman" w:eastAsia="仿宋_GB2312" w:cs="Times New Roman"/>
          <w:bCs/>
          <w:sz w:val="32"/>
          <w:szCs w:val="32"/>
          <w:highlight w:val="none"/>
        </w:rPr>
        <w:t>以统一预算管理规则为核心，以预算管理一体化系统为主要载体，将统一的管理规则嵌入信息系统，提高项目储备、预算编审、预算调整和调剂、资金支付、会计核算、决算和报告等工作的标准化、自动化水平，实现对预算管理全流程的动态反映和有效控制，保证各级预算管理规范高效。</w:t>
      </w:r>
    </w:p>
    <w:p>
      <w:pPr>
        <w:spacing w:line="576" w:lineRule="exact"/>
        <w:ind w:firstLine="627" w:firstLineChars="196"/>
        <w:rPr>
          <w:rFonts w:hint="default" w:ascii="Times New Roman" w:hAnsi="Times New Roman" w:cs="Times New Roman"/>
          <w:highlight w:val="none"/>
        </w:rPr>
      </w:pPr>
      <w:r>
        <w:rPr>
          <w:rFonts w:hint="default" w:ascii="Times New Roman" w:hAnsi="Times New Roman" w:eastAsia="黑体" w:cs="Times New Roman"/>
          <w:bCs/>
          <w:sz w:val="32"/>
          <w:szCs w:val="32"/>
          <w:highlight w:val="none"/>
          <w:lang w:val="en-US" w:eastAsia="zh-CN"/>
        </w:rPr>
        <w:t>7</w:t>
      </w:r>
      <w:r>
        <w:rPr>
          <w:rFonts w:hint="default" w:ascii="Times New Roman" w:hAnsi="Times New Roman" w:eastAsia="黑体" w:cs="Times New Roman"/>
          <w:bCs/>
          <w:sz w:val="32"/>
          <w:szCs w:val="32"/>
          <w:highlight w:val="none"/>
        </w:rPr>
        <w:t>.预算绩效管理体系：</w:t>
      </w:r>
      <w:r>
        <w:rPr>
          <w:rFonts w:hint="default" w:ascii="Times New Roman" w:hAnsi="Times New Roman" w:eastAsia="仿宋_GB2312" w:cs="Times New Roman"/>
          <w:bCs/>
          <w:sz w:val="32"/>
          <w:szCs w:val="32"/>
          <w:highlight w:val="none"/>
        </w:rPr>
        <w:t>建立全方位、全过程、全覆盖的预算绩效管理体系，实现预算和绩效管理一体化，着力提高财政资源配置效率和使用效益。将一般公共预算、政府性基金预算、国有资本经营预算（社会保险基金预算纳入市级统筹管理）全部纳入绩效管理，推动绩效管理全覆盖；绩效目标管理、绩效运行管理、绩效评价管理、评价结果运用等环节，制定管理措施和办法，形成全过程预算绩效管理闭环；按照“统一领导、分级管理”的原则，明确责任约束，构建全方位预算绩效管理格局。</w:t>
      </w:r>
    </w:p>
    <w:p>
      <w:pPr>
        <w:keepNext w:val="0"/>
        <w:keepLines w:val="0"/>
        <w:pageBreakBefore w:val="0"/>
        <w:kinsoku/>
        <w:overflowPunct/>
        <w:topLinePunct w:val="0"/>
        <w:autoSpaceDE/>
        <w:autoSpaceDN/>
        <w:bidi w:val="0"/>
        <w:spacing w:line="576" w:lineRule="exact"/>
        <w:ind w:firstLine="420" w:firstLineChars="200"/>
        <w:textAlignment w:val="auto"/>
        <w:rPr>
          <w:rFonts w:hint="default" w:ascii="Times New Roman" w:hAnsi="Times New Roman" w:cs="Times New Roman"/>
          <w:highlight w:val="none"/>
        </w:rPr>
      </w:pPr>
    </w:p>
    <w:p>
      <w:pPr>
        <w:rPr>
          <w:rFonts w:hint="default" w:ascii="Times New Roman" w:hAnsi="Times New Roman" w:eastAsia="宋体" w:cs="Times New Roman"/>
          <w:lang w:val="en-US" w:eastAsia="zh-CN"/>
        </w:rPr>
      </w:pPr>
    </w:p>
    <w:sectPr>
      <w:headerReference r:id="rId11" w:type="default"/>
      <w:footerReference r:id="rId12" w:type="default"/>
      <w:pgSz w:w="11906" w:h="16838"/>
      <w:pgMar w:top="2098" w:right="1417" w:bottom="1984" w:left="1701" w:header="851" w:footer="1417" w:gutter="0"/>
      <w:paperSrc/>
      <w:pgNumType w:fmt="decimal"/>
      <w:cols w:space="0" w:num="1"/>
      <w:docGrid w:type="linesAndChars" w:linePitch="2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4098" o:spid="_x0000_s4098"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FFFFFF" w:themeColor="background1"/>
                    <w:sz w:val="28"/>
                    <w:szCs w:val="28"/>
                    <w:lang w:eastAsia="zh-CN"/>
                    <w14:textFill>
                      <w14:solidFill>
                        <w14:schemeClr w14:val="bg1"/>
                      </w14:solidFill>
                    </w14:textFill>
                  </w:rPr>
                  <w:t>—</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color w:val="FFFFFF" w:themeColor="background1"/>
                    <w:sz w:val="28"/>
                    <w:szCs w:val="28"/>
                    <w:lang w:eastAsia="zh-CN"/>
                    <w14:textFill>
                      <w14:solidFill>
                        <w14:schemeClr w14:val="bg1"/>
                      </w14:solidFill>
                    </w14:textFill>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page" w:x="1974" w:y="181"/>
      <w:ind w:firstLine="280" w:firstLineChars="100"/>
      <w:rPr>
        <w:rStyle w:val="18"/>
        <w:rFonts w:hint="eastAsia" w:ascii="宋体" w:hAnsi="宋体"/>
        <w:sz w:val="28"/>
        <w:szCs w:val="28"/>
      </w:rPr>
    </w:pPr>
    <w:r>
      <w:rPr>
        <w:rStyle w:val="18"/>
        <w:rFonts w:hint="eastAsia" w:ascii="宋体" w:hAnsi="宋体"/>
        <w:sz w:val="28"/>
        <w:szCs w:val="28"/>
      </w:rPr>
      <w:t xml:space="preserve">— </w:t>
    </w:r>
    <w:r>
      <w:rPr>
        <w:rFonts w:ascii="宋体" w:hAnsi="宋体"/>
        <w:sz w:val="28"/>
        <w:szCs w:val="28"/>
      </w:rPr>
      <w:fldChar w:fldCharType="begin"/>
    </w:r>
    <w:r>
      <w:rPr>
        <w:rStyle w:val="18"/>
        <w:rFonts w:ascii="宋体" w:hAnsi="宋体"/>
        <w:sz w:val="28"/>
        <w:szCs w:val="28"/>
      </w:rPr>
      <w:instrText xml:space="preserve">PAGE  </w:instrText>
    </w:r>
    <w:r>
      <w:rPr>
        <w:rFonts w:ascii="宋体" w:hAnsi="宋体"/>
        <w:sz w:val="28"/>
        <w:szCs w:val="28"/>
      </w:rPr>
      <w:fldChar w:fldCharType="separate"/>
    </w:r>
    <w:r>
      <w:rPr>
        <w:rStyle w:val="18"/>
        <w:rFonts w:ascii="宋体" w:hAnsi="宋体"/>
        <w:sz w:val="28"/>
        <w:szCs w:val="28"/>
      </w:rPr>
      <w:t>6</w:t>
    </w:r>
    <w:r>
      <w:rPr>
        <w:rFonts w:ascii="宋体" w:hAnsi="宋体"/>
        <w:sz w:val="28"/>
        <w:szCs w:val="28"/>
      </w:rPr>
      <w:fldChar w:fldCharType="end"/>
    </w:r>
    <w:r>
      <w:rPr>
        <w:rFonts w:hint="eastAsia" w:ascii="宋体" w:hAnsi="宋体"/>
        <w:sz w:val="28"/>
        <w:szCs w:val="28"/>
      </w:rPr>
      <w:t xml:space="preserve"> </w:t>
    </w:r>
    <w:r>
      <w:rPr>
        <w:rStyle w:val="18"/>
        <w:rFonts w:hint="eastAsia" w:ascii="宋体" w:hAnsi="宋体"/>
        <w:sz w:val="28"/>
        <w:szCs w:val="28"/>
      </w:rPr>
      <w:t>—</w:t>
    </w:r>
  </w:p>
  <w:p>
    <w:pPr>
      <w:pStyle w:val="1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pPr>
    <w:r>
      <w:rPr>
        <w:sz w:val="18"/>
      </w:rPr>
      <w:pict>
        <v:shape id="_x0000_s4099" o:spid="_x0000_s4099"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2"/>
                  <w:ind w:right="420" w:rightChars="200"/>
                  <w:rPr>
                    <w:rStyle w:val="18"/>
                    <w:rFonts w:hint="eastAsia" w:ascii="宋体" w:hAnsi="宋体"/>
                    <w:sz w:val="28"/>
                    <w:szCs w:val="28"/>
                  </w:rPr>
                </w:pPr>
                <w:r>
                  <w:rPr>
                    <w:rStyle w:val="18"/>
                    <w:rFonts w:hint="eastAsia" w:ascii="宋体" w:hAnsi="宋体"/>
                    <w:sz w:val="28"/>
                    <w:szCs w:val="28"/>
                  </w:rPr>
                  <w:t xml:space="preserve">— </w:t>
                </w:r>
                <w:r>
                  <w:rPr>
                    <w:rFonts w:ascii="宋体" w:hAnsi="宋体"/>
                    <w:sz w:val="28"/>
                    <w:szCs w:val="28"/>
                  </w:rPr>
                  <w:fldChar w:fldCharType="begin"/>
                </w:r>
                <w:r>
                  <w:rPr>
                    <w:rStyle w:val="18"/>
                    <w:rFonts w:ascii="宋体" w:hAnsi="宋体"/>
                    <w:sz w:val="28"/>
                    <w:szCs w:val="28"/>
                  </w:rPr>
                  <w:instrText xml:space="preserve">PAGE  </w:instrText>
                </w:r>
                <w:r>
                  <w:rPr>
                    <w:rFonts w:ascii="宋体" w:hAnsi="宋体"/>
                    <w:sz w:val="28"/>
                    <w:szCs w:val="28"/>
                  </w:rPr>
                  <w:fldChar w:fldCharType="separate"/>
                </w:r>
                <w:r>
                  <w:rPr>
                    <w:rStyle w:val="18"/>
                    <w:rFonts w:ascii="宋体" w:hAnsi="宋体"/>
                    <w:sz w:val="28"/>
                    <w:szCs w:val="28"/>
                  </w:rPr>
                  <w:t>5</w:t>
                </w:r>
                <w:r>
                  <w:rPr>
                    <w:rFonts w:ascii="宋体" w:hAnsi="宋体"/>
                    <w:sz w:val="28"/>
                    <w:szCs w:val="28"/>
                  </w:rPr>
                  <w:fldChar w:fldCharType="end"/>
                </w:r>
                <w:r>
                  <w:rPr>
                    <w:rFonts w:hint="eastAsia" w:ascii="宋体" w:hAnsi="宋体"/>
                    <w:sz w:val="28"/>
                    <w:szCs w:val="28"/>
                  </w:rPr>
                  <w:t xml:space="preserve"> </w:t>
                </w:r>
                <w:r>
                  <w:rPr>
                    <w:rStyle w:val="18"/>
                    <w:rFonts w:hint="eastAsia" w:ascii="宋体" w:hAnsi="宋体"/>
                    <w:sz w:val="28"/>
                    <w:szCs w:val="28"/>
                  </w:rPr>
                  <w:t>—</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page" w:x="1872" w:y="-14"/>
      <w:ind w:firstLine="280" w:firstLineChars="100"/>
      <w:rPr>
        <w:rStyle w:val="18"/>
        <w:rFonts w:hint="eastAsia" w:ascii="宋体" w:hAnsi="宋体"/>
        <w:sz w:val="28"/>
        <w:szCs w:val="28"/>
      </w:rPr>
    </w:pPr>
    <w:r>
      <w:rPr>
        <w:rStyle w:val="18"/>
        <w:rFonts w:hint="eastAsia" w:ascii="宋体" w:hAnsi="宋体"/>
        <w:sz w:val="28"/>
        <w:szCs w:val="28"/>
      </w:rPr>
      <w:t xml:space="preserve">— </w:t>
    </w:r>
    <w:r>
      <w:rPr>
        <w:rFonts w:ascii="宋体" w:hAnsi="宋体"/>
        <w:sz w:val="28"/>
        <w:szCs w:val="28"/>
      </w:rPr>
      <w:fldChar w:fldCharType="begin"/>
    </w:r>
    <w:r>
      <w:rPr>
        <w:rStyle w:val="18"/>
        <w:rFonts w:ascii="宋体" w:hAnsi="宋体"/>
        <w:sz w:val="28"/>
        <w:szCs w:val="28"/>
      </w:rPr>
      <w:instrText xml:space="preserve">PAGE  </w:instrText>
    </w:r>
    <w:r>
      <w:rPr>
        <w:rFonts w:ascii="宋体" w:hAnsi="宋体"/>
        <w:sz w:val="28"/>
        <w:szCs w:val="28"/>
      </w:rPr>
      <w:fldChar w:fldCharType="separate"/>
    </w:r>
    <w:r>
      <w:rPr>
        <w:rStyle w:val="18"/>
        <w:rFonts w:ascii="宋体" w:hAnsi="宋体"/>
        <w:sz w:val="28"/>
        <w:szCs w:val="28"/>
      </w:rPr>
      <w:t>6</w:t>
    </w:r>
    <w:r>
      <w:rPr>
        <w:rFonts w:ascii="宋体" w:hAnsi="宋体"/>
        <w:sz w:val="28"/>
        <w:szCs w:val="28"/>
      </w:rPr>
      <w:fldChar w:fldCharType="end"/>
    </w:r>
    <w:r>
      <w:rPr>
        <w:rFonts w:hint="eastAsia" w:ascii="宋体" w:hAnsi="宋体"/>
        <w:sz w:val="28"/>
        <w:szCs w:val="28"/>
      </w:rPr>
      <w:t xml:space="preserve"> </w:t>
    </w:r>
    <w:r>
      <w:rPr>
        <w:rStyle w:val="18"/>
        <w:rFonts w:hint="eastAsia" w:ascii="宋体" w:hAnsi="宋体"/>
        <w:sz w:val="28"/>
        <w:szCs w:val="28"/>
      </w:rPr>
      <w:t>—</w:t>
    </w:r>
  </w:p>
  <w:p>
    <w:pPr>
      <w:pStyle w:val="12"/>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rPr>
        <w:rFonts w:cs="Times New Roman"/>
      </w:rPr>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A43F8"/>
    <w:multiLevelType w:val="singleLevel"/>
    <w:tmpl w:val="A99A43F8"/>
    <w:lvl w:ilvl="0" w:tentative="0">
      <w:start w:val="2"/>
      <w:numFmt w:val="decimal"/>
      <w:suff w:val="space"/>
      <w:lvlText w:val="%1."/>
      <w:lvlJc w:val="left"/>
      <w:pPr>
        <w:ind w:left="1600" w:firstLine="0"/>
      </w:pPr>
    </w:lvl>
  </w:abstractNum>
  <w:abstractNum w:abstractNumId="1">
    <w:nsid w:val="BA8C77FD"/>
    <w:multiLevelType w:val="singleLevel"/>
    <w:tmpl w:val="BA8C77FD"/>
    <w:lvl w:ilvl="0" w:tentative="0">
      <w:start w:val="1"/>
      <w:numFmt w:val="bullet"/>
      <w:pStyle w:val="6"/>
      <w:lvlText w:val=""/>
      <w:lvlJc w:val="left"/>
      <w:pPr>
        <w:tabs>
          <w:tab w:val="left" w:pos="2040"/>
        </w:tabs>
        <w:ind w:left="204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9"/>
  <w:embedSystemFonts/>
  <w:mirrorMargins w:val="1"/>
  <w:bordersDoNotSurroundHeader w:val="1"/>
  <w:bordersDoNotSurroundFooter w:val="1"/>
  <w:documentProtection w:enforcement="0"/>
  <w:defaultTabStop w:val="420"/>
  <w:doNotHyphenateCaps/>
  <w:drawingGridHorizontalSpacing w:val="105"/>
  <w:drawingGridVerticalSpacing w:val="295"/>
  <w:displayHorizontalDrawingGridEvery w:val="0"/>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kwNWRlMGQ3OGI0ZmEzODk2Y2E5ZjQxZTE1NzJlMmIifQ=="/>
  </w:docVars>
  <w:rsids>
    <w:rsidRoot w:val="00CC1453"/>
    <w:rsid w:val="00010C9B"/>
    <w:rsid w:val="000151F8"/>
    <w:rsid w:val="000178FE"/>
    <w:rsid w:val="00017949"/>
    <w:rsid w:val="00045952"/>
    <w:rsid w:val="00066419"/>
    <w:rsid w:val="00074AC8"/>
    <w:rsid w:val="00091F24"/>
    <w:rsid w:val="000C7787"/>
    <w:rsid w:val="000D3749"/>
    <w:rsid w:val="000F4BBB"/>
    <w:rsid w:val="0011217C"/>
    <w:rsid w:val="00115400"/>
    <w:rsid w:val="00127E0A"/>
    <w:rsid w:val="00135AF2"/>
    <w:rsid w:val="00140FED"/>
    <w:rsid w:val="001437AD"/>
    <w:rsid w:val="00147A9D"/>
    <w:rsid w:val="0015211C"/>
    <w:rsid w:val="0016020D"/>
    <w:rsid w:val="00163527"/>
    <w:rsid w:val="001773D7"/>
    <w:rsid w:val="0018033F"/>
    <w:rsid w:val="001A2932"/>
    <w:rsid w:val="001C04BB"/>
    <w:rsid w:val="001C7632"/>
    <w:rsid w:val="001D6AB3"/>
    <w:rsid w:val="001F0DD7"/>
    <w:rsid w:val="0022463A"/>
    <w:rsid w:val="00224FAF"/>
    <w:rsid w:val="00236088"/>
    <w:rsid w:val="00254C1B"/>
    <w:rsid w:val="00293D16"/>
    <w:rsid w:val="002A7252"/>
    <w:rsid w:val="002C1E58"/>
    <w:rsid w:val="002F0749"/>
    <w:rsid w:val="002F145E"/>
    <w:rsid w:val="003238B4"/>
    <w:rsid w:val="00327470"/>
    <w:rsid w:val="00333531"/>
    <w:rsid w:val="003406DF"/>
    <w:rsid w:val="0034410D"/>
    <w:rsid w:val="00345303"/>
    <w:rsid w:val="0035019E"/>
    <w:rsid w:val="0035423C"/>
    <w:rsid w:val="00360526"/>
    <w:rsid w:val="00372D26"/>
    <w:rsid w:val="003D7BEE"/>
    <w:rsid w:val="00410607"/>
    <w:rsid w:val="004346A8"/>
    <w:rsid w:val="00440C39"/>
    <w:rsid w:val="00467EE5"/>
    <w:rsid w:val="004746B8"/>
    <w:rsid w:val="004859DF"/>
    <w:rsid w:val="004B200D"/>
    <w:rsid w:val="004C0FF6"/>
    <w:rsid w:val="004D0B58"/>
    <w:rsid w:val="0050264A"/>
    <w:rsid w:val="00514FFD"/>
    <w:rsid w:val="005374DD"/>
    <w:rsid w:val="00544BD5"/>
    <w:rsid w:val="00573183"/>
    <w:rsid w:val="005A5547"/>
    <w:rsid w:val="005C31A6"/>
    <w:rsid w:val="005D1C80"/>
    <w:rsid w:val="005F49D4"/>
    <w:rsid w:val="005F606C"/>
    <w:rsid w:val="006075BD"/>
    <w:rsid w:val="006259A1"/>
    <w:rsid w:val="00630C77"/>
    <w:rsid w:val="006B244D"/>
    <w:rsid w:val="006B74BC"/>
    <w:rsid w:val="006D0FA6"/>
    <w:rsid w:val="006D7058"/>
    <w:rsid w:val="006F71A8"/>
    <w:rsid w:val="00712AFD"/>
    <w:rsid w:val="00720AE1"/>
    <w:rsid w:val="0072209B"/>
    <w:rsid w:val="00750D75"/>
    <w:rsid w:val="007549FD"/>
    <w:rsid w:val="007627DB"/>
    <w:rsid w:val="00762EE8"/>
    <w:rsid w:val="007A0E96"/>
    <w:rsid w:val="007B0596"/>
    <w:rsid w:val="007B6B26"/>
    <w:rsid w:val="007C0298"/>
    <w:rsid w:val="007C2032"/>
    <w:rsid w:val="00807DD0"/>
    <w:rsid w:val="0081446E"/>
    <w:rsid w:val="00832C75"/>
    <w:rsid w:val="00834408"/>
    <w:rsid w:val="008666E4"/>
    <w:rsid w:val="0087157B"/>
    <w:rsid w:val="00885CA3"/>
    <w:rsid w:val="00893712"/>
    <w:rsid w:val="008949FA"/>
    <w:rsid w:val="008F035F"/>
    <w:rsid w:val="00904ECC"/>
    <w:rsid w:val="009203BC"/>
    <w:rsid w:val="00937C2C"/>
    <w:rsid w:val="009416A0"/>
    <w:rsid w:val="00956959"/>
    <w:rsid w:val="0096562D"/>
    <w:rsid w:val="009D15AD"/>
    <w:rsid w:val="009D548E"/>
    <w:rsid w:val="009E1838"/>
    <w:rsid w:val="00A4281D"/>
    <w:rsid w:val="00A52CC5"/>
    <w:rsid w:val="00A548C2"/>
    <w:rsid w:val="00A73CD3"/>
    <w:rsid w:val="00A862AC"/>
    <w:rsid w:val="00A94D72"/>
    <w:rsid w:val="00A97F38"/>
    <w:rsid w:val="00AA4E24"/>
    <w:rsid w:val="00AB6857"/>
    <w:rsid w:val="00AF0AA0"/>
    <w:rsid w:val="00AF4EB9"/>
    <w:rsid w:val="00B1522F"/>
    <w:rsid w:val="00B509FC"/>
    <w:rsid w:val="00B50CC9"/>
    <w:rsid w:val="00B74BE0"/>
    <w:rsid w:val="00B82ED9"/>
    <w:rsid w:val="00B9012E"/>
    <w:rsid w:val="00B917CC"/>
    <w:rsid w:val="00B94F9B"/>
    <w:rsid w:val="00BA7E19"/>
    <w:rsid w:val="00BC79F6"/>
    <w:rsid w:val="00BD3DFF"/>
    <w:rsid w:val="00BD5B28"/>
    <w:rsid w:val="00BE711A"/>
    <w:rsid w:val="00BF5603"/>
    <w:rsid w:val="00C07A49"/>
    <w:rsid w:val="00C2505E"/>
    <w:rsid w:val="00C303E6"/>
    <w:rsid w:val="00CA5003"/>
    <w:rsid w:val="00CC1453"/>
    <w:rsid w:val="00CD151D"/>
    <w:rsid w:val="00CD2D76"/>
    <w:rsid w:val="00CE1AA5"/>
    <w:rsid w:val="00D60BFE"/>
    <w:rsid w:val="00D7460F"/>
    <w:rsid w:val="00D959A1"/>
    <w:rsid w:val="00DA058F"/>
    <w:rsid w:val="00DA625F"/>
    <w:rsid w:val="00DB4990"/>
    <w:rsid w:val="00DE63BB"/>
    <w:rsid w:val="00E20FAE"/>
    <w:rsid w:val="00E3147D"/>
    <w:rsid w:val="00E44136"/>
    <w:rsid w:val="00E45498"/>
    <w:rsid w:val="00E661B1"/>
    <w:rsid w:val="00EB08DF"/>
    <w:rsid w:val="00EB6637"/>
    <w:rsid w:val="00EF0022"/>
    <w:rsid w:val="00EF4DD8"/>
    <w:rsid w:val="00F179C6"/>
    <w:rsid w:val="00F33FF4"/>
    <w:rsid w:val="00F66B91"/>
    <w:rsid w:val="00F72AFA"/>
    <w:rsid w:val="00F74DB8"/>
    <w:rsid w:val="00F75E19"/>
    <w:rsid w:val="00F85644"/>
    <w:rsid w:val="00FA0D66"/>
    <w:rsid w:val="00FA337D"/>
    <w:rsid w:val="00FA449D"/>
    <w:rsid w:val="00FC1F0E"/>
    <w:rsid w:val="00FD0644"/>
    <w:rsid w:val="00FD5563"/>
    <w:rsid w:val="00FD7FE3"/>
    <w:rsid w:val="00FE6F70"/>
    <w:rsid w:val="00FF1CD0"/>
    <w:rsid w:val="00FF4A35"/>
    <w:rsid w:val="01636E78"/>
    <w:rsid w:val="04157D30"/>
    <w:rsid w:val="0F4A0B76"/>
    <w:rsid w:val="0FF3674D"/>
    <w:rsid w:val="116F431D"/>
    <w:rsid w:val="119269AA"/>
    <w:rsid w:val="14DC6753"/>
    <w:rsid w:val="1969287C"/>
    <w:rsid w:val="1DDB51C8"/>
    <w:rsid w:val="1E680F8F"/>
    <w:rsid w:val="1FF90FED"/>
    <w:rsid w:val="22BE5053"/>
    <w:rsid w:val="24C839E2"/>
    <w:rsid w:val="26E05496"/>
    <w:rsid w:val="303F6767"/>
    <w:rsid w:val="36587FEE"/>
    <w:rsid w:val="3BFE4759"/>
    <w:rsid w:val="404367AC"/>
    <w:rsid w:val="430B1915"/>
    <w:rsid w:val="59BB4354"/>
    <w:rsid w:val="5B563B41"/>
    <w:rsid w:val="5D2E41AC"/>
    <w:rsid w:val="5E6E3A1D"/>
    <w:rsid w:val="66A247B7"/>
    <w:rsid w:val="67B055FB"/>
    <w:rsid w:val="6DA957F2"/>
    <w:rsid w:val="6F5E1CCF"/>
    <w:rsid w:val="70AA17BF"/>
    <w:rsid w:val="77EF4254"/>
    <w:rsid w:val="7E547FD7"/>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locked/>
    <w:uiPriority w:val="0"/>
    <w:pPr>
      <w:keepNext/>
      <w:keepLines/>
      <w:spacing w:before="260" w:after="260" w:line="415" w:lineRule="auto"/>
      <w:outlineLvl w:val="1"/>
    </w:pPr>
    <w:rPr>
      <w:rFonts w:ascii="Times New Roman" w:hAnsi="Times New Roman" w:eastAsia="黑体"/>
      <w:b/>
      <w:sz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正文缩进1"/>
    <w:basedOn w:val="1"/>
    <w:qFormat/>
    <w:uiPriority w:val="99"/>
    <w:pPr>
      <w:ind w:firstLine="624"/>
      <w:textAlignment w:val="center"/>
    </w:pPr>
  </w:style>
  <w:style w:type="paragraph" w:styleId="4">
    <w:name w:val="Normal Indent"/>
    <w:basedOn w:val="1"/>
    <w:unhideWhenUsed/>
    <w:qFormat/>
    <w:uiPriority w:val="99"/>
    <w:pPr>
      <w:ind w:firstLine="420"/>
    </w:pPr>
    <w:rPr>
      <w:szCs w:val="20"/>
    </w:rPr>
  </w:style>
  <w:style w:type="paragraph" w:styleId="5">
    <w:name w:val="Body Text"/>
    <w:basedOn w:val="1"/>
    <w:next w:val="6"/>
    <w:qFormat/>
    <w:uiPriority w:val="99"/>
    <w:pPr>
      <w:spacing w:after="120"/>
    </w:pPr>
  </w:style>
  <w:style w:type="paragraph" w:styleId="6">
    <w:name w:val="List Bullet 5"/>
    <w:basedOn w:val="1"/>
    <w:semiHidden/>
    <w:unhideWhenUsed/>
    <w:qFormat/>
    <w:uiPriority w:val="99"/>
    <w:pPr>
      <w:numPr>
        <w:ilvl w:val="0"/>
        <w:numId w:val="1"/>
      </w:numPr>
    </w:pPr>
  </w:style>
  <w:style w:type="paragraph" w:styleId="7">
    <w:name w:val="Body Text Indent"/>
    <w:basedOn w:val="1"/>
    <w:qFormat/>
    <w:uiPriority w:val="0"/>
    <w:pPr>
      <w:spacing w:line="560" w:lineRule="exact"/>
      <w:ind w:firstLine="640" w:firstLineChars="200"/>
    </w:pPr>
    <w:rPr>
      <w:rFonts w:eastAsia="仿宋_GB2312"/>
      <w:sz w:val="32"/>
      <w:szCs w:val="22"/>
    </w:rPr>
  </w:style>
  <w:style w:type="paragraph" w:styleId="8">
    <w:name w:val="Plain Text"/>
    <w:basedOn w:val="1"/>
    <w:link w:val="20"/>
    <w:semiHidden/>
    <w:qFormat/>
    <w:uiPriority w:val="99"/>
    <w:rPr>
      <w:rFonts w:ascii="宋体" w:hAnsi="Courier New" w:cs="宋体"/>
      <w:kern w:val="0"/>
    </w:rPr>
  </w:style>
  <w:style w:type="paragraph" w:styleId="9">
    <w:name w:val="Date"/>
    <w:basedOn w:val="1"/>
    <w:next w:val="1"/>
    <w:link w:val="21"/>
    <w:qFormat/>
    <w:uiPriority w:val="99"/>
    <w:pPr>
      <w:ind w:left="100" w:leftChars="2500"/>
    </w:pPr>
  </w:style>
  <w:style w:type="paragraph" w:styleId="10">
    <w:name w:val="Body Text Indent 2"/>
    <w:basedOn w:val="1"/>
    <w:next w:val="1"/>
    <w:qFormat/>
    <w:uiPriority w:val="0"/>
    <w:pPr>
      <w:spacing w:after="120" w:afterLines="0" w:afterAutospacing="0" w:line="480" w:lineRule="auto"/>
      <w:ind w:left="420" w:leftChars="200"/>
    </w:pPr>
  </w:style>
  <w:style w:type="paragraph" w:styleId="11">
    <w:name w:val="Balloon Text"/>
    <w:basedOn w:val="1"/>
    <w:link w:val="22"/>
    <w:semiHidden/>
    <w:qFormat/>
    <w:uiPriority w:val="99"/>
    <w:rPr>
      <w:kern w:val="0"/>
      <w:sz w:val="2"/>
      <w:szCs w:val="2"/>
    </w:rPr>
  </w:style>
  <w:style w:type="paragraph" w:styleId="12">
    <w:name w:val="footer"/>
    <w:basedOn w:val="1"/>
    <w:link w:val="23"/>
    <w:qFormat/>
    <w:uiPriority w:val="99"/>
    <w:pPr>
      <w:tabs>
        <w:tab w:val="center" w:pos="4153"/>
        <w:tab w:val="right" w:pos="8306"/>
      </w:tabs>
      <w:snapToGrid w:val="0"/>
      <w:jc w:val="left"/>
    </w:pPr>
    <w:rPr>
      <w:kern w:val="0"/>
      <w:sz w:val="18"/>
      <w:szCs w:val="18"/>
    </w:rPr>
  </w:style>
  <w:style w:type="paragraph" w:styleId="13">
    <w:name w:val="header"/>
    <w:basedOn w:val="1"/>
    <w:link w:val="24"/>
    <w:qFormat/>
    <w:uiPriority w:val="99"/>
    <w:pPr>
      <w:pBdr>
        <w:bottom w:val="single" w:color="auto" w:sz="6" w:space="1"/>
      </w:pBdr>
      <w:tabs>
        <w:tab w:val="center" w:pos="4153"/>
        <w:tab w:val="right" w:pos="8306"/>
      </w:tabs>
      <w:snapToGrid w:val="0"/>
      <w:jc w:val="center"/>
    </w:pPr>
    <w:rPr>
      <w:kern w:val="0"/>
      <w:sz w:val="18"/>
      <w:szCs w:val="18"/>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Body Text First Indent 2"/>
    <w:basedOn w:val="1"/>
    <w:next w:val="1"/>
    <w:qFormat/>
    <w:uiPriority w:val="0"/>
    <w:pPr>
      <w:ind w:firstLine="420"/>
    </w:pPr>
  </w:style>
  <w:style w:type="character" w:styleId="18">
    <w:name w:val="page number"/>
    <w:basedOn w:val="17"/>
    <w:qFormat/>
    <w:uiPriority w:val="99"/>
  </w:style>
  <w:style w:type="character" w:styleId="19">
    <w:name w:val="Emphasis"/>
    <w:basedOn w:val="17"/>
    <w:qFormat/>
    <w:locked/>
    <w:uiPriority w:val="0"/>
  </w:style>
  <w:style w:type="character" w:customStyle="1" w:styleId="20">
    <w:name w:val="纯文本 Char"/>
    <w:basedOn w:val="17"/>
    <w:link w:val="8"/>
    <w:semiHidden/>
    <w:qFormat/>
    <w:locked/>
    <w:uiPriority w:val="99"/>
    <w:rPr>
      <w:rFonts w:ascii="宋体" w:hAnsi="Courier New" w:eastAsia="宋体" w:cs="宋体"/>
      <w:sz w:val="21"/>
      <w:szCs w:val="21"/>
      <w:lang w:val="en-US" w:eastAsia="zh-CN"/>
    </w:rPr>
  </w:style>
  <w:style w:type="character" w:customStyle="1" w:styleId="21">
    <w:name w:val="日期 Char"/>
    <w:basedOn w:val="17"/>
    <w:link w:val="9"/>
    <w:semiHidden/>
    <w:qFormat/>
    <w:locked/>
    <w:uiPriority w:val="99"/>
  </w:style>
  <w:style w:type="character" w:customStyle="1" w:styleId="22">
    <w:name w:val="批注框文本 Char"/>
    <w:basedOn w:val="17"/>
    <w:link w:val="11"/>
    <w:semiHidden/>
    <w:qFormat/>
    <w:locked/>
    <w:uiPriority w:val="99"/>
    <w:rPr>
      <w:sz w:val="2"/>
      <w:szCs w:val="2"/>
    </w:rPr>
  </w:style>
  <w:style w:type="character" w:customStyle="1" w:styleId="23">
    <w:name w:val="页脚 Char"/>
    <w:basedOn w:val="17"/>
    <w:link w:val="12"/>
    <w:semiHidden/>
    <w:qFormat/>
    <w:locked/>
    <w:uiPriority w:val="99"/>
    <w:rPr>
      <w:sz w:val="18"/>
      <w:szCs w:val="18"/>
    </w:rPr>
  </w:style>
  <w:style w:type="character" w:customStyle="1" w:styleId="24">
    <w:name w:val="页眉 Char"/>
    <w:basedOn w:val="17"/>
    <w:link w:val="13"/>
    <w:semiHidden/>
    <w:qFormat/>
    <w:locked/>
    <w:uiPriority w:val="99"/>
    <w:rPr>
      <w:sz w:val="18"/>
      <w:szCs w:val="18"/>
    </w:rPr>
  </w:style>
  <w:style w:type="character" w:customStyle="1" w:styleId="25">
    <w:name w:val="NormalCharacter"/>
    <w:semiHidden/>
    <w:qFormat/>
    <w:uiPriority w:val="0"/>
    <w:rPr>
      <w:rFonts w:ascii="Times New Roman" w:hAnsi="Times New Roman" w:eastAsia="宋体" w:cs="Times New Roman"/>
      <w:kern w:val="2"/>
      <w:sz w:val="21"/>
      <w:szCs w:val="24"/>
      <w:lang w:val="en-US" w:eastAsia="zh-CN" w:bidi="ar-SA"/>
    </w:rPr>
  </w:style>
  <w:style w:type="character" w:customStyle="1" w:styleId="26">
    <w:name w:val="font21"/>
    <w:basedOn w:val="17"/>
    <w:qFormat/>
    <w:uiPriority w:val="0"/>
    <w:rPr>
      <w:rFonts w:hint="eastAsia" w:ascii="仿宋_GB2312" w:eastAsia="仿宋_GB2312" w:cs="仿宋_GB2312"/>
      <w:b/>
      <w:bCs/>
      <w:color w:val="000000"/>
      <w:sz w:val="28"/>
      <w:szCs w:val="28"/>
      <w:u w:val="none"/>
    </w:rPr>
  </w:style>
  <w:style w:type="character" w:customStyle="1" w:styleId="27">
    <w:name w:val="font51"/>
    <w:basedOn w:val="17"/>
    <w:qFormat/>
    <w:uiPriority w:val="0"/>
    <w:rPr>
      <w:rFonts w:hint="eastAsia" w:ascii="方正小标宋简体" w:eastAsia="方正小标宋简体"/>
      <w:color w:val="000000"/>
      <w:sz w:val="32"/>
      <w:szCs w:val="32"/>
      <w:u w:val="none"/>
    </w:rPr>
  </w:style>
  <w:style w:type="paragraph" w:customStyle="1" w:styleId="28">
    <w:name w:val="正文首行缩进 21"/>
    <w:basedOn w:val="1"/>
    <w:qFormat/>
    <w:uiPriority w:val="0"/>
    <w:pPr>
      <w:ind w:firstLine="420" w:firstLineChars="200"/>
    </w:pPr>
    <w:rPr>
      <w:kern w:val="0"/>
      <w:sz w:val="20"/>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textRotate="1"/>
    <customShpInfo spid="_x0000_s4099" textRotate="1"/>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107</Words>
  <Characters>122</Characters>
  <Lines>1</Lines>
  <Paragraphs>5</Paragraphs>
  <TotalTime>13</TotalTime>
  <ScaleCrop>false</ScaleCrop>
  <LinksUpToDate>false</LinksUpToDate>
  <CharactersWithSpaces>154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2016-05-13T08:21:00Z</dcterms:created>
  <dc:creator>Sky123.Org</dc:creator>
  <cp:lastModifiedBy>空当（高速复印，展板，条幅，胶装</cp:lastModifiedBy>
  <cp:lastPrinted>2023-07-27T00:31:11Z</cp:lastPrinted>
  <dcterms:modified xsi:type="dcterms:W3CDTF">2023-07-27T00:44:35Z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1CE69B3C639B4A3885C64AC8F2BAC40E</vt:lpwstr>
  </property>
</Properties>
</file>