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spacing w:line="59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关于《淮北市杜集区全域旅游三年行动计划（2024—2026年）》的起草说明</w:t>
      </w:r>
    </w:p>
    <w:p>
      <w:pPr>
        <w:pStyle w:val="2"/>
        <w:rPr>
          <w:rFonts w:hint="eastAsia" w:ascii="Times New Roman" w:hAnsi="Times New Roman" w:eastAsia="方正小标宋简体" w:cs="Times New Roman"/>
          <w:sz w:val="44"/>
          <w:szCs w:val="44"/>
          <w:lang w:val="en-US" w:eastAsia="zh-CN"/>
        </w:rPr>
      </w:pP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一、制定该规范性文件的必要性</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为加快我区旅游产业总体发展速度，提高杜集旅游的知名度和美誉度，全面推进我区全域旅游发展，杜集区文旅体局初步拟定了《淮北市杜集区全域旅游三年行动计划（2024—2026年）》的（征求意见稿）。</w:t>
      </w:r>
    </w:p>
    <w:p>
      <w:pPr>
        <w:pStyle w:val="2"/>
        <w:keepNext w:val="0"/>
        <w:keepLines w:val="0"/>
        <w:pageBreakBefore w:val="0"/>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二、改文件的制定背景</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为贯彻落实《国务院办公厅关于促进全域旅游发展的指导意见》（国办发〔2018〕15号）、《中共安徽省委安徽省人民政府关于将旅游业培育成为重要支柱产业的意见》（皖发〔2017〕9号）</w:t>
      </w:r>
      <w:r>
        <w:rPr>
          <w:rFonts w:hint="eastAsia" w:ascii="Times New Roman" w:hAnsi="Times New Roman" w:eastAsia="仿宋_GB2312" w:cs="Times New Roman"/>
          <w:color w:val="000000"/>
          <w:sz w:val="32"/>
          <w:szCs w:val="32"/>
          <w:lang w:val="en-US" w:eastAsia="zh-CN"/>
        </w:rPr>
        <w:t>等文件精神</w:t>
      </w:r>
      <w:r>
        <w:rPr>
          <w:rFonts w:hint="default" w:ascii="Times New Roman" w:hAnsi="Times New Roman" w:eastAsia="仿宋_GB2312" w:cs="Times New Roman"/>
          <w:color w:val="000000"/>
          <w:sz w:val="32"/>
          <w:szCs w:val="32"/>
          <w:lang w:val="en-US" w:eastAsia="zh-CN"/>
        </w:rPr>
        <w:t>，不断提升旅游业现代化、集约化、品质化、国际化水平，促进全域旅游发展，加快创新型文化和旅游强</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lang w:val="en-US" w:eastAsia="zh-CN"/>
        </w:rPr>
        <w:t>建设，推进旅游供给侧结构性改革，大力发展全域旅游，努力将旅游业培育成为人民群众更加满意的现代服务业</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三、制定依据</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《国务院办公厅关于促进全域旅游发展的指导意见》（国办发〔2018〕15号）</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《关于推动文化产业赋能乡村振兴的意见》《安徽省人民政府关于促进全域旅游发展加快旅游强省建设的实施意见》（皖政〔2019〕41号）</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《安徽省乡村旅游高质量发展三年行动计划（2022—2024年）》</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《关于深化文旅融合彰显徽风皖韵加快建设高品质旅游强省的意见》</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《关于实施“千村引领、万村升级”工程加快建设彰显徽风皖韵的宜居宜业和美乡村的意见》</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《杜集区全域旅游规划（2018-2035）》</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四、文件起草过程</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根据区政府部署，2024年1月份区文旅体局牵头开展《淮北市杜集区全域旅游三年行动计划（2024—2026年）》的起草工作，区文旅体局认真分析现状，认真研究相关政策，形成意见征求稿，后续将面向社会群众征求意见及建议。</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五、主要内容</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一是</w:t>
      </w:r>
      <w:r>
        <w:rPr>
          <w:rFonts w:hint="default" w:ascii="Times New Roman" w:hAnsi="Times New Roman" w:eastAsia="仿宋_GB2312" w:cs="Times New Roman"/>
          <w:color w:val="000000"/>
          <w:kern w:val="2"/>
          <w:sz w:val="32"/>
          <w:szCs w:val="32"/>
          <w:lang w:val="en-US" w:eastAsia="zh-CN" w:bidi="ar-SA"/>
        </w:rPr>
        <w:t>规划全域空间布局分为“一环两心四区”</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是把杜集全域看作一个大景区（田园综合体）来规划、建设和营销，有效构建起“大田园综合体”串联“小田园综合体”的全域田园综合体发展格局，从而探索田园综合体模式的杜集全域旅游发展新路径和构建“全区（县）域田园综合体”的全域旅游的杜集新模式。</w:t>
      </w:r>
    </w:p>
    <w:p>
      <w:pPr>
        <w:keepNext w:val="0"/>
        <w:keepLines w:val="0"/>
        <w:pageBreakBefore w:val="0"/>
        <w:kinsoku/>
        <w:wordWrap/>
        <w:overflowPunct/>
        <w:topLinePunct w:val="0"/>
        <w:autoSpaceDE/>
        <w:autoSpaceDN/>
        <w:bidi w:val="0"/>
        <w:spacing w:line="59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三是在旅游目标上，段园葡萄小镇、高岳缤纷田园综合体、梧桐谷山地户外运动基地都无法在2023年实现，需重新定位。</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lang w:val="en-US" w:eastAsia="zh-CN"/>
        </w:rPr>
      </w:pPr>
      <w:r>
        <w:rPr>
          <w:rFonts w:hint="eastAsia" w:ascii="Times New Roman" w:hAnsi="Times New Roman" w:eastAsia="仿宋_GB2312" w:cs="Times New Roman"/>
          <w:color w:val="000000"/>
          <w:kern w:val="2"/>
          <w:sz w:val="32"/>
          <w:szCs w:val="32"/>
          <w:lang w:val="en-US" w:eastAsia="zh-CN" w:bidi="ar-SA"/>
        </w:rPr>
        <w:t>四是在中部田园农业体验片区重点支持百莲百荷景区、高岳国家农业公园整体提升，朔西湖生态景区、淮北欢乐世界丰富配套；在东部山地乡村旅游片区重点支持梧桐谷文旅综合体、南山风景区、口子窖工业旅游示范基地丰富配套；在西部商旅休闲娱乐片区重点进行交通基础配套的完善和商业营销；在段园葡萄小镇重点打造大庄葡萄精品村、葡萄主题节庆活动、电商孵化基地等农文旅项目。到2026年，建成一批规模大、水平高、效益好、示范强的旅游精品项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jQ0OWMzMmVjMTdjYmU1MmJhMmQzNGYzZjE4NTEifQ=="/>
  </w:docVars>
  <w:rsids>
    <w:rsidRoot w:val="00000000"/>
    <w:rsid w:val="1F364BD8"/>
    <w:rsid w:val="23D74500"/>
    <w:rsid w:val="2D9C7349"/>
    <w:rsid w:val="42C92BD8"/>
    <w:rsid w:val="46955E71"/>
    <w:rsid w:val="50830AE8"/>
    <w:rsid w:val="579C3BD2"/>
    <w:rsid w:val="57FE206C"/>
    <w:rsid w:val="5DF6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2024-05-27T06:53:28Z</dcterms:created>
  <dc:creator>admin</dc:creator>
  <cp:lastModifiedBy>.</cp:lastModifiedBy>
  <dcterms:modified xsi:type="dcterms:W3CDTF">2024-05-27T07:08:21Z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A60852A52FCB414F85DCC41BED940363_12</vt:lpwstr>
  </property>
</Properties>
</file>