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Times New Roman" w:eastAsia="方正小标宋简体" w:cs="Times New Roman"/>
          <w:sz w:val="44"/>
          <w:szCs w:val="44"/>
        </w:rPr>
      </w:pPr>
      <w:bookmarkStart w:id="0" w:name="_GoBack"/>
      <w:r>
        <w:rPr>
          <w:rFonts w:hint="eastAsia" w:ascii="方正小标宋简体" w:hAnsi="Times New Roman" w:eastAsia="方正小标宋简体" w:cs="Times New Roman"/>
          <w:sz w:val="44"/>
          <w:szCs w:val="44"/>
          <w:lang w:val="en-US" w:eastAsia="zh-CN"/>
        </w:rPr>
        <w:t>强化招商引资顶格战法 持续推动杜集经济高质量发展的意见</w:t>
      </w:r>
    </w:p>
    <w:bookmarkEnd w:id="0"/>
    <w:p>
      <w:pPr>
        <w:spacing w:line="580" w:lineRule="exact"/>
        <w:jc w:val="center"/>
        <w:rPr>
          <w:rFonts w:hint="default" w:ascii="Times New Roman" w:hAnsi="Times New Roman" w:eastAsia="仿宋_GB2312" w:cs="Times New Roman"/>
          <w:sz w:val="32"/>
          <w:szCs w:val="32"/>
          <w:lang w:eastAsia="zh-CN"/>
        </w:rPr>
      </w:pPr>
      <w:r>
        <w:rPr>
          <w:rFonts w:ascii="Times New Roman" w:hAnsi="Times New Roman" w:eastAsia="仿宋_GB2312" w:cs="Times New Roman"/>
          <w:sz w:val="32"/>
          <w:szCs w:val="32"/>
        </w:rPr>
        <w:t>（征求意见稿）</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rPr>
        <w:t>明确</w:t>
      </w:r>
      <w:r>
        <w:rPr>
          <w:rFonts w:hint="default" w:ascii="Times New Roman" w:hAnsi="Times New Roman" w:eastAsia="黑体" w:cs="Times New Roman"/>
          <w:b w:val="0"/>
          <w:bCs w:val="0"/>
          <w:sz w:val="32"/>
          <w:szCs w:val="32"/>
          <w:lang w:eastAsia="zh-CN"/>
        </w:rPr>
        <w:t>总体目标</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sz w:val="32"/>
          <w:szCs w:val="32"/>
          <w:lang w:eastAsia="zh-CN"/>
        </w:rPr>
        <w:t>坚持以习近平新时代中国特色社会主义思想为指导，全面贯彻落实党的二十大精神，把高质量作为“双招双引”主题，</w:t>
      </w:r>
      <w:r>
        <w:rPr>
          <w:rFonts w:hint="default" w:ascii="Times New Roman" w:hAnsi="Times New Roman" w:eastAsia="仿宋_GB2312" w:cs="Times New Roman"/>
          <w:sz w:val="32"/>
          <w:szCs w:val="32"/>
          <w:lang w:val="en-US" w:eastAsia="zh-CN"/>
        </w:rPr>
        <w:t>加快招引并积累一批带动能力</w:t>
      </w:r>
      <w:r>
        <w:rPr>
          <w:rFonts w:hint="default" w:ascii="Times New Roman" w:hAnsi="Times New Roman" w:eastAsia="仿宋_GB2312" w:cs="Times New Roman"/>
          <w:sz w:val="32"/>
          <w:szCs w:val="32"/>
          <w:highlight w:val="none"/>
          <w:lang w:val="en-US" w:eastAsia="zh-CN"/>
        </w:rPr>
        <w:t>强、发展潜力大的优质项目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2023年全</w:t>
      </w:r>
      <w:r>
        <w:rPr>
          <w:rFonts w:hint="default" w:ascii="Times New Roman" w:hAnsi="Times New Roman" w:eastAsia="仿宋_GB2312" w:cs="Times New Roman"/>
          <w:b w:val="0"/>
          <w:bCs w:val="0"/>
          <w:color w:val="auto"/>
          <w:sz w:val="32"/>
          <w:szCs w:val="32"/>
          <w:highlight w:val="none"/>
          <w:lang w:val="en-US" w:eastAsia="zh-CN"/>
        </w:rPr>
        <w:t>区签约投资亿元（含）以上项目40个以上，其中10亿元以上项目2个，50亿元以上项目1个。签约项目中制造业项目占比不少于80%；开工投资亿元（含）以上项目25个，其中10亿元以上项目1个。对高岳街道、矿山集街道、朔里镇、石台镇、段园镇、区经开区6个载体单位、15个招商团和平台公司分别下达招商项目任务。</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突出顶格推进</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坚持把“双招双引”作为“一把手”工程，加大抓招商、上项目力度。调整全区招商引资工作领导小组，由区委、区政府主要领导任“双组长”，区人大、区政协主要负责同志，区委常委及区政府副区长任副组长，强化对招商引资工作的领导。实施有效信息提级跟进和重大招商项目联审评审，投资5亿元以上的重点项目信息由区招商引资项目研判领导小组分析研判后，推送至区委区政府主要领导高位推进。各镇办、经开区党政主要领导、分管领导要把访商邀商列作重要政务安排，拿出更多时间开展招商活动，经开区主要领导每月外出招商不少于10天，每月调度重点项目不少于2次，及时协调解决存在问题；各镇办党政主要领导每月外出招商不少于一周，每月调度重点项目不少于2次。载体单位主要负责同志要亲自洽谈、推进重点项目签约落地、开工建设、竣工投产、</w:t>
      </w:r>
      <w:r>
        <w:rPr>
          <w:rFonts w:hint="default" w:ascii="Times New Roman" w:hAnsi="Times New Roman" w:eastAsia="仿宋_GB2312" w:cs="Times New Roman"/>
          <w:color w:val="000000"/>
          <w:sz w:val="32"/>
          <w:szCs w:val="32"/>
          <w:lang w:eastAsia="zh-CN"/>
        </w:rPr>
        <w:t>纳统入规</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rPr>
        <w:t>选准主攻方向</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rPr>
        <w:t>结合杜集实际工作需要，</w:t>
      </w:r>
      <w:r>
        <w:rPr>
          <w:rFonts w:hint="default" w:ascii="Times New Roman" w:hAnsi="Times New Roman" w:eastAsia="仿宋_GB2312" w:cs="Times New Roman"/>
          <w:b w:val="0"/>
          <w:bCs w:val="0"/>
          <w:color w:val="auto"/>
          <w:sz w:val="32"/>
          <w:szCs w:val="32"/>
          <w:lang w:val="en-US" w:eastAsia="zh-CN"/>
        </w:rPr>
        <w:t>聚焦构建现代化产业体系，围绕省十大新兴产业和市</w:t>
      </w:r>
      <w:r>
        <w:rPr>
          <w:rFonts w:hint="default" w:ascii="Times New Roman" w:hAnsi="Times New Roman" w:eastAsia="仿宋_GB2312" w:cs="Times New Roman"/>
          <w:sz w:val="32"/>
          <w:szCs w:val="32"/>
        </w:rPr>
        <w:t>“五群十链”产业</w:t>
      </w:r>
      <w:r>
        <w:rPr>
          <w:rFonts w:hint="default" w:ascii="Times New Roman" w:hAnsi="Times New Roman" w:eastAsia="仿宋_GB2312" w:cs="Times New Roman"/>
          <w:b w:val="0"/>
          <w:bCs w:val="0"/>
          <w:color w:val="auto"/>
          <w:sz w:val="32"/>
          <w:szCs w:val="32"/>
          <w:lang w:val="en-US" w:eastAsia="zh-CN"/>
        </w:rPr>
        <w:t>，以延链补链强链为主线，把“招大引强”作为招商重点，</w:t>
      </w:r>
      <w:r>
        <w:rPr>
          <w:rFonts w:hint="eastAsia" w:ascii="Times New Roman" w:hAnsi="Times New Roman" w:eastAsia="仿宋_GB2312" w:cs="Times New Roman"/>
          <w:b w:val="0"/>
          <w:bCs w:val="0"/>
          <w:color w:val="auto"/>
          <w:sz w:val="32"/>
          <w:szCs w:val="32"/>
          <w:lang w:val="en-US" w:eastAsia="zh-CN"/>
        </w:rPr>
        <w:t>聚焦</w:t>
      </w:r>
      <w:r>
        <w:rPr>
          <w:rFonts w:hint="default" w:ascii="Times New Roman" w:hAnsi="Times New Roman" w:eastAsia="仿宋_GB2312" w:cs="Times New Roman"/>
          <w:b w:val="0"/>
          <w:bCs w:val="0"/>
          <w:color w:val="auto"/>
          <w:sz w:val="32"/>
          <w:szCs w:val="32"/>
          <w:lang w:val="en-US" w:eastAsia="zh-CN"/>
        </w:rPr>
        <w:t>装备制造、</w:t>
      </w:r>
      <w:r>
        <w:rPr>
          <w:rFonts w:hint="eastAsia" w:ascii="Times New Roman" w:hAnsi="Times New Roman" w:eastAsia="仿宋_GB2312" w:cs="Times New Roman"/>
          <w:b w:val="0"/>
          <w:bCs w:val="0"/>
          <w:color w:val="auto"/>
          <w:sz w:val="32"/>
          <w:szCs w:val="32"/>
          <w:lang w:val="en-US" w:eastAsia="zh-CN"/>
        </w:rPr>
        <w:t>新能源、</w:t>
      </w:r>
      <w:r>
        <w:rPr>
          <w:rFonts w:hint="default" w:ascii="Times New Roman" w:hAnsi="Times New Roman" w:eastAsia="仿宋_GB2312" w:cs="Times New Roman"/>
          <w:b w:val="0"/>
          <w:bCs w:val="0"/>
          <w:color w:val="auto"/>
          <w:sz w:val="32"/>
          <w:szCs w:val="32"/>
          <w:lang w:val="en-US" w:eastAsia="zh-CN"/>
        </w:rPr>
        <w:t>新</w:t>
      </w:r>
      <w:r>
        <w:rPr>
          <w:rFonts w:hint="eastAsia" w:ascii="Times New Roman" w:hAnsi="Times New Roman" w:eastAsia="仿宋_GB2312" w:cs="Times New Roman"/>
          <w:b w:val="0"/>
          <w:bCs w:val="0"/>
          <w:color w:val="auto"/>
          <w:sz w:val="32"/>
          <w:szCs w:val="32"/>
          <w:lang w:val="en-US" w:eastAsia="zh-CN"/>
        </w:rPr>
        <w:t>材料等</w:t>
      </w:r>
      <w:r>
        <w:rPr>
          <w:rFonts w:hint="default" w:ascii="Times New Roman" w:hAnsi="Times New Roman" w:eastAsia="仿宋_GB2312" w:cs="Times New Roman"/>
          <w:b w:val="0"/>
          <w:bCs w:val="0"/>
          <w:color w:val="auto"/>
          <w:sz w:val="32"/>
          <w:szCs w:val="32"/>
          <w:lang w:val="en-US" w:eastAsia="zh-CN"/>
        </w:rPr>
        <w:t>主导产业</w:t>
      </w:r>
      <w:r>
        <w:rPr>
          <w:rFonts w:hint="eastAsia" w:ascii="Times New Roman" w:hAnsi="Times New Roman" w:eastAsia="仿宋_GB2312" w:cs="Times New Roman"/>
          <w:b w:val="0"/>
          <w:bCs w:val="0"/>
          <w:color w:val="auto"/>
          <w:sz w:val="32"/>
          <w:szCs w:val="32"/>
          <w:lang w:val="en-US" w:eastAsia="zh-CN"/>
        </w:rPr>
        <w:t>开展招商</w:t>
      </w:r>
      <w:r>
        <w:rPr>
          <w:rFonts w:hint="default" w:ascii="Times New Roman" w:hAnsi="Times New Roman" w:eastAsia="仿宋_GB2312" w:cs="Times New Roman"/>
          <w:b w:val="0"/>
          <w:bCs w:val="0"/>
          <w:color w:val="auto"/>
          <w:sz w:val="32"/>
          <w:szCs w:val="32"/>
          <w:lang w:val="en-US" w:eastAsia="zh-CN"/>
        </w:rPr>
        <w:t>，推进产业集聚集群、高效发展。同时，围绕段园省际毗邻地区新型功能区建设谋篇落子，聚焦三次产业高质量协同发展，积极引进农业龙头企业及工业设计、现代物流、供应链金融、电子商务、商务咨询等生产性服务业和健康体育、养老托育、文化旅游、家政物业、商贸服务等生活性服务业，健全产业生态。精心谋划目标企业项目库，实施动态管理、滚动递补。</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落实专</w:t>
      </w:r>
      <w:r>
        <w:rPr>
          <w:rFonts w:hint="default" w:ascii="Times New Roman" w:hAnsi="Times New Roman" w:eastAsia="黑体" w:cs="Times New Roman"/>
          <w:sz w:val="32"/>
          <w:szCs w:val="32"/>
          <w:lang w:eastAsia="zh-CN"/>
        </w:rPr>
        <w:t>员专班</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优化区级招商团，组建驻外招商分中心。从全区抽调招商意愿强、综合素质高的同志，派赴苏州、无锡、徐州等地驻点招商，专职捕捉、跟踪项目信息。实施产业项目推进专班，在区级层面上随时、灵活组建“多部门推进专班”，从对接洽谈到签约开工、竣工投产，再到达规入统，全流程提供无缝隙的高质量服务，确保企业招得来、落得下、发展好。组建专家型项目研判专班、专业化项目洽谈专班和高水平项目推进专班；坚持问题导向，及时了解项目洽谈、签约、建设进度，协调解决各类困难问题，全力以赴确保落地一批重大产业项目。</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spacing w:val="0"/>
          <w:kern w:val="2"/>
          <w:sz w:val="32"/>
          <w:szCs w:val="32"/>
          <w:lang w:val="en-US" w:eastAsia="zh-CN" w:bidi="ar-SA"/>
        </w:rPr>
        <w:t>五、强化要素保障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重大招商引资项目，由区级统筹分析研判后，在全区范围内调配土地、能耗、环境容量及产业基金等要素，保障项目落地。重点产业项目签约前及时召开重大项目要素保障专题会议，针对土地、能耗、生态环境、资金、用工等要素保障问题，逐一梳理，认真分析，研究切实有效的具体方案。提高土地集约节约利用水平，坚持“向存量要增量，向低效要高效”，加大存量土地和低效用地清理力度，按照“精准征地、精准供地”原则保障项目用地，真正做到 “土地要素跟着项目走”。进一步做大用好政府现有产业基金，撬动更多金融资本和社会资本在区投资，发挥资本促进社会生产力发展的积极作用。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黑体" w:cs="Times New Roman"/>
          <w:b w:val="0"/>
          <w:bCs w:val="0"/>
          <w:spacing w:val="0"/>
          <w:kern w:val="2"/>
          <w:sz w:val="32"/>
          <w:szCs w:val="32"/>
          <w:lang w:val="en-US" w:eastAsia="zh-CN" w:bidi="ar-SA"/>
        </w:rPr>
      </w:pPr>
      <w:r>
        <w:rPr>
          <w:rFonts w:hint="default" w:ascii="Times New Roman" w:hAnsi="Times New Roman" w:eastAsia="黑体" w:cs="Times New Roman"/>
          <w:b w:val="0"/>
          <w:bCs w:val="0"/>
          <w:color w:val="auto"/>
          <w:sz w:val="32"/>
          <w:szCs w:val="32"/>
          <w:lang w:val="en-US" w:eastAsia="zh-CN"/>
        </w:rPr>
        <w:t>六、</w:t>
      </w:r>
      <w:r>
        <w:rPr>
          <w:rFonts w:hint="default" w:ascii="Times New Roman" w:hAnsi="Times New Roman" w:eastAsia="黑体" w:cs="Times New Roman"/>
          <w:b w:val="0"/>
          <w:bCs w:val="0"/>
          <w:spacing w:val="0"/>
          <w:kern w:val="2"/>
          <w:sz w:val="32"/>
          <w:szCs w:val="32"/>
          <w:lang w:val="en-US" w:eastAsia="zh-CN" w:bidi="ar-SA"/>
        </w:rPr>
        <w:t>创新招商举措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充分利用市场逻辑、资本力量、平台思维把握招商机遇，提升招商成效。抢抓徐淮结对共建战略之机，围绕徐州重点产业和重点企业，从苏锡常等地招引一批合作共联企业，以“反相配套”强化徐淮两地产业交融。充分发挥政府引导基金的杠杆作用，撬动本地国有市场化基金和更多社会资本参与项目投资，加快推进高质量项目，导入新兴产业。深化以商招商，聘请一批优秀企业家担任招商顾问，借助其朋友圈和企业产业链，吸引更多企业延链、补链。加大招商引资宣传力度，充分利用融媒体、微信公众号、主流新闻平台等媒介和路演形式，扩大宣传推介广度和深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七</w:t>
      </w:r>
      <w:r>
        <w:rPr>
          <w:rFonts w:hint="default" w:ascii="Times New Roman" w:hAnsi="Times New Roman" w:eastAsia="黑体" w:cs="Times New Roman"/>
          <w:b w:val="0"/>
          <w:bCs w:val="0"/>
          <w:sz w:val="32"/>
          <w:szCs w:val="32"/>
        </w:rPr>
        <w:t>、严格督查考核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lang w:eastAsia="zh-CN"/>
        </w:rPr>
        <w:t>实行招商引资项目建设“红黄绿”亮牌预警机制，对签约项目开工建设、竣工投产、纳统入规情况亮牌提醒。</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lang w:eastAsia="zh-CN"/>
        </w:rPr>
        <w:t>发改委会同区统计局、区投资促进</w:t>
      </w:r>
      <w:r>
        <w:rPr>
          <w:rFonts w:hint="default" w:ascii="Times New Roman" w:hAnsi="Times New Roman" w:eastAsia="仿宋_GB2312" w:cs="Times New Roman"/>
          <w:color w:val="000000"/>
          <w:sz w:val="32"/>
          <w:szCs w:val="32"/>
          <w:lang w:val="en-US" w:eastAsia="zh-CN"/>
        </w:rPr>
        <w:t>局</w:t>
      </w:r>
      <w:r>
        <w:rPr>
          <w:rFonts w:hint="default" w:ascii="Times New Roman" w:hAnsi="Times New Roman" w:eastAsia="仿宋_GB2312" w:cs="Times New Roman"/>
          <w:color w:val="000000"/>
          <w:sz w:val="32"/>
          <w:szCs w:val="32"/>
          <w:lang w:eastAsia="zh-CN"/>
        </w:rPr>
        <w:t>按季度分析全</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lang w:eastAsia="zh-CN"/>
        </w:rPr>
        <w:t>亿元以上项目建设推进情况，并形成分析报告，由</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lang w:eastAsia="zh-CN"/>
        </w:rPr>
        <w:t>委督查考核办公室进行通报。</w:t>
      </w:r>
      <w:r>
        <w:rPr>
          <w:rFonts w:hint="default" w:ascii="Times New Roman" w:hAnsi="Times New Roman" w:eastAsia="仿宋_GB2312" w:cs="Times New Roman"/>
          <w:color w:val="000000"/>
          <w:sz w:val="32"/>
          <w:szCs w:val="32"/>
          <w:lang w:val="en-US" w:eastAsia="zh-CN"/>
        </w:rPr>
        <w:t>定期开展全区招商引资现场观摩活动，在“赛马”中传压力、增动力。加大招商激励力度，对“招大引强”、亩均效益完成较好、成绩突出的载体单位，在要素保障上给予支持</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对引进重大签约、开工项目，对招商引资做出突出贡献的单位和个人年底给予表彰。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DFFC67-23DF-46A9-9F0C-89EDC0E100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1219ADD-185F-4CB6-AD3D-7DF70C95F12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E5BAF947-D810-4F4D-9AE8-D3418BBDF619}"/>
  </w:font>
  <w:font w:name="方正小标宋简体">
    <w:panose1 w:val="02000000000000000000"/>
    <w:charset w:val="86"/>
    <w:family w:val="script"/>
    <w:pitch w:val="default"/>
    <w:sig w:usb0="00000001" w:usb1="080E0000" w:usb2="00000000" w:usb3="00000000" w:csb0="00040000" w:csb1="00000000"/>
    <w:embedRegular r:id="rId4" w:fontKey="{DF27C6DC-79A6-416F-AFB9-903557D6262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B057BB"/>
    <w:multiLevelType w:val="singleLevel"/>
    <w:tmpl w:val="D0B057BB"/>
    <w:lvl w:ilvl="0" w:tentative="0">
      <w:start w:val="1"/>
      <w:numFmt w:val="chineseCounting"/>
      <w:suff w:val="nothing"/>
      <w:lvlText w:val="%1、"/>
      <w:lvlJc w:val="left"/>
      <w:pPr>
        <w:ind w:left="-10"/>
      </w:pPr>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YTM2NGVmZDJjMGRiNmU0NWE1OGI5MjgwNmI5NzQifQ=="/>
  </w:docVars>
  <w:rsids>
    <w:rsidRoot w:val="00000000"/>
    <w:rsid w:val="4C110FB3"/>
    <w:rsid w:val="639C7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widowControl w:val="0"/>
      <w:spacing w:after="120"/>
      <w:jc w:val="both"/>
    </w:pPr>
    <w:rPr>
      <w:rFonts w:ascii="Times New Roman" w:hAnsi="Times New Roman" w:eastAsia="宋体" w:cs="Times New Roman"/>
      <w:kern w:val="0"/>
      <w:sz w:val="20"/>
      <w:szCs w:val="22"/>
      <w:lang w:val="en-US" w:eastAsia="zh-CN" w:bidi="ar-SA"/>
    </w:rPr>
  </w:style>
  <w:style w:type="paragraph" w:styleId="3">
    <w:name w:val="Date"/>
    <w:basedOn w:val="1"/>
    <w:next w:val="1"/>
    <w:qFormat/>
    <w:uiPriority w:val="0"/>
    <w:pPr>
      <w:ind w:left="2500" w:leftChars="25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2022-10-17T09:21:00Z</dcterms:created>
  <dc:creator>Administrator</dc:creator>
  <cp:lastModifiedBy>～</cp:lastModifiedBy>
  <dcterms:modified xsi:type="dcterms:W3CDTF">2023-10-27T01:30:38Z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ADAA89D62EEA4308BF57DEB9135E5BC7</vt:lpwstr>
  </property>
</Properties>
</file>