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default" w:ascii="Times New Roman" w:hAnsi="Times New Roman" w:eastAsia="方正小标宋简体" w:cs="Times New Roman"/>
          <w:color w:val="000000"/>
          <w:sz w:val="44"/>
          <w:szCs w:val="44"/>
        </w:rPr>
      </w:pPr>
      <w:r>
        <w:rPr>
          <w:rFonts w:eastAsia="方正小标宋简体"/>
          <w:sz w:val="44"/>
          <w:szCs w:val="44"/>
        </w:rPr>
        <w:t>关于</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color w:val="000000"/>
          <w:sz w:val="44"/>
          <w:szCs w:val="44"/>
          <w:lang w:eastAsia="zh-CN"/>
        </w:rPr>
        <w:t>杜集区</w:t>
      </w:r>
      <w:r>
        <w:rPr>
          <w:rFonts w:hint="default" w:ascii="Times New Roman" w:hAnsi="Times New Roman" w:eastAsia="方正小标宋简体" w:cs="Times New Roman"/>
          <w:color w:val="000000"/>
          <w:sz w:val="44"/>
          <w:szCs w:val="44"/>
        </w:rPr>
        <w:t>2023年限额以上商贸单位培育</w:t>
      </w:r>
    </w:p>
    <w:p>
      <w:pPr>
        <w:shd w:val="clear" w:color="auto" w:fill="FFFFFF"/>
        <w:spacing w:line="600" w:lineRule="exact"/>
        <w:jc w:val="center"/>
        <w:rPr>
          <w:rFonts w:hint="eastAsia" w:eastAsia="方正小标宋简体"/>
          <w:sz w:val="44"/>
          <w:szCs w:val="44"/>
          <w:lang w:eastAsia="zh-CN"/>
        </w:rPr>
      </w:pPr>
      <w:r>
        <w:rPr>
          <w:rFonts w:hint="default" w:ascii="Times New Roman" w:hAnsi="Times New Roman" w:eastAsia="方正小标宋简体" w:cs="Times New Roman"/>
          <w:color w:val="000000"/>
          <w:sz w:val="44"/>
          <w:szCs w:val="44"/>
        </w:rPr>
        <w:t>激励方案</w:t>
      </w:r>
      <w:r>
        <w:rPr>
          <w:rFonts w:hint="eastAsia" w:eastAsia="方正小标宋简体" w:cs="Times New Roman"/>
          <w:color w:val="000000"/>
          <w:sz w:val="44"/>
          <w:szCs w:val="44"/>
          <w:lang w:eastAsia="zh-CN"/>
        </w:rPr>
        <w:t>（</w:t>
      </w:r>
      <w:r>
        <w:rPr>
          <w:rFonts w:hint="eastAsia" w:eastAsia="方正小标宋简体" w:cs="Times New Roman"/>
          <w:color w:val="000000"/>
          <w:sz w:val="44"/>
          <w:szCs w:val="44"/>
          <w:lang w:val="en-US" w:eastAsia="zh-CN"/>
        </w:rPr>
        <w:t>意见征求稿</w:t>
      </w:r>
      <w:r>
        <w:rPr>
          <w:rFonts w:hint="eastAsia" w:eastAsia="方正小标宋简体" w:cs="Times New Roman"/>
          <w:color w:val="000000"/>
          <w:sz w:val="44"/>
          <w:szCs w:val="44"/>
          <w:lang w:eastAsia="zh-CN"/>
        </w:rPr>
        <w:t>）</w:t>
      </w:r>
      <w:r>
        <w:rPr>
          <w:rFonts w:hint="default" w:ascii="Times New Roman" w:hAnsi="Times New Roman" w:eastAsia="方正小标宋简体" w:cs="Times New Roman"/>
          <w:sz w:val="44"/>
          <w:szCs w:val="44"/>
          <w:lang w:eastAsia="zh-CN"/>
        </w:rPr>
        <w:t>》</w:t>
      </w:r>
      <w:r>
        <w:rPr>
          <w:rFonts w:eastAsia="方正小标宋简体"/>
          <w:sz w:val="44"/>
          <w:szCs w:val="44"/>
        </w:rPr>
        <w:t>的起草</w:t>
      </w:r>
      <w:r>
        <w:rPr>
          <w:rFonts w:hint="eastAsia" w:eastAsia="方正小标宋简体"/>
          <w:sz w:val="44"/>
          <w:szCs w:val="44"/>
          <w:lang w:val="en-US" w:eastAsia="zh-CN"/>
        </w:rPr>
        <w:t>说明</w:t>
      </w:r>
    </w:p>
    <w:p>
      <w:pPr>
        <w:spacing w:line="576" w:lineRule="exact"/>
        <w:ind w:firstLine="640" w:firstLineChars="200"/>
        <w:rPr>
          <w:rFonts w:eastAsia="黑体"/>
          <w:sz w:val="32"/>
          <w:szCs w:val="32"/>
        </w:rPr>
      </w:pPr>
    </w:p>
    <w:p>
      <w:pPr>
        <w:spacing w:line="576" w:lineRule="exact"/>
        <w:ind w:firstLine="640" w:firstLineChars="200"/>
        <w:rPr>
          <w:rFonts w:eastAsia="黑体"/>
          <w:sz w:val="32"/>
          <w:szCs w:val="32"/>
        </w:rPr>
      </w:pPr>
      <w:r>
        <w:rPr>
          <w:rFonts w:eastAsia="黑体"/>
          <w:sz w:val="32"/>
          <w:szCs w:val="32"/>
        </w:rPr>
        <w:t>一、起草背景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color w:val="000000"/>
          <w:sz w:val="32"/>
          <w:szCs w:val="32"/>
        </w:rPr>
        <w:t>为深入贯彻落实《安徽省人民政府办公厅关于印发加快发展流通促进商业消费若干措施的通知》（皖政办〔2019〕33号）等省、市文件精神，加快培育扩大</w:t>
      </w:r>
      <w:r>
        <w:rPr>
          <w:rFonts w:hint="default" w:ascii="Times New Roman" w:hAnsi="Times New Roman" w:eastAsia="仿宋_GB2312" w:cs="Times New Roman"/>
          <w:color w:val="000000"/>
          <w:sz w:val="32"/>
          <w:szCs w:val="32"/>
          <w:lang w:eastAsia="zh-CN"/>
        </w:rPr>
        <w:t>杜集区</w:t>
      </w:r>
      <w:r>
        <w:rPr>
          <w:rFonts w:hint="default" w:ascii="Times New Roman" w:hAnsi="Times New Roman" w:eastAsia="仿宋_GB2312" w:cs="Times New Roman"/>
          <w:color w:val="000000"/>
          <w:sz w:val="32"/>
          <w:szCs w:val="32"/>
        </w:rPr>
        <w:t>限额以上商贸单位（批发、零售、住宿、餐饮业，简称限上单位）规模，积极推进全</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消费市场“内循环”，全面提升社会消费品零售总额持续稳定增长，发挥消费对经济增长的基础性拉动作用，充分发挥各部门的联动作用，激励</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直各部门、镇（</w:t>
      </w:r>
      <w:r>
        <w:rPr>
          <w:rFonts w:hint="default" w:ascii="Times New Roman" w:hAnsi="Times New Roman" w:eastAsia="仿宋_GB2312" w:cs="Times New Roman"/>
          <w:color w:val="000000"/>
          <w:sz w:val="32"/>
          <w:szCs w:val="32"/>
          <w:lang w:eastAsia="zh-CN"/>
        </w:rPr>
        <w:t>街道</w:t>
      </w:r>
      <w:r>
        <w:rPr>
          <w:rFonts w:hint="default" w:ascii="Times New Roman" w:hAnsi="Times New Roman" w:eastAsia="仿宋_GB2312" w:cs="Times New Roman"/>
          <w:color w:val="000000"/>
          <w:sz w:val="32"/>
          <w:szCs w:val="32"/>
        </w:rPr>
        <w:t>）形成合力</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一方面，有利于进一步引导商贸主体做大做强，充分发挥限上企业在商贸流通中的示范引领和支撑带动作用，加快推进全区商贸流通产业上水平、上规模；另一方面，有利于调动限下商贸企业和个体工商户发展成为限上企业的积极性，从而为实现社会消费品零售总额增长目标提供有力的抓手。此外，随着限上企业数量规模的扩大，商贸领域的就业岗位和纳税企业数量也将进一步增加，从而为地方财政创造更多的财源，为提升就业率和稳定社会作出贡献。</w:t>
      </w:r>
    </w:p>
    <w:p>
      <w:pPr>
        <w:spacing w:line="576" w:lineRule="exact"/>
        <w:ind w:firstLine="640" w:firstLineChars="200"/>
        <w:rPr>
          <w:rFonts w:eastAsia="黑体"/>
          <w:sz w:val="32"/>
          <w:szCs w:val="32"/>
        </w:rPr>
      </w:pPr>
      <w:r>
        <w:rPr>
          <w:rFonts w:eastAsia="黑体"/>
          <w:sz w:val="32"/>
          <w:szCs w:val="32"/>
        </w:rPr>
        <w:t>二、制定依据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Times New Roman"/>
          <w:color w:val="000000"/>
          <w:sz w:val="32"/>
          <w:szCs w:val="32"/>
          <w:lang w:eastAsia="zh-CN"/>
        </w:rPr>
      </w:pP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安徽省人民政府办公厅《关于印发加快发展流通促进商业消费若干措施的通知》（皖政办〔2019〕33号）</w:t>
      </w:r>
      <w:r>
        <w:rPr>
          <w:rFonts w:hint="eastAsia"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pPr>
      <w:r>
        <w:rPr>
          <w:rFonts w:hint="eastAsia" w:eastAsia="仿宋_GB2312" w:cs="Times New Roman"/>
          <w:i w:val="0"/>
          <w:iCs w:val="0"/>
          <w:caps w:val="0"/>
          <w:color w:val="000000"/>
          <w:spacing w:val="0"/>
          <w:kern w:val="0"/>
          <w:sz w:val="32"/>
          <w:szCs w:val="32"/>
          <w:shd w:val="clear" w:color="auto" w:fill="FFFFFF"/>
          <w:lang w:val="en-US" w:eastAsia="zh-CN" w:bidi="ar"/>
        </w:rPr>
        <w:t>2.</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安徽省办公厅《关于印发稳外资稳外贸促消费活动方案的通知》（皖政办秘〔2022〕44号）</w:t>
      </w:r>
      <w:r>
        <w:rPr>
          <w:rFonts w:hint="eastAsia" w:eastAsia="仿宋_GB2312" w:cs="Times New Roman"/>
          <w:i w:val="0"/>
          <w:iCs w:val="0"/>
          <w:caps w:val="0"/>
          <w:color w:val="000000"/>
          <w:spacing w:val="0"/>
          <w:kern w:val="0"/>
          <w:sz w:val="32"/>
          <w:szCs w:val="32"/>
          <w:shd w:val="clear" w:color="auto" w:fill="FFFFFF"/>
          <w:lang w:val="en-US" w:eastAsia="zh-CN" w:bidi="ar"/>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pPr>
      <w:r>
        <w:rPr>
          <w:rFonts w:hint="eastAsia" w:eastAsia="仿宋_GB2312" w:cs="Times New Roman"/>
          <w:i w:val="0"/>
          <w:iCs w:val="0"/>
          <w:caps w:val="0"/>
          <w:color w:val="000000"/>
          <w:spacing w:val="0"/>
          <w:kern w:val="0"/>
          <w:sz w:val="32"/>
          <w:szCs w:val="32"/>
          <w:shd w:val="clear" w:color="auto" w:fill="FFFFFF"/>
          <w:lang w:val="en-US" w:eastAsia="zh-CN" w:bidi="ar"/>
        </w:rPr>
        <w:t>3.</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淮北市商务局《关于印发淮北市“品质生活 徽动消费”2023年促消费活动方案的通知》（淮商办〔2023〕24号）</w:t>
      </w:r>
      <w:r>
        <w:rPr>
          <w:rFonts w:hint="eastAsia" w:eastAsia="仿宋_GB2312" w:cs="Times New Roman"/>
          <w:i w:val="0"/>
          <w:iCs w:val="0"/>
          <w:caps w:val="0"/>
          <w:color w:val="000000"/>
          <w:spacing w:val="0"/>
          <w:kern w:val="0"/>
          <w:sz w:val="32"/>
          <w:szCs w:val="32"/>
          <w:shd w:val="clear" w:color="auto" w:fill="FFFFFF"/>
          <w:lang w:val="en-US" w:eastAsia="zh-CN" w:bidi="ar"/>
        </w:rPr>
        <w:t>。</w:t>
      </w:r>
    </w:p>
    <w:p>
      <w:pPr>
        <w:spacing w:line="576" w:lineRule="exact"/>
        <w:ind w:firstLine="640" w:firstLineChars="200"/>
        <w:rPr>
          <w:rFonts w:eastAsia="黑体"/>
          <w:color w:val="000000"/>
          <w:kern w:val="0"/>
          <w:sz w:val="32"/>
          <w:szCs w:val="32"/>
          <w:shd w:val="clear" w:color="auto" w:fill="FFFFFF"/>
        </w:rPr>
      </w:pPr>
      <w:r>
        <w:rPr>
          <w:rFonts w:eastAsia="黑体"/>
          <w:color w:val="000000"/>
          <w:kern w:val="0"/>
          <w:sz w:val="32"/>
          <w:szCs w:val="32"/>
          <w:shd w:val="clear" w:color="auto" w:fill="FFFFFF"/>
        </w:rPr>
        <w:t>三、</w:t>
      </w:r>
      <w:r>
        <w:rPr>
          <w:rFonts w:hint="eastAsia" w:eastAsia="黑体"/>
          <w:color w:val="000000"/>
          <w:kern w:val="0"/>
          <w:sz w:val="32"/>
          <w:szCs w:val="32"/>
          <w:shd w:val="clear" w:color="auto" w:fill="FFFFFF"/>
        </w:rPr>
        <w:t>文件起草过程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eastAsia="仿宋_GB2312" w:cs="Times New Roman"/>
          <w:i w:val="0"/>
          <w:iCs w:val="0"/>
          <w:caps w:val="0"/>
          <w:color w:val="000000"/>
          <w:spacing w:val="0"/>
          <w:kern w:val="0"/>
          <w:sz w:val="32"/>
          <w:szCs w:val="32"/>
          <w:shd w:val="clear" w:color="auto" w:fill="FFFFFF"/>
          <w:lang w:val="en-US" w:eastAsia="zh-CN" w:bidi="ar"/>
        </w:rPr>
      </w:pPr>
      <w:r>
        <w:rPr>
          <w:rFonts w:hint="eastAsia" w:eastAsia="仿宋_GB2312" w:cs="Times New Roman"/>
          <w:i w:val="0"/>
          <w:iCs w:val="0"/>
          <w:caps w:val="0"/>
          <w:color w:val="000000"/>
          <w:spacing w:val="0"/>
          <w:kern w:val="0"/>
          <w:sz w:val="32"/>
          <w:szCs w:val="32"/>
          <w:shd w:val="clear" w:color="auto" w:fill="FFFFFF"/>
          <w:lang w:val="en-US" w:eastAsia="zh-CN" w:bidi="ar"/>
        </w:rPr>
        <w:t>根据区政府部署，2023年3月份区商务局牵头开展《杜集区2023年限额以上商贸单位培育激励方案》起草工作，经过研讨、学习省市区现行相关政策措施及其他县区经验，形成意见征求稿，后续将及时面向相关受众群体进行意见征集</w:t>
      </w:r>
      <w:bookmarkStart w:id="0" w:name="_GoBack"/>
      <w:bookmarkEnd w:id="0"/>
      <w:r>
        <w:rPr>
          <w:rFonts w:hint="eastAsia" w:eastAsia="仿宋_GB2312" w:cs="Times New Roman"/>
          <w:i w:val="0"/>
          <w:iCs w:val="0"/>
          <w:caps w:val="0"/>
          <w:color w:val="000000"/>
          <w:spacing w:val="0"/>
          <w:kern w:val="0"/>
          <w:sz w:val="32"/>
          <w:szCs w:val="32"/>
          <w:shd w:val="clear" w:color="auto" w:fill="FFFFFF"/>
          <w:lang w:val="en-US" w:eastAsia="zh-CN" w:bidi="ar"/>
        </w:rPr>
        <w:t>。</w:t>
      </w:r>
    </w:p>
    <w:p>
      <w:pPr>
        <w:spacing w:line="576" w:lineRule="exact"/>
        <w:ind w:firstLine="640" w:firstLineChars="200"/>
        <w:rPr>
          <w:rFonts w:eastAsia="黑体"/>
          <w:color w:val="000000"/>
          <w:kern w:val="0"/>
          <w:sz w:val="32"/>
          <w:szCs w:val="32"/>
          <w:shd w:val="clear" w:color="auto" w:fill="FFFFFF"/>
        </w:rPr>
      </w:pPr>
      <w:r>
        <w:rPr>
          <w:rFonts w:hint="eastAsia" w:eastAsia="黑体"/>
          <w:color w:val="000000"/>
          <w:kern w:val="0"/>
          <w:sz w:val="32"/>
          <w:szCs w:val="32"/>
          <w:shd w:val="clear" w:color="auto" w:fill="FFFFFF"/>
          <w:lang w:val="en-US" w:eastAsia="zh-CN"/>
        </w:rPr>
        <w:t>四、</w:t>
      </w:r>
      <w:r>
        <w:rPr>
          <w:rFonts w:eastAsia="黑体"/>
          <w:color w:val="000000"/>
          <w:kern w:val="0"/>
          <w:sz w:val="32"/>
          <w:szCs w:val="32"/>
          <w:shd w:val="clear" w:color="auto" w:fill="FFFFFF"/>
        </w:rPr>
        <w:t>主要内容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《方案》操作细则分为总则、对象和范围、工作职责、奖励标准、监督管理、附则等6个部分。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color w:val="auto"/>
          <w:kern w:val="2"/>
          <w:sz w:val="32"/>
          <w:szCs w:val="32"/>
          <w:u w:val="none"/>
          <w:lang w:eastAsia="zh-CN"/>
        </w:rPr>
      </w:pPr>
      <w:r>
        <w:rPr>
          <w:rFonts w:hint="default" w:ascii="Times New Roman" w:hAnsi="Times New Roman" w:eastAsia="楷体_GB2312" w:cs="Times New Roman"/>
          <w:b/>
          <w:bCs/>
          <w:i w:val="0"/>
          <w:iCs w:val="0"/>
          <w:caps w:val="0"/>
          <w:color w:val="000000"/>
          <w:spacing w:val="0"/>
          <w:kern w:val="0"/>
          <w:sz w:val="32"/>
          <w:szCs w:val="32"/>
          <w:shd w:val="clear" w:color="auto" w:fill="FFFFFF"/>
          <w:lang w:val="en-US" w:eastAsia="zh-CN" w:bidi="ar"/>
        </w:rPr>
        <w:t>一是总则。</w:t>
      </w:r>
      <w:r>
        <w:rPr>
          <w:rFonts w:hint="default" w:ascii="Times New Roman" w:hAnsi="Times New Roman" w:eastAsia="仿宋_GB2312" w:cs="Times New Roman"/>
          <w:color w:val="auto"/>
          <w:kern w:val="2"/>
          <w:sz w:val="32"/>
          <w:szCs w:val="32"/>
          <w:u w:val="none"/>
          <w:lang w:eastAsia="zh-CN"/>
        </w:rPr>
        <w:t>阐述了制定本方案的意义和目的。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kern w:val="2"/>
          <w:sz w:val="32"/>
          <w:szCs w:val="32"/>
          <w:lang w:eastAsia="zh-CN"/>
        </w:rPr>
      </w:pPr>
      <w:r>
        <w:rPr>
          <w:rFonts w:hint="default" w:ascii="Times New Roman" w:hAnsi="Times New Roman" w:eastAsia="楷体_GB2312" w:cs="Times New Roman"/>
          <w:b/>
          <w:bCs/>
          <w:i w:val="0"/>
          <w:iCs w:val="0"/>
          <w:caps w:val="0"/>
          <w:color w:val="000000"/>
          <w:spacing w:val="0"/>
          <w:kern w:val="0"/>
          <w:sz w:val="32"/>
          <w:szCs w:val="32"/>
          <w:shd w:val="clear" w:color="auto" w:fill="FFFFFF"/>
          <w:lang w:val="en-US" w:eastAsia="zh-CN" w:bidi="ar"/>
        </w:rPr>
        <w:t>二是对象和范围。</w:t>
      </w:r>
      <w:r>
        <w:rPr>
          <w:rFonts w:hint="default" w:ascii="Times New Roman" w:hAnsi="Times New Roman" w:eastAsia="仿宋_GB2312" w:cs="Times New Roman"/>
          <w:color w:val="auto"/>
          <w:kern w:val="2"/>
          <w:sz w:val="32"/>
          <w:szCs w:val="32"/>
          <w:u w:val="none"/>
          <w:lang w:eastAsia="zh-CN"/>
        </w:rPr>
        <w:t>明确了</w:t>
      </w:r>
      <w:r>
        <w:rPr>
          <w:rFonts w:hint="default" w:ascii="Times New Roman" w:hAnsi="Times New Roman" w:eastAsia="仿宋_GB2312" w:cs="Times New Roman"/>
          <w:kern w:val="2"/>
          <w:sz w:val="32"/>
          <w:szCs w:val="32"/>
        </w:rPr>
        <w:t>“限上”企业及大个体的具体标准</w:t>
      </w:r>
      <w:r>
        <w:rPr>
          <w:rFonts w:hint="default" w:ascii="Times New Roman" w:hAnsi="Times New Roman" w:eastAsia="仿宋_GB2312" w:cs="Times New Roman"/>
          <w:kern w:val="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firstLine="643" w:firstLineChars="200"/>
        <w:jc w:val="both"/>
        <w:textAlignment w:val="auto"/>
        <w:rPr>
          <w:rFonts w:hint="default" w:ascii="Times New Roman" w:hAnsi="Times New Roman" w:eastAsia="仿宋_GB2312" w:cs="Times New Roman"/>
          <w:kern w:val="2"/>
          <w:sz w:val="32"/>
          <w:szCs w:val="32"/>
          <w:lang w:eastAsia="zh-CN"/>
        </w:rPr>
      </w:pPr>
      <w:r>
        <w:rPr>
          <w:rFonts w:hint="default" w:ascii="Times New Roman" w:hAnsi="Times New Roman" w:eastAsia="楷体_GB2312" w:cs="Times New Roman"/>
          <w:b/>
          <w:bCs/>
          <w:i w:val="0"/>
          <w:iCs w:val="0"/>
          <w:caps w:val="0"/>
          <w:color w:val="000000"/>
          <w:spacing w:val="0"/>
          <w:kern w:val="0"/>
          <w:sz w:val="32"/>
          <w:szCs w:val="32"/>
          <w:shd w:val="clear" w:color="auto" w:fill="FFFFFF"/>
          <w:lang w:val="en-US" w:eastAsia="zh-CN" w:bidi="ar"/>
        </w:rPr>
        <w:t>三是工作职责。</w:t>
      </w:r>
      <w:r>
        <w:rPr>
          <w:rFonts w:hint="default" w:ascii="Times New Roman" w:hAnsi="Times New Roman" w:eastAsia="仿宋_GB2312" w:cs="Times New Roman"/>
          <w:kern w:val="2"/>
          <w:sz w:val="32"/>
          <w:szCs w:val="32"/>
          <w:lang w:eastAsia="zh-CN"/>
        </w:rPr>
        <w:t>明确各单位工作职责。</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color w:val="auto"/>
          <w:kern w:val="2"/>
          <w:sz w:val="32"/>
          <w:szCs w:val="32"/>
          <w:u w:val="none"/>
          <w:lang w:val="en-US" w:eastAsia="zh-CN"/>
        </w:rPr>
      </w:pPr>
      <w:r>
        <w:rPr>
          <w:rFonts w:hint="default" w:ascii="Times New Roman" w:hAnsi="Times New Roman" w:eastAsia="楷体_GB2312" w:cs="Times New Roman"/>
          <w:b/>
          <w:bCs/>
          <w:i w:val="0"/>
          <w:iCs w:val="0"/>
          <w:caps w:val="0"/>
          <w:color w:val="000000"/>
          <w:spacing w:val="0"/>
          <w:kern w:val="0"/>
          <w:sz w:val="32"/>
          <w:szCs w:val="32"/>
          <w:shd w:val="clear" w:color="auto" w:fill="FFFFFF"/>
          <w:lang w:val="en-US" w:eastAsia="zh-CN" w:bidi="ar"/>
        </w:rPr>
        <w:t>四是奖励标准。</w:t>
      </w:r>
      <w:r>
        <w:rPr>
          <w:rFonts w:hint="default" w:ascii="Times New Roman" w:hAnsi="Times New Roman" w:eastAsia="仿宋_GB2312" w:cs="Times New Roman"/>
          <w:color w:val="auto"/>
          <w:kern w:val="2"/>
          <w:sz w:val="32"/>
          <w:szCs w:val="32"/>
          <w:u w:val="none"/>
          <w:lang w:eastAsia="zh-CN"/>
        </w:rPr>
        <w:t>新企业（企业于</w:t>
      </w:r>
      <w:r>
        <w:rPr>
          <w:rFonts w:hint="default" w:ascii="Times New Roman" w:hAnsi="Times New Roman" w:eastAsia="仿宋_GB2312" w:cs="Times New Roman"/>
          <w:color w:val="auto"/>
          <w:kern w:val="2"/>
          <w:sz w:val="32"/>
          <w:szCs w:val="32"/>
          <w:u w:val="none"/>
          <w:lang w:val="en-US" w:eastAsia="zh-CN"/>
        </w:rPr>
        <w:t>2022年10月以后注册</w:t>
      </w:r>
      <w:r>
        <w:rPr>
          <w:rFonts w:hint="default" w:ascii="Times New Roman" w:hAnsi="Times New Roman" w:eastAsia="仿宋_GB2312" w:cs="Times New Roman"/>
          <w:color w:val="auto"/>
          <w:kern w:val="2"/>
          <w:sz w:val="32"/>
          <w:szCs w:val="32"/>
          <w:u w:val="none"/>
          <w:lang w:eastAsia="zh-CN"/>
        </w:rPr>
        <w:t>）纳统的，给予一户</w:t>
      </w:r>
      <w:r>
        <w:rPr>
          <w:rFonts w:hint="default" w:ascii="Times New Roman" w:hAnsi="Times New Roman" w:eastAsia="仿宋_GB2312" w:cs="Times New Roman"/>
          <w:color w:val="auto"/>
          <w:kern w:val="2"/>
          <w:sz w:val="32"/>
          <w:szCs w:val="32"/>
          <w:u w:val="none"/>
          <w:lang w:val="en-US" w:eastAsia="zh-CN"/>
        </w:rPr>
        <w:t>1万元培育工作经费；老企业（企业于2022年10月以前注册）纳统的，给予一户5000元培育工作经费，个体工商户给予一户2000元培育工作经费。</w:t>
      </w: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jc w:val="both"/>
        <w:textAlignment w:val="auto"/>
        <w:rPr>
          <w:rFonts w:hint="default" w:ascii="Times New Roman" w:hAnsi="Times New Roman" w:eastAsia="仿宋_GB2312" w:cs="Times New Roman"/>
          <w:color w:val="auto"/>
          <w:kern w:val="2"/>
          <w:sz w:val="32"/>
          <w:szCs w:val="32"/>
          <w:u w:val="none"/>
          <w:lang w:val="en-US" w:eastAsia="zh-CN"/>
        </w:rPr>
      </w:pPr>
      <w:r>
        <w:rPr>
          <w:rFonts w:hint="default" w:ascii="Times New Roman" w:hAnsi="Times New Roman" w:eastAsia="楷体_GB2312" w:cs="Times New Roman"/>
          <w:b/>
          <w:bCs/>
          <w:i w:val="0"/>
          <w:iCs w:val="0"/>
          <w:caps w:val="0"/>
          <w:color w:val="000000"/>
          <w:spacing w:val="0"/>
          <w:kern w:val="0"/>
          <w:sz w:val="32"/>
          <w:szCs w:val="32"/>
          <w:shd w:val="clear" w:color="auto" w:fill="FFFFFF"/>
          <w:lang w:val="en-US" w:eastAsia="zh-CN" w:bidi="ar"/>
        </w:rPr>
        <w:t>五是监督管理。</w:t>
      </w:r>
      <w:r>
        <w:rPr>
          <w:rFonts w:hint="default" w:ascii="Times New Roman" w:hAnsi="Times New Roman" w:eastAsia="仿宋_GB2312" w:cs="Times New Roman"/>
          <w:color w:val="auto"/>
          <w:kern w:val="2"/>
          <w:sz w:val="32"/>
          <w:szCs w:val="32"/>
          <w:u w:val="none"/>
          <w:lang w:val="en-US" w:eastAsia="zh-CN"/>
        </w:rPr>
        <w:t>规定了激励资金的申报、评估、认定和监督管理。</w:t>
      </w:r>
    </w:p>
    <w:p>
      <w:pPr>
        <w:pStyle w:val="8"/>
        <w:spacing w:beforeAutospacing="0" w:afterAutospacing="0" w:line="576" w:lineRule="exact"/>
        <w:ind w:firstLine="643" w:firstLineChars="200"/>
        <w:rPr>
          <w:rFonts w:hint="default" w:ascii="Times New Roman" w:hAnsi="Times New Roman" w:eastAsia="仿宋_GB2312" w:cs="Times New Roman"/>
          <w:color w:val="auto"/>
          <w:kern w:val="2"/>
          <w:sz w:val="32"/>
          <w:szCs w:val="32"/>
        </w:rPr>
      </w:pPr>
      <w:r>
        <w:rPr>
          <w:rFonts w:hint="default" w:ascii="Times New Roman" w:hAnsi="Times New Roman" w:eastAsia="楷体_GB2312" w:cs="Times New Roman"/>
          <w:b/>
          <w:bCs/>
          <w:i w:val="0"/>
          <w:iCs w:val="0"/>
          <w:caps w:val="0"/>
          <w:color w:val="000000"/>
          <w:spacing w:val="0"/>
          <w:kern w:val="0"/>
          <w:sz w:val="32"/>
          <w:szCs w:val="32"/>
          <w:shd w:val="clear" w:color="auto" w:fill="FFFFFF"/>
          <w:lang w:val="en-US" w:eastAsia="zh-CN" w:bidi="ar"/>
        </w:rPr>
        <w:t>六是附则。</w:t>
      </w:r>
      <w:r>
        <w:rPr>
          <w:rFonts w:hint="default" w:ascii="Times New Roman" w:hAnsi="Times New Roman" w:eastAsia="仿宋_GB2312" w:cs="Times New Roman"/>
          <w:color w:val="auto"/>
          <w:kern w:val="2"/>
          <w:sz w:val="32"/>
          <w:szCs w:val="32"/>
        </w:rPr>
        <w:t>有效期至2023年12月31日</w:t>
      </w:r>
      <w:r>
        <w:rPr>
          <w:rFonts w:hint="default" w:ascii="Times New Roman" w:hAnsi="Times New Roman" w:eastAsia="仿宋_GB2312" w:cs="Times New Roman"/>
          <w:color w:val="auto"/>
          <w:kern w:val="2"/>
          <w:sz w:val="32"/>
          <w:szCs w:val="32"/>
          <w:lang w:eastAsia="zh-CN"/>
        </w:rPr>
        <w:t>，由区</w:t>
      </w:r>
      <w:r>
        <w:rPr>
          <w:rFonts w:hint="default" w:ascii="Times New Roman" w:hAnsi="Times New Roman" w:eastAsia="仿宋_GB2312" w:cs="Times New Roman"/>
          <w:color w:val="auto"/>
          <w:kern w:val="2"/>
          <w:sz w:val="32"/>
          <w:szCs w:val="32"/>
        </w:rPr>
        <w:t>商务局、</w:t>
      </w:r>
      <w:r>
        <w:rPr>
          <w:rFonts w:hint="default" w:ascii="Times New Roman" w:hAnsi="Times New Roman" w:eastAsia="仿宋_GB2312" w:cs="Times New Roman"/>
          <w:color w:val="auto"/>
          <w:kern w:val="2"/>
          <w:sz w:val="32"/>
          <w:szCs w:val="32"/>
          <w:lang w:eastAsia="zh-CN"/>
        </w:rPr>
        <w:t>区</w:t>
      </w:r>
      <w:r>
        <w:rPr>
          <w:rFonts w:hint="default" w:ascii="Times New Roman" w:hAnsi="Times New Roman" w:eastAsia="仿宋_GB2312" w:cs="Times New Roman"/>
          <w:color w:val="auto"/>
          <w:kern w:val="2"/>
          <w:sz w:val="32"/>
          <w:szCs w:val="32"/>
        </w:rPr>
        <w:t>统计局负责解释。</w:t>
      </w:r>
    </w:p>
    <w:p>
      <w:pPr>
        <w:spacing w:line="576" w:lineRule="exact"/>
        <w:ind w:firstLine="640" w:firstLineChars="200"/>
        <w:rPr>
          <w:rFonts w:hint="eastAsia" w:eastAsia="黑体"/>
          <w:color w:val="000000"/>
          <w:kern w:val="0"/>
          <w:sz w:val="32"/>
          <w:szCs w:val="32"/>
          <w:shd w:val="clear" w:color="auto" w:fill="FFFFFF"/>
          <w:lang w:val="en-US" w:eastAsia="zh-CN"/>
        </w:rPr>
      </w:pPr>
      <w:r>
        <w:rPr>
          <w:rFonts w:hint="eastAsia" w:eastAsia="黑体"/>
          <w:color w:val="000000"/>
          <w:kern w:val="0"/>
          <w:sz w:val="32"/>
          <w:szCs w:val="32"/>
          <w:shd w:val="clear" w:color="auto" w:fill="FFFFFF"/>
          <w:lang w:val="en-US" w:eastAsia="zh-CN"/>
        </w:rPr>
        <w:t>五、其他需要说明的问题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pP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无。</w:t>
      </w:r>
    </w:p>
    <w:p>
      <w:pPr>
        <w:pStyle w:val="2"/>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pPr>
    </w:p>
    <w:p>
      <w:pP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pPr>
    </w:p>
    <w:p>
      <w:pPr>
        <w:pStyle w:val="2"/>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pPr>
    </w:p>
    <w:p>
      <w:pP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pPr>
    </w:p>
    <w:p>
      <w:pPr>
        <w:pStyle w:val="2"/>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pP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6"/>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1F63FF"/>
    <w:multiLevelType w:val="singleLevel"/>
    <w:tmpl w:val="231F63FF"/>
    <w:lvl w:ilvl="0" w:tentative="0">
      <w:start w:val="1"/>
      <w:numFmt w:val="bullet"/>
      <w:pStyle w:val="5"/>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MwNjQ0OWMzMmVjMTdjYmU1MmJhMmQzNGYzZjE4NTEifQ=="/>
  </w:docVars>
  <w:rsids>
    <w:rsidRoot w:val="00197AD9"/>
    <w:rsid w:val="000D7A02"/>
    <w:rsid w:val="00197AD9"/>
    <w:rsid w:val="00404262"/>
    <w:rsid w:val="004F6D5E"/>
    <w:rsid w:val="005B4467"/>
    <w:rsid w:val="00720E01"/>
    <w:rsid w:val="007273A0"/>
    <w:rsid w:val="00874A36"/>
    <w:rsid w:val="009D59F5"/>
    <w:rsid w:val="00A50625"/>
    <w:rsid w:val="00B95634"/>
    <w:rsid w:val="00BB2B14"/>
    <w:rsid w:val="00C12E16"/>
    <w:rsid w:val="00DE3241"/>
    <w:rsid w:val="00F77C46"/>
    <w:rsid w:val="014852B3"/>
    <w:rsid w:val="060C4B01"/>
    <w:rsid w:val="098B0432"/>
    <w:rsid w:val="0A99092D"/>
    <w:rsid w:val="0D6671EC"/>
    <w:rsid w:val="0E806277"/>
    <w:rsid w:val="0FFF3661"/>
    <w:rsid w:val="1B91298E"/>
    <w:rsid w:val="1EA27958"/>
    <w:rsid w:val="22AC524A"/>
    <w:rsid w:val="2DDA4F32"/>
    <w:rsid w:val="347F0D3E"/>
    <w:rsid w:val="36745C27"/>
    <w:rsid w:val="3D142E25"/>
    <w:rsid w:val="46AF05B5"/>
    <w:rsid w:val="46FD587F"/>
    <w:rsid w:val="54B50945"/>
    <w:rsid w:val="59C26B25"/>
    <w:rsid w:val="5C677510"/>
    <w:rsid w:val="5C9C18B0"/>
    <w:rsid w:val="5E391380"/>
    <w:rsid w:val="6F241BCC"/>
    <w:rsid w:val="7D8C4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w:basedOn w:val="1"/>
    <w:next w:val="5"/>
    <w:qFormat/>
    <w:uiPriority w:val="99"/>
    <w:pPr>
      <w:spacing w:line="360" w:lineRule="auto"/>
    </w:pPr>
    <w:rPr>
      <w:sz w:val="24"/>
      <w:szCs w:val="20"/>
    </w:rPr>
  </w:style>
  <w:style w:type="paragraph" w:styleId="5">
    <w:name w:val="List Bullet 5"/>
    <w:basedOn w:val="1"/>
    <w:qFormat/>
    <w:uiPriority w:val="0"/>
    <w:pPr>
      <w:numPr>
        <w:ilvl w:val="0"/>
        <w:numId w:val="1"/>
      </w:numPr>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Autospacing="1"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1501</Words>
  <Characters>1556</Characters>
  <Lines>11</Lines>
  <Paragraphs>3</Paragraphs>
  <TotalTime>2</TotalTime>
  <ScaleCrop>false</ScaleCrop>
  <LinksUpToDate>false</LinksUpToDate>
  <CharactersWithSpaces>1563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2022-08-01T09:03:00Z</dcterms:created>
  <dc:creator>Administrator</dc:creator>
  <cp:lastModifiedBy>.</cp:lastModifiedBy>
  <dcterms:modified xsi:type="dcterms:W3CDTF">2023-10-25T02:51:35Z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7C6BC1065850457786FBAD632B9FCBA2</vt:lpwstr>
  </property>
</Properties>
</file>