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仿宋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" w:cs="Times New Roman"/>
          <w:color w:val="auto"/>
          <w:sz w:val="44"/>
          <w:szCs w:val="44"/>
          <w:lang w:val="en-US" w:eastAsia="zh-CN"/>
        </w:rPr>
        <w:t>杜集区残联绩效自评项目清单</w:t>
      </w:r>
    </w:p>
    <w:p>
      <w:pPr>
        <w:widowControl/>
        <w:jc w:val="both"/>
        <w:rPr>
          <w:rFonts w:hint="eastAsia" w:ascii="仿宋_GB2312" w:hAnsi="仿宋" w:cs="Times New Roman"/>
          <w:color w:val="auto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1"/>
        </w:numPr>
        <w:jc w:val="both"/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  <w:t>残疾人康复</w:t>
      </w:r>
    </w:p>
    <w:p>
      <w:pPr>
        <w:widowControl/>
        <w:numPr>
          <w:ilvl w:val="0"/>
          <w:numId w:val="1"/>
        </w:numPr>
        <w:jc w:val="both"/>
        <w:rPr>
          <w:rFonts w:hint="default" w:ascii="仿宋_GB2312" w:hAnsi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  <w:t>残疾人就业</w:t>
      </w:r>
    </w:p>
    <w:p>
      <w:pPr>
        <w:widowControl/>
        <w:numPr>
          <w:ilvl w:val="0"/>
          <w:numId w:val="1"/>
        </w:numPr>
        <w:jc w:val="both"/>
        <w:rPr>
          <w:rFonts w:hint="default" w:ascii="仿宋_GB2312" w:hAnsi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  <w:t>其他残疾人事业支出</w:t>
      </w:r>
    </w:p>
    <w:p>
      <w:pPr>
        <w:widowControl/>
        <w:numPr>
          <w:ilvl w:val="0"/>
          <w:numId w:val="0"/>
        </w:numPr>
        <w:jc w:val="both"/>
        <w:rPr>
          <w:rFonts w:hint="default" w:ascii="仿宋_GB2312" w:hAnsi="仿宋" w:cs="Times New Roman"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690" w:tblpY="237"/>
        <w:tblOverlap w:val="never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</w:tbl>
    <w:tbl>
      <w:tblPr>
        <w:tblStyle w:val="5"/>
        <w:tblpPr w:leftFromText="180" w:rightFromText="180" w:vertAnchor="text" w:horzAnchor="page" w:tblpX="1630" w:tblpY="1062"/>
        <w:tblOverlap w:val="never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2022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残疾人康复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为残疾人提供康复服务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完成残疾人康复服务项目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救助人数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打卡到位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每人15000元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减轻残疾人压力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促进残疾人事业发展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影响较小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促进可持续发展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残疾人满意度达95%上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2022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残疾人就业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为残疾人提供就业创业服务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为残疾人提供就业创业服务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救助人数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资金到位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45万元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合理使用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提高残疾人生活水平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促进残疾人事业发展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影响较小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促进可持续发展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残疾人满意度达95%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2022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其他残疾人事业支出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杜集区残联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3580274.23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3580274.23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3580274.23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3580274.23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3580274.23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3580274.23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为残疾人提供补助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为残疾人提供补助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项目完成到位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到位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资金到位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本年内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上级资金使用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全部使用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全部使用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对残疾人是否有补助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关心、理解、支持残疾人的社会氛围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对环境影响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较小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较小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是否可持续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残疾人及其家属对残疾人服务的满意度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45"/>
          <w:sz w:val="44"/>
          <w:szCs w:val="44"/>
          <w:lang w:eastAsia="zh-CN"/>
        </w:rPr>
        <w:t>杜集区残联</w:t>
      </w: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</w:rPr>
        <w:t>项目支出绩效评价</w:t>
      </w: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eastAsia="zh-CN"/>
        </w:rPr>
        <w:t>报告</w:t>
      </w:r>
    </w:p>
    <w:p>
      <w:pPr>
        <w:pStyle w:val="3"/>
        <w:spacing w:before="4"/>
        <w:rPr>
          <w:sz w:val="19"/>
        </w:rPr>
      </w:pPr>
    </w:p>
    <w:p>
      <w:pPr>
        <w:pStyle w:val="3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一、项目基本情况</w:t>
      </w:r>
    </w:p>
    <w:p>
      <w:pPr>
        <w:pStyle w:val="3"/>
        <w:spacing w:before="149" w:line="326" w:lineRule="auto"/>
        <w:ind w:left="106" w:right="109" w:firstLine="645"/>
        <w:rPr>
          <w:spacing w:val="4"/>
          <w:w w:val="95"/>
        </w:rPr>
      </w:pPr>
      <w:r>
        <w:rPr>
          <w:spacing w:val="7"/>
          <w:w w:val="95"/>
        </w:rPr>
        <w:t>（一</w:t>
      </w:r>
      <w:r>
        <w:rPr>
          <w:spacing w:val="5"/>
          <w:w w:val="95"/>
        </w:rPr>
        <w:t>）</w:t>
      </w:r>
      <w:r>
        <w:rPr>
          <w:spacing w:val="4"/>
          <w:w w:val="95"/>
        </w:rPr>
        <w:t>项目概况。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残疾儿童康复救助项目。省政府分配民生工程任务50人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残疾儿童辅具、矫形器适配。省政府分配任务9人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困难精神残疾人药费补助。分配任务400人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落实省、市残联扶持残疾人就业创业实施方案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举办特色培训班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组织残疾人参加就业援助月、暖风行动和线上招聘等活动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"/>
        <w:ind w:firstLine="640" w:firstLineChars="200"/>
        <w:textAlignment w:val="auto"/>
      </w:pPr>
      <w:r>
        <w:t>项目绩效目标。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入学习贯彻习近平新时代中国特色社会主义思想，全力加强自身建设，全面完成残疾人基层基本公共服务建设，加大残疾人创业就业扶持力度，扎实开展残疾人精准康复服务工作，助推残疾人精准脱贫取得全面胜利，进一步推进残疾人脱贫、教育、宣传、文体、信访维权等工作，力争我区残疾人事业再上新台阶。全面准确完成省、市分配任务指标，使得项目资金使用规范合理，项目实施达到预期目标，通过项目实施使得残疾人生存状况得到改善，残疾人满意度得到提升。</w:t>
      </w:r>
    </w:p>
    <w:p>
      <w:pPr>
        <w:pStyle w:val="3"/>
        <w:spacing w:before="149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二、绩效评价工作开展情况</w:t>
      </w:r>
    </w:p>
    <w:p>
      <w:pPr>
        <w:pStyle w:val="3"/>
        <w:spacing w:before="149" w:line="326" w:lineRule="auto"/>
        <w:ind w:left="106" w:right="109" w:firstLine="645"/>
      </w:pPr>
      <w:r>
        <w:t>（一）绩效评价目的、对象和范围。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为贯彻落实全面实施绩效管理，将绩效理念和方法深度融入预算编制、执行、监督全过程，实现预算和绩效管理一体化，不断提高财政资金使用效益。</w:t>
      </w:r>
    </w:p>
    <w:p>
      <w:pPr>
        <w:pStyle w:val="3"/>
        <w:spacing w:before="149"/>
        <w:ind w:left="751"/>
      </w:pPr>
      <w:r>
        <w:rPr>
          <w:rFonts w:hint="eastAsia"/>
          <w:szCs w:val="21"/>
          <w:lang w:eastAsia="zh-CN"/>
        </w:rPr>
        <w:t>本次对象为我单位全部项目。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t>（二</w:t>
      </w:r>
      <w:r>
        <w:rPr>
          <w:spacing w:val="-5"/>
        </w:rPr>
        <w:t>）</w:t>
      </w:r>
      <w:r>
        <w:rPr>
          <w:spacing w:val="-2"/>
        </w:rPr>
        <w:t>绩效评价原则、评价指标体系</w:t>
      </w:r>
      <w:r>
        <w:t>（附表说明</w:t>
      </w:r>
      <w:r>
        <w:rPr>
          <w:spacing w:val="-159"/>
        </w:rPr>
        <w:t>）</w:t>
      </w:r>
      <w:r>
        <w:rPr>
          <w:spacing w:val="-2"/>
        </w:rPr>
        <w:t>、评价方法、评价</w:t>
      </w:r>
      <w:r>
        <w:rPr>
          <w:rFonts w:ascii="Times New Roman" w:hAnsi="Times New Roman" w:eastAsia="仿宋_GB2312" w:cs="Times New Roman"/>
          <w:sz w:val="32"/>
          <w:szCs w:val="32"/>
        </w:rPr>
        <w:t>标准等。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1.产出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分。评定等级标准为优≧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7分、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4≦良＜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7分，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0≦中＜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4分、差＜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0分。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2、效益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分。评定等级标准为优≧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8≦良＜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2≦中＜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8分、差＜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3、满意度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分。评定等级标准为优≧30分、24≦良＜30分，18≦中＜24分、差＜18分</w:t>
      </w:r>
    </w:p>
    <w:p>
      <w:pPr>
        <w:pStyle w:val="3"/>
        <w:spacing w:before="3"/>
        <w:ind w:left="751"/>
      </w:pPr>
      <w:r>
        <w:t>（三）绩效评价工作过程。</w:t>
      </w:r>
    </w:p>
    <w:p>
      <w:pPr>
        <w:pStyle w:val="3"/>
        <w:spacing w:before="151" w:line="326" w:lineRule="auto"/>
        <w:ind w:left="751" w:right="1534"/>
      </w:pPr>
      <w:r>
        <w:rPr>
          <w:rFonts w:hint="eastAsia" w:ascii="黑体" w:eastAsia="黑体"/>
        </w:rPr>
        <w:t>三、综合评价情况及评价结论</w:t>
      </w:r>
      <w:r>
        <w:t>（附相关评分表）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综合评价为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100分，见附表。</w:t>
      </w:r>
    </w:p>
    <w:p>
      <w:pPr>
        <w:pStyle w:val="3"/>
        <w:spacing w:before="151" w:line="326" w:lineRule="auto"/>
        <w:ind w:left="751" w:right="1534"/>
      </w:pPr>
      <w:r>
        <w:rPr>
          <w:rFonts w:hint="eastAsia" w:ascii="黑体" w:eastAsia="黑体"/>
        </w:rPr>
        <w:t>四、绩效评价指标分析</w:t>
      </w:r>
      <w:r>
        <w:t>（可附表进行分析）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产出</w:t>
      </w:r>
      <w:r>
        <w:rPr>
          <w:rFonts w:ascii="Times New Roman" w:hAnsi="Times New Roman" w:eastAsia="仿宋_GB2312" w:cs="Times New Roman"/>
          <w:sz w:val="32"/>
          <w:szCs w:val="32"/>
        </w:rPr>
        <w:t>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数量指标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20分，质量指标10分，时效指标10分，成本指标10分。自评合计50分，评定等级为“优”。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效益</w:t>
      </w:r>
      <w:r>
        <w:rPr>
          <w:rFonts w:ascii="Times New Roman" w:hAnsi="Times New Roman" w:eastAsia="仿宋_GB2312" w:cs="Times New Roman"/>
          <w:sz w:val="32"/>
          <w:szCs w:val="32"/>
        </w:rPr>
        <w:t>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经济效益指标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社会效益指标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生态效益指标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可持续影响指标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10分。自评合计40分，评定等级为“优”。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327" w:lineRule="auto"/>
        <w:ind w:left="108" w:right="108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 w:cs="Times New Roman"/>
          <w:sz w:val="32"/>
          <w:szCs w:val="32"/>
        </w:rPr>
        <w:t>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满意度指标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10分。自评合计10分，评定等级为“优”。</w:t>
      </w:r>
    </w:p>
    <w:p>
      <w:pPr>
        <w:pStyle w:val="3"/>
        <w:spacing w:before="151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五、主要经验及做法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  <w:t>完善部门预算绩效管理工作领导小组，负责组织、协调评价考核相关工作。高度重视项目管理工作，明确预算项目执行时间表，切实加快预算执行进度。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 w:firstLineChars="200"/>
        <w:jc w:val="left"/>
        <w:rPr>
          <w:rFonts w:hint="eastAsia" w:ascii="黑体" w:hAnsi="仿宋_GB2312" w:eastAsia="黑体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kern w:val="2"/>
          <w:sz w:val="32"/>
          <w:szCs w:val="32"/>
          <w:lang w:val="zh-CN" w:eastAsia="zh-CN" w:bidi="zh-CN"/>
        </w:rPr>
        <w:t>六、存在问题及原因分析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  <w:t>1.绩效管理体系需要逐渐健全。绩效管理是一个完整系统，由绩效计划、绩效实施、绩效考核、绩效反馈四部分组成，四者紧密相连，缺一不可，但从目前管理现状看，绩效管理的整体性上还有差距，管理体系需要进一步健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  <w:t>2.对现行的预算绩效管理不适应。随着财政改革步伐的推进，预算绩效管理在财政改革中的地位与角色更加凸显，而当前绩效管理没有成熟模式，绩效管理人员缺乏专业知识和相应的工作经验，容易在绩效管理工作中产生各种错误，导致绩效管理结果出现偏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21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zh-CN"/>
        </w:rPr>
        <w:t>3.部门预算编制的科学化、精细化有待提高。目前，部门预算编制要求功能科目细化到项级，经济科目细化到款级，但在实际编制过程中，由于有的预算支出项目具有预测性和不确定性等特点，造成实际支出与预算编制不符，需要对预算进行调整或年末结转数额过大。</w:t>
      </w:r>
    </w:p>
    <w:p>
      <w:pPr>
        <w:pStyle w:val="3"/>
        <w:spacing w:before="149" w:line="326" w:lineRule="auto"/>
        <w:ind w:left="751" w:right="4733"/>
        <w:rPr>
          <w:rFonts w:hint="eastAsia" w:ascii="黑体" w:eastAsia="黑体"/>
        </w:rPr>
      </w:pPr>
      <w:r>
        <w:rPr>
          <w:rFonts w:hint="eastAsia" w:ascii="黑体" w:eastAsia="黑体"/>
        </w:rPr>
        <w:t>七、有关建议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（一）加强预算管理，确保项目的科学性。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在编制年度预算时，在进行调查研究的基础上，充分论证项目立项的必要性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绩效目标合理性，确保项目具有可操作性，项目实施达到预期效果，发挥最大效益。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（二）细化项目管理，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做好各项目支出绩效目标执行中的控制管理，建好控制台账，确保资金对应绩效目标执行，强化项目推进过程的管理，确保项目按计划推进。</w:t>
      </w:r>
    </w:p>
    <w:p>
      <w:pPr>
        <w:pStyle w:val="3"/>
        <w:spacing w:before="6" w:line="326" w:lineRule="auto"/>
        <w:ind w:left="106" w:right="109" w:firstLine="645"/>
        <w:jc w:val="both"/>
        <w:rPr>
          <w:spacing w:val="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（三）严格人员管理，提高绩效目标管理水平。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加强财务人员培训，不断提高业务能力，确保预算指标执行过程不交叉，不断提高绩效目标管理水平。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ascii="黑体"/>
        </w:rPr>
      </w:pPr>
      <w:r>
        <w:rPr>
          <w:rFonts w:hint="eastAsia" w:ascii="黑体" w:eastAsia="黑体"/>
          <w:w w:val="95"/>
        </w:rPr>
        <w:t>八、其他需要说明的问题</w:t>
      </w:r>
    </w:p>
    <w:p>
      <w:pPr>
        <w:pStyle w:val="3"/>
        <w:spacing w:before="6"/>
        <w:rPr>
          <w:rFonts w:ascii="黑体"/>
          <w:sz w:val="23"/>
        </w:rPr>
      </w:pPr>
    </w:p>
    <w:p>
      <w:pPr>
        <w:pStyle w:val="3"/>
        <w:spacing w:before="1"/>
        <w:ind w:left="751"/>
        <w:rPr>
          <w:sz w:val="32"/>
        </w:rPr>
      </w:pPr>
      <w:r>
        <w:rPr>
          <w:w w:val="95"/>
        </w:rPr>
        <w:t>附：</w:t>
      </w:r>
      <w:r>
        <w:rPr>
          <w:rFonts w:hint="eastAsia"/>
          <w:w w:val="95"/>
          <w:lang w:val="en-US" w:eastAsia="zh-CN"/>
        </w:rPr>
        <w:t>1.</w:t>
      </w:r>
      <w:r>
        <w:rPr>
          <w:rFonts w:hint="eastAsia"/>
          <w:sz w:val="32"/>
          <w:lang w:eastAsia="zh-CN"/>
        </w:rPr>
        <w:t>杜集区残联</w:t>
      </w:r>
      <w:r>
        <w:rPr>
          <w:sz w:val="32"/>
        </w:rPr>
        <w:t>项目绩效目标完成清单（</w:t>
      </w:r>
      <w:r>
        <w:rPr>
          <w:spacing w:val="-23"/>
          <w:sz w:val="32"/>
        </w:rPr>
        <w:t xml:space="preserve">见附表 </w:t>
      </w:r>
      <w:r>
        <w:rPr>
          <w:rFonts w:hint="eastAsia"/>
          <w:spacing w:val="-23"/>
          <w:sz w:val="32"/>
          <w:lang w:val="en-US" w:eastAsia="zh-CN"/>
        </w:rPr>
        <w:t>4-</w:t>
      </w:r>
      <w:r>
        <w:rPr>
          <w:sz w:val="32"/>
        </w:rPr>
        <w:t>1）</w:t>
      </w:r>
    </w:p>
    <w:p>
      <w:pPr>
        <w:pStyle w:val="7"/>
        <w:numPr>
          <w:ilvl w:val="1"/>
          <w:numId w:val="3"/>
        </w:numPr>
        <w:tabs>
          <w:tab w:val="left" w:pos="1715"/>
        </w:tabs>
        <w:spacing w:before="149" w:after="0" w:line="240" w:lineRule="auto"/>
        <w:ind w:left="1714" w:right="0" w:hanging="323"/>
        <w:jc w:val="left"/>
        <w:rPr>
          <w:sz w:val="32"/>
        </w:rPr>
      </w:pPr>
      <w:r>
        <w:rPr>
          <w:rFonts w:hint="eastAsia"/>
          <w:sz w:val="32"/>
          <w:lang w:eastAsia="zh-CN"/>
        </w:rPr>
        <w:t>杜集区残联</w:t>
      </w:r>
      <w:r>
        <w:rPr>
          <w:sz w:val="32"/>
        </w:rPr>
        <w:t>项目绩效评价问题清单（</w:t>
      </w:r>
      <w:r>
        <w:rPr>
          <w:spacing w:val="-23"/>
          <w:sz w:val="32"/>
        </w:rPr>
        <w:t>见附表</w:t>
      </w:r>
      <w:r>
        <w:rPr>
          <w:rFonts w:hint="eastAsia"/>
          <w:spacing w:val="-23"/>
          <w:sz w:val="32"/>
          <w:lang w:val="en-US" w:eastAsia="zh-CN"/>
        </w:rPr>
        <w:t>4-</w:t>
      </w:r>
      <w:r>
        <w:rPr>
          <w:sz w:val="32"/>
        </w:rPr>
        <w:t>2）</w:t>
      </w:r>
    </w:p>
    <w:p>
      <w:pPr>
        <w:pStyle w:val="7"/>
        <w:numPr>
          <w:ilvl w:val="1"/>
          <w:numId w:val="3"/>
        </w:numPr>
        <w:tabs>
          <w:tab w:val="left" w:pos="1715"/>
        </w:tabs>
        <w:spacing w:before="152" w:after="0" w:line="240" w:lineRule="auto"/>
        <w:ind w:left="1714" w:right="0" w:hanging="323"/>
        <w:jc w:val="left"/>
        <w:rPr>
          <w:sz w:val="32"/>
        </w:rPr>
      </w:pPr>
      <w:r>
        <w:rPr>
          <w:rFonts w:hint="eastAsia"/>
          <w:sz w:val="32"/>
          <w:lang w:eastAsia="zh-CN"/>
        </w:rPr>
        <w:t>杜集区残联</w:t>
      </w:r>
      <w:r>
        <w:rPr>
          <w:sz w:val="32"/>
        </w:rPr>
        <w:t>项目绩效评价评分情况表（</w:t>
      </w:r>
      <w:r>
        <w:rPr>
          <w:spacing w:val="-22"/>
          <w:sz w:val="32"/>
        </w:rPr>
        <w:t>见附表</w:t>
      </w:r>
      <w:r>
        <w:rPr>
          <w:rFonts w:hint="eastAsia"/>
          <w:spacing w:val="-22"/>
          <w:sz w:val="32"/>
          <w:lang w:val="en-US" w:eastAsia="zh-CN"/>
        </w:rPr>
        <w:t>4-</w:t>
      </w:r>
      <w:r>
        <w:rPr>
          <w:sz w:val="32"/>
        </w:rPr>
        <w:t>3）</w:t>
      </w:r>
    </w:p>
    <w:p>
      <w:pPr>
        <w:spacing w:after="0" w:line="240" w:lineRule="auto"/>
        <w:jc w:val="left"/>
        <w:rPr>
          <w:sz w:val="32"/>
        </w:rPr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  <w:rtlGutter w:val="0"/>
          <w:docGrid w:linePitch="1" w:charSpace="0"/>
        </w:sectPr>
      </w:pPr>
    </w:p>
    <w:p>
      <w:bookmarkStart w:id="0" w:name="1603附件3.pdf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/>
        <w:ind w:left="0" w:right="0" w:firstLine="0"/>
        <w:jc w:val="left"/>
        <w:textAlignment w:val="auto"/>
        <w:rPr>
          <w:rFonts w:ascii="黑体"/>
          <w:sz w:val="48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/>
          <w:sz w:val="32"/>
          <w:lang w:eastAsia="zh-CN"/>
        </w:rPr>
        <w:t>杜集区残联</w:t>
      </w:r>
      <w:r>
        <w:rPr>
          <w:rFonts w:hint="eastAsia" w:ascii="黑体" w:hAnsi="黑体" w:eastAsia="黑体" w:cs="黑体"/>
        </w:rPr>
        <w:t>项目绩效目标完成清单</w:t>
      </w:r>
    </w:p>
    <w:p>
      <w:pPr>
        <w:rPr>
          <w:rFonts w:hint="eastAsia" w:ascii="黑体" w:hAnsi="黑体" w:eastAsia="黑体" w:cs="黑体"/>
        </w:rPr>
      </w:pPr>
    </w:p>
    <w:tbl>
      <w:tblPr>
        <w:tblStyle w:val="5"/>
        <w:tblW w:w="13485" w:type="dxa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5262"/>
        <w:gridCol w:w="5625"/>
        <w:gridCol w:w="15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218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ind w:left="2131" w:right="2099"/>
              <w:jc w:val="center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绩效目标设定情况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ind w:left="2208" w:right="2176"/>
              <w:jc w:val="center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绩效目标完成情况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406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ind w:left="220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（一）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总体目标任务：</w:t>
            </w:r>
            <w:r>
              <w:rPr>
                <w:rFonts w:hint="eastAsia"/>
                <w:b/>
                <w:sz w:val="18"/>
              </w:rPr>
              <w:t>儿童救助人数50人，精神病药补400人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ind w:left="39"/>
              <w:rPr>
                <w:b/>
                <w:sz w:val="18"/>
              </w:rPr>
            </w:pPr>
          </w:p>
          <w:p>
            <w:pPr>
              <w:pStyle w:val="8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总体目标完成情况：</w:t>
            </w:r>
            <w:r>
              <w:rPr>
                <w:rFonts w:hint="eastAsia"/>
                <w:b/>
                <w:sz w:val="18"/>
                <w:lang w:eastAsia="zh-CN"/>
              </w:rPr>
              <w:t>儿童救助人数完成135人，精神病药补完成507人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儿童救助人数</w:t>
            </w:r>
            <w:r>
              <w:rPr>
                <w:rFonts w:hint="eastAsia"/>
                <w:sz w:val="18"/>
                <w:lang w:val="en-US" w:eastAsia="zh-CN"/>
              </w:rPr>
              <w:t>50人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儿童救助人数完成135人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精神病药补</w:t>
            </w:r>
            <w:r>
              <w:rPr>
                <w:rFonts w:hint="eastAsia" w:ascii="Times New Roman"/>
                <w:sz w:val="18"/>
                <w:lang w:val="en-US" w:eastAsia="zh-CN"/>
              </w:rPr>
              <w:t>400人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精神病药补完成507人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220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（二）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年度绩效目标：</w:t>
            </w:r>
            <w:r>
              <w:rPr>
                <w:rFonts w:hint="eastAsia"/>
                <w:b/>
                <w:sz w:val="18"/>
              </w:rPr>
              <w:t>儿童救助人数50人，精神病药补400人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年度绩效目标完成情况：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7" w:lef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儿童救助人数</w:t>
            </w:r>
            <w:r>
              <w:rPr>
                <w:rFonts w:hint="eastAsia"/>
                <w:sz w:val="18"/>
                <w:lang w:val="en-US" w:eastAsia="zh-CN"/>
              </w:rPr>
              <w:t>50人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9" w:lef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儿童救助人数完成135人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精神病药补</w:t>
            </w:r>
            <w:r>
              <w:rPr>
                <w:rFonts w:hint="eastAsia" w:ascii="Times New Roman"/>
                <w:sz w:val="18"/>
                <w:lang w:val="en-US" w:eastAsia="zh-CN"/>
              </w:rPr>
              <w:t>400人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精神病药补完成507人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8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noWrap w:val="0"/>
            <w:vAlign w:val="top"/>
          </w:tcPr>
          <w:p>
            <w:pPr>
              <w:pStyle w:val="8"/>
              <w:spacing w:before="16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2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eastAsia" w:ascii="黑体" w:hAnsi="黑体" w:eastAsia="黑体" w:cs="黑体"/>
        </w:rPr>
        <w:sectPr>
          <w:footerReference r:id="rId3" w:type="default"/>
          <w:pgSz w:w="16838" w:h="11911" w:orient="landscape"/>
          <w:pgMar w:top="1480" w:right="1582" w:bottom="1417" w:left="1582" w:header="0" w:footer="1383" w:gutter="0"/>
          <w:pgNumType w:fmt="numberInDash" w:start="15"/>
          <w:cols w:space="720" w:num="1"/>
          <w:rtlGutter w:val="0"/>
          <w:docGrid w:linePitch="1" w:charSpace="0"/>
        </w:sectPr>
      </w:pPr>
    </w:p>
    <w:p>
      <w:pPr>
        <w:pStyle w:val="3"/>
        <w:spacing w:before="5"/>
        <w:rPr>
          <w:rFonts w:ascii="宋体"/>
          <w:b/>
          <w:sz w:val="15"/>
        </w:rPr>
      </w:pPr>
    </w:p>
    <w:p>
      <w:pPr>
        <w:spacing w:before="40"/>
        <w:ind w:left="17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2</w:t>
      </w:r>
    </w:p>
    <w:p>
      <w:pPr>
        <w:pStyle w:val="3"/>
        <w:spacing w:before="3"/>
        <w:jc w:val="center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/>
          <w:sz w:val="32"/>
          <w:lang w:eastAsia="zh-CN"/>
        </w:rPr>
        <w:t>杜集区残联</w:t>
      </w:r>
      <w:r>
        <w:rPr>
          <w:rFonts w:hint="eastAsia" w:ascii="黑体" w:hAnsi="黑体" w:eastAsia="黑体" w:cs="黑体"/>
          <w:b/>
          <w:bCs/>
        </w:rPr>
        <w:t>项目绩效评价问题清</w:t>
      </w:r>
      <w:r>
        <w:rPr>
          <w:rFonts w:hint="eastAsia" w:ascii="黑体" w:hAnsi="黑体" w:eastAsia="黑体" w:cs="黑体"/>
          <w:b/>
          <w:bCs/>
          <w:lang w:eastAsia="zh-CN"/>
        </w:rPr>
        <w:t>单</w:t>
      </w:r>
    </w:p>
    <w:tbl>
      <w:tblPr>
        <w:tblStyle w:val="5"/>
        <w:tblW w:w="13957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560"/>
        <w:gridCol w:w="1965"/>
        <w:gridCol w:w="3465"/>
        <w:gridCol w:w="3510"/>
        <w:gridCol w:w="14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02" w:type="dxa"/>
            <w:noWrap w:val="0"/>
            <w:vAlign w:val="top"/>
          </w:tcPr>
          <w:p>
            <w:pPr>
              <w:pStyle w:val="8"/>
              <w:spacing w:before="83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问题分类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469" w:right="438"/>
              <w:jc w:val="both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spacing w:before="83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责任部门（单位）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spacing w:before="83"/>
              <w:ind w:left="1248" w:right="12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问题描述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spacing w:before="83"/>
              <w:ind w:left="1296" w:right="1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整改建议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spacing w:before="83"/>
              <w:ind w:left="510" w:right="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项目决策存在的问题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杜集区残联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包括项目立项</w:t>
            </w:r>
            <w:r>
              <w:rPr>
                <w:sz w:val="20"/>
                <w:szCs w:val="20"/>
              </w:rPr>
              <w:t>、绩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效目标设定、预算编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制和资金分配等）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资金管理存在的问题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（包括资金到位情况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、预算执行情况和资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金使用合规性等）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项目管理存在的问题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（包括项目过程管控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、监督问效、制度建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设及执行情况等）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项目产出存在的问题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（包括产出数量、产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出质量、产出时效、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产出成本等）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项目效益存在的问题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（包括经济效益、社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会效益、可持续影响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pStyle w:val="8"/>
              <w:spacing w:before="10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和满意度等）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002" w:type="dxa"/>
            <w:vMerge w:val="restart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 w:val="2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textAlignment w:val="auto"/>
              <w:rPr>
                <w:b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2"/>
              </w:rPr>
            </w:pPr>
            <w:r>
              <w:rPr>
                <w:sz w:val="20"/>
                <w:szCs w:val="20"/>
              </w:rPr>
              <w:t>其他问题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0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0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8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ectPr>
          <w:footerReference r:id="rId4" w:type="default"/>
          <w:pgSz w:w="16838" w:h="11911" w:orient="landscape"/>
          <w:pgMar w:top="1480" w:right="1582" w:bottom="1417" w:left="1582" w:header="0" w:footer="1383" w:gutter="0"/>
          <w:pgNumType w:fmt="numberInDash"/>
          <w:cols w:space="720" w:num="1"/>
          <w:rtlGutter w:val="0"/>
          <w:docGrid w:linePitch="315" w:charSpace="0"/>
        </w:sectPr>
      </w:pPr>
    </w:p>
    <w:p>
      <w:pPr>
        <w:spacing w:before="43"/>
        <w:ind w:left="454" w:right="0" w:firstLine="0"/>
        <w:jc w:val="left"/>
        <w:rPr>
          <w:rFonts w:ascii="黑体"/>
          <w:sz w:val="31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413" w:lineRule="auto"/>
        <w:ind w:left="0"/>
        <w:jc w:val="center"/>
        <w:textAlignment w:val="auto"/>
        <w:rPr>
          <w:rFonts w:ascii="宋体"/>
          <w:b/>
          <w:sz w:val="28"/>
        </w:rPr>
      </w:pPr>
      <w:r>
        <w:rPr>
          <w:rFonts w:hint="eastAsia"/>
          <w:sz w:val="32"/>
          <w:lang w:eastAsia="zh-CN"/>
        </w:rPr>
        <w:t>杜集区残联</w:t>
      </w:r>
      <w:r>
        <w:t>项目绩效评价评分情况表</w:t>
      </w:r>
    </w:p>
    <w:tbl>
      <w:tblPr>
        <w:tblStyle w:val="5"/>
        <w:tblW w:w="13972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75"/>
        <w:gridCol w:w="2205"/>
        <w:gridCol w:w="1230"/>
        <w:gridCol w:w="735"/>
        <w:gridCol w:w="6120"/>
        <w:gridCol w:w="1005"/>
        <w:gridCol w:w="8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spacing w:before="89" w:line="230" w:lineRule="auto"/>
              <w:ind w:left="371" w:right="336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spacing w:before="89" w:line="230" w:lineRule="auto"/>
              <w:ind w:left="386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spacing w:before="89" w:line="230" w:lineRule="auto"/>
              <w:ind w:left="351" w:right="315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标准分值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2796" w:right="27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评分情况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得分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扣分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产出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数量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救助人数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产出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质量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打卡到位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bookmarkStart w:id="1" w:name="_GoBack"/>
            <w:r>
              <w:rPr>
                <w:rFonts w:hint="eastAsia" w:ascii="Times New Roman"/>
                <w:sz w:val="26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产出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时效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2022年底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bookmarkEnd w:id="1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产出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成本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符合标准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效益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zh-CN" w:eastAsia="zh-CN" w:bidi="zh-CN"/>
              </w:rPr>
              <w:t>经济效益指标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  <w:t>减轻残疾人压力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效益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zh-CN" w:eastAsia="zh-CN" w:bidi="zh-CN"/>
              </w:rPr>
              <w:t>社会效益指标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  <w:t>促进残疾人事业发展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效益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zh-CN" w:eastAsia="zh-CN" w:bidi="zh-CN"/>
              </w:rPr>
              <w:t>生态效益指标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  <w:t>影响较小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效益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zh-CN" w:eastAsia="zh-CN" w:bidi="zh-CN"/>
              </w:rPr>
              <w:t>可持续影响指标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  <w:t>促进可持续发展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满意度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服务对象满意度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6"/>
                <w:szCs w:val="22"/>
                <w:lang w:val="en-US" w:eastAsia="zh-CN" w:bidi="zh-CN"/>
              </w:rPr>
              <w:t>残疾人满意度达95%上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62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72" w:type="dxa"/>
            <w:gridSpan w:val="4"/>
            <w:noWrap w:val="0"/>
            <w:vAlign w:val="top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ind w:left="1914" w:right="1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100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8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E71E3"/>
    <w:multiLevelType w:val="singleLevel"/>
    <w:tmpl w:val="9AFE71E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6" w:hanging="327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714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0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9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9" w:hanging="322"/>
      </w:pPr>
      <w:rPr>
        <w:rFonts w:hint="default"/>
        <w:lang w:val="zh-CN" w:eastAsia="zh-CN" w:bidi="zh-CN"/>
      </w:rPr>
    </w:lvl>
  </w:abstractNum>
  <w:abstractNum w:abstractNumId="2">
    <w:nsid w:val="5AAD1436"/>
    <w:multiLevelType w:val="singleLevel"/>
    <w:tmpl w:val="5AAD14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mQxNTgyMmZjZjQ1ZDFjNDU2MjVkMzUxMDE3MjEifQ=="/>
  </w:docVars>
  <w:rsids>
    <w:rsidRoot w:val="3F845956"/>
    <w:rsid w:val="11B315FD"/>
    <w:rsid w:val="3F845956"/>
    <w:rsid w:val="4EE75BE6"/>
    <w:rsid w:val="4EE9448E"/>
    <w:rsid w:val="68F65F0F"/>
    <w:rsid w:val="6FC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1340</Characters>
  <Lines>0</Lines>
  <Paragraphs>0</Paragraphs>
  <TotalTime>0</TotalTime>
  <ScaleCrop>false</ScaleCrop>
  <LinksUpToDate>false</LinksUpToDate>
  <CharactersWithSpaces>1376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2023-05-24T06:42:00Z</dcterms:created>
  <dc:creator>WPS_1672964384</dc:creator>
  <cp:lastModifiedBy>王莹</cp:lastModifiedBy>
  <dcterms:modified xsi:type="dcterms:W3CDTF">2023-08-28T08:50:39Z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725967AC4D78462B8ACD75574E40BCC6_13</vt:lpwstr>
  </property>
</Properties>
</file>